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87A538" w14:textId="77777777" w:rsidR="007373F6" w:rsidRDefault="00000000" w:rsidP="00E63D5E">
      <w:pPr>
        <w:ind w:right="-19"/>
        <w:jc w:val="center"/>
        <w:rPr>
          <w:rFonts w:ascii="Times New Roman" w:eastAsia="Times New Roman" w:hAnsi="Times New Roman" w:cs="Times New Roman"/>
          <w:b/>
          <w:color w:val="C00000"/>
          <w:sz w:val="40"/>
          <w:szCs w:val="40"/>
        </w:rPr>
      </w:pPr>
      <w:r>
        <w:rPr>
          <w:rFonts w:ascii="Times New Roman" w:eastAsia="Times New Roman" w:hAnsi="Times New Roman" w:cs="Times New Roman"/>
          <w:b/>
          <w:color w:val="C00000"/>
          <w:sz w:val="40"/>
          <w:szCs w:val="40"/>
        </w:rPr>
        <w:t>Asia-Pacific Management Accounting Association</w:t>
      </w:r>
    </w:p>
    <w:p w14:paraId="03DA145D" w14:textId="77777777" w:rsidR="007373F6" w:rsidRDefault="00000000">
      <w:pPr>
        <w:jc w:val="both"/>
        <w:rPr>
          <w:rFonts w:ascii="Times New Roman" w:eastAsia="Times New Roman" w:hAnsi="Times New Roman" w:cs="Times New Roman"/>
          <w:b/>
          <w:sz w:val="72"/>
          <w:szCs w:val="72"/>
        </w:rPr>
      </w:pPr>
      <w:r>
        <w:rPr>
          <w:noProof/>
        </w:rPr>
        <w:drawing>
          <wp:anchor distT="0" distB="0" distL="114300" distR="114300" simplePos="0" relativeHeight="251658240" behindDoc="0" locked="0" layoutInCell="1" hidden="0" allowOverlap="1" wp14:anchorId="3DEA68E4" wp14:editId="64C6D009">
            <wp:simplePos x="0" y="0"/>
            <wp:positionH relativeFrom="column">
              <wp:posOffset>-25399</wp:posOffset>
            </wp:positionH>
            <wp:positionV relativeFrom="paragraph">
              <wp:posOffset>118745</wp:posOffset>
            </wp:positionV>
            <wp:extent cx="1350010" cy="1362075"/>
            <wp:effectExtent l="0" t="0" r="0" b="0"/>
            <wp:wrapSquare wrapText="bothSides" distT="0" distB="0" distL="114300" distR="114300"/>
            <wp:docPr id="1931062031" name="image55.jpg" descr="Asia-Pacific Management Accounting Association (APMAA ..."/>
            <wp:cNvGraphicFramePr/>
            <a:graphic xmlns:a="http://schemas.openxmlformats.org/drawingml/2006/main">
              <a:graphicData uri="http://schemas.openxmlformats.org/drawingml/2006/picture">
                <pic:pic xmlns:pic="http://schemas.openxmlformats.org/drawingml/2006/picture">
                  <pic:nvPicPr>
                    <pic:cNvPr id="0" name="image55.jpg" descr="Asia-Pacific Management Accounting Association (APMAA ..."/>
                    <pic:cNvPicPr preferRelativeResize="0"/>
                  </pic:nvPicPr>
                  <pic:blipFill>
                    <a:blip r:embed="rId9"/>
                    <a:srcRect r="27092"/>
                    <a:stretch>
                      <a:fillRect/>
                    </a:stretch>
                  </pic:blipFill>
                  <pic:spPr>
                    <a:xfrm>
                      <a:off x="0" y="0"/>
                      <a:ext cx="1350010" cy="1362075"/>
                    </a:xfrm>
                    <a:prstGeom prst="rect">
                      <a:avLst/>
                    </a:prstGeom>
                    <a:ln/>
                  </pic:spPr>
                </pic:pic>
              </a:graphicData>
            </a:graphic>
          </wp:anchor>
        </w:drawing>
      </w:r>
    </w:p>
    <w:p w14:paraId="604BDE0B" w14:textId="77777777" w:rsidR="007373F6" w:rsidRDefault="007373F6">
      <w:pPr>
        <w:jc w:val="both"/>
        <w:rPr>
          <w:rFonts w:ascii="Times New Roman" w:eastAsia="Times New Roman" w:hAnsi="Times New Roman" w:cs="Times New Roman"/>
          <w:b/>
          <w:sz w:val="72"/>
          <w:szCs w:val="72"/>
        </w:rPr>
      </w:pPr>
    </w:p>
    <w:p w14:paraId="599236EB" w14:textId="77777777" w:rsidR="007373F6" w:rsidRDefault="007373F6">
      <w:pPr>
        <w:jc w:val="both"/>
        <w:rPr>
          <w:rFonts w:ascii="Times New Roman" w:eastAsia="Times New Roman" w:hAnsi="Times New Roman" w:cs="Times New Roman"/>
          <w:b/>
          <w:sz w:val="72"/>
          <w:szCs w:val="72"/>
        </w:rPr>
      </w:pPr>
    </w:p>
    <w:p w14:paraId="5951B6ED" w14:textId="77777777" w:rsidR="007373F6" w:rsidRDefault="00000000">
      <w:pPr>
        <w:jc w:val="center"/>
        <w:rPr>
          <w:rFonts w:ascii="Times New Roman" w:eastAsia="Times New Roman" w:hAnsi="Times New Roman" w:cs="Times New Roman"/>
          <w:b/>
          <w:sz w:val="72"/>
          <w:szCs w:val="72"/>
        </w:rPr>
      </w:pPr>
      <w:r>
        <w:rPr>
          <w:rFonts w:ascii="Times New Roman" w:eastAsia="Times New Roman" w:hAnsi="Times New Roman" w:cs="Times New Roman"/>
          <w:b/>
          <w:sz w:val="72"/>
          <w:szCs w:val="72"/>
        </w:rPr>
        <w:t>2025 Annual Conference</w:t>
      </w:r>
    </w:p>
    <w:p w14:paraId="2EE38EF8" w14:textId="77777777" w:rsidR="007373F6" w:rsidRDefault="00000000">
      <w:pPr>
        <w:jc w:val="center"/>
        <w:rPr>
          <w:rFonts w:ascii="Times New Roman" w:eastAsia="Times New Roman" w:hAnsi="Times New Roman" w:cs="Times New Roman"/>
          <w:color w:val="595959"/>
          <w:sz w:val="30"/>
          <w:szCs w:val="30"/>
        </w:rPr>
      </w:pPr>
      <w:r>
        <w:rPr>
          <w:rFonts w:ascii="Times New Roman" w:eastAsia="Times New Roman" w:hAnsi="Times New Roman" w:cs="Times New Roman"/>
          <w:color w:val="595959"/>
          <w:sz w:val="30"/>
          <w:szCs w:val="30"/>
        </w:rPr>
        <w:t>October 24 - 27, 2025</w:t>
      </w:r>
    </w:p>
    <w:p w14:paraId="6AF09702" w14:textId="77777777" w:rsidR="007373F6" w:rsidRDefault="00000000">
      <w:pPr>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 xml:space="preserve">Management Accounting in Dynamic and Changing Business Landscapes </w:t>
      </w:r>
    </w:p>
    <w:p w14:paraId="2ADE1C8B" w14:textId="77777777" w:rsidR="007373F6" w:rsidRDefault="007373F6">
      <w:pPr>
        <w:spacing w:line="303" w:lineRule="auto"/>
        <w:jc w:val="center"/>
        <w:rPr>
          <w:rFonts w:ascii="Times New Roman" w:eastAsia="Times New Roman" w:hAnsi="Times New Roman" w:cs="Times New Roman"/>
          <w:sz w:val="24"/>
          <w:szCs w:val="24"/>
        </w:rPr>
      </w:pPr>
    </w:p>
    <w:p w14:paraId="25F9BADE" w14:textId="77777777" w:rsidR="007373F6" w:rsidRDefault="007373F6">
      <w:pPr>
        <w:spacing w:line="303" w:lineRule="auto"/>
        <w:jc w:val="center"/>
        <w:rPr>
          <w:rFonts w:ascii="Times New Roman" w:eastAsia="Times New Roman" w:hAnsi="Times New Roman" w:cs="Times New Roman"/>
          <w:sz w:val="24"/>
          <w:szCs w:val="24"/>
        </w:rPr>
      </w:pPr>
    </w:p>
    <w:p w14:paraId="78829D3A" w14:textId="77777777" w:rsidR="007373F6" w:rsidRDefault="007373F6">
      <w:pPr>
        <w:spacing w:line="303" w:lineRule="auto"/>
        <w:jc w:val="center"/>
        <w:rPr>
          <w:rFonts w:ascii="Times New Roman" w:eastAsia="Times New Roman" w:hAnsi="Times New Roman" w:cs="Times New Roman"/>
          <w:sz w:val="24"/>
          <w:szCs w:val="24"/>
        </w:rPr>
      </w:pPr>
    </w:p>
    <w:p w14:paraId="5A501A31" w14:textId="45CC5CF6" w:rsidR="007373F6" w:rsidRPr="00F84662" w:rsidRDefault="00F84662" w:rsidP="00F84662">
      <w:pPr>
        <w:spacing w:line="303" w:lineRule="auto"/>
        <w:ind w:firstLineChars="350" w:firstLine="1961"/>
        <w:rPr>
          <w:rFonts w:ascii="Times New Roman" w:eastAsia="游明朝" w:hAnsi="Times New Roman" w:cs="Times New Roman" w:hint="eastAsia"/>
          <w:b/>
          <w:bCs/>
          <w:sz w:val="56"/>
          <w:szCs w:val="56"/>
          <w:lang w:eastAsia="ja-JP"/>
        </w:rPr>
      </w:pPr>
      <w:r w:rsidRPr="00F84662">
        <w:rPr>
          <w:rFonts w:ascii="Times New Roman" w:eastAsia="游明朝" w:hAnsi="Times New Roman" w:cs="Times New Roman" w:hint="eastAsia"/>
          <w:b/>
          <w:bCs/>
          <w:sz w:val="56"/>
          <w:szCs w:val="56"/>
          <w:lang w:eastAsia="ja-JP"/>
        </w:rPr>
        <w:t>APMAA Conference</w:t>
      </w:r>
    </w:p>
    <w:p w14:paraId="4E09B1CD" w14:textId="0FBFFCF7" w:rsidR="007373F6" w:rsidRDefault="00000000">
      <w:pPr>
        <w:jc w:val="center"/>
        <w:rPr>
          <w:rFonts w:ascii="Times New Roman" w:eastAsia="Times New Roman" w:hAnsi="Times New Roman" w:cs="Times New Roman"/>
          <w:b/>
          <w:sz w:val="96"/>
          <w:szCs w:val="96"/>
        </w:rPr>
      </w:pPr>
      <w:r>
        <w:rPr>
          <w:rFonts w:ascii="Times New Roman" w:eastAsia="Times New Roman" w:hAnsi="Times New Roman" w:cs="Times New Roman"/>
          <w:b/>
          <w:sz w:val="96"/>
          <w:szCs w:val="96"/>
        </w:rPr>
        <w:t>Proceedings</w:t>
      </w:r>
    </w:p>
    <w:p w14:paraId="64F6E3CE" w14:textId="77777777" w:rsidR="007373F6" w:rsidRDefault="007373F6">
      <w:pPr>
        <w:spacing w:line="20" w:lineRule="auto"/>
        <w:jc w:val="both"/>
        <w:rPr>
          <w:rFonts w:ascii="Times New Roman" w:eastAsia="Times New Roman" w:hAnsi="Times New Roman" w:cs="Times New Roman"/>
          <w:sz w:val="24"/>
          <w:szCs w:val="24"/>
        </w:rPr>
      </w:pPr>
    </w:p>
    <w:p w14:paraId="6E8E49F9" w14:textId="30171495" w:rsidR="007373F6" w:rsidRPr="00EC0CF4" w:rsidRDefault="00EC0CF4" w:rsidP="00EC0CF4">
      <w:pPr>
        <w:spacing w:line="303" w:lineRule="auto"/>
        <w:jc w:val="center"/>
        <w:rPr>
          <w:rFonts w:ascii="Times New Roman" w:eastAsia="Times New Roman" w:hAnsi="Times New Roman" w:cs="Times New Roman"/>
          <w:b/>
          <w:bCs/>
          <w:sz w:val="40"/>
          <w:szCs w:val="40"/>
        </w:rPr>
      </w:pPr>
      <w:r w:rsidRPr="00EC0CF4">
        <w:rPr>
          <w:rFonts w:ascii="Times New Roman" w:eastAsia="Times New Roman" w:hAnsi="Times New Roman" w:cs="Times New Roman"/>
          <w:b/>
          <w:bCs/>
          <w:sz w:val="40"/>
          <w:szCs w:val="40"/>
        </w:rPr>
        <w:t>Volume 1: Governance, Ethics and Accountability</w:t>
      </w:r>
    </w:p>
    <w:p w14:paraId="74432A90" w14:textId="77777777" w:rsidR="00EC0CF4" w:rsidRDefault="00EC0CF4" w:rsidP="00EC0CF4">
      <w:pPr>
        <w:spacing w:line="303" w:lineRule="auto"/>
        <w:jc w:val="center"/>
        <w:rPr>
          <w:rFonts w:ascii="Times New Roman" w:eastAsia="Times New Roman" w:hAnsi="Times New Roman" w:cs="Times New Roman"/>
          <w:sz w:val="24"/>
          <w:szCs w:val="24"/>
        </w:rPr>
      </w:pPr>
    </w:p>
    <w:p w14:paraId="63B8C420" w14:textId="77777777" w:rsidR="007373F6" w:rsidRDefault="007373F6">
      <w:pPr>
        <w:spacing w:line="303" w:lineRule="auto"/>
        <w:jc w:val="both"/>
        <w:rPr>
          <w:rFonts w:ascii="Times New Roman" w:eastAsia="Times New Roman" w:hAnsi="Times New Roman" w:cs="Times New Roman"/>
          <w:sz w:val="24"/>
          <w:szCs w:val="24"/>
        </w:rPr>
      </w:pPr>
    </w:p>
    <w:p w14:paraId="20858A59" w14:textId="77777777" w:rsidR="007373F6" w:rsidRDefault="007373F6">
      <w:pPr>
        <w:spacing w:line="303" w:lineRule="auto"/>
        <w:jc w:val="both"/>
        <w:rPr>
          <w:rFonts w:ascii="Times New Roman" w:eastAsia="Times New Roman" w:hAnsi="Times New Roman" w:cs="Times New Roman"/>
          <w:sz w:val="24"/>
          <w:szCs w:val="24"/>
        </w:rPr>
      </w:pPr>
    </w:p>
    <w:p w14:paraId="3C34BEFB" w14:textId="77777777" w:rsidR="00EC0CF4" w:rsidRDefault="00EC0CF4">
      <w:pPr>
        <w:spacing w:line="303" w:lineRule="auto"/>
        <w:jc w:val="both"/>
        <w:rPr>
          <w:rFonts w:ascii="Times New Roman" w:eastAsia="Times New Roman" w:hAnsi="Times New Roman" w:cs="Times New Roman"/>
          <w:sz w:val="24"/>
          <w:szCs w:val="24"/>
        </w:rPr>
      </w:pPr>
    </w:p>
    <w:p w14:paraId="0C6E10B4" w14:textId="77777777" w:rsidR="007373F6" w:rsidRDefault="00000000" w:rsidP="00E63D5E">
      <w:pPr>
        <w:spacing w:after="0"/>
        <w:jc w:val="center"/>
        <w:rPr>
          <w:rFonts w:ascii="Times New Roman" w:eastAsia="Times New Roman" w:hAnsi="Times New Roman" w:cs="Times New Roman"/>
          <w:b/>
          <w:color w:val="C00000"/>
          <w:sz w:val="40"/>
          <w:szCs w:val="40"/>
        </w:rPr>
      </w:pPr>
      <w:r>
        <w:rPr>
          <w:rFonts w:ascii="Times New Roman" w:eastAsia="Times New Roman" w:hAnsi="Times New Roman" w:cs="Times New Roman"/>
          <w:b/>
          <w:color w:val="C00000"/>
          <w:sz w:val="40"/>
          <w:szCs w:val="40"/>
        </w:rPr>
        <w:t>Asia-Pacific Management Accounting Association</w:t>
      </w:r>
    </w:p>
    <w:p w14:paraId="75837991" w14:textId="77777777" w:rsidR="007373F6" w:rsidRDefault="00000000">
      <w:pPr>
        <w:spacing w:after="0" w:line="238" w:lineRule="auto"/>
        <w:jc w:val="center"/>
        <w:rPr>
          <w:rFonts w:ascii="Times New Roman" w:eastAsia="Times New Roman" w:hAnsi="Times New Roman" w:cs="Times New Roman"/>
          <w:b/>
          <w:color w:val="595959"/>
          <w:sz w:val="24"/>
          <w:szCs w:val="24"/>
        </w:rPr>
      </w:pPr>
      <w:r>
        <w:rPr>
          <w:rFonts w:ascii="Times New Roman" w:eastAsia="Times New Roman" w:hAnsi="Times New Roman" w:cs="Times New Roman"/>
          <w:b/>
          <w:color w:val="595959"/>
          <w:sz w:val="24"/>
          <w:szCs w:val="24"/>
        </w:rPr>
        <w:t xml:space="preserve">Co-Hosted by Universiti Teknologi MARA (UiTM) </w:t>
      </w:r>
    </w:p>
    <w:p w14:paraId="4FDBA803" w14:textId="5D9767E3" w:rsidR="007373F6" w:rsidRDefault="00E63D5E">
      <w:pPr>
        <w:pStyle w:val="Heading1"/>
        <w:jc w:val="center"/>
        <w:rPr>
          <w:color w:val="000000"/>
        </w:rPr>
      </w:pPr>
      <w:bookmarkStart w:id="0" w:name="_Toc211808124"/>
      <w:r>
        <w:rPr>
          <w:color w:val="000000"/>
        </w:rPr>
        <w:lastRenderedPageBreak/>
        <w:t>GUIDELINES FOR PRESENTERS, MODERATORS, AND DISCUSSANTS</w:t>
      </w:r>
      <w:bookmarkEnd w:id="0"/>
    </w:p>
    <w:p w14:paraId="38C94A24" w14:textId="77777777" w:rsidR="007373F6" w:rsidRDefault="00000000">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br/>
        <w:t>What is a camera-ready paper?</w:t>
      </w:r>
    </w:p>
    <w:p w14:paraId="1D2E12C2" w14:textId="77777777" w:rsidR="007373F6" w:rsidRDefault="00000000">
      <w:pPr>
        <w:spacing w:before="280" w:after="28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your acceptance notification, we requested that you submit the </w:t>
      </w:r>
      <w:r>
        <w:rPr>
          <w:rFonts w:ascii="Times New Roman" w:eastAsia="Times New Roman" w:hAnsi="Times New Roman" w:cs="Times New Roman"/>
          <w:b/>
          <w:sz w:val="24"/>
          <w:szCs w:val="24"/>
        </w:rPr>
        <w:t>camera-ready paper</w:t>
      </w:r>
      <w:r>
        <w:rPr>
          <w:rFonts w:ascii="Times New Roman" w:eastAsia="Times New Roman" w:hAnsi="Times New Roman" w:cs="Times New Roman"/>
          <w:sz w:val="24"/>
          <w:szCs w:val="24"/>
        </w:rPr>
        <w:t xml:space="preserve"> by </w:t>
      </w:r>
      <w:r>
        <w:rPr>
          <w:rFonts w:ascii="Times New Roman" w:eastAsia="Times New Roman" w:hAnsi="Times New Roman" w:cs="Times New Roman"/>
          <w:b/>
          <w:sz w:val="24"/>
          <w:szCs w:val="24"/>
        </w:rPr>
        <w:t>September 15</w:t>
      </w:r>
      <w:r>
        <w:rPr>
          <w:rFonts w:ascii="Times New Roman" w:eastAsia="Times New Roman" w:hAnsi="Times New Roman" w:cs="Times New Roman"/>
          <w:sz w:val="24"/>
          <w:szCs w:val="24"/>
        </w:rPr>
        <w:t xml:space="preserve">. A camera-ready paper is the </w:t>
      </w:r>
      <w:r>
        <w:rPr>
          <w:rFonts w:ascii="Times New Roman" w:eastAsia="Times New Roman" w:hAnsi="Times New Roman" w:cs="Times New Roman"/>
          <w:b/>
          <w:sz w:val="24"/>
          <w:szCs w:val="24"/>
        </w:rPr>
        <w:t>final, revised version</w:t>
      </w:r>
      <w:r>
        <w:rPr>
          <w:rFonts w:ascii="Times New Roman" w:eastAsia="Times New Roman" w:hAnsi="Times New Roman" w:cs="Times New Roman"/>
          <w:sz w:val="24"/>
          <w:szCs w:val="24"/>
        </w:rPr>
        <w:t xml:space="preserve"> of your accepted article, prepared for publication.</w:t>
      </w:r>
    </w:p>
    <w:p w14:paraId="0B92617D" w14:textId="77777777" w:rsidR="007373F6" w:rsidRDefault="00000000">
      <w:pPr>
        <w:spacing w:before="280" w:after="28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When preparing your camera-ready paper:</w:t>
      </w:r>
    </w:p>
    <w:p w14:paraId="09B2B70E" w14:textId="77777777" w:rsidR="007373F6" w:rsidRDefault="00000000" w:rsidP="00856618">
      <w:pPr>
        <w:numPr>
          <w:ilvl w:val="0"/>
          <w:numId w:val="12"/>
        </w:numPr>
        <w:spacing w:before="280"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Please </w:t>
      </w:r>
      <w:r>
        <w:rPr>
          <w:rFonts w:ascii="Times New Roman" w:eastAsia="Times New Roman" w:hAnsi="Times New Roman" w:cs="Times New Roman"/>
          <w:b/>
          <w:sz w:val="24"/>
          <w:szCs w:val="24"/>
        </w:rPr>
        <w:t>revise or rewrite</w:t>
      </w:r>
      <w:r>
        <w:rPr>
          <w:rFonts w:ascii="Times New Roman" w:eastAsia="Times New Roman" w:hAnsi="Times New Roman" w:cs="Times New Roman"/>
          <w:sz w:val="24"/>
          <w:szCs w:val="24"/>
        </w:rPr>
        <w:t xml:space="preserve"> your article in response to the reviewers’ comments.</w:t>
      </w:r>
    </w:p>
    <w:p w14:paraId="282541DE" w14:textId="77777777" w:rsidR="007373F6" w:rsidRDefault="00000000" w:rsidP="00856618">
      <w:pPr>
        <w:numPr>
          <w:ilvl w:val="0"/>
          <w:numId w:val="12"/>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you register for the APMAA 2025 conference </w:t>
      </w:r>
      <w:r>
        <w:rPr>
          <w:rFonts w:ascii="Times New Roman" w:eastAsia="Times New Roman" w:hAnsi="Times New Roman" w:cs="Times New Roman"/>
          <w:b/>
          <w:sz w:val="24"/>
          <w:szCs w:val="24"/>
        </w:rPr>
        <w:t>and</w:t>
      </w:r>
      <w:r>
        <w:rPr>
          <w:rFonts w:ascii="Times New Roman" w:eastAsia="Times New Roman" w:hAnsi="Times New Roman" w:cs="Times New Roman"/>
          <w:sz w:val="24"/>
          <w:szCs w:val="24"/>
        </w:rPr>
        <w:t xml:space="preserve"> submit the camera-ready paper by September 15, your manuscript will be included in the </w:t>
      </w:r>
      <w:r>
        <w:rPr>
          <w:rFonts w:ascii="Times New Roman" w:eastAsia="Times New Roman" w:hAnsi="Times New Roman" w:cs="Times New Roman"/>
          <w:b/>
          <w:sz w:val="24"/>
          <w:szCs w:val="24"/>
        </w:rPr>
        <w:t>APMAA 2025 Book of Abstracts</w:t>
      </w:r>
      <w:r>
        <w:rPr>
          <w:rFonts w:ascii="Times New Roman" w:eastAsia="Times New Roman" w:hAnsi="Times New Roman" w:cs="Times New Roman"/>
          <w:sz w:val="24"/>
          <w:szCs w:val="24"/>
        </w:rPr>
        <w:t>.</w:t>
      </w:r>
    </w:p>
    <w:p w14:paraId="385CBAD0" w14:textId="77777777" w:rsidR="007373F6" w:rsidRDefault="00000000" w:rsidP="00856618">
      <w:pPr>
        <w:numPr>
          <w:ilvl w:val="0"/>
          <w:numId w:val="12"/>
        </w:numPr>
        <w:spacing w:after="28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 aware that we will use the file you upload to the </w:t>
      </w:r>
      <w:r>
        <w:rPr>
          <w:rFonts w:ascii="Times New Roman" w:eastAsia="Times New Roman" w:hAnsi="Times New Roman" w:cs="Times New Roman"/>
          <w:b/>
          <w:sz w:val="24"/>
          <w:szCs w:val="24"/>
        </w:rPr>
        <w:t>“camera-ready” column of the CMT</w:t>
      </w:r>
      <w:r>
        <w:rPr>
          <w:rFonts w:ascii="Times New Roman" w:eastAsia="Times New Roman" w:hAnsi="Times New Roman" w:cs="Times New Roman"/>
          <w:sz w:val="24"/>
          <w:szCs w:val="24"/>
        </w:rPr>
        <w:t xml:space="preserve"> system </w:t>
      </w:r>
      <w:r>
        <w:rPr>
          <w:rFonts w:ascii="Times New Roman" w:eastAsia="Times New Roman" w:hAnsi="Times New Roman" w:cs="Times New Roman"/>
          <w:i/>
          <w:sz w:val="24"/>
          <w:szCs w:val="24"/>
        </w:rPr>
        <w:t>exactly as submitted</w:t>
      </w:r>
      <w:r>
        <w:rPr>
          <w:rFonts w:ascii="Times New Roman" w:eastAsia="Times New Roman" w:hAnsi="Times New Roman" w:cs="Times New Roman"/>
          <w:sz w:val="24"/>
          <w:szCs w:val="24"/>
        </w:rPr>
        <w:t>, without further editing.</w:t>
      </w:r>
    </w:p>
    <w:p w14:paraId="58779D3F" w14:textId="77777777" w:rsidR="007373F6" w:rsidRDefault="00000000">
      <w:pPr>
        <w:spacing w:before="280" w:after="280" w:line="240" w:lineRule="auto"/>
        <w:jc w:val="both"/>
        <w:rPr>
          <w:rFonts w:ascii="Times New Roman" w:eastAsia="Times New Roman" w:hAnsi="Times New Roman" w:cs="Times New Roman"/>
        </w:rPr>
      </w:pPr>
      <w:r>
        <w:rPr>
          <w:rFonts w:ascii="Times New Roman" w:eastAsia="Times New Roman" w:hAnsi="Times New Roman" w:cs="Times New Roman"/>
          <w:sz w:val="24"/>
          <w:szCs w:val="24"/>
        </w:rPr>
        <w:t xml:space="preserve">Your paper’s </w:t>
      </w:r>
      <w:r>
        <w:rPr>
          <w:rFonts w:ascii="Times New Roman" w:eastAsia="Times New Roman" w:hAnsi="Times New Roman" w:cs="Times New Roman"/>
          <w:b/>
          <w:sz w:val="24"/>
          <w:szCs w:val="24"/>
        </w:rPr>
        <w:t>length and format</w:t>
      </w:r>
      <w:r>
        <w:rPr>
          <w:rFonts w:ascii="Times New Roman" w:eastAsia="Times New Roman" w:hAnsi="Times New Roman" w:cs="Times New Roman"/>
          <w:sz w:val="24"/>
          <w:szCs w:val="24"/>
        </w:rPr>
        <w:t xml:space="preserve"> must strictly follow the </w:t>
      </w:r>
      <w:r>
        <w:rPr>
          <w:rFonts w:ascii="Times New Roman" w:eastAsia="Times New Roman" w:hAnsi="Times New Roman" w:cs="Times New Roman"/>
          <w:b/>
          <w:sz w:val="24"/>
          <w:szCs w:val="24"/>
        </w:rPr>
        <w:t>Guideline for Authors</w:t>
      </w:r>
      <w:r>
        <w:rPr>
          <w:rFonts w:ascii="Times New Roman" w:eastAsia="Times New Roman" w:hAnsi="Times New Roman" w:cs="Times New Roman"/>
          <w:sz w:val="24"/>
          <w:szCs w:val="24"/>
        </w:rPr>
        <w:t xml:space="preserve"> (as you did in your initial submission). Please ensure that your camera-ready version complies with the required format described in the </w:t>
      </w:r>
      <w:r>
        <w:rPr>
          <w:rFonts w:ascii="Times New Roman" w:eastAsia="Times New Roman" w:hAnsi="Times New Roman" w:cs="Times New Roman"/>
          <w:i/>
          <w:sz w:val="24"/>
          <w:szCs w:val="24"/>
        </w:rPr>
        <w:t xml:space="preserve">Official Guide to APMAA 2024 </w:t>
      </w:r>
      <w:r>
        <w:rPr>
          <w:rFonts w:ascii="Times New Roman" w:eastAsia="Times New Roman" w:hAnsi="Times New Roman" w:cs="Times New Roman"/>
          <w:sz w:val="24"/>
          <w:szCs w:val="24"/>
        </w:rPr>
        <w:t>(</w:t>
      </w:r>
      <w:hyperlink r:id="rId10">
        <w:r w:rsidR="007373F6">
          <w:rPr>
            <w:rFonts w:ascii="Times New Roman" w:eastAsia="Times New Roman" w:hAnsi="Times New Roman" w:cs="Times New Roman"/>
            <w:color w:val="0000FF"/>
            <w:u w:val="single"/>
          </w:rPr>
          <w:t>https://s-ueno.sakura.ne.jp/APMAA_asia/APMAA2025_Malaysia_Conference.htm</w:t>
        </w:r>
      </w:hyperlink>
      <w:r>
        <w:rPr>
          <w:rFonts w:ascii="Times New Roman" w:eastAsia="Times New Roman" w:hAnsi="Times New Roman" w:cs="Times New Roman"/>
        </w:rPr>
        <w:t>).</w:t>
      </w:r>
    </w:p>
    <w:p w14:paraId="7FD85200" w14:textId="77777777" w:rsidR="007373F6" w:rsidRDefault="007373F6">
      <w:pPr>
        <w:spacing w:line="237" w:lineRule="auto"/>
        <w:ind w:left="8"/>
        <w:jc w:val="both"/>
        <w:rPr>
          <w:rFonts w:ascii="Times New Roman" w:eastAsia="Times New Roman" w:hAnsi="Times New Roman" w:cs="Times New Roman"/>
          <w:sz w:val="24"/>
          <w:szCs w:val="24"/>
        </w:rPr>
      </w:pPr>
    </w:p>
    <w:p w14:paraId="28CEBB38" w14:textId="77777777" w:rsidR="007373F6" w:rsidRDefault="00000000">
      <w:pPr>
        <w:spacing w:line="237" w:lineRule="auto"/>
        <w:ind w:left="8"/>
        <w:jc w:val="both"/>
        <w:rPr>
          <w:rFonts w:ascii="Times New Roman" w:eastAsia="Times New Roman" w:hAnsi="Times New Roman" w:cs="Times New Roman"/>
        </w:rPr>
      </w:pPr>
      <w:r>
        <w:rPr>
          <w:rFonts w:ascii="Times New Roman" w:eastAsia="Times New Roman" w:hAnsi="Times New Roman" w:cs="Times New Roman"/>
          <w:b/>
          <w:sz w:val="24"/>
          <w:szCs w:val="24"/>
        </w:rPr>
        <w:t>Excerpts from the Guideline for Authors</w:t>
      </w:r>
    </w:p>
    <w:p w14:paraId="1DF11881" w14:textId="77777777" w:rsidR="007373F6" w:rsidRDefault="00000000" w:rsidP="00856618">
      <w:pPr>
        <w:numPr>
          <w:ilvl w:val="0"/>
          <w:numId w:val="8"/>
        </w:numPr>
        <w:tabs>
          <w:tab w:val="left" w:pos="253"/>
        </w:tabs>
        <w:spacing w:after="0" w:line="234" w:lineRule="auto"/>
        <w:ind w:left="8" w:hanging="8"/>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Authors' names</w:t>
      </w:r>
      <w:r>
        <w:rPr>
          <w:rFonts w:ascii="Times New Roman" w:eastAsia="Times New Roman" w:hAnsi="Times New Roman" w:cs="Times New Roman"/>
          <w:sz w:val="24"/>
          <w:szCs w:val="24"/>
        </w:rPr>
        <w:t xml:space="preserve"> should be placed with two-line space below the title. Authors' affiliations should be placed below each author's name.</w:t>
      </w:r>
    </w:p>
    <w:p w14:paraId="4545D971" w14:textId="77777777" w:rsidR="007373F6" w:rsidRDefault="007373F6">
      <w:pPr>
        <w:spacing w:line="14" w:lineRule="auto"/>
        <w:jc w:val="both"/>
        <w:rPr>
          <w:rFonts w:ascii="Times New Roman" w:eastAsia="Times New Roman" w:hAnsi="Times New Roman" w:cs="Times New Roman"/>
          <w:sz w:val="24"/>
          <w:szCs w:val="24"/>
        </w:rPr>
      </w:pPr>
    </w:p>
    <w:p w14:paraId="23B38FF5" w14:textId="77777777" w:rsidR="007373F6" w:rsidRDefault="00000000" w:rsidP="00856618">
      <w:pPr>
        <w:numPr>
          <w:ilvl w:val="0"/>
          <w:numId w:val="8"/>
        </w:numPr>
        <w:tabs>
          <w:tab w:val="left" w:pos="248"/>
        </w:tabs>
        <w:spacing w:after="0"/>
        <w:ind w:left="248" w:hanging="248"/>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An abstract* should be around 200-300 words.</w:t>
      </w:r>
    </w:p>
    <w:p w14:paraId="3AA65D8E" w14:textId="77777777" w:rsidR="007373F6" w:rsidRDefault="007373F6">
      <w:pPr>
        <w:spacing w:line="14" w:lineRule="auto"/>
        <w:jc w:val="both"/>
        <w:rPr>
          <w:rFonts w:ascii="Times New Roman" w:eastAsia="Times New Roman" w:hAnsi="Times New Roman" w:cs="Times New Roman"/>
          <w:b/>
          <w:sz w:val="24"/>
          <w:szCs w:val="24"/>
        </w:rPr>
      </w:pPr>
    </w:p>
    <w:p w14:paraId="1B5FE93B" w14:textId="77777777" w:rsidR="007373F6" w:rsidRDefault="00000000" w:rsidP="00856618">
      <w:pPr>
        <w:numPr>
          <w:ilvl w:val="0"/>
          <w:numId w:val="8"/>
        </w:numPr>
        <w:tabs>
          <w:tab w:val="left" w:pos="258"/>
        </w:tabs>
        <w:spacing w:after="0" w:line="234" w:lineRule="auto"/>
        <w:ind w:left="8" w:hanging="8"/>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Text</w:t>
      </w:r>
      <w:r>
        <w:rPr>
          <w:rFonts w:ascii="Times New Roman" w:eastAsia="Times New Roman" w:hAnsi="Times New Roman" w:cs="Times New Roman"/>
          <w:sz w:val="24"/>
          <w:szCs w:val="24"/>
        </w:rPr>
        <w:t xml:space="preserve"> (for full-length paper) should be 5,000-10,000 words. The paper must be written in the best possible technical and grammatical English.</w:t>
      </w:r>
    </w:p>
    <w:p w14:paraId="49832B57" w14:textId="77777777" w:rsidR="007373F6" w:rsidRDefault="007373F6">
      <w:pPr>
        <w:spacing w:line="14" w:lineRule="auto"/>
        <w:jc w:val="both"/>
        <w:rPr>
          <w:rFonts w:ascii="Times New Roman" w:eastAsia="Times New Roman" w:hAnsi="Times New Roman" w:cs="Times New Roman"/>
          <w:sz w:val="24"/>
          <w:szCs w:val="24"/>
        </w:rPr>
      </w:pPr>
    </w:p>
    <w:p w14:paraId="48227734" w14:textId="77777777" w:rsidR="007373F6" w:rsidRDefault="00000000" w:rsidP="00856618">
      <w:pPr>
        <w:numPr>
          <w:ilvl w:val="0"/>
          <w:numId w:val="10"/>
        </w:numPr>
        <w:tabs>
          <w:tab w:val="left" w:pos="246"/>
        </w:tabs>
        <w:spacing w:after="0" w:line="234" w:lineRule="auto"/>
        <w:ind w:left="8" w:hanging="8"/>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All manuscripts</w:t>
      </w:r>
      <w:r>
        <w:rPr>
          <w:rFonts w:ascii="Times New Roman" w:eastAsia="Times New Roman" w:hAnsi="Times New Roman" w:cs="Times New Roman"/>
          <w:sz w:val="24"/>
          <w:szCs w:val="24"/>
        </w:rPr>
        <w:t xml:space="preserve"> should be formatted using 12-point font (Times New Roman). The text should be single-spaced.</w:t>
      </w:r>
    </w:p>
    <w:p w14:paraId="6D43F47B" w14:textId="77777777" w:rsidR="007373F6" w:rsidRDefault="00000000">
      <w:pPr>
        <w:ind w:left="8"/>
        <w:jc w:val="both"/>
        <w:rPr>
          <w:rFonts w:ascii="Times New Roman" w:eastAsia="Times New Roman" w:hAnsi="Times New Roman" w:cs="Times New Roman"/>
          <w:color w:val="0E101A"/>
          <w:sz w:val="24"/>
          <w:szCs w:val="24"/>
        </w:rPr>
      </w:pPr>
      <w:r>
        <w:rPr>
          <w:rFonts w:ascii="Times New Roman" w:eastAsia="Times New Roman" w:hAnsi="Times New Roman" w:cs="Times New Roman"/>
          <w:color w:val="0E101A"/>
          <w:sz w:val="24"/>
          <w:szCs w:val="24"/>
        </w:rPr>
        <w:t>-----------</w:t>
      </w:r>
    </w:p>
    <w:p w14:paraId="630716C8" w14:textId="77777777" w:rsidR="007373F6" w:rsidRDefault="007373F6">
      <w:pPr>
        <w:spacing w:line="14" w:lineRule="auto"/>
        <w:jc w:val="both"/>
        <w:rPr>
          <w:rFonts w:ascii="Times New Roman" w:eastAsia="Times New Roman" w:hAnsi="Times New Roman" w:cs="Times New Roman"/>
        </w:rPr>
      </w:pPr>
    </w:p>
    <w:p w14:paraId="2201D97D" w14:textId="77777777" w:rsidR="007373F6" w:rsidRDefault="00000000">
      <w:pPr>
        <w:spacing w:line="238" w:lineRule="auto"/>
        <w:ind w:left="8" w:firstLine="60"/>
        <w:jc w:val="both"/>
        <w:rPr>
          <w:rFonts w:ascii="Times New Roman" w:eastAsia="Times New Roman" w:hAnsi="Times New Roman" w:cs="Times New Roman"/>
          <w:color w:val="0E101A"/>
          <w:sz w:val="24"/>
          <w:szCs w:val="24"/>
        </w:rPr>
      </w:pPr>
      <w:r>
        <w:rPr>
          <w:rFonts w:ascii="Times New Roman" w:eastAsia="Times New Roman" w:hAnsi="Times New Roman" w:cs="Times New Roman"/>
          <w:b/>
          <w:color w:val="0E101A"/>
          <w:sz w:val="24"/>
          <w:szCs w:val="24"/>
        </w:rPr>
        <w:t>The abstract</w:t>
      </w:r>
      <w:r>
        <w:rPr>
          <w:rFonts w:ascii="Times New Roman" w:eastAsia="Times New Roman" w:hAnsi="Times New Roman" w:cs="Times New Roman"/>
          <w:color w:val="0E101A"/>
          <w:sz w:val="24"/>
          <w:szCs w:val="24"/>
        </w:rPr>
        <w:t xml:space="preserve"> is a summary or synopsis of the entire research paper and also needs to have similar characteristics to the title. Your abstract should contain at least your research topic, research questions, participants, methods, results, data analysis, and conclusions. You may also include possible implications of your research and future work you see connected with your findings. Your abstract should be a single paragraph. It needs to be simple, direct, specific, functional, clear, unbiased, honest, concise, precise, self-sufficient, complete, comprehensive, scholarly, balanced, and should not be misleading (</w:t>
      </w:r>
      <w:hyperlink r:id="rId11">
        <w:r w:rsidR="007373F6">
          <w:rPr>
            <w:rFonts w:ascii="Times New Roman" w:eastAsia="Times New Roman" w:hAnsi="Times New Roman" w:cs="Times New Roman"/>
            <w:color w:val="4A6EE0"/>
            <w:sz w:val="24"/>
            <w:szCs w:val="24"/>
            <w:u w:val="single"/>
          </w:rPr>
          <w:t>Writing the title and abstract for a research paper: Being concise, precise, and meticulous</w:t>
        </w:r>
      </w:hyperlink>
      <w:r>
        <w:rPr>
          <w:rFonts w:ascii="Times New Roman" w:eastAsia="Times New Roman" w:hAnsi="Times New Roman" w:cs="Times New Roman"/>
          <w:color w:val="4A6EE0"/>
          <w:sz w:val="24"/>
          <w:szCs w:val="24"/>
          <w:u w:val="single"/>
        </w:rPr>
        <w:t xml:space="preserve"> </w:t>
      </w:r>
      <w:hyperlink r:id="rId12">
        <w:r w:rsidR="007373F6">
          <w:rPr>
            <w:rFonts w:ascii="Times New Roman" w:eastAsia="Times New Roman" w:hAnsi="Times New Roman" w:cs="Times New Roman"/>
            <w:color w:val="4A6EE0"/>
            <w:sz w:val="24"/>
            <w:szCs w:val="24"/>
            <w:u w:val="single"/>
          </w:rPr>
          <w:t>is the key (nih.gov)</w:t>
        </w:r>
      </w:hyperlink>
      <w:hyperlink r:id="rId13">
        <w:r w:rsidR="007373F6">
          <w:rPr>
            <w:rFonts w:ascii="Times New Roman" w:eastAsia="Times New Roman" w:hAnsi="Times New Roman" w:cs="Times New Roman"/>
            <w:color w:val="0E101A"/>
            <w:sz w:val="24"/>
            <w:szCs w:val="24"/>
          </w:rPr>
          <w:t>.</w:t>
        </w:r>
      </w:hyperlink>
    </w:p>
    <w:p w14:paraId="3C015A4A" w14:textId="77777777" w:rsidR="007373F6" w:rsidRDefault="00000000">
      <w:pPr>
        <w:spacing w:before="280" w:after="28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Why do you need to write an abstract for a research paper?</w:t>
      </w:r>
    </w:p>
    <w:p w14:paraId="1AF1A679" w14:textId="77777777" w:rsidR="007373F6" w:rsidRDefault="00000000" w:rsidP="00856618">
      <w:pPr>
        <w:numPr>
          <w:ilvl w:val="0"/>
          <w:numId w:val="11"/>
        </w:numPr>
        <w:spacing w:before="280"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 abstract allows readers to grasp the main idea or essence of your paper quickly, helping them decide whether to read the full paper.</w:t>
      </w:r>
    </w:p>
    <w:p w14:paraId="438C1E6A" w14:textId="77777777" w:rsidR="007373F6" w:rsidRDefault="00000000" w:rsidP="00856618">
      <w:pPr>
        <w:numPr>
          <w:ilvl w:val="0"/>
          <w:numId w:val="1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It prepares readers to follow the detailed information, analyses, and arguments presented in your work.</w:t>
      </w:r>
    </w:p>
    <w:p w14:paraId="717793A8" w14:textId="77777777" w:rsidR="007373F6" w:rsidRDefault="00000000" w:rsidP="00856618">
      <w:pPr>
        <w:numPr>
          <w:ilvl w:val="0"/>
          <w:numId w:val="11"/>
        </w:numPr>
        <w:spacing w:after="28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Later, the abstract serves as a reference point, helping readers recall the key points of your paper.</w:t>
      </w:r>
    </w:p>
    <w:p w14:paraId="13689B5B" w14:textId="77777777" w:rsidR="007373F6" w:rsidRDefault="007373F6">
      <w:pPr>
        <w:ind w:left="68"/>
        <w:jc w:val="both"/>
        <w:rPr>
          <w:rFonts w:ascii="Times New Roman" w:eastAsia="Times New Roman" w:hAnsi="Times New Roman" w:cs="Times New Roman"/>
          <w:b/>
          <w:color w:val="0E101A"/>
          <w:sz w:val="24"/>
          <w:szCs w:val="24"/>
        </w:rPr>
      </w:pPr>
    </w:p>
    <w:p w14:paraId="2F1CA755" w14:textId="77777777" w:rsidR="007373F6" w:rsidRDefault="007373F6">
      <w:pPr>
        <w:ind w:left="68"/>
        <w:jc w:val="both"/>
        <w:rPr>
          <w:rFonts w:ascii="Times New Roman" w:eastAsia="Times New Roman" w:hAnsi="Times New Roman" w:cs="Times New Roman"/>
          <w:b/>
          <w:color w:val="0E101A"/>
          <w:sz w:val="24"/>
          <w:szCs w:val="24"/>
        </w:rPr>
      </w:pPr>
    </w:p>
    <w:p w14:paraId="794C4756" w14:textId="77777777" w:rsidR="007373F6" w:rsidRDefault="007373F6">
      <w:pPr>
        <w:jc w:val="both"/>
        <w:rPr>
          <w:rFonts w:ascii="Times New Roman" w:eastAsia="Times New Roman" w:hAnsi="Times New Roman" w:cs="Times New Roman"/>
          <w:b/>
          <w:sz w:val="32"/>
          <w:szCs w:val="32"/>
        </w:rPr>
      </w:pPr>
      <w:bookmarkStart w:id="1" w:name="bookmark=id.yklvgiur4sjq" w:colFirst="0" w:colLast="0"/>
      <w:bookmarkEnd w:id="1"/>
    </w:p>
    <w:p w14:paraId="7E5997D0" w14:textId="77777777" w:rsidR="007373F6" w:rsidRDefault="00000000">
      <w:pPr>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About APMAA</w:t>
      </w:r>
    </w:p>
    <w:p w14:paraId="4E220437" w14:textId="77777777" w:rsidR="007373F6" w:rsidRDefault="00000000">
      <w:pPr>
        <w:spacing w:before="280" w:after="28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Founded in 2004, the </w:t>
      </w:r>
      <w:r>
        <w:rPr>
          <w:rFonts w:ascii="Times New Roman" w:eastAsia="Times New Roman" w:hAnsi="Times New Roman" w:cs="Times New Roman"/>
          <w:b/>
          <w:sz w:val="24"/>
          <w:szCs w:val="24"/>
        </w:rPr>
        <w:t>Asia-Pacific Management Accounting Association (APMAA)</w:t>
      </w:r>
      <w:r>
        <w:rPr>
          <w:rFonts w:ascii="Times New Roman" w:eastAsia="Times New Roman" w:hAnsi="Times New Roman" w:cs="Times New Roman"/>
          <w:sz w:val="24"/>
          <w:szCs w:val="24"/>
        </w:rPr>
        <w:t xml:space="preserve"> serves as a platform for management accounting scholars and practitioners across the Asia-Pacific region. Our mission is to enhance contributions to global scholarship and to improve the lives of people in the region.</w:t>
      </w:r>
    </w:p>
    <w:p w14:paraId="0A08A35A" w14:textId="77777777" w:rsidR="007373F6" w:rsidRDefault="00000000">
      <w:pPr>
        <w:spacing w:before="280" w:after="28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With gender and geographic diversity represented in both our membership and board, APMAA fosters a rich environment for </w:t>
      </w:r>
      <w:r>
        <w:rPr>
          <w:rFonts w:ascii="Times New Roman" w:eastAsia="Times New Roman" w:hAnsi="Times New Roman" w:cs="Times New Roman"/>
          <w:b/>
          <w:sz w:val="24"/>
          <w:szCs w:val="24"/>
        </w:rPr>
        <w:t>collaboration, innovation, and knowledge exchange</w:t>
      </w:r>
      <w:r>
        <w:rPr>
          <w:rFonts w:ascii="Times New Roman" w:eastAsia="Times New Roman" w:hAnsi="Times New Roman" w:cs="Times New Roman"/>
          <w:sz w:val="24"/>
          <w:szCs w:val="24"/>
        </w:rPr>
        <w:t>. Through teaching, research, and a strong professional network, we continue to shape the future of management accounting and strengthen our role as a thought leader in the field.</w:t>
      </w:r>
    </w:p>
    <w:p w14:paraId="086F605B" w14:textId="77777777" w:rsidR="007373F6" w:rsidRDefault="00000000">
      <w:pPr>
        <w:spacing w:after="0" w:line="234" w:lineRule="auto"/>
        <w:ind w:right="26"/>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Have a question about APMAA?</w:t>
      </w:r>
      <w:r>
        <w:rPr>
          <w:rFonts w:ascii="Times New Roman" w:eastAsia="Times New Roman" w:hAnsi="Times New Roman" w:cs="Times New Roman"/>
          <w:sz w:val="24"/>
          <w:szCs w:val="24"/>
        </w:rPr>
        <w:t xml:space="preserve"> The web pages below will give you answers. </w:t>
      </w:r>
    </w:p>
    <w:p w14:paraId="33D0406D" w14:textId="77777777" w:rsidR="007373F6" w:rsidRDefault="00000000">
      <w:pPr>
        <w:spacing w:after="0" w:line="234" w:lineRule="auto"/>
        <w:ind w:right="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Asia-Pacific Management Accounting Association Homepage</w:t>
      </w:r>
    </w:p>
    <w:p w14:paraId="5744665F" w14:textId="77777777" w:rsidR="007373F6" w:rsidRDefault="007373F6">
      <w:pPr>
        <w:spacing w:line="14" w:lineRule="auto"/>
        <w:jc w:val="both"/>
        <w:rPr>
          <w:rFonts w:ascii="Times New Roman" w:eastAsia="Times New Roman" w:hAnsi="Times New Roman" w:cs="Times New Roman"/>
        </w:rPr>
      </w:pPr>
    </w:p>
    <w:p w14:paraId="76181D01" w14:textId="77777777" w:rsidR="007373F6" w:rsidRDefault="00000000">
      <w:pPr>
        <w:spacing w:line="200" w:lineRule="auto"/>
        <w:jc w:val="both"/>
        <w:rPr>
          <w:rFonts w:ascii="Times New Roman" w:eastAsia="Times New Roman" w:hAnsi="Times New Roman" w:cs="Times New Roman"/>
        </w:rPr>
      </w:pPr>
      <w:r>
        <w:rPr>
          <w:rFonts w:ascii="Times New Roman" w:eastAsia="Times New Roman" w:hAnsi="Times New Roman" w:cs="Times New Roman"/>
        </w:rPr>
        <w:t xml:space="preserve"> </w:t>
      </w:r>
      <w:hyperlink r:id="rId14">
        <w:r w:rsidR="007373F6">
          <w:rPr>
            <w:rFonts w:ascii="Times New Roman" w:eastAsia="Times New Roman" w:hAnsi="Times New Roman" w:cs="Times New Roman"/>
            <w:color w:val="0000FF"/>
            <w:u w:val="single"/>
          </w:rPr>
          <w:t>https://s-ueno.sakura.ne.jp/APMAA_asia/APMAA_index.htm</w:t>
        </w:r>
      </w:hyperlink>
    </w:p>
    <w:p w14:paraId="161DAF0B" w14:textId="77777777" w:rsidR="007373F6" w:rsidRDefault="007373F6">
      <w:pPr>
        <w:spacing w:line="200" w:lineRule="auto"/>
        <w:jc w:val="both"/>
        <w:rPr>
          <w:rFonts w:ascii="Times New Roman" w:eastAsia="Times New Roman" w:hAnsi="Times New Roman" w:cs="Times New Roman"/>
        </w:rPr>
      </w:pPr>
    </w:p>
    <w:p w14:paraId="0BD10042" w14:textId="77777777" w:rsidR="007373F6" w:rsidRDefault="007373F6">
      <w:pPr>
        <w:spacing w:line="200" w:lineRule="auto"/>
        <w:jc w:val="both"/>
        <w:rPr>
          <w:rFonts w:ascii="Times New Roman" w:eastAsia="Times New Roman" w:hAnsi="Times New Roman" w:cs="Times New Roman"/>
        </w:rPr>
      </w:pPr>
    </w:p>
    <w:p w14:paraId="6C038D7C" w14:textId="77777777" w:rsidR="007373F6" w:rsidRDefault="007373F6">
      <w:pPr>
        <w:spacing w:line="200" w:lineRule="auto"/>
        <w:jc w:val="both"/>
        <w:rPr>
          <w:rFonts w:ascii="Times New Roman" w:eastAsia="Times New Roman" w:hAnsi="Times New Roman" w:cs="Times New Roman"/>
        </w:rPr>
      </w:pPr>
    </w:p>
    <w:p w14:paraId="5F57C003" w14:textId="77777777" w:rsidR="007373F6" w:rsidRDefault="007373F6">
      <w:pPr>
        <w:spacing w:line="200" w:lineRule="auto"/>
        <w:jc w:val="both"/>
        <w:rPr>
          <w:rFonts w:ascii="Times New Roman" w:eastAsia="Times New Roman" w:hAnsi="Times New Roman" w:cs="Times New Roman"/>
        </w:rPr>
      </w:pPr>
    </w:p>
    <w:p w14:paraId="446E1792" w14:textId="77777777" w:rsidR="007373F6" w:rsidRDefault="007373F6">
      <w:pPr>
        <w:spacing w:line="200" w:lineRule="auto"/>
        <w:jc w:val="both"/>
        <w:rPr>
          <w:rFonts w:ascii="Times New Roman" w:eastAsia="Times New Roman" w:hAnsi="Times New Roman" w:cs="Times New Roman"/>
        </w:rPr>
      </w:pPr>
    </w:p>
    <w:p w14:paraId="4E8B05C5" w14:textId="77777777" w:rsidR="007373F6" w:rsidRDefault="007373F6">
      <w:pPr>
        <w:spacing w:line="200" w:lineRule="auto"/>
        <w:jc w:val="both"/>
        <w:rPr>
          <w:rFonts w:ascii="Times New Roman" w:eastAsia="Times New Roman" w:hAnsi="Times New Roman" w:cs="Times New Roman"/>
        </w:rPr>
      </w:pPr>
    </w:p>
    <w:p w14:paraId="46692637" w14:textId="77777777" w:rsidR="007373F6" w:rsidRDefault="007373F6">
      <w:pPr>
        <w:spacing w:line="200" w:lineRule="auto"/>
        <w:jc w:val="both"/>
        <w:rPr>
          <w:rFonts w:ascii="Times New Roman" w:eastAsia="Times New Roman" w:hAnsi="Times New Roman" w:cs="Times New Roman"/>
        </w:rPr>
      </w:pPr>
    </w:p>
    <w:p w14:paraId="4AEBE90B" w14:textId="77777777" w:rsidR="007373F6" w:rsidRDefault="007373F6">
      <w:pPr>
        <w:spacing w:line="200" w:lineRule="auto"/>
        <w:jc w:val="both"/>
        <w:rPr>
          <w:rFonts w:ascii="Times New Roman" w:eastAsia="Times New Roman" w:hAnsi="Times New Roman" w:cs="Times New Roman"/>
        </w:rPr>
      </w:pPr>
    </w:p>
    <w:p w14:paraId="57581566" w14:textId="77777777" w:rsidR="007373F6" w:rsidRDefault="007373F6">
      <w:pPr>
        <w:spacing w:line="200" w:lineRule="auto"/>
        <w:jc w:val="both"/>
        <w:rPr>
          <w:rFonts w:ascii="Times New Roman" w:eastAsia="Times New Roman" w:hAnsi="Times New Roman" w:cs="Times New Roman"/>
        </w:rPr>
      </w:pPr>
    </w:p>
    <w:p w14:paraId="6939D20E" w14:textId="77777777" w:rsidR="007373F6" w:rsidRDefault="007373F6">
      <w:pPr>
        <w:spacing w:line="200" w:lineRule="auto"/>
        <w:jc w:val="both"/>
        <w:rPr>
          <w:rFonts w:ascii="Times New Roman" w:eastAsia="Times New Roman" w:hAnsi="Times New Roman" w:cs="Times New Roman"/>
        </w:rPr>
      </w:pPr>
    </w:p>
    <w:p w14:paraId="6A3C416B" w14:textId="77777777" w:rsidR="007373F6" w:rsidRDefault="007373F6">
      <w:pPr>
        <w:spacing w:line="200" w:lineRule="auto"/>
        <w:jc w:val="both"/>
        <w:rPr>
          <w:rFonts w:ascii="Times New Roman" w:eastAsia="Times New Roman" w:hAnsi="Times New Roman" w:cs="Times New Roman"/>
        </w:rPr>
      </w:pPr>
    </w:p>
    <w:p w14:paraId="24A69A03" w14:textId="77777777" w:rsidR="007373F6" w:rsidRDefault="007373F6">
      <w:pPr>
        <w:spacing w:line="200" w:lineRule="auto"/>
        <w:jc w:val="both"/>
        <w:rPr>
          <w:rFonts w:ascii="Times New Roman" w:eastAsia="Times New Roman" w:hAnsi="Times New Roman" w:cs="Times New Roman"/>
        </w:rPr>
      </w:pPr>
    </w:p>
    <w:p w14:paraId="266F2D66" w14:textId="77777777" w:rsidR="007373F6" w:rsidRDefault="007373F6">
      <w:pPr>
        <w:spacing w:line="200" w:lineRule="auto"/>
        <w:jc w:val="both"/>
        <w:rPr>
          <w:rFonts w:ascii="Times New Roman" w:eastAsia="Times New Roman" w:hAnsi="Times New Roman" w:cs="Times New Roman"/>
        </w:rPr>
      </w:pPr>
    </w:p>
    <w:p w14:paraId="122D6066" w14:textId="77777777" w:rsidR="007373F6" w:rsidRDefault="007373F6">
      <w:pPr>
        <w:spacing w:line="200" w:lineRule="auto"/>
        <w:jc w:val="both"/>
        <w:rPr>
          <w:rFonts w:ascii="Times New Roman" w:eastAsia="Times New Roman" w:hAnsi="Times New Roman" w:cs="Times New Roman"/>
        </w:rPr>
      </w:pPr>
    </w:p>
    <w:p w14:paraId="71D7E153" w14:textId="77777777" w:rsidR="007373F6" w:rsidRDefault="007373F6">
      <w:pPr>
        <w:spacing w:line="200" w:lineRule="auto"/>
        <w:jc w:val="both"/>
        <w:rPr>
          <w:rFonts w:ascii="Times New Roman" w:eastAsia="Times New Roman" w:hAnsi="Times New Roman" w:cs="Times New Roman"/>
        </w:rPr>
      </w:pPr>
    </w:p>
    <w:p w14:paraId="01EC16CE" w14:textId="77777777" w:rsidR="007373F6" w:rsidRDefault="007373F6">
      <w:pPr>
        <w:spacing w:line="200" w:lineRule="auto"/>
        <w:jc w:val="both"/>
        <w:rPr>
          <w:rFonts w:ascii="Times New Roman" w:eastAsia="Times New Roman" w:hAnsi="Times New Roman" w:cs="Times New Roman"/>
        </w:rPr>
      </w:pPr>
    </w:p>
    <w:p w14:paraId="593394CE" w14:textId="77777777" w:rsidR="007373F6" w:rsidRDefault="007373F6">
      <w:pPr>
        <w:spacing w:line="200" w:lineRule="auto"/>
        <w:jc w:val="both"/>
        <w:rPr>
          <w:rFonts w:ascii="Times New Roman" w:eastAsia="Times New Roman" w:hAnsi="Times New Roman" w:cs="Times New Roman"/>
        </w:rPr>
      </w:pPr>
    </w:p>
    <w:p w14:paraId="2AE096FB" w14:textId="77777777" w:rsidR="007373F6" w:rsidRDefault="007373F6">
      <w:pPr>
        <w:spacing w:line="200" w:lineRule="auto"/>
        <w:jc w:val="both"/>
        <w:rPr>
          <w:rFonts w:ascii="Times New Roman" w:eastAsia="Times New Roman" w:hAnsi="Times New Roman" w:cs="Times New Roman"/>
        </w:rPr>
      </w:pPr>
    </w:p>
    <w:p w14:paraId="050CD422" w14:textId="77777777" w:rsidR="007373F6" w:rsidRPr="000549B5" w:rsidRDefault="00000000">
      <w:pPr>
        <w:pStyle w:val="Heading1"/>
        <w:rPr>
          <w:color w:val="000000"/>
        </w:rPr>
      </w:pPr>
      <w:bookmarkStart w:id="2" w:name="_Toc211808125"/>
      <w:bookmarkStart w:id="3" w:name="_Hlk211345935"/>
      <w:r w:rsidRPr="000549B5">
        <w:rPr>
          <w:color w:val="000000"/>
        </w:rPr>
        <w:lastRenderedPageBreak/>
        <w:t>TABLE OF CONTENTS</w:t>
      </w:r>
      <w:bookmarkEnd w:id="2"/>
    </w:p>
    <w:sdt>
      <w:sdtPr>
        <w:rPr>
          <w:rFonts w:ascii="Calibri" w:hAnsi="Calibri" w:cs="Calibri"/>
          <w:b w:val="0"/>
          <w:bCs w:val="0"/>
          <w:noProof w:val="0"/>
          <w:lang w:val="en"/>
        </w:rPr>
        <w:id w:val="940704741"/>
        <w:docPartObj>
          <w:docPartGallery w:val="Table of Contents"/>
          <w:docPartUnique/>
        </w:docPartObj>
      </w:sdtPr>
      <w:sdtEndPr>
        <w:rPr>
          <w:lang w:val="en-MY"/>
        </w:rPr>
      </w:sdtEndPr>
      <w:sdtContent>
        <w:p w14:paraId="080F6E4F" w14:textId="62B79D18" w:rsidR="00D01771" w:rsidRPr="000549B5" w:rsidRDefault="00000000" w:rsidP="00A81BCB">
          <w:pPr>
            <w:pStyle w:val="TOC1"/>
            <w:rPr>
              <w:rFonts w:eastAsiaTheme="minorEastAsia"/>
              <w:kern w:val="2"/>
              <w:sz w:val="24"/>
              <w:szCs w:val="24"/>
              <w:lang w:val="en-MY" w:eastAsia="en-GB"/>
              <w14:ligatures w14:val="standardContextual"/>
            </w:rPr>
          </w:pPr>
          <w:r w:rsidRPr="000549B5">
            <w:fldChar w:fldCharType="begin"/>
          </w:r>
          <w:r w:rsidRPr="000549B5">
            <w:instrText xml:space="preserve"> TOC \h \u \z \t "Heading 1,1,Heading 2,2,Heading 3,3,Heading 4,4,Heading 5,5,Heading 6,6,"</w:instrText>
          </w:r>
          <w:r w:rsidRPr="000549B5">
            <w:fldChar w:fldCharType="separate"/>
          </w:r>
          <w:hyperlink w:anchor="_Toc211808124" w:history="1">
            <w:r w:rsidR="00D01771" w:rsidRPr="000549B5">
              <w:rPr>
                <w:rStyle w:val="Hyperlink"/>
              </w:rPr>
              <w:t>GUIDELINES FOR PRESENTERS, MODERATORS, AND DISCUSSANTS</w:t>
            </w:r>
            <w:r w:rsidR="00D01771" w:rsidRPr="000549B5">
              <w:rPr>
                <w:webHidden/>
              </w:rPr>
              <w:tab/>
            </w:r>
            <w:r w:rsidR="00D01771" w:rsidRPr="000549B5">
              <w:rPr>
                <w:webHidden/>
              </w:rPr>
              <w:fldChar w:fldCharType="begin"/>
            </w:r>
            <w:r w:rsidR="00D01771" w:rsidRPr="000549B5">
              <w:rPr>
                <w:webHidden/>
              </w:rPr>
              <w:instrText xml:space="preserve"> PAGEREF _Toc211808124 \h </w:instrText>
            </w:r>
            <w:r w:rsidR="00D01771" w:rsidRPr="000549B5">
              <w:rPr>
                <w:webHidden/>
              </w:rPr>
            </w:r>
            <w:r w:rsidR="00D01771" w:rsidRPr="000549B5">
              <w:rPr>
                <w:webHidden/>
              </w:rPr>
              <w:fldChar w:fldCharType="separate"/>
            </w:r>
            <w:r w:rsidR="003277CA">
              <w:rPr>
                <w:webHidden/>
              </w:rPr>
              <w:t>2</w:t>
            </w:r>
            <w:r w:rsidR="00D01771" w:rsidRPr="000549B5">
              <w:rPr>
                <w:webHidden/>
              </w:rPr>
              <w:fldChar w:fldCharType="end"/>
            </w:r>
          </w:hyperlink>
        </w:p>
        <w:p w14:paraId="530776E2" w14:textId="4DBD12FD" w:rsidR="00D01771" w:rsidRPr="000549B5" w:rsidRDefault="00D01771" w:rsidP="00A81BCB">
          <w:pPr>
            <w:pStyle w:val="TOC1"/>
            <w:rPr>
              <w:rFonts w:eastAsiaTheme="minorEastAsia"/>
              <w:kern w:val="2"/>
              <w:sz w:val="24"/>
              <w:szCs w:val="24"/>
              <w:lang w:val="en-MY" w:eastAsia="en-GB"/>
              <w14:ligatures w14:val="standardContextual"/>
            </w:rPr>
          </w:pPr>
          <w:hyperlink w:anchor="_Toc211808125" w:history="1">
            <w:r w:rsidRPr="000549B5">
              <w:rPr>
                <w:rStyle w:val="Hyperlink"/>
              </w:rPr>
              <w:t>TABLE OF CONTENTS</w:t>
            </w:r>
            <w:r w:rsidRPr="000549B5">
              <w:rPr>
                <w:webHidden/>
              </w:rPr>
              <w:tab/>
            </w:r>
            <w:r w:rsidRPr="000549B5">
              <w:rPr>
                <w:webHidden/>
              </w:rPr>
              <w:fldChar w:fldCharType="begin"/>
            </w:r>
            <w:r w:rsidRPr="000549B5">
              <w:rPr>
                <w:webHidden/>
              </w:rPr>
              <w:instrText xml:space="preserve"> PAGEREF _Toc211808125 \h </w:instrText>
            </w:r>
            <w:r w:rsidRPr="000549B5">
              <w:rPr>
                <w:webHidden/>
              </w:rPr>
            </w:r>
            <w:r w:rsidRPr="000549B5">
              <w:rPr>
                <w:webHidden/>
              </w:rPr>
              <w:fldChar w:fldCharType="separate"/>
            </w:r>
            <w:r w:rsidR="003277CA">
              <w:rPr>
                <w:webHidden/>
              </w:rPr>
              <w:t>4</w:t>
            </w:r>
            <w:r w:rsidRPr="000549B5">
              <w:rPr>
                <w:webHidden/>
              </w:rPr>
              <w:fldChar w:fldCharType="end"/>
            </w:r>
          </w:hyperlink>
        </w:p>
        <w:p w14:paraId="6068A00E" w14:textId="135DAF85" w:rsidR="00D01771" w:rsidRPr="00A81BCB" w:rsidRDefault="00D01771" w:rsidP="00A81BCB">
          <w:pPr>
            <w:pStyle w:val="TOC1"/>
            <w:rPr>
              <w:rFonts w:eastAsiaTheme="minorEastAsia"/>
              <w:kern w:val="2"/>
              <w:sz w:val="24"/>
              <w:szCs w:val="24"/>
              <w:lang w:val="en-MY" w:eastAsia="en-GB"/>
              <w14:ligatures w14:val="standardContextual"/>
            </w:rPr>
          </w:pPr>
          <w:hyperlink w:anchor="_Toc211808126" w:history="1">
            <w:r w:rsidRPr="00A81BCB">
              <w:rPr>
                <w:rStyle w:val="Hyperlink"/>
              </w:rPr>
              <w:t>TALKS, PANEL SESSIONS &amp; SEMINAR PRESENTERS’ PAPERS</w:t>
            </w:r>
            <w:r w:rsidRPr="00A81BCB">
              <w:rPr>
                <w:webHidden/>
              </w:rPr>
              <w:tab/>
            </w:r>
            <w:r w:rsidRPr="00A81BCB">
              <w:rPr>
                <w:webHidden/>
              </w:rPr>
              <w:fldChar w:fldCharType="begin"/>
            </w:r>
            <w:r w:rsidRPr="00A81BCB">
              <w:rPr>
                <w:webHidden/>
              </w:rPr>
              <w:instrText xml:space="preserve"> PAGEREF _Toc211808126 \h </w:instrText>
            </w:r>
            <w:r w:rsidRPr="00A81BCB">
              <w:rPr>
                <w:webHidden/>
              </w:rPr>
            </w:r>
            <w:r w:rsidRPr="00A81BCB">
              <w:rPr>
                <w:webHidden/>
              </w:rPr>
              <w:fldChar w:fldCharType="separate"/>
            </w:r>
            <w:r w:rsidR="003277CA">
              <w:rPr>
                <w:webHidden/>
              </w:rPr>
              <w:t>6</w:t>
            </w:r>
            <w:r w:rsidRPr="00A81BCB">
              <w:rPr>
                <w:webHidden/>
              </w:rPr>
              <w:fldChar w:fldCharType="end"/>
            </w:r>
          </w:hyperlink>
        </w:p>
        <w:p w14:paraId="28D11EC4" w14:textId="3F08F1C5" w:rsidR="00D01771" w:rsidRPr="000549B5" w:rsidRDefault="00D01771" w:rsidP="00A81BCB">
          <w:pPr>
            <w:pStyle w:val="TOC1"/>
            <w:rPr>
              <w:rFonts w:eastAsiaTheme="minorEastAsia"/>
              <w:kern w:val="2"/>
              <w:sz w:val="24"/>
              <w:szCs w:val="24"/>
              <w:lang w:val="en-MY" w:eastAsia="en-GB"/>
              <w14:ligatures w14:val="standardContextual"/>
            </w:rPr>
          </w:pPr>
          <w:hyperlink w:anchor="_Toc211808127" w:history="1">
            <w:r w:rsidRPr="000549B5">
              <w:rPr>
                <w:rStyle w:val="Hyperlink"/>
              </w:rPr>
              <w:t>Paper ID 94</w:t>
            </w:r>
            <w:r w:rsidRPr="000549B5">
              <w:rPr>
                <w:webHidden/>
              </w:rPr>
              <w:tab/>
            </w:r>
            <w:r w:rsidRPr="000549B5">
              <w:rPr>
                <w:webHidden/>
              </w:rPr>
              <w:fldChar w:fldCharType="begin"/>
            </w:r>
            <w:r w:rsidRPr="000549B5">
              <w:rPr>
                <w:webHidden/>
              </w:rPr>
              <w:instrText xml:space="preserve"> PAGEREF _Toc211808127 \h </w:instrText>
            </w:r>
            <w:r w:rsidRPr="000549B5">
              <w:rPr>
                <w:webHidden/>
              </w:rPr>
            </w:r>
            <w:r w:rsidRPr="000549B5">
              <w:rPr>
                <w:webHidden/>
              </w:rPr>
              <w:fldChar w:fldCharType="separate"/>
            </w:r>
            <w:r w:rsidR="003277CA">
              <w:rPr>
                <w:webHidden/>
              </w:rPr>
              <w:t>6</w:t>
            </w:r>
            <w:r w:rsidRPr="000549B5">
              <w:rPr>
                <w:webHidden/>
              </w:rPr>
              <w:fldChar w:fldCharType="end"/>
            </w:r>
          </w:hyperlink>
        </w:p>
        <w:p w14:paraId="79960B55" w14:textId="2A7EC41A" w:rsidR="00D01771" w:rsidRPr="000549B5" w:rsidRDefault="00D01771">
          <w:pPr>
            <w:pStyle w:val="TOC2"/>
            <w:tabs>
              <w:tab w:val="right" w:leader="dot" w:pos="9016"/>
            </w:tabs>
            <w:rPr>
              <w:rFonts w:ascii="Times New Roman" w:eastAsiaTheme="minorEastAsia" w:hAnsi="Times New Roman" w:cs="Times New Roman"/>
              <w:noProof/>
              <w:kern w:val="2"/>
              <w:sz w:val="24"/>
              <w:szCs w:val="24"/>
              <w:lang w:val="en-MY" w:eastAsia="en-GB"/>
              <w14:ligatures w14:val="standardContextual"/>
            </w:rPr>
          </w:pPr>
          <w:hyperlink w:anchor="_Toc211808128" w:history="1">
            <w:r w:rsidRPr="000549B5">
              <w:rPr>
                <w:rStyle w:val="Hyperlink"/>
                <w:rFonts w:ascii="Times New Roman" w:hAnsi="Times New Roman" w:cs="Times New Roman"/>
                <w:noProof/>
              </w:rPr>
              <w:t>“MIND THE GAP”: A GENEALOGY OF THE LITERATURE GAP IN ACCOUNTING AND BUSINESS RESEARCH</w:t>
            </w:r>
            <w:r w:rsidRPr="000549B5">
              <w:rPr>
                <w:rFonts w:ascii="Times New Roman" w:hAnsi="Times New Roman" w:cs="Times New Roman"/>
                <w:noProof/>
                <w:webHidden/>
              </w:rPr>
              <w:tab/>
            </w:r>
            <w:r w:rsidRPr="000549B5">
              <w:rPr>
                <w:rFonts w:ascii="Times New Roman" w:hAnsi="Times New Roman" w:cs="Times New Roman"/>
                <w:noProof/>
                <w:webHidden/>
              </w:rPr>
              <w:fldChar w:fldCharType="begin"/>
            </w:r>
            <w:r w:rsidRPr="000549B5">
              <w:rPr>
                <w:rFonts w:ascii="Times New Roman" w:hAnsi="Times New Roman" w:cs="Times New Roman"/>
                <w:noProof/>
                <w:webHidden/>
              </w:rPr>
              <w:instrText xml:space="preserve"> PAGEREF _Toc211808128 \h </w:instrText>
            </w:r>
            <w:r w:rsidRPr="000549B5">
              <w:rPr>
                <w:rFonts w:ascii="Times New Roman" w:hAnsi="Times New Roman" w:cs="Times New Roman"/>
                <w:noProof/>
                <w:webHidden/>
              </w:rPr>
            </w:r>
            <w:r w:rsidRPr="000549B5">
              <w:rPr>
                <w:rFonts w:ascii="Times New Roman" w:hAnsi="Times New Roman" w:cs="Times New Roman"/>
                <w:noProof/>
                <w:webHidden/>
              </w:rPr>
              <w:fldChar w:fldCharType="separate"/>
            </w:r>
            <w:r w:rsidR="003277CA">
              <w:rPr>
                <w:rFonts w:ascii="Times New Roman" w:hAnsi="Times New Roman" w:cs="Times New Roman"/>
                <w:noProof/>
                <w:webHidden/>
              </w:rPr>
              <w:t>6</w:t>
            </w:r>
            <w:r w:rsidRPr="000549B5">
              <w:rPr>
                <w:rFonts w:ascii="Times New Roman" w:hAnsi="Times New Roman" w:cs="Times New Roman"/>
                <w:noProof/>
                <w:webHidden/>
              </w:rPr>
              <w:fldChar w:fldCharType="end"/>
            </w:r>
          </w:hyperlink>
        </w:p>
        <w:p w14:paraId="0C3DBCAF" w14:textId="02D927D3" w:rsidR="00D01771" w:rsidRPr="000549B5" w:rsidRDefault="00D01771" w:rsidP="00A81BCB">
          <w:pPr>
            <w:pStyle w:val="TOC1"/>
            <w:rPr>
              <w:rFonts w:eastAsiaTheme="minorEastAsia"/>
              <w:kern w:val="2"/>
              <w:sz w:val="24"/>
              <w:szCs w:val="24"/>
              <w:lang w:val="en-MY" w:eastAsia="en-GB"/>
              <w14:ligatures w14:val="standardContextual"/>
            </w:rPr>
          </w:pPr>
          <w:hyperlink w:anchor="_Toc211808129" w:history="1">
            <w:r w:rsidRPr="000549B5">
              <w:rPr>
                <w:rStyle w:val="Hyperlink"/>
              </w:rPr>
              <w:t>Paper ID 97</w:t>
            </w:r>
            <w:r w:rsidRPr="000549B5">
              <w:rPr>
                <w:webHidden/>
              </w:rPr>
              <w:tab/>
            </w:r>
            <w:r w:rsidR="00856618">
              <w:rPr>
                <w:rFonts w:eastAsia="游明朝" w:hint="eastAsia"/>
                <w:webHidden/>
                <w:lang w:eastAsia="ja-JP"/>
              </w:rPr>
              <w:t>19</w:t>
            </w:r>
          </w:hyperlink>
        </w:p>
        <w:p w14:paraId="377C4258" w14:textId="1A08889F" w:rsidR="00D01771" w:rsidRPr="000549B5" w:rsidRDefault="00D01771">
          <w:pPr>
            <w:pStyle w:val="TOC2"/>
            <w:tabs>
              <w:tab w:val="right" w:leader="dot" w:pos="9016"/>
            </w:tabs>
            <w:rPr>
              <w:rFonts w:ascii="Times New Roman" w:eastAsiaTheme="minorEastAsia" w:hAnsi="Times New Roman" w:cs="Times New Roman"/>
              <w:noProof/>
              <w:kern w:val="2"/>
              <w:sz w:val="24"/>
              <w:szCs w:val="24"/>
              <w:lang w:val="en-MY" w:eastAsia="en-GB"/>
              <w14:ligatures w14:val="standardContextual"/>
            </w:rPr>
          </w:pPr>
          <w:hyperlink w:anchor="_Toc211808130" w:history="1">
            <w:r w:rsidRPr="000549B5">
              <w:rPr>
                <w:rStyle w:val="Hyperlink"/>
                <w:rFonts w:ascii="Times New Roman" w:hAnsi="Times New Roman" w:cs="Times New Roman"/>
                <w:noProof/>
              </w:rPr>
              <w:t>PANEL SESSION PROPOSAL: “MIND THE GAP”: A GENEALOGY OF THE LITERATURE GAP IN ACCOUNTING AND BUSINESS RESEARCH</w:t>
            </w:r>
            <w:r w:rsidRPr="000549B5">
              <w:rPr>
                <w:rFonts w:ascii="Times New Roman" w:hAnsi="Times New Roman" w:cs="Times New Roman"/>
                <w:noProof/>
                <w:webHidden/>
              </w:rPr>
              <w:tab/>
            </w:r>
            <w:r w:rsidRPr="000549B5">
              <w:rPr>
                <w:rFonts w:ascii="Times New Roman" w:hAnsi="Times New Roman" w:cs="Times New Roman"/>
                <w:noProof/>
                <w:webHidden/>
              </w:rPr>
              <w:fldChar w:fldCharType="begin"/>
            </w:r>
            <w:r w:rsidRPr="000549B5">
              <w:rPr>
                <w:rFonts w:ascii="Times New Roman" w:hAnsi="Times New Roman" w:cs="Times New Roman"/>
                <w:noProof/>
                <w:webHidden/>
              </w:rPr>
              <w:instrText xml:space="preserve"> PAGEREF _Toc211808130 \h </w:instrText>
            </w:r>
            <w:r w:rsidRPr="000549B5">
              <w:rPr>
                <w:rFonts w:ascii="Times New Roman" w:hAnsi="Times New Roman" w:cs="Times New Roman"/>
                <w:noProof/>
                <w:webHidden/>
              </w:rPr>
            </w:r>
            <w:r w:rsidRPr="000549B5">
              <w:rPr>
                <w:rFonts w:ascii="Times New Roman" w:hAnsi="Times New Roman" w:cs="Times New Roman"/>
                <w:noProof/>
                <w:webHidden/>
              </w:rPr>
              <w:fldChar w:fldCharType="separate"/>
            </w:r>
            <w:r w:rsidR="003277CA">
              <w:rPr>
                <w:rFonts w:ascii="Times New Roman" w:hAnsi="Times New Roman" w:cs="Times New Roman"/>
                <w:noProof/>
                <w:webHidden/>
              </w:rPr>
              <w:t>19</w:t>
            </w:r>
            <w:r w:rsidRPr="000549B5">
              <w:rPr>
                <w:rFonts w:ascii="Times New Roman" w:hAnsi="Times New Roman" w:cs="Times New Roman"/>
                <w:noProof/>
                <w:webHidden/>
              </w:rPr>
              <w:fldChar w:fldCharType="end"/>
            </w:r>
          </w:hyperlink>
        </w:p>
        <w:p w14:paraId="3509E95C" w14:textId="1906E2C2" w:rsidR="00D01771" w:rsidRPr="000549B5" w:rsidRDefault="00D01771" w:rsidP="00A81BCB">
          <w:pPr>
            <w:pStyle w:val="TOC1"/>
            <w:rPr>
              <w:rFonts w:eastAsiaTheme="minorEastAsia"/>
              <w:kern w:val="2"/>
              <w:sz w:val="24"/>
              <w:szCs w:val="24"/>
              <w:lang w:val="en-MY" w:eastAsia="en-GB"/>
              <w14:ligatures w14:val="standardContextual"/>
            </w:rPr>
          </w:pPr>
          <w:hyperlink w:anchor="_Toc211808131" w:history="1">
            <w:r w:rsidRPr="000549B5">
              <w:rPr>
                <w:rStyle w:val="Hyperlink"/>
              </w:rPr>
              <w:t>ACADEMIC PAPER SESSIONS’ FULL-LENGTH PAPERS AND EXECUTIVE SUMMARIES</w:t>
            </w:r>
            <w:r w:rsidRPr="000549B5">
              <w:rPr>
                <w:webHidden/>
              </w:rPr>
              <w:tab/>
            </w:r>
            <w:r w:rsidRPr="000549B5">
              <w:rPr>
                <w:webHidden/>
              </w:rPr>
              <w:fldChar w:fldCharType="begin"/>
            </w:r>
            <w:r w:rsidRPr="000549B5">
              <w:rPr>
                <w:webHidden/>
              </w:rPr>
              <w:instrText xml:space="preserve"> PAGEREF _Toc211808131 \h </w:instrText>
            </w:r>
            <w:r w:rsidRPr="000549B5">
              <w:rPr>
                <w:webHidden/>
              </w:rPr>
            </w:r>
            <w:r w:rsidRPr="000549B5">
              <w:rPr>
                <w:webHidden/>
              </w:rPr>
              <w:fldChar w:fldCharType="separate"/>
            </w:r>
            <w:r w:rsidR="003277CA">
              <w:rPr>
                <w:webHidden/>
              </w:rPr>
              <w:t>25</w:t>
            </w:r>
            <w:r w:rsidRPr="000549B5">
              <w:rPr>
                <w:webHidden/>
              </w:rPr>
              <w:fldChar w:fldCharType="end"/>
            </w:r>
          </w:hyperlink>
        </w:p>
        <w:p w14:paraId="584A3B86" w14:textId="05844953" w:rsidR="00D01771" w:rsidRPr="000549B5" w:rsidRDefault="00D01771" w:rsidP="00A81BCB">
          <w:pPr>
            <w:pStyle w:val="TOC1"/>
            <w:rPr>
              <w:rFonts w:eastAsiaTheme="minorEastAsia"/>
              <w:kern w:val="2"/>
              <w:sz w:val="24"/>
              <w:szCs w:val="24"/>
              <w:lang w:val="en-MY" w:eastAsia="en-GB"/>
              <w14:ligatures w14:val="standardContextual"/>
            </w:rPr>
          </w:pPr>
          <w:hyperlink w:anchor="_Toc211808132" w:history="1">
            <w:r w:rsidRPr="000549B5">
              <w:rPr>
                <w:rStyle w:val="Hyperlink"/>
              </w:rPr>
              <w:t>Paper ID 1</w:t>
            </w:r>
            <w:r w:rsidRPr="000549B5">
              <w:rPr>
                <w:webHidden/>
              </w:rPr>
              <w:tab/>
            </w:r>
            <w:r w:rsidRPr="000549B5">
              <w:rPr>
                <w:webHidden/>
              </w:rPr>
              <w:fldChar w:fldCharType="begin"/>
            </w:r>
            <w:r w:rsidRPr="000549B5">
              <w:rPr>
                <w:webHidden/>
              </w:rPr>
              <w:instrText xml:space="preserve"> PAGEREF _Toc211808132 \h </w:instrText>
            </w:r>
            <w:r w:rsidRPr="000549B5">
              <w:rPr>
                <w:webHidden/>
              </w:rPr>
            </w:r>
            <w:r w:rsidRPr="000549B5">
              <w:rPr>
                <w:webHidden/>
              </w:rPr>
              <w:fldChar w:fldCharType="separate"/>
            </w:r>
            <w:r w:rsidR="003277CA">
              <w:rPr>
                <w:webHidden/>
              </w:rPr>
              <w:t>25</w:t>
            </w:r>
            <w:r w:rsidRPr="000549B5">
              <w:rPr>
                <w:webHidden/>
              </w:rPr>
              <w:fldChar w:fldCharType="end"/>
            </w:r>
          </w:hyperlink>
        </w:p>
        <w:p w14:paraId="32DA5A00" w14:textId="260F8515" w:rsidR="00D01771" w:rsidRPr="000549B5" w:rsidRDefault="00D01771">
          <w:pPr>
            <w:pStyle w:val="TOC2"/>
            <w:tabs>
              <w:tab w:val="right" w:leader="dot" w:pos="9016"/>
            </w:tabs>
            <w:rPr>
              <w:rFonts w:ascii="Times New Roman" w:eastAsiaTheme="minorEastAsia" w:hAnsi="Times New Roman" w:cs="Times New Roman"/>
              <w:noProof/>
              <w:kern w:val="2"/>
              <w:sz w:val="24"/>
              <w:szCs w:val="24"/>
              <w:lang w:val="en-MY" w:eastAsia="en-GB"/>
              <w14:ligatures w14:val="standardContextual"/>
            </w:rPr>
          </w:pPr>
          <w:hyperlink w:anchor="_Toc211808133" w:history="1">
            <w:r w:rsidRPr="000549B5">
              <w:rPr>
                <w:rStyle w:val="Hyperlink"/>
                <w:rFonts w:ascii="Times New Roman" w:hAnsi="Times New Roman" w:cs="Times New Roman"/>
                <w:noProof/>
              </w:rPr>
              <w:t>THE ROLE OF STRATEGIC MANAGEMENT ACCOUNTING IN MSME BUSINESS DECISION MAKING: A STUDY IN EAST JAVA, INDONESIA</w:t>
            </w:r>
            <w:r w:rsidRPr="000549B5">
              <w:rPr>
                <w:rFonts w:ascii="Times New Roman" w:hAnsi="Times New Roman" w:cs="Times New Roman"/>
                <w:noProof/>
                <w:webHidden/>
              </w:rPr>
              <w:tab/>
            </w:r>
            <w:r w:rsidRPr="000549B5">
              <w:rPr>
                <w:rFonts w:ascii="Times New Roman" w:hAnsi="Times New Roman" w:cs="Times New Roman"/>
                <w:noProof/>
                <w:webHidden/>
              </w:rPr>
              <w:fldChar w:fldCharType="begin"/>
            </w:r>
            <w:r w:rsidRPr="000549B5">
              <w:rPr>
                <w:rFonts w:ascii="Times New Roman" w:hAnsi="Times New Roman" w:cs="Times New Roman"/>
                <w:noProof/>
                <w:webHidden/>
              </w:rPr>
              <w:instrText xml:space="preserve"> PAGEREF _Toc211808133 \h </w:instrText>
            </w:r>
            <w:r w:rsidRPr="000549B5">
              <w:rPr>
                <w:rFonts w:ascii="Times New Roman" w:hAnsi="Times New Roman" w:cs="Times New Roman"/>
                <w:noProof/>
                <w:webHidden/>
              </w:rPr>
            </w:r>
            <w:r w:rsidRPr="000549B5">
              <w:rPr>
                <w:rFonts w:ascii="Times New Roman" w:hAnsi="Times New Roman" w:cs="Times New Roman"/>
                <w:noProof/>
                <w:webHidden/>
              </w:rPr>
              <w:fldChar w:fldCharType="separate"/>
            </w:r>
            <w:r w:rsidR="003277CA">
              <w:rPr>
                <w:rFonts w:ascii="Times New Roman" w:hAnsi="Times New Roman" w:cs="Times New Roman"/>
                <w:noProof/>
                <w:webHidden/>
              </w:rPr>
              <w:t>25</w:t>
            </w:r>
            <w:r w:rsidRPr="000549B5">
              <w:rPr>
                <w:rFonts w:ascii="Times New Roman" w:hAnsi="Times New Roman" w:cs="Times New Roman"/>
                <w:noProof/>
                <w:webHidden/>
              </w:rPr>
              <w:fldChar w:fldCharType="end"/>
            </w:r>
          </w:hyperlink>
        </w:p>
        <w:p w14:paraId="7DBB6F10" w14:textId="5F295FCB" w:rsidR="00D01771" w:rsidRPr="000549B5" w:rsidRDefault="00D01771" w:rsidP="00A81BCB">
          <w:pPr>
            <w:pStyle w:val="TOC1"/>
            <w:rPr>
              <w:rFonts w:eastAsiaTheme="minorEastAsia"/>
              <w:kern w:val="2"/>
              <w:sz w:val="24"/>
              <w:szCs w:val="24"/>
              <w:lang w:val="en-MY" w:eastAsia="en-GB"/>
              <w14:ligatures w14:val="standardContextual"/>
            </w:rPr>
          </w:pPr>
          <w:hyperlink w:anchor="_Toc211808134" w:history="1">
            <w:r w:rsidRPr="000549B5">
              <w:rPr>
                <w:rStyle w:val="Hyperlink"/>
              </w:rPr>
              <w:t>Paper ID 3</w:t>
            </w:r>
            <w:r w:rsidRPr="000549B5">
              <w:rPr>
                <w:webHidden/>
              </w:rPr>
              <w:tab/>
            </w:r>
            <w:r w:rsidRPr="000549B5">
              <w:rPr>
                <w:webHidden/>
              </w:rPr>
              <w:fldChar w:fldCharType="begin"/>
            </w:r>
            <w:r w:rsidRPr="000549B5">
              <w:rPr>
                <w:webHidden/>
              </w:rPr>
              <w:instrText xml:space="preserve"> PAGEREF _Toc211808134 \h </w:instrText>
            </w:r>
            <w:r w:rsidRPr="000549B5">
              <w:rPr>
                <w:webHidden/>
              </w:rPr>
            </w:r>
            <w:r w:rsidRPr="000549B5">
              <w:rPr>
                <w:webHidden/>
              </w:rPr>
              <w:fldChar w:fldCharType="separate"/>
            </w:r>
            <w:r w:rsidR="003277CA">
              <w:rPr>
                <w:webHidden/>
              </w:rPr>
              <w:t>41</w:t>
            </w:r>
            <w:r w:rsidRPr="000549B5">
              <w:rPr>
                <w:webHidden/>
              </w:rPr>
              <w:fldChar w:fldCharType="end"/>
            </w:r>
          </w:hyperlink>
        </w:p>
        <w:p w14:paraId="1AA0BA71" w14:textId="0D91E7CF" w:rsidR="00D01771" w:rsidRPr="000549B5" w:rsidRDefault="00D01771">
          <w:pPr>
            <w:pStyle w:val="TOC2"/>
            <w:tabs>
              <w:tab w:val="right" w:leader="dot" w:pos="9016"/>
            </w:tabs>
            <w:rPr>
              <w:rFonts w:ascii="Times New Roman" w:eastAsiaTheme="minorEastAsia" w:hAnsi="Times New Roman" w:cs="Times New Roman"/>
              <w:noProof/>
              <w:kern w:val="2"/>
              <w:sz w:val="24"/>
              <w:szCs w:val="24"/>
              <w:lang w:val="en-MY" w:eastAsia="en-GB"/>
              <w14:ligatures w14:val="standardContextual"/>
            </w:rPr>
          </w:pPr>
          <w:hyperlink w:anchor="_Toc211808135" w:history="1">
            <w:r w:rsidRPr="000549B5">
              <w:rPr>
                <w:rStyle w:val="Hyperlink"/>
                <w:rFonts w:ascii="Times New Roman" w:hAnsi="Times New Roman" w:cs="Times New Roman"/>
                <w:noProof/>
              </w:rPr>
              <w:t>THE EFFECT OF IFRS ADOPTION ON FOREIGN INVESTMENT IN</w:t>
            </w:r>
            <w:r w:rsidRPr="000549B5">
              <w:rPr>
                <w:rFonts w:ascii="Times New Roman" w:hAnsi="Times New Roman" w:cs="Times New Roman"/>
                <w:noProof/>
                <w:webHidden/>
              </w:rPr>
              <w:tab/>
            </w:r>
            <w:r w:rsidRPr="000549B5">
              <w:rPr>
                <w:rFonts w:ascii="Times New Roman" w:hAnsi="Times New Roman" w:cs="Times New Roman"/>
                <w:noProof/>
                <w:webHidden/>
              </w:rPr>
              <w:fldChar w:fldCharType="begin"/>
            </w:r>
            <w:r w:rsidRPr="000549B5">
              <w:rPr>
                <w:rFonts w:ascii="Times New Roman" w:hAnsi="Times New Roman" w:cs="Times New Roman"/>
                <w:noProof/>
                <w:webHidden/>
              </w:rPr>
              <w:instrText xml:space="preserve"> PAGEREF _Toc211808135 \h </w:instrText>
            </w:r>
            <w:r w:rsidRPr="000549B5">
              <w:rPr>
                <w:rFonts w:ascii="Times New Roman" w:hAnsi="Times New Roman" w:cs="Times New Roman"/>
                <w:noProof/>
                <w:webHidden/>
              </w:rPr>
            </w:r>
            <w:r w:rsidRPr="000549B5">
              <w:rPr>
                <w:rFonts w:ascii="Times New Roman" w:hAnsi="Times New Roman" w:cs="Times New Roman"/>
                <w:noProof/>
                <w:webHidden/>
              </w:rPr>
              <w:fldChar w:fldCharType="separate"/>
            </w:r>
            <w:r w:rsidR="003277CA">
              <w:rPr>
                <w:rFonts w:ascii="Times New Roman" w:hAnsi="Times New Roman" w:cs="Times New Roman"/>
                <w:noProof/>
                <w:webHidden/>
              </w:rPr>
              <w:t>41</w:t>
            </w:r>
            <w:r w:rsidRPr="000549B5">
              <w:rPr>
                <w:rFonts w:ascii="Times New Roman" w:hAnsi="Times New Roman" w:cs="Times New Roman"/>
                <w:noProof/>
                <w:webHidden/>
              </w:rPr>
              <w:fldChar w:fldCharType="end"/>
            </w:r>
          </w:hyperlink>
        </w:p>
        <w:p w14:paraId="231D3DAB" w14:textId="3043CC14" w:rsidR="00D01771" w:rsidRPr="000549B5" w:rsidRDefault="00D01771" w:rsidP="00A81BCB">
          <w:pPr>
            <w:pStyle w:val="TOC1"/>
            <w:rPr>
              <w:rFonts w:eastAsiaTheme="minorEastAsia"/>
              <w:kern w:val="2"/>
              <w:sz w:val="24"/>
              <w:szCs w:val="24"/>
              <w:lang w:val="en-MY" w:eastAsia="en-GB"/>
              <w14:ligatures w14:val="standardContextual"/>
            </w:rPr>
          </w:pPr>
          <w:hyperlink w:anchor="_Toc211808136" w:history="1">
            <w:r w:rsidRPr="000549B5">
              <w:rPr>
                <w:rStyle w:val="Hyperlink"/>
              </w:rPr>
              <w:t>Paper ID 7</w:t>
            </w:r>
            <w:r w:rsidRPr="000549B5">
              <w:rPr>
                <w:webHidden/>
              </w:rPr>
              <w:tab/>
            </w:r>
            <w:r w:rsidRPr="000549B5">
              <w:rPr>
                <w:webHidden/>
              </w:rPr>
              <w:fldChar w:fldCharType="begin"/>
            </w:r>
            <w:r w:rsidRPr="000549B5">
              <w:rPr>
                <w:webHidden/>
              </w:rPr>
              <w:instrText xml:space="preserve"> PAGEREF _Toc211808136 \h </w:instrText>
            </w:r>
            <w:r w:rsidRPr="000549B5">
              <w:rPr>
                <w:webHidden/>
              </w:rPr>
            </w:r>
            <w:r w:rsidRPr="000549B5">
              <w:rPr>
                <w:webHidden/>
              </w:rPr>
              <w:fldChar w:fldCharType="separate"/>
            </w:r>
            <w:r w:rsidR="003277CA">
              <w:rPr>
                <w:webHidden/>
              </w:rPr>
              <w:t>61</w:t>
            </w:r>
            <w:r w:rsidRPr="000549B5">
              <w:rPr>
                <w:webHidden/>
              </w:rPr>
              <w:fldChar w:fldCharType="end"/>
            </w:r>
          </w:hyperlink>
        </w:p>
        <w:p w14:paraId="33D3A0F0" w14:textId="71B774C7" w:rsidR="00D01771" w:rsidRPr="000549B5" w:rsidRDefault="00D01771">
          <w:pPr>
            <w:pStyle w:val="TOC2"/>
            <w:tabs>
              <w:tab w:val="right" w:leader="dot" w:pos="9016"/>
            </w:tabs>
            <w:rPr>
              <w:rFonts w:ascii="Times New Roman" w:eastAsiaTheme="minorEastAsia" w:hAnsi="Times New Roman" w:cs="Times New Roman"/>
              <w:noProof/>
              <w:kern w:val="2"/>
              <w:sz w:val="24"/>
              <w:szCs w:val="24"/>
              <w:lang w:val="en-MY" w:eastAsia="en-GB"/>
              <w14:ligatures w14:val="standardContextual"/>
            </w:rPr>
          </w:pPr>
          <w:hyperlink w:anchor="_Toc211808137" w:history="1">
            <w:r w:rsidRPr="000549B5">
              <w:rPr>
                <w:rStyle w:val="Hyperlink"/>
                <w:rFonts w:ascii="Times New Roman" w:hAnsi="Times New Roman" w:cs="Times New Roman"/>
                <w:noProof/>
              </w:rPr>
              <w:t>DOES SKIN IN THE GAME MITIGATE INFORMATION ASYMMETRY AMONG LOAN ORIGINATORS AND INVESTORS IN P2P PLATFORMS? EVIDENCE FROM MINTOS</w:t>
            </w:r>
            <w:r w:rsidRPr="000549B5">
              <w:rPr>
                <w:rFonts w:ascii="Times New Roman" w:hAnsi="Times New Roman" w:cs="Times New Roman"/>
                <w:noProof/>
                <w:webHidden/>
              </w:rPr>
              <w:tab/>
            </w:r>
            <w:r w:rsidRPr="000549B5">
              <w:rPr>
                <w:rFonts w:ascii="Times New Roman" w:hAnsi="Times New Roman" w:cs="Times New Roman"/>
                <w:noProof/>
                <w:webHidden/>
              </w:rPr>
              <w:fldChar w:fldCharType="begin"/>
            </w:r>
            <w:r w:rsidRPr="000549B5">
              <w:rPr>
                <w:rFonts w:ascii="Times New Roman" w:hAnsi="Times New Roman" w:cs="Times New Roman"/>
                <w:noProof/>
                <w:webHidden/>
              </w:rPr>
              <w:instrText xml:space="preserve"> PAGEREF _Toc211808137 \h </w:instrText>
            </w:r>
            <w:r w:rsidRPr="000549B5">
              <w:rPr>
                <w:rFonts w:ascii="Times New Roman" w:hAnsi="Times New Roman" w:cs="Times New Roman"/>
                <w:noProof/>
                <w:webHidden/>
              </w:rPr>
            </w:r>
            <w:r w:rsidRPr="000549B5">
              <w:rPr>
                <w:rFonts w:ascii="Times New Roman" w:hAnsi="Times New Roman" w:cs="Times New Roman"/>
                <w:noProof/>
                <w:webHidden/>
              </w:rPr>
              <w:fldChar w:fldCharType="separate"/>
            </w:r>
            <w:r w:rsidR="003277CA">
              <w:rPr>
                <w:rFonts w:ascii="Times New Roman" w:hAnsi="Times New Roman" w:cs="Times New Roman"/>
                <w:noProof/>
                <w:webHidden/>
              </w:rPr>
              <w:t>61</w:t>
            </w:r>
            <w:r w:rsidRPr="000549B5">
              <w:rPr>
                <w:rFonts w:ascii="Times New Roman" w:hAnsi="Times New Roman" w:cs="Times New Roman"/>
                <w:noProof/>
                <w:webHidden/>
              </w:rPr>
              <w:fldChar w:fldCharType="end"/>
            </w:r>
          </w:hyperlink>
        </w:p>
        <w:p w14:paraId="58D1EC88" w14:textId="1A239C56" w:rsidR="00D01771" w:rsidRPr="000549B5" w:rsidRDefault="00D01771" w:rsidP="00A81BCB">
          <w:pPr>
            <w:pStyle w:val="TOC1"/>
            <w:rPr>
              <w:rFonts w:eastAsiaTheme="minorEastAsia"/>
              <w:kern w:val="2"/>
              <w:sz w:val="24"/>
              <w:szCs w:val="24"/>
              <w:lang w:val="en-MY" w:eastAsia="en-GB"/>
              <w14:ligatures w14:val="standardContextual"/>
            </w:rPr>
          </w:pPr>
          <w:hyperlink w:anchor="_Toc211808138" w:history="1">
            <w:r w:rsidRPr="000549B5">
              <w:rPr>
                <w:rStyle w:val="Hyperlink"/>
              </w:rPr>
              <w:t>Paper ID 8</w:t>
            </w:r>
            <w:r w:rsidRPr="000549B5">
              <w:rPr>
                <w:webHidden/>
              </w:rPr>
              <w:tab/>
            </w:r>
            <w:r w:rsidRPr="000549B5">
              <w:rPr>
                <w:webHidden/>
              </w:rPr>
              <w:fldChar w:fldCharType="begin"/>
            </w:r>
            <w:r w:rsidRPr="000549B5">
              <w:rPr>
                <w:webHidden/>
              </w:rPr>
              <w:instrText xml:space="preserve"> PAGEREF _Toc211808138 \h </w:instrText>
            </w:r>
            <w:r w:rsidRPr="000549B5">
              <w:rPr>
                <w:webHidden/>
              </w:rPr>
            </w:r>
            <w:r w:rsidRPr="000549B5">
              <w:rPr>
                <w:webHidden/>
              </w:rPr>
              <w:fldChar w:fldCharType="separate"/>
            </w:r>
            <w:r w:rsidR="003277CA">
              <w:rPr>
                <w:webHidden/>
              </w:rPr>
              <w:t>114</w:t>
            </w:r>
            <w:r w:rsidRPr="000549B5">
              <w:rPr>
                <w:webHidden/>
              </w:rPr>
              <w:fldChar w:fldCharType="end"/>
            </w:r>
          </w:hyperlink>
        </w:p>
        <w:p w14:paraId="086BF2FA" w14:textId="78264CFB" w:rsidR="00D01771" w:rsidRPr="000549B5" w:rsidRDefault="00D01771">
          <w:pPr>
            <w:pStyle w:val="TOC2"/>
            <w:tabs>
              <w:tab w:val="right" w:leader="dot" w:pos="9016"/>
            </w:tabs>
            <w:rPr>
              <w:rFonts w:ascii="Times New Roman" w:eastAsiaTheme="minorEastAsia" w:hAnsi="Times New Roman" w:cs="Times New Roman"/>
              <w:noProof/>
              <w:kern w:val="2"/>
              <w:sz w:val="24"/>
              <w:szCs w:val="24"/>
              <w:lang w:val="en-MY" w:eastAsia="en-GB"/>
              <w14:ligatures w14:val="standardContextual"/>
            </w:rPr>
          </w:pPr>
          <w:hyperlink w:anchor="_Toc211808139" w:history="1">
            <w:r w:rsidRPr="000549B5">
              <w:rPr>
                <w:rStyle w:val="Hyperlink"/>
                <w:rFonts w:ascii="Times New Roman" w:hAnsi="Times New Roman" w:cs="Times New Roman"/>
                <w:noProof/>
              </w:rPr>
              <w:t>THE IMPACT OF FINANCIAL LITERACY ON ROBO-ADVISOR ADOPTION DURING ECONOMIC CRISIS: EVIDENCE FROM MALAYSIA</w:t>
            </w:r>
            <w:r w:rsidRPr="000549B5">
              <w:rPr>
                <w:rFonts w:ascii="Times New Roman" w:hAnsi="Times New Roman" w:cs="Times New Roman"/>
                <w:noProof/>
                <w:webHidden/>
              </w:rPr>
              <w:tab/>
            </w:r>
            <w:r w:rsidRPr="000549B5">
              <w:rPr>
                <w:rFonts w:ascii="Times New Roman" w:hAnsi="Times New Roman" w:cs="Times New Roman"/>
                <w:noProof/>
                <w:webHidden/>
              </w:rPr>
              <w:fldChar w:fldCharType="begin"/>
            </w:r>
            <w:r w:rsidRPr="000549B5">
              <w:rPr>
                <w:rFonts w:ascii="Times New Roman" w:hAnsi="Times New Roman" w:cs="Times New Roman"/>
                <w:noProof/>
                <w:webHidden/>
              </w:rPr>
              <w:instrText xml:space="preserve"> PAGEREF _Toc211808139 \h </w:instrText>
            </w:r>
            <w:r w:rsidRPr="000549B5">
              <w:rPr>
                <w:rFonts w:ascii="Times New Roman" w:hAnsi="Times New Roman" w:cs="Times New Roman"/>
                <w:noProof/>
                <w:webHidden/>
              </w:rPr>
            </w:r>
            <w:r w:rsidRPr="000549B5">
              <w:rPr>
                <w:rFonts w:ascii="Times New Roman" w:hAnsi="Times New Roman" w:cs="Times New Roman"/>
                <w:noProof/>
                <w:webHidden/>
              </w:rPr>
              <w:fldChar w:fldCharType="separate"/>
            </w:r>
            <w:r w:rsidR="003277CA">
              <w:rPr>
                <w:rFonts w:ascii="Times New Roman" w:hAnsi="Times New Roman" w:cs="Times New Roman"/>
                <w:noProof/>
                <w:webHidden/>
              </w:rPr>
              <w:t>114</w:t>
            </w:r>
            <w:r w:rsidRPr="000549B5">
              <w:rPr>
                <w:rFonts w:ascii="Times New Roman" w:hAnsi="Times New Roman" w:cs="Times New Roman"/>
                <w:noProof/>
                <w:webHidden/>
              </w:rPr>
              <w:fldChar w:fldCharType="end"/>
            </w:r>
          </w:hyperlink>
        </w:p>
        <w:p w14:paraId="305524EE" w14:textId="4F1746DA" w:rsidR="00D01771" w:rsidRPr="000549B5" w:rsidRDefault="00D01771" w:rsidP="00A81BCB">
          <w:pPr>
            <w:pStyle w:val="TOC1"/>
            <w:rPr>
              <w:rFonts w:eastAsiaTheme="minorEastAsia"/>
              <w:kern w:val="2"/>
              <w:sz w:val="24"/>
              <w:szCs w:val="24"/>
              <w:lang w:val="en-MY" w:eastAsia="en-GB"/>
              <w14:ligatures w14:val="standardContextual"/>
            </w:rPr>
          </w:pPr>
          <w:hyperlink w:anchor="_Toc211808140" w:history="1">
            <w:r w:rsidRPr="000549B5">
              <w:rPr>
                <w:rStyle w:val="Hyperlink"/>
              </w:rPr>
              <w:t>Paper ID 10</w:t>
            </w:r>
            <w:r w:rsidRPr="000549B5">
              <w:rPr>
                <w:webHidden/>
              </w:rPr>
              <w:tab/>
            </w:r>
            <w:r w:rsidRPr="000549B5">
              <w:rPr>
                <w:webHidden/>
              </w:rPr>
              <w:fldChar w:fldCharType="begin"/>
            </w:r>
            <w:r w:rsidRPr="000549B5">
              <w:rPr>
                <w:webHidden/>
              </w:rPr>
              <w:instrText xml:space="preserve"> PAGEREF _Toc211808140 \h </w:instrText>
            </w:r>
            <w:r w:rsidRPr="000549B5">
              <w:rPr>
                <w:webHidden/>
              </w:rPr>
            </w:r>
            <w:r w:rsidRPr="000549B5">
              <w:rPr>
                <w:webHidden/>
              </w:rPr>
              <w:fldChar w:fldCharType="separate"/>
            </w:r>
            <w:r w:rsidR="003277CA">
              <w:rPr>
                <w:webHidden/>
              </w:rPr>
              <w:t>119</w:t>
            </w:r>
            <w:r w:rsidRPr="000549B5">
              <w:rPr>
                <w:webHidden/>
              </w:rPr>
              <w:fldChar w:fldCharType="end"/>
            </w:r>
          </w:hyperlink>
        </w:p>
        <w:p w14:paraId="4D769C92" w14:textId="4106D263" w:rsidR="00D01771" w:rsidRPr="000549B5" w:rsidRDefault="00D01771">
          <w:pPr>
            <w:pStyle w:val="TOC2"/>
            <w:tabs>
              <w:tab w:val="right" w:leader="dot" w:pos="9016"/>
            </w:tabs>
            <w:rPr>
              <w:rFonts w:ascii="Times New Roman" w:eastAsiaTheme="minorEastAsia" w:hAnsi="Times New Roman" w:cs="Times New Roman"/>
              <w:noProof/>
              <w:kern w:val="2"/>
              <w:sz w:val="24"/>
              <w:szCs w:val="24"/>
              <w:lang w:val="en-MY" w:eastAsia="en-GB"/>
              <w14:ligatures w14:val="standardContextual"/>
            </w:rPr>
          </w:pPr>
          <w:hyperlink w:anchor="_Toc211808141" w:history="1">
            <w:r w:rsidRPr="000549B5">
              <w:rPr>
                <w:rStyle w:val="Hyperlink"/>
                <w:rFonts w:ascii="Times New Roman" w:hAnsi="Times New Roman" w:cs="Times New Roman"/>
                <w:noProof/>
              </w:rPr>
              <w:t>ASSESSING CEO DUALITY: EFFECTS ON FIRM PROFITABILITY AND MANAGEMENT DYNAMICS OF THE LISTED MANUFACTURING COMPANIES OF THE ISTANBUL STOCK EXCHANGE</w:t>
            </w:r>
            <w:r w:rsidRPr="000549B5">
              <w:rPr>
                <w:rFonts w:ascii="Times New Roman" w:hAnsi="Times New Roman" w:cs="Times New Roman"/>
                <w:noProof/>
                <w:webHidden/>
              </w:rPr>
              <w:tab/>
            </w:r>
            <w:r w:rsidRPr="000549B5">
              <w:rPr>
                <w:rFonts w:ascii="Times New Roman" w:hAnsi="Times New Roman" w:cs="Times New Roman"/>
                <w:noProof/>
                <w:webHidden/>
              </w:rPr>
              <w:fldChar w:fldCharType="begin"/>
            </w:r>
            <w:r w:rsidRPr="000549B5">
              <w:rPr>
                <w:rFonts w:ascii="Times New Roman" w:hAnsi="Times New Roman" w:cs="Times New Roman"/>
                <w:noProof/>
                <w:webHidden/>
              </w:rPr>
              <w:instrText xml:space="preserve"> PAGEREF _Toc211808141 \h </w:instrText>
            </w:r>
            <w:r w:rsidRPr="000549B5">
              <w:rPr>
                <w:rFonts w:ascii="Times New Roman" w:hAnsi="Times New Roman" w:cs="Times New Roman"/>
                <w:noProof/>
                <w:webHidden/>
              </w:rPr>
            </w:r>
            <w:r w:rsidRPr="000549B5">
              <w:rPr>
                <w:rFonts w:ascii="Times New Roman" w:hAnsi="Times New Roman" w:cs="Times New Roman"/>
                <w:noProof/>
                <w:webHidden/>
              </w:rPr>
              <w:fldChar w:fldCharType="separate"/>
            </w:r>
            <w:r w:rsidR="003277CA">
              <w:rPr>
                <w:rFonts w:ascii="Times New Roman" w:hAnsi="Times New Roman" w:cs="Times New Roman"/>
                <w:noProof/>
                <w:webHidden/>
              </w:rPr>
              <w:t>119</w:t>
            </w:r>
            <w:r w:rsidRPr="000549B5">
              <w:rPr>
                <w:rFonts w:ascii="Times New Roman" w:hAnsi="Times New Roman" w:cs="Times New Roman"/>
                <w:noProof/>
                <w:webHidden/>
              </w:rPr>
              <w:fldChar w:fldCharType="end"/>
            </w:r>
          </w:hyperlink>
        </w:p>
        <w:p w14:paraId="5A616C46" w14:textId="54517440" w:rsidR="00D01771" w:rsidRPr="000549B5" w:rsidRDefault="00D01771" w:rsidP="00A81BCB">
          <w:pPr>
            <w:pStyle w:val="TOC1"/>
            <w:rPr>
              <w:rFonts w:eastAsiaTheme="minorEastAsia"/>
              <w:kern w:val="2"/>
              <w:sz w:val="24"/>
              <w:szCs w:val="24"/>
              <w:lang w:val="en-MY" w:eastAsia="en-GB"/>
              <w14:ligatures w14:val="standardContextual"/>
            </w:rPr>
          </w:pPr>
          <w:hyperlink w:anchor="_Toc211808142" w:history="1">
            <w:r w:rsidRPr="000549B5">
              <w:rPr>
                <w:rStyle w:val="Hyperlink"/>
              </w:rPr>
              <w:t>Paper ID 11</w:t>
            </w:r>
            <w:r w:rsidRPr="000549B5">
              <w:rPr>
                <w:webHidden/>
              </w:rPr>
              <w:tab/>
            </w:r>
            <w:r w:rsidRPr="000549B5">
              <w:rPr>
                <w:webHidden/>
              </w:rPr>
              <w:fldChar w:fldCharType="begin"/>
            </w:r>
            <w:r w:rsidRPr="000549B5">
              <w:rPr>
                <w:webHidden/>
              </w:rPr>
              <w:instrText xml:space="preserve"> PAGEREF _Toc211808142 \h </w:instrText>
            </w:r>
            <w:r w:rsidRPr="000549B5">
              <w:rPr>
                <w:webHidden/>
              </w:rPr>
            </w:r>
            <w:r w:rsidRPr="000549B5">
              <w:rPr>
                <w:webHidden/>
              </w:rPr>
              <w:fldChar w:fldCharType="separate"/>
            </w:r>
            <w:r w:rsidR="003277CA">
              <w:rPr>
                <w:webHidden/>
              </w:rPr>
              <w:t>124</w:t>
            </w:r>
            <w:r w:rsidRPr="000549B5">
              <w:rPr>
                <w:webHidden/>
              </w:rPr>
              <w:fldChar w:fldCharType="end"/>
            </w:r>
          </w:hyperlink>
        </w:p>
        <w:p w14:paraId="66838E19" w14:textId="2AEE5583" w:rsidR="00D01771" w:rsidRPr="000549B5" w:rsidRDefault="00D01771">
          <w:pPr>
            <w:pStyle w:val="TOC2"/>
            <w:tabs>
              <w:tab w:val="right" w:leader="dot" w:pos="9016"/>
            </w:tabs>
            <w:rPr>
              <w:rFonts w:ascii="Times New Roman" w:eastAsiaTheme="minorEastAsia" w:hAnsi="Times New Roman" w:cs="Times New Roman"/>
              <w:noProof/>
              <w:kern w:val="2"/>
              <w:sz w:val="24"/>
              <w:szCs w:val="24"/>
              <w:lang w:val="en-MY" w:eastAsia="en-GB"/>
              <w14:ligatures w14:val="standardContextual"/>
            </w:rPr>
          </w:pPr>
          <w:hyperlink w:anchor="_Toc211808143" w:history="1">
            <w:r w:rsidRPr="000549B5">
              <w:rPr>
                <w:rStyle w:val="Hyperlink"/>
                <w:rFonts w:ascii="Times New Roman" w:hAnsi="Times New Roman" w:cs="Times New Roman"/>
                <w:noProof/>
              </w:rPr>
              <w:t>THE EFFECT OF CORPORATE SOCIAL RESPONSIBILITY ON RESPONSIBLE ORGANIZATIONAL CULTURE AND ORGANIZATIONAL CITIZENSHIP BEHAVIOR: MODERATING ROLE OF RESPONSIBLE LEADERSHIP</w:t>
            </w:r>
            <w:r w:rsidRPr="000549B5">
              <w:rPr>
                <w:rFonts w:ascii="Times New Roman" w:hAnsi="Times New Roman" w:cs="Times New Roman"/>
                <w:noProof/>
                <w:webHidden/>
              </w:rPr>
              <w:tab/>
            </w:r>
            <w:r w:rsidRPr="000549B5">
              <w:rPr>
                <w:rFonts w:ascii="Times New Roman" w:hAnsi="Times New Roman" w:cs="Times New Roman"/>
                <w:noProof/>
                <w:webHidden/>
              </w:rPr>
              <w:fldChar w:fldCharType="begin"/>
            </w:r>
            <w:r w:rsidRPr="000549B5">
              <w:rPr>
                <w:rFonts w:ascii="Times New Roman" w:hAnsi="Times New Roman" w:cs="Times New Roman"/>
                <w:noProof/>
                <w:webHidden/>
              </w:rPr>
              <w:instrText xml:space="preserve"> PAGEREF _Toc211808143 \h </w:instrText>
            </w:r>
            <w:r w:rsidRPr="000549B5">
              <w:rPr>
                <w:rFonts w:ascii="Times New Roman" w:hAnsi="Times New Roman" w:cs="Times New Roman"/>
                <w:noProof/>
                <w:webHidden/>
              </w:rPr>
            </w:r>
            <w:r w:rsidRPr="000549B5">
              <w:rPr>
                <w:rFonts w:ascii="Times New Roman" w:hAnsi="Times New Roman" w:cs="Times New Roman"/>
                <w:noProof/>
                <w:webHidden/>
              </w:rPr>
              <w:fldChar w:fldCharType="separate"/>
            </w:r>
            <w:r w:rsidR="003277CA">
              <w:rPr>
                <w:rFonts w:ascii="Times New Roman" w:hAnsi="Times New Roman" w:cs="Times New Roman"/>
                <w:noProof/>
                <w:webHidden/>
              </w:rPr>
              <w:t>124</w:t>
            </w:r>
            <w:r w:rsidRPr="000549B5">
              <w:rPr>
                <w:rFonts w:ascii="Times New Roman" w:hAnsi="Times New Roman" w:cs="Times New Roman"/>
                <w:noProof/>
                <w:webHidden/>
              </w:rPr>
              <w:fldChar w:fldCharType="end"/>
            </w:r>
          </w:hyperlink>
        </w:p>
        <w:p w14:paraId="5FEF38A9" w14:textId="57DDB561" w:rsidR="00D01771" w:rsidRPr="000549B5" w:rsidRDefault="00D01771" w:rsidP="00A81BCB">
          <w:pPr>
            <w:pStyle w:val="TOC1"/>
            <w:rPr>
              <w:rFonts w:eastAsiaTheme="minorEastAsia"/>
              <w:kern w:val="2"/>
              <w:sz w:val="24"/>
              <w:szCs w:val="24"/>
              <w:lang w:val="en-MY" w:eastAsia="en-GB"/>
              <w14:ligatures w14:val="standardContextual"/>
            </w:rPr>
          </w:pPr>
          <w:hyperlink w:anchor="_Toc211808144" w:history="1">
            <w:r w:rsidRPr="000549B5">
              <w:rPr>
                <w:rStyle w:val="Hyperlink"/>
              </w:rPr>
              <w:t>Paper ID 12</w:t>
            </w:r>
            <w:r w:rsidRPr="000549B5">
              <w:rPr>
                <w:webHidden/>
              </w:rPr>
              <w:tab/>
            </w:r>
            <w:r w:rsidRPr="000549B5">
              <w:rPr>
                <w:webHidden/>
              </w:rPr>
              <w:fldChar w:fldCharType="begin"/>
            </w:r>
            <w:r w:rsidRPr="000549B5">
              <w:rPr>
                <w:webHidden/>
              </w:rPr>
              <w:instrText xml:space="preserve"> PAGEREF _Toc211808144 \h </w:instrText>
            </w:r>
            <w:r w:rsidRPr="000549B5">
              <w:rPr>
                <w:webHidden/>
              </w:rPr>
            </w:r>
            <w:r w:rsidRPr="000549B5">
              <w:rPr>
                <w:webHidden/>
              </w:rPr>
              <w:fldChar w:fldCharType="separate"/>
            </w:r>
            <w:r w:rsidR="003277CA">
              <w:rPr>
                <w:webHidden/>
              </w:rPr>
              <w:t>132</w:t>
            </w:r>
            <w:r w:rsidRPr="000549B5">
              <w:rPr>
                <w:webHidden/>
              </w:rPr>
              <w:fldChar w:fldCharType="end"/>
            </w:r>
          </w:hyperlink>
        </w:p>
        <w:p w14:paraId="775D9497" w14:textId="3EF53C12" w:rsidR="00D01771" w:rsidRPr="000549B5" w:rsidRDefault="00D01771">
          <w:pPr>
            <w:pStyle w:val="TOC2"/>
            <w:tabs>
              <w:tab w:val="right" w:leader="dot" w:pos="9016"/>
            </w:tabs>
            <w:rPr>
              <w:rFonts w:ascii="Times New Roman" w:eastAsiaTheme="minorEastAsia" w:hAnsi="Times New Roman" w:cs="Times New Roman"/>
              <w:noProof/>
              <w:kern w:val="2"/>
              <w:sz w:val="24"/>
              <w:szCs w:val="24"/>
              <w:lang w:val="en-MY" w:eastAsia="en-GB"/>
              <w14:ligatures w14:val="standardContextual"/>
            </w:rPr>
          </w:pPr>
          <w:hyperlink w:anchor="_Toc211808145" w:history="1">
            <w:r w:rsidRPr="000549B5">
              <w:rPr>
                <w:rStyle w:val="Hyperlink"/>
                <w:rFonts w:ascii="Times New Roman" w:hAnsi="Times New Roman" w:cs="Times New Roman"/>
                <w:noProof/>
              </w:rPr>
              <w:t>INVESTIGATING FACTORS AFFECTING THE TAX PLANNING OF VIETNAMESE LISTED COMPANIES</w:t>
            </w:r>
            <w:r w:rsidRPr="000549B5">
              <w:rPr>
                <w:rFonts w:ascii="Times New Roman" w:hAnsi="Times New Roman" w:cs="Times New Roman"/>
                <w:noProof/>
                <w:webHidden/>
              </w:rPr>
              <w:tab/>
            </w:r>
            <w:r w:rsidRPr="000549B5">
              <w:rPr>
                <w:rFonts w:ascii="Times New Roman" w:hAnsi="Times New Roman" w:cs="Times New Roman"/>
                <w:noProof/>
                <w:webHidden/>
              </w:rPr>
              <w:fldChar w:fldCharType="begin"/>
            </w:r>
            <w:r w:rsidRPr="000549B5">
              <w:rPr>
                <w:rFonts w:ascii="Times New Roman" w:hAnsi="Times New Roman" w:cs="Times New Roman"/>
                <w:noProof/>
                <w:webHidden/>
              </w:rPr>
              <w:instrText xml:space="preserve"> PAGEREF _Toc211808145 \h </w:instrText>
            </w:r>
            <w:r w:rsidRPr="000549B5">
              <w:rPr>
                <w:rFonts w:ascii="Times New Roman" w:hAnsi="Times New Roman" w:cs="Times New Roman"/>
                <w:noProof/>
                <w:webHidden/>
              </w:rPr>
            </w:r>
            <w:r w:rsidRPr="000549B5">
              <w:rPr>
                <w:rFonts w:ascii="Times New Roman" w:hAnsi="Times New Roman" w:cs="Times New Roman"/>
                <w:noProof/>
                <w:webHidden/>
              </w:rPr>
              <w:fldChar w:fldCharType="separate"/>
            </w:r>
            <w:r w:rsidR="003277CA">
              <w:rPr>
                <w:rFonts w:ascii="Times New Roman" w:hAnsi="Times New Roman" w:cs="Times New Roman"/>
                <w:noProof/>
                <w:webHidden/>
              </w:rPr>
              <w:t>132</w:t>
            </w:r>
            <w:r w:rsidRPr="000549B5">
              <w:rPr>
                <w:rFonts w:ascii="Times New Roman" w:hAnsi="Times New Roman" w:cs="Times New Roman"/>
                <w:noProof/>
                <w:webHidden/>
              </w:rPr>
              <w:fldChar w:fldCharType="end"/>
            </w:r>
          </w:hyperlink>
        </w:p>
        <w:p w14:paraId="5C1A65F5" w14:textId="7EA64FCE" w:rsidR="00D01771" w:rsidRPr="000549B5" w:rsidRDefault="00D01771" w:rsidP="00A81BCB">
          <w:pPr>
            <w:pStyle w:val="TOC1"/>
            <w:rPr>
              <w:rFonts w:eastAsiaTheme="minorEastAsia"/>
              <w:kern w:val="2"/>
              <w:sz w:val="24"/>
              <w:szCs w:val="24"/>
              <w:lang w:val="en-MY" w:eastAsia="en-GB"/>
              <w14:ligatures w14:val="standardContextual"/>
            </w:rPr>
          </w:pPr>
          <w:hyperlink w:anchor="_Toc211808146" w:history="1">
            <w:r w:rsidRPr="000549B5">
              <w:rPr>
                <w:rStyle w:val="Hyperlink"/>
              </w:rPr>
              <w:t>Paper ID 13</w:t>
            </w:r>
            <w:r w:rsidRPr="000549B5">
              <w:rPr>
                <w:webHidden/>
              </w:rPr>
              <w:tab/>
            </w:r>
            <w:r w:rsidRPr="000549B5">
              <w:rPr>
                <w:webHidden/>
              </w:rPr>
              <w:fldChar w:fldCharType="begin"/>
            </w:r>
            <w:r w:rsidRPr="000549B5">
              <w:rPr>
                <w:webHidden/>
              </w:rPr>
              <w:instrText xml:space="preserve"> PAGEREF _Toc211808146 \h </w:instrText>
            </w:r>
            <w:r w:rsidRPr="000549B5">
              <w:rPr>
                <w:webHidden/>
              </w:rPr>
            </w:r>
            <w:r w:rsidRPr="000549B5">
              <w:rPr>
                <w:webHidden/>
              </w:rPr>
              <w:fldChar w:fldCharType="separate"/>
            </w:r>
            <w:r w:rsidR="003277CA">
              <w:rPr>
                <w:webHidden/>
              </w:rPr>
              <w:t>137</w:t>
            </w:r>
            <w:r w:rsidRPr="000549B5">
              <w:rPr>
                <w:webHidden/>
              </w:rPr>
              <w:fldChar w:fldCharType="end"/>
            </w:r>
          </w:hyperlink>
        </w:p>
        <w:p w14:paraId="7BC640A4" w14:textId="239B4270" w:rsidR="00D01771" w:rsidRPr="000549B5" w:rsidRDefault="00D01771">
          <w:pPr>
            <w:pStyle w:val="TOC2"/>
            <w:tabs>
              <w:tab w:val="right" w:leader="dot" w:pos="9016"/>
            </w:tabs>
            <w:rPr>
              <w:rFonts w:ascii="Times New Roman" w:eastAsiaTheme="minorEastAsia" w:hAnsi="Times New Roman" w:cs="Times New Roman"/>
              <w:noProof/>
              <w:kern w:val="2"/>
              <w:sz w:val="24"/>
              <w:szCs w:val="24"/>
              <w:lang w:val="en-MY" w:eastAsia="en-GB"/>
              <w14:ligatures w14:val="standardContextual"/>
            </w:rPr>
          </w:pPr>
          <w:hyperlink w:anchor="_Toc211808147" w:history="1">
            <w:r w:rsidRPr="000549B5">
              <w:rPr>
                <w:rStyle w:val="Hyperlink"/>
                <w:rFonts w:ascii="Times New Roman" w:hAnsi="Times New Roman" w:cs="Times New Roman"/>
                <w:noProof/>
              </w:rPr>
              <w:t>ETHICAL CHALLENGES AND DILEMMAS IN PUBLIC SECTOR BUDGET EXECUTION: EVIDENCE FROM INDONESIA</w:t>
            </w:r>
            <w:r w:rsidRPr="000549B5">
              <w:rPr>
                <w:rFonts w:ascii="Times New Roman" w:hAnsi="Times New Roman" w:cs="Times New Roman"/>
                <w:noProof/>
                <w:webHidden/>
              </w:rPr>
              <w:tab/>
            </w:r>
            <w:r w:rsidRPr="000549B5">
              <w:rPr>
                <w:rFonts w:ascii="Times New Roman" w:hAnsi="Times New Roman" w:cs="Times New Roman"/>
                <w:noProof/>
                <w:webHidden/>
              </w:rPr>
              <w:fldChar w:fldCharType="begin"/>
            </w:r>
            <w:r w:rsidRPr="000549B5">
              <w:rPr>
                <w:rFonts w:ascii="Times New Roman" w:hAnsi="Times New Roman" w:cs="Times New Roman"/>
                <w:noProof/>
                <w:webHidden/>
              </w:rPr>
              <w:instrText xml:space="preserve"> PAGEREF _Toc211808147 \h </w:instrText>
            </w:r>
            <w:r w:rsidRPr="000549B5">
              <w:rPr>
                <w:rFonts w:ascii="Times New Roman" w:hAnsi="Times New Roman" w:cs="Times New Roman"/>
                <w:noProof/>
                <w:webHidden/>
              </w:rPr>
            </w:r>
            <w:r w:rsidRPr="000549B5">
              <w:rPr>
                <w:rFonts w:ascii="Times New Roman" w:hAnsi="Times New Roman" w:cs="Times New Roman"/>
                <w:noProof/>
                <w:webHidden/>
              </w:rPr>
              <w:fldChar w:fldCharType="separate"/>
            </w:r>
            <w:r w:rsidR="003277CA">
              <w:rPr>
                <w:rFonts w:ascii="Times New Roman" w:hAnsi="Times New Roman" w:cs="Times New Roman"/>
                <w:noProof/>
                <w:webHidden/>
              </w:rPr>
              <w:t>137</w:t>
            </w:r>
            <w:r w:rsidRPr="000549B5">
              <w:rPr>
                <w:rFonts w:ascii="Times New Roman" w:hAnsi="Times New Roman" w:cs="Times New Roman"/>
                <w:noProof/>
                <w:webHidden/>
              </w:rPr>
              <w:fldChar w:fldCharType="end"/>
            </w:r>
          </w:hyperlink>
        </w:p>
        <w:p w14:paraId="7FAACF35" w14:textId="2B55B274" w:rsidR="00D01771" w:rsidRPr="000549B5" w:rsidRDefault="00D01771" w:rsidP="00A81BCB">
          <w:pPr>
            <w:pStyle w:val="TOC1"/>
            <w:rPr>
              <w:rFonts w:eastAsiaTheme="minorEastAsia"/>
              <w:kern w:val="2"/>
              <w:sz w:val="24"/>
              <w:szCs w:val="24"/>
              <w:lang w:val="en-MY" w:eastAsia="en-GB"/>
              <w14:ligatures w14:val="standardContextual"/>
            </w:rPr>
          </w:pPr>
          <w:hyperlink w:anchor="_Toc211808148" w:history="1">
            <w:r w:rsidRPr="000549B5">
              <w:rPr>
                <w:rStyle w:val="Hyperlink"/>
              </w:rPr>
              <w:t>Paper ID 14</w:t>
            </w:r>
            <w:r w:rsidRPr="000549B5">
              <w:rPr>
                <w:webHidden/>
              </w:rPr>
              <w:tab/>
            </w:r>
            <w:r w:rsidRPr="000549B5">
              <w:rPr>
                <w:webHidden/>
              </w:rPr>
              <w:fldChar w:fldCharType="begin"/>
            </w:r>
            <w:r w:rsidRPr="000549B5">
              <w:rPr>
                <w:webHidden/>
              </w:rPr>
              <w:instrText xml:space="preserve"> PAGEREF _Toc211808148 \h </w:instrText>
            </w:r>
            <w:r w:rsidRPr="000549B5">
              <w:rPr>
                <w:webHidden/>
              </w:rPr>
            </w:r>
            <w:r w:rsidRPr="000549B5">
              <w:rPr>
                <w:webHidden/>
              </w:rPr>
              <w:fldChar w:fldCharType="separate"/>
            </w:r>
            <w:r w:rsidR="003277CA">
              <w:rPr>
                <w:webHidden/>
              </w:rPr>
              <w:t>145</w:t>
            </w:r>
            <w:r w:rsidRPr="000549B5">
              <w:rPr>
                <w:webHidden/>
              </w:rPr>
              <w:fldChar w:fldCharType="end"/>
            </w:r>
          </w:hyperlink>
        </w:p>
        <w:p w14:paraId="56DC1937" w14:textId="06FC69E4" w:rsidR="00D01771" w:rsidRPr="000549B5" w:rsidRDefault="00D01771">
          <w:pPr>
            <w:pStyle w:val="TOC2"/>
            <w:tabs>
              <w:tab w:val="right" w:leader="dot" w:pos="9016"/>
            </w:tabs>
            <w:rPr>
              <w:rFonts w:ascii="Times New Roman" w:eastAsiaTheme="minorEastAsia" w:hAnsi="Times New Roman" w:cs="Times New Roman"/>
              <w:noProof/>
              <w:kern w:val="2"/>
              <w:sz w:val="24"/>
              <w:szCs w:val="24"/>
              <w:lang w:val="en-MY" w:eastAsia="en-GB"/>
              <w14:ligatures w14:val="standardContextual"/>
            </w:rPr>
          </w:pPr>
          <w:hyperlink w:anchor="_Toc211808149" w:history="1">
            <w:r w:rsidRPr="000549B5">
              <w:rPr>
                <w:rStyle w:val="Hyperlink"/>
                <w:rFonts w:ascii="Times New Roman" w:hAnsi="Times New Roman" w:cs="Times New Roman"/>
                <w:noProof/>
              </w:rPr>
              <w:t>THE ROLE OF ORGANIZATIONAL CULTURE IN SHAPING ACCOUNTANTS’ DECISION MAKING IN GOVERNMENT INSTITUTIONS</w:t>
            </w:r>
            <w:r w:rsidRPr="000549B5">
              <w:rPr>
                <w:rFonts w:ascii="Times New Roman" w:hAnsi="Times New Roman" w:cs="Times New Roman"/>
                <w:noProof/>
                <w:webHidden/>
              </w:rPr>
              <w:tab/>
            </w:r>
            <w:r w:rsidRPr="000549B5">
              <w:rPr>
                <w:rFonts w:ascii="Times New Roman" w:hAnsi="Times New Roman" w:cs="Times New Roman"/>
                <w:noProof/>
                <w:webHidden/>
              </w:rPr>
              <w:fldChar w:fldCharType="begin"/>
            </w:r>
            <w:r w:rsidRPr="000549B5">
              <w:rPr>
                <w:rFonts w:ascii="Times New Roman" w:hAnsi="Times New Roman" w:cs="Times New Roman"/>
                <w:noProof/>
                <w:webHidden/>
              </w:rPr>
              <w:instrText xml:space="preserve"> PAGEREF _Toc211808149 \h </w:instrText>
            </w:r>
            <w:r w:rsidRPr="000549B5">
              <w:rPr>
                <w:rFonts w:ascii="Times New Roman" w:hAnsi="Times New Roman" w:cs="Times New Roman"/>
                <w:noProof/>
                <w:webHidden/>
              </w:rPr>
            </w:r>
            <w:r w:rsidRPr="000549B5">
              <w:rPr>
                <w:rFonts w:ascii="Times New Roman" w:hAnsi="Times New Roman" w:cs="Times New Roman"/>
                <w:noProof/>
                <w:webHidden/>
              </w:rPr>
              <w:fldChar w:fldCharType="separate"/>
            </w:r>
            <w:r w:rsidR="003277CA">
              <w:rPr>
                <w:rFonts w:ascii="Times New Roman" w:hAnsi="Times New Roman" w:cs="Times New Roman"/>
                <w:noProof/>
                <w:webHidden/>
              </w:rPr>
              <w:t>145</w:t>
            </w:r>
            <w:r w:rsidRPr="000549B5">
              <w:rPr>
                <w:rFonts w:ascii="Times New Roman" w:hAnsi="Times New Roman" w:cs="Times New Roman"/>
                <w:noProof/>
                <w:webHidden/>
              </w:rPr>
              <w:fldChar w:fldCharType="end"/>
            </w:r>
          </w:hyperlink>
        </w:p>
        <w:p w14:paraId="54C041A6" w14:textId="1C33FF9B" w:rsidR="00D01771" w:rsidRPr="000549B5" w:rsidRDefault="00D01771" w:rsidP="00A81BCB">
          <w:pPr>
            <w:pStyle w:val="TOC1"/>
            <w:rPr>
              <w:rFonts w:eastAsiaTheme="minorEastAsia"/>
              <w:kern w:val="2"/>
              <w:sz w:val="24"/>
              <w:szCs w:val="24"/>
              <w:lang w:val="en-MY" w:eastAsia="en-GB"/>
              <w14:ligatures w14:val="standardContextual"/>
            </w:rPr>
          </w:pPr>
          <w:hyperlink w:anchor="_Toc211808150" w:history="1">
            <w:r w:rsidRPr="000549B5">
              <w:rPr>
                <w:rStyle w:val="Hyperlink"/>
              </w:rPr>
              <w:t>Paper ID 26</w:t>
            </w:r>
            <w:r w:rsidRPr="000549B5">
              <w:rPr>
                <w:webHidden/>
              </w:rPr>
              <w:tab/>
            </w:r>
            <w:r w:rsidRPr="000549B5">
              <w:rPr>
                <w:webHidden/>
              </w:rPr>
              <w:fldChar w:fldCharType="begin"/>
            </w:r>
            <w:r w:rsidRPr="000549B5">
              <w:rPr>
                <w:webHidden/>
              </w:rPr>
              <w:instrText xml:space="preserve"> PAGEREF _Toc211808150 \h </w:instrText>
            </w:r>
            <w:r w:rsidRPr="000549B5">
              <w:rPr>
                <w:webHidden/>
              </w:rPr>
            </w:r>
            <w:r w:rsidRPr="000549B5">
              <w:rPr>
                <w:webHidden/>
              </w:rPr>
              <w:fldChar w:fldCharType="separate"/>
            </w:r>
            <w:r w:rsidR="003277CA">
              <w:rPr>
                <w:webHidden/>
              </w:rPr>
              <w:t>155</w:t>
            </w:r>
            <w:r w:rsidRPr="000549B5">
              <w:rPr>
                <w:webHidden/>
              </w:rPr>
              <w:fldChar w:fldCharType="end"/>
            </w:r>
          </w:hyperlink>
        </w:p>
        <w:p w14:paraId="6EA36201" w14:textId="182B41C9" w:rsidR="00D01771" w:rsidRPr="000549B5" w:rsidRDefault="00D01771">
          <w:pPr>
            <w:pStyle w:val="TOC2"/>
            <w:tabs>
              <w:tab w:val="right" w:leader="dot" w:pos="9016"/>
            </w:tabs>
            <w:rPr>
              <w:rFonts w:ascii="Times New Roman" w:eastAsiaTheme="minorEastAsia" w:hAnsi="Times New Roman" w:cs="Times New Roman"/>
              <w:noProof/>
              <w:kern w:val="2"/>
              <w:sz w:val="24"/>
              <w:szCs w:val="24"/>
              <w:lang w:val="en-MY" w:eastAsia="en-GB"/>
              <w14:ligatures w14:val="standardContextual"/>
            </w:rPr>
          </w:pPr>
          <w:hyperlink w:anchor="_Toc211808151" w:history="1">
            <w:r w:rsidRPr="000549B5">
              <w:rPr>
                <w:rStyle w:val="Hyperlink"/>
                <w:rFonts w:ascii="Times New Roman" w:hAnsi="Times New Roman" w:cs="Times New Roman"/>
                <w:noProof/>
              </w:rPr>
              <w:t>A THEORETICAL MODEL FOR ASSESSING MANAGERIAL DISCRETION AND RISK IN GOODWILL IMPAIRMENT: AN ANALYSIS THROUGH CASE STUDIES</w:t>
            </w:r>
            <w:r w:rsidRPr="000549B5">
              <w:rPr>
                <w:rFonts w:ascii="Times New Roman" w:hAnsi="Times New Roman" w:cs="Times New Roman"/>
                <w:noProof/>
                <w:webHidden/>
              </w:rPr>
              <w:tab/>
            </w:r>
            <w:r w:rsidRPr="000549B5">
              <w:rPr>
                <w:rFonts w:ascii="Times New Roman" w:hAnsi="Times New Roman" w:cs="Times New Roman"/>
                <w:noProof/>
                <w:webHidden/>
              </w:rPr>
              <w:fldChar w:fldCharType="begin"/>
            </w:r>
            <w:r w:rsidRPr="000549B5">
              <w:rPr>
                <w:rFonts w:ascii="Times New Roman" w:hAnsi="Times New Roman" w:cs="Times New Roman"/>
                <w:noProof/>
                <w:webHidden/>
              </w:rPr>
              <w:instrText xml:space="preserve"> PAGEREF _Toc211808151 \h </w:instrText>
            </w:r>
            <w:r w:rsidRPr="000549B5">
              <w:rPr>
                <w:rFonts w:ascii="Times New Roman" w:hAnsi="Times New Roman" w:cs="Times New Roman"/>
                <w:noProof/>
                <w:webHidden/>
              </w:rPr>
            </w:r>
            <w:r w:rsidRPr="000549B5">
              <w:rPr>
                <w:rFonts w:ascii="Times New Roman" w:hAnsi="Times New Roman" w:cs="Times New Roman"/>
                <w:noProof/>
                <w:webHidden/>
              </w:rPr>
              <w:fldChar w:fldCharType="separate"/>
            </w:r>
            <w:r w:rsidR="003277CA">
              <w:rPr>
                <w:rFonts w:ascii="Times New Roman" w:hAnsi="Times New Roman" w:cs="Times New Roman"/>
                <w:noProof/>
                <w:webHidden/>
              </w:rPr>
              <w:t>155</w:t>
            </w:r>
            <w:r w:rsidRPr="000549B5">
              <w:rPr>
                <w:rFonts w:ascii="Times New Roman" w:hAnsi="Times New Roman" w:cs="Times New Roman"/>
                <w:noProof/>
                <w:webHidden/>
              </w:rPr>
              <w:fldChar w:fldCharType="end"/>
            </w:r>
          </w:hyperlink>
        </w:p>
        <w:p w14:paraId="0CF3C55D" w14:textId="3E9BF7FD" w:rsidR="00D01771" w:rsidRPr="000549B5" w:rsidRDefault="00D01771" w:rsidP="00A81BCB">
          <w:pPr>
            <w:pStyle w:val="TOC1"/>
            <w:rPr>
              <w:rFonts w:eastAsiaTheme="minorEastAsia"/>
              <w:kern w:val="2"/>
              <w:sz w:val="24"/>
              <w:szCs w:val="24"/>
              <w:lang w:val="en-MY" w:eastAsia="en-GB"/>
              <w14:ligatures w14:val="standardContextual"/>
            </w:rPr>
          </w:pPr>
          <w:hyperlink w:anchor="_Toc211808152" w:history="1">
            <w:r w:rsidRPr="000549B5">
              <w:rPr>
                <w:rStyle w:val="Hyperlink"/>
              </w:rPr>
              <w:t>Paper ID 33</w:t>
            </w:r>
            <w:r w:rsidRPr="000549B5">
              <w:rPr>
                <w:webHidden/>
              </w:rPr>
              <w:tab/>
            </w:r>
            <w:r w:rsidRPr="000549B5">
              <w:rPr>
                <w:webHidden/>
              </w:rPr>
              <w:fldChar w:fldCharType="begin"/>
            </w:r>
            <w:r w:rsidRPr="000549B5">
              <w:rPr>
                <w:webHidden/>
              </w:rPr>
              <w:instrText xml:space="preserve"> PAGEREF _Toc211808152 \h </w:instrText>
            </w:r>
            <w:r w:rsidRPr="000549B5">
              <w:rPr>
                <w:webHidden/>
              </w:rPr>
            </w:r>
            <w:r w:rsidRPr="000549B5">
              <w:rPr>
                <w:webHidden/>
              </w:rPr>
              <w:fldChar w:fldCharType="separate"/>
            </w:r>
            <w:r w:rsidR="003277CA">
              <w:rPr>
                <w:webHidden/>
              </w:rPr>
              <w:t>159</w:t>
            </w:r>
            <w:r w:rsidRPr="000549B5">
              <w:rPr>
                <w:webHidden/>
              </w:rPr>
              <w:fldChar w:fldCharType="end"/>
            </w:r>
          </w:hyperlink>
        </w:p>
        <w:p w14:paraId="7EE74424" w14:textId="1A9911BB" w:rsidR="00D01771" w:rsidRPr="000549B5" w:rsidRDefault="00D01771">
          <w:pPr>
            <w:pStyle w:val="TOC2"/>
            <w:tabs>
              <w:tab w:val="right" w:leader="dot" w:pos="9016"/>
            </w:tabs>
            <w:rPr>
              <w:rFonts w:ascii="Times New Roman" w:eastAsiaTheme="minorEastAsia" w:hAnsi="Times New Roman" w:cs="Times New Roman"/>
              <w:noProof/>
              <w:kern w:val="2"/>
              <w:sz w:val="24"/>
              <w:szCs w:val="24"/>
              <w:lang w:val="en-MY" w:eastAsia="en-GB"/>
              <w14:ligatures w14:val="standardContextual"/>
            </w:rPr>
          </w:pPr>
          <w:hyperlink w:anchor="_Toc211808153" w:history="1">
            <w:r w:rsidRPr="000549B5">
              <w:rPr>
                <w:rStyle w:val="Hyperlink"/>
                <w:rFonts w:ascii="Times New Roman" w:hAnsi="Times New Roman" w:cs="Times New Roman"/>
                <w:noProof/>
              </w:rPr>
              <w:t>THE IMPACT OF COST STICKINESS ON THE COST OF EQUITY CAPITAL</w:t>
            </w:r>
            <w:r w:rsidRPr="000549B5">
              <w:rPr>
                <w:rFonts w:ascii="Times New Roman" w:hAnsi="Times New Roman" w:cs="Times New Roman"/>
                <w:noProof/>
                <w:webHidden/>
              </w:rPr>
              <w:tab/>
            </w:r>
            <w:r w:rsidRPr="000549B5">
              <w:rPr>
                <w:rFonts w:ascii="Times New Roman" w:hAnsi="Times New Roman" w:cs="Times New Roman"/>
                <w:noProof/>
                <w:webHidden/>
              </w:rPr>
              <w:fldChar w:fldCharType="begin"/>
            </w:r>
            <w:r w:rsidRPr="000549B5">
              <w:rPr>
                <w:rFonts w:ascii="Times New Roman" w:hAnsi="Times New Roman" w:cs="Times New Roman"/>
                <w:noProof/>
                <w:webHidden/>
              </w:rPr>
              <w:instrText xml:space="preserve"> PAGEREF _Toc211808153 \h </w:instrText>
            </w:r>
            <w:r w:rsidRPr="000549B5">
              <w:rPr>
                <w:rFonts w:ascii="Times New Roman" w:hAnsi="Times New Roman" w:cs="Times New Roman"/>
                <w:noProof/>
                <w:webHidden/>
              </w:rPr>
            </w:r>
            <w:r w:rsidRPr="000549B5">
              <w:rPr>
                <w:rFonts w:ascii="Times New Roman" w:hAnsi="Times New Roman" w:cs="Times New Roman"/>
                <w:noProof/>
                <w:webHidden/>
              </w:rPr>
              <w:fldChar w:fldCharType="separate"/>
            </w:r>
            <w:r w:rsidR="003277CA">
              <w:rPr>
                <w:rFonts w:ascii="Times New Roman" w:hAnsi="Times New Roman" w:cs="Times New Roman"/>
                <w:noProof/>
                <w:webHidden/>
              </w:rPr>
              <w:t>159</w:t>
            </w:r>
            <w:r w:rsidRPr="000549B5">
              <w:rPr>
                <w:rFonts w:ascii="Times New Roman" w:hAnsi="Times New Roman" w:cs="Times New Roman"/>
                <w:noProof/>
                <w:webHidden/>
              </w:rPr>
              <w:fldChar w:fldCharType="end"/>
            </w:r>
          </w:hyperlink>
        </w:p>
        <w:p w14:paraId="092E2499" w14:textId="16419105" w:rsidR="00D01771" w:rsidRPr="000549B5" w:rsidRDefault="00D01771" w:rsidP="00A81BCB">
          <w:pPr>
            <w:pStyle w:val="TOC1"/>
            <w:rPr>
              <w:rFonts w:eastAsiaTheme="minorEastAsia"/>
              <w:kern w:val="2"/>
              <w:sz w:val="24"/>
              <w:szCs w:val="24"/>
              <w:lang w:val="en-MY" w:eastAsia="en-GB"/>
              <w14:ligatures w14:val="standardContextual"/>
            </w:rPr>
          </w:pPr>
          <w:hyperlink w:anchor="_Toc211808154" w:history="1">
            <w:r w:rsidRPr="000549B5">
              <w:rPr>
                <w:rStyle w:val="Hyperlink"/>
              </w:rPr>
              <w:t>Paper ID 54</w:t>
            </w:r>
            <w:r w:rsidRPr="000549B5">
              <w:rPr>
                <w:webHidden/>
              </w:rPr>
              <w:tab/>
            </w:r>
            <w:r w:rsidRPr="000549B5">
              <w:rPr>
                <w:webHidden/>
              </w:rPr>
              <w:fldChar w:fldCharType="begin"/>
            </w:r>
            <w:r w:rsidRPr="000549B5">
              <w:rPr>
                <w:webHidden/>
              </w:rPr>
              <w:instrText xml:space="preserve"> PAGEREF _Toc211808154 \h </w:instrText>
            </w:r>
            <w:r w:rsidRPr="000549B5">
              <w:rPr>
                <w:webHidden/>
              </w:rPr>
            </w:r>
            <w:r w:rsidRPr="000549B5">
              <w:rPr>
                <w:webHidden/>
              </w:rPr>
              <w:fldChar w:fldCharType="separate"/>
            </w:r>
            <w:r w:rsidR="003277CA">
              <w:rPr>
                <w:webHidden/>
              </w:rPr>
              <w:t>177</w:t>
            </w:r>
            <w:r w:rsidRPr="000549B5">
              <w:rPr>
                <w:webHidden/>
              </w:rPr>
              <w:fldChar w:fldCharType="end"/>
            </w:r>
          </w:hyperlink>
        </w:p>
        <w:p w14:paraId="4A3EBD4D" w14:textId="010D1278" w:rsidR="00D01771" w:rsidRPr="000549B5" w:rsidRDefault="00D01771">
          <w:pPr>
            <w:pStyle w:val="TOC2"/>
            <w:tabs>
              <w:tab w:val="right" w:leader="dot" w:pos="9016"/>
            </w:tabs>
            <w:rPr>
              <w:rFonts w:ascii="Times New Roman" w:eastAsiaTheme="minorEastAsia" w:hAnsi="Times New Roman" w:cs="Times New Roman"/>
              <w:noProof/>
              <w:kern w:val="2"/>
              <w:sz w:val="24"/>
              <w:szCs w:val="24"/>
              <w:lang w:val="en-MY" w:eastAsia="en-GB"/>
              <w14:ligatures w14:val="standardContextual"/>
            </w:rPr>
          </w:pPr>
          <w:hyperlink w:anchor="_Toc211808155" w:history="1">
            <w:r w:rsidRPr="000549B5">
              <w:rPr>
                <w:rStyle w:val="Hyperlink"/>
                <w:rFonts w:ascii="Times New Roman" w:hAnsi="Times New Roman" w:cs="Times New Roman"/>
                <w:noProof/>
              </w:rPr>
              <w:t>THE INFLUENCE OF FINANCIAL PERFORMANCE, COMPANY CHARACTERISTICS, CORPORATE GOVERNANCE AND AUDIT OPINION ON AUDIT DELAY (AT BASIC CHEMICAL COMPANIES IN INDONESIA)</w:t>
            </w:r>
            <w:r w:rsidRPr="000549B5">
              <w:rPr>
                <w:rFonts w:ascii="Times New Roman" w:hAnsi="Times New Roman" w:cs="Times New Roman"/>
                <w:noProof/>
                <w:webHidden/>
              </w:rPr>
              <w:tab/>
            </w:r>
            <w:r w:rsidRPr="000549B5">
              <w:rPr>
                <w:rFonts w:ascii="Times New Roman" w:hAnsi="Times New Roman" w:cs="Times New Roman"/>
                <w:noProof/>
                <w:webHidden/>
              </w:rPr>
              <w:fldChar w:fldCharType="begin"/>
            </w:r>
            <w:r w:rsidRPr="000549B5">
              <w:rPr>
                <w:rFonts w:ascii="Times New Roman" w:hAnsi="Times New Roman" w:cs="Times New Roman"/>
                <w:noProof/>
                <w:webHidden/>
              </w:rPr>
              <w:instrText xml:space="preserve"> PAGEREF _Toc211808155 \h </w:instrText>
            </w:r>
            <w:r w:rsidRPr="000549B5">
              <w:rPr>
                <w:rFonts w:ascii="Times New Roman" w:hAnsi="Times New Roman" w:cs="Times New Roman"/>
                <w:noProof/>
                <w:webHidden/>
              </w:rPr>
            </w:r>
            <w:r w:rsidRPr="000549B5">
              <w:rPr>
                <w:rFonts w:ascii="Times New Roman" w:hAnsi="Times New Roman" w:cs="Times New Roman"/>
                <w:noProof/>
                <w:webHidden/>
              </w:rPr>
              <w:fldChar w:fldCharType="separate"/>
            </w:r>
            <w:r w:rsidR="003277CA">
              <w:rPr>
                <w:rFonts w:ascii="Times New Roman" w:hAnsi="Times New Roman" w:cs="Times New Roman"/>
                <w:noProof/>
                <w:webHidden/>
              </w:rPr>
              <w:t>177</w:t>
            </w:r>
            <w:r w:rsidRPr="000549B5">
              <w:rPr>
                <w:rFonts w:ascii="Times New Roman" w:hAnsi="Times New Roman" w:cs="Times New Roman"/>
                <w:noProof/>
                <w:webHidden/>
              </w:rPr>
              <w:fldChar w:fldCharType="end"/>
            </w:r>
          </w:hyperlink>
        </w:p>
        <w:p w14:paraId="63F103E5" w14:textId="6CCD216A" w:rsidR="00D01771" w:rsidRPr="000549B5" w:rsidRDefault="00D01771" w:rsidP="00A81BCB">
          <w:pPr>
            <w:pStyle w:val="TOC1"/>
            <w:rPr>
              <w:rFonts w:eastAsiaTheme="minorEastAsia"/>
              <w:kern w:val="2"/>
              <w:sz w:val="24"/>
              <w:szCs w:val="24"/>
              <w:lang w:val="en-MY" w:eastAsia="en-GB"/>
              <w14:ligatures w14:val="standardContextual"/>
            </w:rPr>
          </w:pPr>
          <w:hyperlink w:anchor="_Toc211808156" w:history="1">
            <w:r w:rsidRPr="000549B5">
              <w:rPr>
                <w:rStyle w:val="Hyperlink"/>
              </w:rPr>
              <w:t>Paper ID 60</w:t>
            </w:r>
            <w:r w:rsidRPr="000549B5">
              <w:rPr>
                <w:webHidden/>
              </w:rPr>
              <w:tab/>
            </w:r>
            <w:r w:rsidRPr="000549B5">
              <w:rPr>
                <w:webHidden/>
              </w:rPr>
              <w:fldChar w:fldCharType="begin"/>
            </w:r>
            <w:r w:rsidRPr="000549B5">
              <w:rPr>
                <w:webHidden/>
              </w:rPr>
              <w:instrText xml:space="preserve"> PAGEREF _Toc211808156 \h </w:instrText>
            </w:r>
            <w:r w:rsidRPr="000549B5">
              <w:rPr>
                <w:webHidden/>
              </w:rPr>
            </w:r>
            <w:r w:rsidRPr="000549B5">
              <w:rPr>
                <w:webHidden/>
              </w:rPr>
              <w:fldChar w:fldCharType="separate"/>
            </w:r>
            <w:r w:rsidR="003277CA">
              <w:rPr>
                <w:webHidden/>
              </w:rPr>
              <w:t>192</w:t>
            </w:r>
            <w:r w:rsidRPr="000549B5">
              <w:rPr>
                <w:webHidden/>
              </w:rPr>
              <w:fldChar w:fldCharType="end"/>
            </w:r>
          </w:hyperlink>
        </w:p>
        <w:p w14:paraId="302F48A0" w14:textId="38E0BA6C" w:rsidR="00D01771" w:rsidRPr="000549B5" w:rsidRDefault="00D01771">
          <w:pPr>
            <w:pStyle w:val="TOC2"/>
            <w:tabs>
              <w:tab w:val="right" w:leader="dot" w:pos="9016"/>
            </w:tabs>
            <w:rPr>
              <w:rFonts w:ascii="Times New Roman" w:eastAsiaTheme="minorEastAsia" w:hAnsi="Times New Roman" w:cs="Times New Roman"/>
              <w:noProof/>
              <w:kern w:val="2"/>
              <w:sz w:val="24"/>
              <w:szCs w:val="24"/>
              <w:lang w:val="en-MY" w:eastAsia="en-GB"/>
              <w14:ligatures w14:val="standardContextual"/>
            </w:rPr>
          </w:pPr>
          <w:hyperlink w:anchor="_Toc211808157" w:history="1">
            <w:r w:rsidRPr="000549B5">
              <w:rPr>
                <w:rStyle w:val="Hyperlink"/>
                <w:rFonts w:ascii="Times New Roman" w:hAnsi="Times New Roman" w:cs="Times New Roman"/>
                <w:noProof/>
              </w:rPr>
              <w:t>IMPACT OF PROFESSIONAL COMPETENCY ON RISK ASSESSMENT AND AUDIT JUDGMENT PERFORMANCE IN INDONESIA: THE MODERATING ROLE OF ENFORCEMENT PRESSURE</w:t>
            </w:r>
            <w:r w:rsidRPr="000549B5">
              <w:rPr>
                <w:rFonts w:ascii="Times New Roman" w:hAnsi="Times New Roman" w:cs="Times New Roman"/>
                <w:noProof/>
                <w:webHidden/>
              </w:rPr>
              <w:tab/>
            </w:r>
            <w:r w:rsidRPr="000549B5">
              <w:rPr>
                <w:rFonts w:ascii="Times New Roman" w:hAnsi="Times New Roman" w:cs="Times New Roman"/>
                <w:noProof/>
                <w:webHidden/>
              </w:rPr>
              <w:fldChar w:fldCharType="begin"/>
            </w:r>
            <w:r w:rsidRPr="000549B5">
              <w:rPr>
                <w:rFonts w:ascii="Times New Roman" w:hAnsi="Times New Roman" w:cs="Times New Roman"/>
                <w:noProof/>
                <w:webHidden/>
              </w:rPr>
              <w:instrText xml:space="preserve"> PAGEREF _Toc211808157 \h </w:instrText>
            </w:r>
            <w:r w:rsidRPr="000549B5">
              <w:rPr>
                <w:rFonts w:ascii="Times New Roman" w:hAnsi="Times New Roman" w:cs="Times New Roman"/>
                <w:noProof/>
                <w:webHidden/>
              </w:rPr>
            </w:r>
            <w:r w:rsidRPr="000549B5">
              <w:rPr>
                <w:rFonts w:ascii="Times New Roman" w:hAnsi="Times New Roman" w:cs="Times New Roman"/>
                <w:noProof/>
                <w:webHidden/>
              </w:rPr>
              <w:fldChar w:fldCharType="separate"/>
            </w:r>
            <w:r w:rsidR="003277CA">
              <w:rPr>
                <w:rFonts w:ascii="Times New Roman" w:hAnsi="Times New Roman" w:cs="Times New Roman"/>
                <w:noProof/>
                <w:webHidden/>
              </w:rPr>
              <w:t>192</w:t>
            </w:r>
            <w:r w:rsidRPr="000549B5">
              <w:rPr>
                <w:rFonts w:ascii="Times New Roman" w:hAnsi="Times New Roman" w:cs="Times New Roman"/>
                <w:noProof/>
                <w:webHidden/>
              </w:rPr>
              <w:fldChar w:fldCharType="end"/>
            </w:r>
          </w:hyperlink>
        </w:p>
        <w:p w14:paraId="2101F333" w14:textId="1826C293" w:rsidR="00D01771" w:rsidRPr="000549B5" w:rsidRDefault="00D01771" w:rsidP="00A81BCB">
          <w:pPr>
            <w:pStyle w:val="TOC1"/>
            <w:rPr>
              <w:rFonts w:eastAsiaTheme="minorEastAsia"/>
              <w:kern w:val="2"/>
              <w:sz w:val="24"/>
              <w:szCs w:val="24"/>
              <w:lang w:val="en-MY" w:eastAsia="en-GB"/>
              <w14:ligatures w14:val="standardContextual"/>
            </w:rPr>
          </w:pPr>
          <w:hyperlink w:anchor="_Toc211808158" w:history="1">
            <w:r w:rsidRPr="000549B5">
              <w:rPr>
                <w:rStyle w:val="Hyperlink"/>
              </w:rPr>
              <w:t>Paper ID 62</w:t>
            </w:r>
            <w:r w:rsidRPr="000549B5">
              <w:rPr>
                <w:webHidden/>
              </w:rPr>
              <w:tab/>
            </w:r>
            <w:r w:rsidRPr="000549B5">
              <w:rPr>
                <w:webHidden/>
              </w:rPr>
              <w:fldChar w:fldCharType="begin"/>
            </w:r>
            <w:r w:rsidRPr="000549B5">
              <w:rPr>
                <w:webHidden/>
              </w:rPr>
              <w:instrText xml:space="preserve"> PAGEREF _Toc211808158 \h </w:instrText>
            </w:r>
            <w:r w:rsidRPr="000549B5">
              <w:rPr>
                <w:webHidden/>
              </w:rPr>
            </w:r>
            <w:r w:rsidRPr="000549B5">
              <w:rPr>
                <w:webHidden/>
              </w:rPr>
              <w:fldChar w:fldCharType="separate"/>
            </w:r>
            <w:r w:rsidR="003277CA">
              <w:rPr>
                <w:webHidden/>
              </w:rPr>
              <w:t>209</w:t>
            </w:r>
            <w:r w:rsidRPr="000549B5">
              <w:rPr>
                <w:webHidden/>
              </w:rPr>
              <w:fldChar w:fldCharType="end"/>
            </w:r>
          </w:hyperlink>
        </w:p>
        <w:p w14:paraId="62DBB388" w14:textId="704CCAB1" w:rsidR="00D01771" w:rsidRPr="000549B5" w:rsidRDefault="00D01771">
          <w:pPr>
            <w:pStyle w:val="TOC2"/>
            <w:tabs>
              <w:tab w:val="right" w:leader="dot" w:pos="9016"/>
            </w:tabs>
            <w:rPr>
              <w:rFonts w:ascii="Times New Roman" w:eastAsiaTheme="minorEastAsia" w:hAnsi="Times New Roman" w:cs="Times New Roman"/>
              <w:noProof/>
              <w:kern w:val="2"/>
              <w:sz w:val="24"/>
              <w:szCs w:val="24"/>
              <w:lang w:val="en-MY" w:eastAsia="en-GB"/>
              <w14:ligatures w14:val="standardContextual"/>
            </w:rPr>
          </w:pPr>
          <w:hyperlink w:anchor="_Toc211808159" w:history="1">
            <w:r w:rsidRPr="000549B5">
              <w:rPr>
                <w:rStyle w:val="Hyperlink"/>
                <w:rFonts w:ascii="Times New Roman" w:hAnsi="Times New Roman" w:cs="Times New Roman"/>
                <w:noProof/>
              </w:rPr>
              <w:t>DOES KAM DISCLOSURE CHANGE THE DISCLOSURE BEHAVIOR OF MANAGERS AND AUDITORS? EVIDENCE FROM THE READABILITY OF MD&amp;A AND KAM IN JAPAN</w:t>
            </w:r>
            <w:r w:rsidRPr="000549B5">
              <w:rPr>
                <w:rFonts w:ascii="Times New Roman" w:hAnsi="Times New Roman" w:cs="Times New Roman"/>
                <w:noProof/>
                <w:webHidden/>
              </w:rPr>
              <w:tab/>
            </w:r>
            <w:r w:rsidRPr="000549B5">
              <w:rPr>
                <w:rFonts w:ascii="Times New Roman" w:hAnsi="Times New Roman" w:cs="Times New Roman"/>
                <w:noProof/>
                <w:webHidden/>
              </w:rPr>
              <w:fldChar w:fldCharType="begin"/>
            </w:r>
            <w:r w:rsidRPr="000549B5">
              <w:rPr>
                <w:rFonts w:ascii="Times New Roman" w:hAnsi="Times New Roman" w:cs="Times New Roman"/>
                <w:noProof/>
                <w:webHidden/>
              </w:rPr>
              <w:instrText xml:space="preserve"> PAGEREF _Toc211808159 \h </w:instrText>
            </w:r>
            <w:r w:rsidRPr="000549B5">
              <w:rPr>
                <w:rFonts w:ascii="Times New Roman" w:hAnsi="Times New Roman" w:cs="Times New Roman"/>
                <w:noProof/>
                <w:webHidden/>
              </w:rPr>
            </w:r>
            <w:r w:rsidRPr="000549B5">
              <w:rPr>
                <w:rFonts w:ascii="Times New Roman" w:hAnsi="Times New Roman" w:cs="Times New Roman"/>
                <w:noProof/>
                <w:webHidden/>
              </w:rPr>
              <w:fldChar w:fldCharType="separate"/>
            </w:r>
            <w:r w:rsidR="003277CA">
              <w:rPr>
                <w:rFonts w:ascii="Times New Roman" w:hAnsi="Times New Roman" w:cs="Times New Roman"/>
                <w:noProof/>
                <w:webHidden/>
              </w:rPr>
              <w:t>209</w:t>
            </w:r>
            <w:r w:rsidRPr="000549B5">
              <w:rPr>
                <w:rFonts w:ascii="Times New Roman" w:hAnsi="Times New Roman" w:cs="Times New Roman"/>
                <w:noProof/>
                <w:webHidden/>
              </w:rPr>
              <w:fldChar w:fldCharType="end"/>
            </w:r>
          </w:hyperlink>
        </w:p>
        <w:p w14:paraId="2183579A" w14:textId="6842A067" w:rsidR="00D01771" w:rsidRPr="000549B5" w:rsidRDefault="00D01771" w:rsidP="00A81BCB">
          <w:pPr>
            <w:pStyle w:val="TOC1"/>
            <w:rPr>
              <w:rFonts w:eastAsiaTheme="minorEastAsia"/>
              <w:kern w:val="2"/>
              <w:sz w:val="24"/>
              <w:szCs w:val="24"/>
              <w:lang w:val="en-MY" w:eastAsia="en-GB"/>
              <w14:ligatures w14:val="standardContextual"/>
            </w:rPr>
          </w:pPr>
          <w:hyperlink w:anchor="_Toc211808160" w:history="1">
            <w:r w:rsidRPr="000549B5">
              <w:rPr>
                <w:rStyle w:val="Hyperlink"/>
              </w:rPr>
              <w:t>Paper ID 64</w:t>
            </w:r>
            <w:r w:rsidRPr="000549B5">
              <w:rPr>
                <w:webHidden/>
              </w:rPr>
              <w:tab/>
            </w:r>
            <w:r w:rsidRPr="000549B5">
              <w:rPr>
                <w:webHidden/>
              </w:rPr>
              <w:fldChar w:fldCharType="begin"/>
            </w:r>
            <w:r w:rsidRPr="000549B5">
              <w:rPr>
                <w:webHidden/>
              </w:rPr>
              <w:instrText xml:space="preserve"> PAGEREF _Toc211808160 \h </w:instrText>
            </w:r>
            <w:r w:rsidRPr="000549B5">
              <w:rPr>
                <w:webHidden/>
              </w:rPr>
            </w:r>
            <w:r w:rsidRPr="000549B5">
              <w:rPr>
                <w:webHidden/>
              </w:rPr>
              <w:fldChar w:fldCharType="separate"/>
            </w:r>
            <w:r w:rsidR="003277CA">
              <w:rPr>
                <w:webHidden/>
              </w:rPr>
              <w:t>215</w:t>
            </w:r>
            <w:r w:rsidRPr="000549B5">
              <w:rPr>
                <w:webHidden/>
              </w:rPr>
              <w:fldChar w:fldCharType="end"/>
            </w:r>
          </w:hyperlink>
        </w:p>
        <w:p w14:paraId="46C477B3" w14:textId="14077620" w:rsidR="00D01771" w:rsidRPr="000549B5" w:rsidRDefault="00D01771">
          <w:pPr>
            <w:pStyle w:val="TOC2"/>
            <w:tabs>
              <w:tab w:val="right" w:leader="dot" w:pos="9016"/>
            </w:tabs>
            <w:rPr>
              <w:rFonts w:ascii="Times New Roman" w:eastAsiaTheme="minorEastAsia" w:hAnsi="Times New Roman" w:cs="Times New Roman"/>
              <w:noProof/>
              <w:kern w:val="2"/>
              <w:sz w:val="24"/>
              <w:szCs w:val="24"/>
              <w:lang w:val="en-MY" w:eastAsia="en-GB"/>
              <w14:ligatures w14:val="standardContextual"/>
            </w:rPr>
          </w:pPr>
          <w:hyperlink w:anchor="_Toc211808161" w:history="1">
            <w:r w:rsidRPr="000549B5">
              <w:rPr>
                <w:rStyle w:val="Hyperlink"/>
                <w:rFonts w:ascii="Times New Roman" w:hAnsi="Times New Roman" w:cs="Times New Roman"/>
                <w:noProof/>
              </w:rPr>
              <w:t>THE IMPACT OF UNDERPRICING, FINANCIAL PERFORMANCE, AND OWNERSHIP STRUCTURE ON LONG-TERM POST-IPO STOCK PERFORMANCE: EVIDENCE FROM INDONESIA</w:t>
            </w:r>
            <w:r w:rsidRPr="000549B5">
              <w:rPr>
                <w:rFonts w:ascii="Times New Roman" w:hAnsi="Times New Roman" w:cs="Times New Roman"/>
                <w:noProof/>
                <w:webHidden/>
              </w:rPr>
              <w:tab/>
            </w:r>
            <w:r w:rsidRPr="000549B5">
              <w:rPr>
                <w:rFonts w:ascii="Times New Roman" w:hAnsi="Times New Roman" w:cs="Times New Roman"/>
                <w:noProof/>
                <w:webHidden/>
              </w:rPr>
              <w:fldChar w:fldCharType="begin"/>
            </w:r>
            <w:r w:rsidRPr="000549B5">
              <w:rPr>
                <w:rFonts w:ascii="Times New Roman" w:hAnsi="Times New Roman" w:cs="Times New Roman"/>
                <w:noProof/>
                <w:webHidden/>
              </w:rPr>
              <w:instrText xml:space="preserve"> PAGEREF _Toc211808161 \h </w:instrText>
            </w:r>
            <w:r w:rsidRPr="000549B5">
              <w:rPr>
                <w:rFonts w:ascii="Times New Roman" w:hAnsi="Times New Roman" w:cs="Times New Roman"/>
                <w:noProof/>
                <w:webHidden/>
              </w:rPr>
            </w:r>
            <w:r w:rsidRPr="000549B5">
              <w:rPr>
                <w:rFonts w:ascii="Times New Roman" w:hAnsi="Times New Roman" w:cs="Times New Roman"/>
                <w:noProof/>
                <w:webHidden/>
              </w:rPr>
              <w:fldChar w:fldCharType="separate"/>
            </w:r>
            <w:r w:rsidR="003277CA">
              <w:rPr>
                <w:rFonts w:ascii="Times New Roman" w:hAnsi="Times New Roman" w:cs="Times New Roman"/>
                <w:noProof/>
                <w:webHidden/>
              </w:rPr>
              <w:t>215</w:t>
            </w:r>
            <w:r w:rsidRPr="000549B5">
              <w:rPr>
                <w:rFonts w:ascii="Times New Roman" w:hAnsi="Times New Roman" w:cs="Times New Roman"/>
                <w:noProof/>
                <w:webHidden/>
              </w:rPr>
              <w:fldChar w:fldCharType="end"/>
            </w:r>
          </w:hyperlink>
        </w:p>
        <w:p w14:paraId="7A30F62D" w14:textId="508FD0FC" w:rsidR="00D01771" w:rsidRPr="000549B5" w:rsidRDefault="00D01771" w:rsidP="00A81BCB">
          <w:pPr>
            <w:pStyle w:val="TOC1"/>
            <w:rPr>
              <w:rFonts w:eastAsiaTheme="minorEastAsia"/>
              <w:kern w:val="2"/>
              <w:sz w:val="24"/>
              <w:szCs w:val="24"/>
              <w:lang w:val="en-MY" w:eastAsia="en-GB"/>
              <w14:ligatures w14:val="standardContextual"/>
            </w:rPr>
          </w:pPr>
          <w:hyperlink w:anchor="_Toc211808162" w:history="1">
            <w:r w:rsidRPr="000549B5">
              <w:rPr>
                <w:rStyle w:val="Hyperlink"/>
              </w:rPr>
              <w:t>Paper ID 69</w:t>
            </w:r>
            <w:r w:rsidRPr="000549B5">
              <w:rPr>
                <w:webHidden/>
              </w:rPr>
              <w:tab/>
            </w:r>
            <w:r w:rsidRPr="000549B5">
              <w:rPr>
                <w:webHidden/>
              </w:rPr>
              <w:fldChar w:fldCharType="begin"/>
            </w:r>
            <w:r w:rsidRPr="000549B5">
              <w:rPr>
                <w:webHidden/>
              </w:rPr>
              <w:instrText xml:space="preserve"> PAGEREF _Toc211808162 \h </w:instrText>
            </w:r>
            <w:r w:rsidRPr="000549B5">
              <w:rPr>
                <w:webHidden/>
              </w:rPr>
            </w:r>
            <w:r w:rsidRPr="000549B5">
              <w:rPr>
                <w:webHidden/>
              </w:rPr>
              <w:fldChar w:fldCharType="separate"/>
            </w:r>
            <w:r w:rsidR="003277CA">
              <w:rPr>
                <w:webHidden/>
              </w:rPr>
              <w:t>230</w:t>
            </w:r>
            <w:r w:rsidRPr="000549B5">
              <w:rPr>
                <w:webHidden/>
              </w:rPr>
              <w:fldChar w:fldCharType="end"/>
            </w:r>
          </w:hyperlink>
        </w:p>
        <w:p w14:paraId="4361089F" w14:textId="1FB3E4B4" w:rsidR="00D01771" w:rsidRPr="000549B5" w:rsidRDefault="00D01771">
          <w:pPr>
            <w:pStyle w:val="TOC2"/>
            <w:tabs>
              <w:tab w:val="right" w:leader="dot" w:pos="9016"/>
            </w:tabs>
            <w:rPr>
              <w:rFonts w:ascii="Times New Roman" w:eastAsiaTheme="minorEastAsia" w:hAnsi="Times New Roman" w:cs="Times New Roman"/>
              <w:noProof/>
              <w:kern w:val="2"/>
              <w:sz w:val="24"/>
              <w:szCs w:val="24"/>
              <w:lang w:val="en-MY" w:eastAsia="en-GB"/>
              <w14:ligatures w14:val="standardContextual"/>
            </w:rPr>
          </w:pPr>
          <w:hyperlink w:anchor="_Toc211808163" w:history="1">
            <w:r w:rsidRPr="000549B5">
              <w:rPr>
                <w:rStyle w:val="Hyperlink"/>
                <w:rFonts w:ascii="Times New Roman" w:hAnsi="Times New Roman" w:cs="Times New Roman"/>
                <w:noProof/>
              </w:rPr>
              <w:t>DEVELOPING A FRAUD DETECTION MODEL BASED ON THE FRAUD DIAMOND THEORY: EVIDENCE FROM STRUCTURED DATA OF JAPANESE FIRMS</w:t>
            </w:r>
            <w:r w:rsidRPr="000549B5">
              <w:rPr>
                <w:rFonts w:ascii="Times New Roman" w:hAnsi="Times New Roman" w:cs="Times New Roman"/>
                <w:noProof/>
                <w:webHidden/>
              </w:rPr>
              <w:tab/>
            </w:r>
            <w:r w:rsidRPr="000549B5">
              <w:rPr>
                <w:rFonts w:ascii="Times New Roman" w:hAnsi="Times New Roman" w:cs="Times New Roman"/>
                <w:noProof/>
                <w:webHidden/>
              </w:rPr>
              <w:fldChar w:fldCharType="begin"/>
            </w:r>
            <w:r w:rsidRPr="000549B5">
              <w:rPr>
                <w:rFonts w:ascii="Times New Roman" w:hAnsi="Times New Roman" w:cs="Times New Roman"/>
                <w:noProof/>
                <w:webHidden/>
              </w:rPr>
              <w:instrText xml:space="preserve"> PAGEREF _Toc211808163 \h </w:instrText>
            </w:r>
            <w:r w:rsidRPr="000549B5">
              <w:rPr>
                <w:rFonts w:ascii="Times New Roman" w:hAnsi="Times New Roman" w:cs="Times New Roman"/>
                <w:noProof/>
                <w:webHidden/>
              </w:rPr>
            </w:r>
            <w:r w:rsidRPr="000549B5">
              <w:rPr>
                <w:rFonts w:ascii="Times New Roman" w:hAnsi="Times New Roman" w:cs="Times New Roman"/>
                <w:noProof/>
                <w:webHidden/>
              </w:rPr>
              <w:fldChar w:fldCharType="separate"/>
            </w:r>
            <w:r w:rsidR="003277CA">
              <w:rPr>
                <w:rFonts w:ascii="Times New Roman" w:hAnsi="Times New Roman" w:cs="Times New Roman"/>
                <w:noProof/>
                <w:webHidden/>
              </w:rPr>
              <w:t>230</w:t>
            </w:r>
            <w:r w:rsidRPr="000549B5">
              <w:rPr>
                <w:rFonts w:ascii="Times New Roman" w:hAnsi="Times New Roman" w:cs="Times New Roman"/>
                <w:noProof/>
                <w:webHidden/>
              </w:rPr>
              <w:fldChar w:fldCharType="end"/>
            </w:r>
          </w:hyperlink>
        </w:p>
        <w:p w14:paraId="7C94815E" w14:textId="30352255" w:rsidR="00D01771" w:rsidRPr="000549B5" w:rsidRDefault="00D01771" w:rsidP="00A81BCB">
          <w:pPr>
            <w:pStyle w:val="TOC1"/>
            <w:rPr>
              <w:rFonts w:eastAsiaTheme="minorEastAsia"/>
              <w:kern w:val="2"/>
              <w:sz w:val="24"/>
              <w:szCs w:val="24"/>
              <w:lang w:val="en-MY" w:eastAsia="en-GB"/>
              <w14:ligatures w14:val="standardContextual"/>
            </w:rPr>
          </w:pPr>
          <w:hyperlink w:anchor="_Toc211808164" w:history="1">
            <w:r w:rsidRPr="000549B5">
              <w:rPr>
                <w:rStyle w:val="Hyperlink"/>
              </w:rPr>
              <w:t>Paper ID 70</w:t>
            </w:r>
            <w:r w:rsidRPr="000549B5">
              <w:rPr>
                <w:webHidden/>
              </w:rPr>
              <w:tab/>
            </w:r>
            <w:r w:rsidRPr="000549B5">
              <w:rPr>
                <w:webHidden/>
              </w:rPr>
              <w:fldChar w:fldCharType="begin"/>
            </w:r>
            <w:r w:rsidRPr="000549B5">
              <w:rPr>
                <w:webHidden/>
              </w:rPr>
              <w:instrText xml:space="preserve"> PAGEREF _Toc211808164 \h </w:instrText>
            </w:r>
            <w:r w:rsidRPr="000549B5">
              <w:rPr>
                <w:webHidden/>
              </w:rPr>
            </w:r>
            <w:r w:rsidRPr="000549B5">
              <w:rPr>
                <w:webHidden/>
              </w:rPr>
              <w:fldChar w:fldCharType="separate"/>
            </w:r>
            <w:r w:rsidR="003277CA">
              <w:rPr>
                <w:webHidden/>
              </w:rPr>
              <w:t>234</w:t>
            </w:r>
            <w:r w:rsidRPr="000549B5">
              <w:rPr>
                <w:webHidden/>
              </w:rPr>
              <w:fldChar w:fldCharType="end"/>
            </w:r>
          </w:hyperlink>
        </w:p>
        <w:p w14:paraId="6833E988" w14:textId="306A2173" w:rsidR="00D01771" w:rsidRPr="000549B5" w:rsidRDefault="00D01771">
          <w:pPr>
            <w:pStyle w:val="TOC2"/>
            <w:tabs>
              <w:tab w:val="right" w:leader="dot" w:pos="9016"/>
            </w:tabs>
            <w:rPr>
              <w:rFonts w:ascii="Times New Roman" w:eastAsiaTheme="minorEastAsia" w:hAnsi="Times New Roman" w:cs="Times New Roman"/>
              <w:noProof/>
              <w:kern w:val="2"/>
              <w:sz w:val="24"/>
              <w:szCs w:val="24"/>
              <w:lang w:val="en-MY" w:eastAsia="en-GB"/>
              <w14:ligatures w14:val="standardContextual"/>
            </w:rPr>
          </w:pPr>
          <w:hyperlink w:anchor="_Toc211808165" w:history="1">
            <w:r w:rsidRPr="000549B5">
              <w:rPr>
                <w:rStyle w:val="Hyperlink"/>
                <w:rFonts w:ascii="Times New Roman" w:hAnsi="Times New Roman" w:cs="Times New Roman"/>
                <w:noProof/>
              </w:rPr>
              <w:t>TRANSFER PRICING, FIRM VALUE AND TAX PLANNING IN EMERGING ECONOMIES: EVIDENCE FROM INDONESIA’S FINANCIAL SECTOR</w:t>
            </w:r>
            <w:r w:rsidRPr="000549B5">
              <w:rPr>
                <w:rFonts w:ascii="Times New Roman" w:hAnsi="Times New Roman" w:cs="Times New Roman"/>
                <w:noProof/>
                <w:webHidden/>
              </w:rPr>
              <w:tab/>
            </w:r>
            <w:r w:rsidRPr="000549B5">
              <w:rPr>
                <w:rFonts w:ascii="Times New Roman" w:hAnsi="Times New Roman" w:cs="Times New Roman"/>
                <w:noProof/>
                <w:webHidden/>
              </w:rPr>
              <w:fldChar w:fldCharType="begin"/>
            </w:r>
            <w:r w:rsidRPr="000549B5">
              <w:rPr>
                <w:rFonts w:ascii="Times New Roman" w:hAnsi="Times New Roman" w:cs="Times New Roman"/>
                <w:noProof/>
                <w:webHidden/>
              </w:rPr>
              <w:instrText xml:space="preserve"> PAGEREF _Toc211808165 \h </w:instrText>
            </w:r>
            <w:r w:rsidRPr="000549B5">
              <w:rPr>
                <w:rFonts w:ascii="Times New Roman" w:hAnsi="Times New Roman" w:cs="Times New Roman"/>
                <w:noProof/>
                <w:webHidden/>
              </w:rPr>
            </w:r>
            <w:r w:rsidRPr="000549B5">
              <w:rPr>
                <w:rFonts w:ascii="Times New Roman" w:hAnsi="Times New Roman" w:cs="Times New Roman"/>
                <w:noProof/>
                <w:webHidden/>
              </w:rPr>
              <w:fldChar w:fldCharType="separate"/>
            </w:r>
            <w:r w:rsidR="003277CA">
              <w:rPr>
                <w:rFonts w:ascii="Times New Roman" w:hAnsi="Times New Roman" w:cs="Times New Roman"/>
                <w:noProof/>
                <w:webHidden/>
              </w:rPr>
              <w:t>234</w:t>
            </w:r>
            <w:r w:rsidRPr="000549B5">
              <w:rPr>
                <w:rFonts w:ascii="Times New Roman" w:hAnsi="Times New Roman" w:cs="Times New Roman"/>
                <w:noProof/>
                <w:webHidden/>
              </w:rPr>
              <w:fldChar w:fldCharType="end"/>
            </w:r>
          </w:hyperlink>
        </w:p>
        <w:p w14:paraId="2A93064F" w14:textId="6754666B" w:rsidR="00D01771" w:rsidRPr="000549B5" w:rsidRDefault="00D01771" w:rsidP="00A81BCB">
          <w:pPr>
            <w:pStyle w:val="TOC1"/>
            <w:rPr>
              <w:rFonts w:eastAsiaTheme="minorEastAsia"/>
              <w:kern w:val="2"/>
              <w:sz w:val="24"/>
              <w:szCs w:val="24"/>
              <w:lang w:val="en-MY" w:eastAsia="en-GB"/>
              <w14:ligatures w14:val="standardContextual"/>
            </w:rPr>
          </w:pPr>
          <w:hyperlink w:anchor="_Toc211808166" w:history="1">
            <w:r w:rsidRPr="000549B5">
              <w:rPr>
                <w:rStyle w:val="Hyperlink"/>
              </w:rPr>
              <w:t>Paper ID 71</w:t>
            </w:r>
            <w:r w:rsidRPr="000549B5">
              <w:rPr>
                <w:webHidden/>
              </w:rPr>
              <w:tab/>
            </w:r>
            <w:r w:rsidRPr="000549B5">
              <w:rPr>
                <w:webHidden/>
              </w:rPr>
              <w:fldChar w:fldCharType="begin"/>
            </w:r>
            <w:r w:rsidRPr="000549B5">
              <w:rPr>
                <w:webHidden/>
              </w:rPr>
              <w:instrText xml:space="preserve"> PAGEREF _Toc211808166 \h </w:instrText>
            </w:r>
            <w:r w:rsidRPr="000549B5">
              <w:rPr>
                <w:webHidden/>
              </w:rPr>
            </w:r>
            <w:r w:rsidRPr="000549B5">
              <w:rPr>
                <w:webHidden/>
              </w:rPr>
              <w:fldChar w:fldCharType="separate"/>
            </w:r>
            <w:r w:rsidR="003277CA">
              <w:rPr>
                <w:webHidden/>
              </w:rPr>
              <w:t>239</w:t>
            </w:r>
            <w:r w:rsidRPr="000549B5">
              <w:rPr>
                <w:webHidden/>
              </w:rPr>
              <w:fldChar w:fldCharType="end"/>
            </w:r>
          </w:hyperlink>
        </w:p>
        <w:p w14:paraId="6565E0DC" w14:textId="49E3BADB" w:rsidR="00D01771" w:rsidRPr="000549B5" w:rsidRDefault="00D01771">
          <w:pPr>
            <w:pStyle w:val="TOC2"/>
            <w:tabs>
              <w:tab w:val="right" w:leader="dot" w:pos="9016"/>
            </w:tabs>
            <w:rPr>
              <w:rFonts w:ascii="Times New Roman" w:eastAsiaTheme="minorEastAsia" w:hAnsi="Times New Roman" w:cs="Times New Roman"/>
              <w:noProof/>
              <w:kern w:val="2"/>
              <w:sz w:val="24"/>
              <w:szCs w:val="24"/>
              <w:lang w:val="en-MY" w:eastAsia="en-GB"/>
              <w14:ligatures w14:val="standardContextual"/>
            </w:rPr>
          </w:pPr>
          <w:hyperlink w:anchor="_Toc211808167" w:history="1">
            <w:r w:rsidRPr="000549B5">
              <w:rPr>
                <w:rStyle w:val="Hyperlink"/>
                <w:rFonts w:ascii="Times New Roman" w:hAnsi="Times New Roman" w:cs="Times New Roman"/>
                <w:noProof/>
              </w:rPr>
              <w:t>DETECTING FINANCIAL STATEMENT FRAUD IN VIETNAM: A FRAUD TRIANGLE-BASED PREDICTIVE MODEL WITH FINANCIAL AND QUALITATIVE</w:t>
            </w:r>
            <w:r w:rsidRPr="000549B5">
              <w:rPr>
                <w:rFonts w:ascii="Times New Roman" w:hAnsi="Times New Roman" w:cs="Times New Roman"/>
                <w:noProof/>
                <w:webHidden/>
              </w:rPr>
              <w:tab/>
            </w:r>
            <w:r w:rsidRPr="000549B5">
              <w:rPr>
                <w:rFonts w:ascii="Times New Roman" w:hAnsi="Times New Roman" w:cs="Times New Roman"/>
                <w:noProof/>
                <w:webHidden/>
              </w:rPr>
              <w:fldChar w:fldCharType="begin"/>
            </w:r>
            <w:r w:rsidRPr="000549B5">
              <w:rPr>
                <w:rFonts w:ascii="Times New Roman" w:hAnsi="Times New Roman" w:cs="Times New Roman"/>
                <w:noProof/>
                <w:webHidden/>
              </w:rPr>
              <w:instrText xml:space="preserve"> PAGEREF _Toc211808167 \h </w:instrText>
            </w:r>
            <w:r w:rsidRPr="000549B5">
              <w:rPr>
                <w:rFonts w:ascii="Times New Roman" w:hAnsi="Times New Roman" w:cs="Times New Roman"/>
                <w:noProof/>
                <w:webHidden/>
              </w:rPr>
            </w:r>
            <w:r w:rsidRPr="000549B5">
              <w:rPr>
                <w:rFonts w:ascii="Times New Roman" w:hAnsi="Times New Roman" w:cs="Times New Roman"/>
                <w:noProof/>
                <w:webHidden/>
              </w:rPr>
              <w:fldChar w:fldCharType="separate"/>
            </w:r>
            <w:r w:rsidR="003277CA">
              <w:rPr>
                <w:rFonts w:ascii="Times New Roman" w:hAnsi="Times New Roman" w:cs="Times New Roman"/>
                <w:noProof/>
                <w:webHidden/>
              </w:rPr>
              <w:t>239</w:t>
            </w:r>
            <w:r w:rsidRPr="000549B5">
              <w:rPr>
                <w:rFonts w:ascii="Times New Roman" w:hAnsi="Times New Roman" w:cs="Times New Roman"/>
                <w:noProof/>
                <w:webHidden/>
              </w:rPr>
              <w:fldChar w:fldCharType="end"/>
            </w:r>
          </w:hyperlink>
        </w:p>
        <w:p w14:paraId="107041CC" w14:textId="2D9E736F" w:rsidR="00D01771" w:rsidRPr="000549B5" w:rsidRDefault="00D01771" w:rsidP="00A81BCB">
          <w:pPr>
            <w:pStyle w:val="TOC1"/>
            <w:rPr>
              <w:rFonts w:eastAsiaTheme="minorEastAsia"/>
              <w:kern w:val="2"/>
              <w:sz w:val="24"/>
              <w:szCs w:val="24"/>
              <w:lang w:val="en-MY" w:eastAsia="en-GB"/>
              <w14:ligatures w14:val="standardContextual"/>
            </w:rPr>
          </w:pPr>
          <w:hyperlink w:anchor="_Toc211808168" w:history="1">
            <w:r w:rsidRPr="000549B5">
              <w:rPr>
                <w:rStyle w:val="Hyperlink"/>
              </w:rPr>
              <w:t>Paper ID 73</w:t>
            </w:r>
            <w:r w:rsidRPr="000549B5">
              <w:rPr>
                <w:webHidden/>
              </w:rPr>
              <w:tab/>
            </w:r>
            <w:r w:rsidRPr="000549B5">
              <w:rPr>
                <w:webHidden/>
              </w:rPr>
              <w:fldChar w:fldCharType="begin"/>
            </w:r>
            <w:r w:rsidRPr="000549B5">
              <w:rPr>
                <w:webHidden/>
              </w:rPr>
              <w:instrText xml:space="preserve"> PAGEREF _Toc211808168 \h </w:instrText>
            </w:r>
            <w:r w:rsidRPr="000549B5">
              <w:rPr>
                <w:webHidden/>
              </w:rPr>
            </w:r>
            <w:r w:rsidRPr="000549B5">
              <w:rPr>
                <w:webHidden/>
              </w:rPr>
              <w:fldChar w:fldCharType="separate"/>
            </w:r>
            <w:r w:rsidR="003277CA">
              <w:rPr>
                <w:webHidden/>
              </w:rPr>
              <w:t>244</w:t>
            </w:r>
            <w:r w:rsidRPr="000549B5">
              <w:rPr>
                <w:webHidden/>
              </w:rPr>
              <w:fldChar w:fldCharType="end"/>
            </w:r>
          </w:hyperlink>
        </w:p>
        <w:p w14:paraId="3D98FBD6" w14:textId="6B5B9823" w:rsidR="00D01771" w:rsidRPr="000549B5" w:rsidRDefault="00D01771">
          <w:pPr>
            <w:pStyle w:val="TOC2"/>
            <w:tabs>
              <w:tab w:val="right" w:leader="dot" w:pos="9016"/>
            </w:tabs>
            <w:rPr>
              <w:rFonts w:ascii="Times New Roman" w:eastAsiaTheme="minorEastAsia" w:hAnsi="Times New Roman" w:cs="Times New Roman"/>
              <w:noProof/>
              <w:kern w:val="2"/>
              <w:sz w:val="24"/>
              <w:szCs w:val="24"/>
              <w:lang w:val="en-MY" w:eastAsia="en-GB"/>
              <w14:ligatures w14:val="standardContextual"/>
            </w:rPr>
          </w:pPr>
          <w:hyperlink w:anchor="_Toc211808169" w:history="1">
            <w:r w:rsidRPr="000549B5">
              <w:rPr>
                <w:rStyle w:val="Hyperlink"/>
                <w:rFonts w:ascii="Times New Roman" w:hAnsi="Times New Roman" w:cs="Times New Roman"/>
                <w:noProof/>
              </w:rPr>
              <w:t>EFFECTIVENESS OF COMPENSATION COMMITTEES IN CANADIAN BANKS: AN ASSESSMENT OF BOARD GOVERNANCE DISCLOSURES</w:t>
            </w:r>
            <w:r w:rsidRPr="000549B5">
              <w:rPr>
                <w:rFonts w:ascii="Times New Roman" w:hAnsi="Times New Roman" w:cs="Times New Roman"/>
                <w:noProof/>
                <w:webHidden/>
              </w:rPr>
              <w:tab/>
            </w:r>
            <w:r w:rsidRPr="000549B5">
              <w:rPr>
                <w:rFonts w:ascii="Times New Roman" w:hAnsi="Times New Roman" w:cs="Times New Roman"/>
                <w:noProof/>
                <w:webHidden/>
              </w:rPr>
              <w:fldChar w:fldCharType="begin"/>
            </w:r>
            <w:r w:rsidRPr="000549B5">
              <w:rPr>
                <w:rFonts w:ascii="Times New Roman" w:hAnsi="Times New Roman" w:cs="Times New Roman"/>
                <w:noProof/>
                <w:webHidden/>
              </w:rPr>
              <w:instrText xml:space="preserve"> PAGEREF _Toc211808169 \h </w:instrText>
            </w:r>
            <w:r w:rsidRPr="000549B5">
              <w:rPr>
                <w:rFonts w:ascii="Times New Roman" w:hAnsi="Times New Roman" w:cs="Times New Roman"/>
                <w:noProof/>
                <w:webHidden/>
              </w:rPr>
            </w:r>
            <w:r w:rsidRPr="000549B5">
              <w:rPr>
                <w:rFonts w:ascii="Times New Roman" w:hAnsi="Times New Roman" w:cs="Times New Roman"/>
                <w:noProof/>
                <w:webHidden/>
              </w:rPr>
              <w:fldChar w:fldCharType="separate"/>
            </w:r>
            <w:r w:rsidR="003277CA">
              <w:rPr>
                <w:rFonts w:ascii="Times New Roman" w:hAnsi="Times New Roman" w:cs="Times New Roman"/>
                <w:noProof/>
                <w:webHidden/>
              </w:rPr>
              <w:t>244</w:t>
            </w:r>
            <w:r w:rsidRPr="000549B5">
              <w:rPr>
                <w:rFonts w:ascii="Times New Roman" w:hAnsi="Times New Roman" w:cs="Times New Roman"/>
                <w:noProof/>
                <w:webHidden/>
              </w:rPr>
              <w:fldChar w:fldCharType="end"/>
            </w:r>
          </w:hyperlink>
        </w:p>
        <w:p w14:paraId="31021A95" w14:textId="7888A2B8" w:rsidR="00D01771" w:rsidRPr="000549B5" w:rsidRDefault="00D01771" w:rsidP="00A81BCB">
          <w:pPr>
            <w:pStyle w:val="TOC1"/>
            <w:rPr>
              <w:rFonts w:eastAsiaTheme="minorEastAsia"/>
              <w:kern w:val="2"/>
              <w:sz w:val="24"/>
              <w:szCs w:val="24"/>
              <w:lang w:val="en-MY" w:eastAsia="en-GB"/>
              <w14:ligatures w14:val="standardContextual"/>
            </w:rPr>
          </w:pPr>
          <w:hyperlink w:anchor="_Toc211808170" w:history="1">
            <w:r w:rsidRPr="000549B5">
              <w:rPr>
                <w:rStyle w:val="Hyperlink"/>
              </w:rPr>
              <w:t>Paper ID 76</w:t>
            </w:r>
            <w:r w:rsidRPr="000549B5">
              <w:rPr>
                <w:webHidden/>
              </w:rPr>
              <w:tab/>
            </w:r>
            <w:r w:rsidRPr="000549B5">
              <w:rPr>
                <w:webHidden/>
              </w:rPr>
              <w:fldChar w:fldCharType="begin"/>
            </w:r>
            <w:r w:rsidRPr="000549B5">
              <w:rPr>
                <w:webHidden/>
              </w:rPr>
              <w:instrText xml:space="preserve"> PAGEREF _Toc211808170 \h </w:instrText>
            </w:r>
            <w:r w:rsidRPr="000549B5">
              <w:rPr>
                <w:webHidden/>
              </w:rPr>
            </w:r>
            <w:r w:rsidRPr="000549B5">
              <w:rPr>
                <w:webHidden/>
              </w:rPr>
              <w:fldChar w:fldCharType="separate"/>
            </w:r>
            <w:r w:rsidR="003277CA">
              <w:rPr>
                <w:webHidden/>
              </w:rPr>
              <w:t>260</w:t>
            </w:r>
            <w:r w:rsidRPr="000549B5">
              <w:rPr>
                <w:webHidden/>
              </w:rPr>
              <w:fldChar w:fldCharType="end"/>
            </w:r>
          </w:hyperlink>
        </w:p>
        <w:p w14:paraId="38C297CD" w14:textId="5CB936F9" w:rsidR="00D01771" w:rsidRPr="000549B5" w:rsidRDefault="00D01771">
          <w:pPr>
            <w:pStyle w:val="TOC2"/>
            <w:tabs>
              <w:tab w:val="right" w:leader="dot" w:pos="9016"/>
            </w:tabs>
            <w:rPr>
              <w:rFonts w:ascii="Times New Roman" w:eastAsiaTheme="minorEastAsia" w:hAnsi="Times New Roman" w:cs="Times New Roman"/>
              <w:noProof/>
              <w:kern w:val="2"/>
              <w:sz w:val="24"/>
              <w:szCs w:val="24"/>
              <w:lang w:val="en-MY" w:eastAsia="en-GB"/>
              <w14:ligatures w14:val="standardContextual"/>
            </w:rPr>
          </w:pPr>
          <w:hyperlink w:anchor="_Toc211808171" w:history="1">
            <w:r w:rsidRPr="000549B5">
              <w:rPr>
                <w:rStyle w:val="Hyperlink"/>
                <w:rFonts w:ascii="Times New Roman" w:hAnsi="Times New Roman" w:cs="Times New Roman"/>
                <w:noProof/>
              </w:rPr>
              <w:t>THE EFFECT OF TAX PLANNING ON FINANCIAL PERFORMANCE IN VIETNAMESE CONSTRUCTION AND REAL ESTATE FIRMS</w:t>
            </w:r>
            <w:r w:rsidRPr="000549B5">
              <w:rPr>
                <w:rFonts w:ascii="Times New Roman" w:hAnsi="Times New Roman" w:cs="Times New Roman"/>
                <w:noProof/>
                <w:webHidden/>
              </w:rPr>
              <w:tab/>
            </w:r>
            <w:r w:rsidRPr="000549B5">
              <w:rPr>
                <w:rFonts w:ascii="Times New Roman" w:hAnsi="Times New Roman" w:cs="Times New Roman"/>
                <w:noProof/>
                <w:webHidden/>
              </w:rPr>
              <w:fldChar w:fldCharType="begin"/>
            </w:r>
            <w:r w:rsidRPr="000549B5">
              <w:rPr>
                <w:rFonts w:ascii="Times New Roman" w:hAnsi="Times New Roman" w:cs="Times New Roman"/>
                <w:noProof/>
                <w:webHidden/>
              </w:rPr>
              <w:instrText xml:space="preserve"> PAGEREF _Toc211808171 \h </w:instrText>
            </w:r>
            <w:r w:rsidRPr="000549B5">
              <w:rPr>
                <w:rFonts w:ascii="Times New Roman" w:hAnsi="Times New Roman" w:cs="Times New Roman"/>
                <w:noProof/>
                <w:webHidden/>
              </w:rPr>
            </w:r>
            <w:r w:rsidRPr="000549B5">
              <w:rPr>
                <w:rFonts w:ascii="Times New Roman" w:hAnsi="Times New Roman" w:cs="Times New Roman"/>
                <w:noProof/>
                <w:webHidden/>
              </w:rPr>
              <w:fldChar w:fldCharType="separate"/>
            </w:r>
            <w:r w:rsidR="003277CA">
              <w:rPr>
                <w:rFonts w:ascii="Times New Roman" w:hAnsi="Times New Roman" w:cs="Times New Roman"/>
                <w:noProof/>
                <w:webHidden/>
              </w:rPr>
              <w:t>260</w:t>
            </w:r>
            <w:r w:rsidRPr="000549B5">
              <w:rPr>
                <w:rFonts w:ascii="Times New Roman" w:hAnsi="Times New Roman" w:cs="Times New Roman"/>
                <w:noProof/>
                <w:webHidden/>
              </w:rPr>
              <w:fldChar w:fldCharType="end"/>
            </w:r>
          </w:hyperlink>
        </w:p>
        <w:p w14:paraId="291AB48D" w14:textId="1C466CDD" w:rsidR="00EC0CF4" w:rsidRPr="000549B5" w:rsidRDefault="00000000" w:rsidP="00EC0CF4">
          <w:pPr>
            <w:widowControl w:val="0"/>
            <w:tabs>
              <w:tab w:val="right" w:leader="dot" w:pos="12000"/>
            </w:tabs>
            <w:spacing w:before="60" w:after="0" w:line="240" w:lineRule="auto"/>
            <w:ind w:left="360"/>
            <w:rPr>
              <w:rFonts w:ascii="Times New Roman" w:hAnsi="Times New Roman" w:cs="Times New Roman"/>
            </w:rPr>
          </w:pPr>
          <w:r w:rsidRPr="000549B5">
            <w:rPr>
              <w:rFonts w:ascii="Times New Roman" w:hAnsi="Times New Roman" w:cs="Times New Roman"/>
            </w:rPr>
            <w:fldChar w:fldCharType="end"/>
          </w:r>
        </w:p>
        <w:p w14:paraId="2D0274FE" w14:textId="5FB09B26" w:rsidR="00EC0CF4" w:rsidRPr="000549B5" w:rsidRDefault="00EC0CF4" w:rsidP="00EC0CF4">
          <w:pPr>
            <w:rPr>
              <w:rFonts w:ascii="Times New Roman" w:hAnsi="Times New Roman" w:cs="Times New Roman"/>
            </w:rPr>
          </w:pPr>
          <w:r w:rsidRPr="000549B5">
            <w:rPr>
              <w:rFonts w:ascii="Times New Roman" w:hAnsi="Times New Roman" w:cs="Times New Roman"/>
            </w:rPr>
            <w:br w:type="page"/>
          </w:r>
        </w:p>
      </w:sdtContent>
    </w:sdt>
    <w:bookmarkEnd w:id="3" w:displacedByCustomXml="prev"/>
    <w:p w14:paraId="102AA541" w14:textId="0E05AB6D" w:rsidR="00FC7CAE" w:rsidRPr="008762F7" w:rsidRDefault="00FC7CAE" w:rsidP="00FC7CAE">
      <w:pPr>
        <w:pStyle w:val="Heading1"/>
      </w:pPr>
      <w:bookmarkStart w:id="4" w:name="_Toc211808126"/>
      <w:r w:rsidRPr="00FC7CAE">
        <w:lastRenderedPageBreak/>
        <w:t>TALKS, PANEL SESSIONS &amp; SEMINAR PRESENTERS’ PAPERS</w:t>
      </w:r>
      <w:bookmarkEnd w:id="4"/>
    </w:p>
    <w:p w14:paraId="4F1270D9" w14:textId="77777777" w:rsidR="00FC7CAE" w:rsidRDefault="00FC7CAE" w:rsidP="00FC7CAE">
      <w:pPr>
        <w:pStyle w:val="Heading1"/>
      </w:pPr>
      <w:bookmarkStart w:id="5" w:name="_Toc211808127"/>
      <w:r>
        <w:t>Paper ID 94</w:t>
      </w:r>
      <w:bookmarkEnd w:id="5"/>
    </w:p>
    <w:p w14:paraId="7C070864" w14:textId="748E1B44" w:rsidR="00FC7CAE" w:rsidRDefault="00FC7CAE" w:rsidP="00D01771">
      <w:pPr>
        <w:pStyle w:val="Heading2"/>
        <w:widowControl w:val="0"/>
      </w:pPr>
      <w:bookmarkStart w:id="6" w:name="_heading=h.v8krxdaaaf9t" w:colFirst="0" w:colLast="0"/>
      <w:bookmarkStart w:id="7" w:name="_Toc211808128"/>
      <w:bookmarkEnd w:id="6"/>
      <w:r>
        <w:t>“MIND THE GAP”: A GENEALOGY OF THE LITERATURE GAP IN ACCOUNTING AND BUSINESS RESEARCH</w:t>
      </w:r>
      <w:bookmarkEnd w:id="7"/>
    </w:p>
    <w:p w14:paraId="34D9D5FF" w14:textId="77777777" w:rsidR="00FC7CAE" w:rsidRPr="009A2FC3" w:rsidRDefault="00FC7CAE" w:rsidP="00FC7CAE">
      <w:pPr>
        <w:pStyle w:val="Author"/>
        <w:jc w:val="center"/>
      </w:pPr>
      <w:r w:rsidRPr="009A2FC3">
        <w:rPr>
          <w:b/>
          <w:bCs/>
        </w:rPr>
        <w:t>Paul Scarbrough</w:t>
      </w:r>
    </w:p>
    <w:p w14:paraId="23F3603F" w14:textId="77777777" w:rsidR="00FC7CAE" w:rsidRPr="009A2FC3" w:rsidRDefault="00FC7CAE" w:rsidP="00FC7CAE">
      <w:pPr>
        <w:pStyle w:val="Author"/>
        <w:jc w:val="center"/>
      </w:pPr>
      <w:r w:rsidRPr="009A2FC3">
        <w:t>Professor of Accounting and Control</w:t>
      </w:r>
    </w:p>
    <w:p w14:paraId="4AC004BD" w14:textId="77777777" w:rsidR="00FC7CAE" w:rsidRPr="009A2FC3" w:rsidRDefault="00FC7CAE" w:rsidP="00FC7CAE">
      <w:pPr>
        <w:pStyle w:val="Author"/>
        <w:jc w:val="center"/>
      </w:pPr>
      <w:r w:rsidRPr="009A2FC3">
        <w:t>Goodman School of Business</w:t>
      </w:r>
      <w:r w:rsidRPr="009A2FC3">
        <w:rPr>
          <w:rFonts w:hint="eastAsia"/>
          <w:lang w:eastAsia="ja-JP"/>
        </w:rPr>
        <w:t xml:space="preserve">, </w:t>
      </w:r>
      <w:r w:rsidRPr="009A2FC3">
        <w:t>Brock University, Canada</w:t>
      </w:r>
    </w:p>
    <w:p w14:paraId="438294CF" w14:textId="77777777" w:rsidR="00FC7CAE" w:rsidRPr="009A2FC3" w:rsidRDefault="00FC7CAE" w:rsidP="00FC7CAE">
      <w:pPr>
        <w:pStyle w:val="Author"/>
        <w:jc w:val="center"/>
      </w:pPr>
      <w:r w:rsidRPr="009A2FC3">
        <w:t xml:space="preserve">Email: </w:t>
      </w:r>
      <w:hyperlink r:id="rId15" w:history="1">
        <w:r w:rsidRPr="009A2FC3">
          <w:rPr>
            <w:rStyle w:val="Hyperlink"/>
            <w:color w:val="auto"/>
          </w:rPr>
          <w:t>pscarbrough@brocku.ca</w:t>
        </w:r>
      </w:hyperlink>
    </w:p>
    <w:p w14:paraId="0393B45A" w14:textId="0AB8E35D" w:rsidR="00FC7CAE" w:rsidRPr="009A2FC3" w:rsidRDefault="00FC7CAE" w:rsidP="00FC7CAE">
      <w:pPr>
        <w:pStyle w:val="Author"/>
        <w:jc w:val="center"/>
        <w:rPr>
          <w:b/>
          <w:bCs/>
          <w:color w:val="000000" w:themeColor="text1"/>
        </w:rPr>
      </w:pPr>
      <w:r w:rsidRPr="009A2FC3">
        <w:rPr>
          <w:b/>
          <w:sz w:val="26"/>
          <w:szCs w:val="26"/>
          <w:lang w:val="en" w:eastAsia="ja-JP"/>
        </w:rPr>
        <w:br/>
      </w:r>
      <w:r w:rsidRPr="009A2FC3">
        <w:rPr>
          <w:rFonts w:hint="eastAsia"/>
          <w:b/>
          <w:bCs/>
          <w:color w:val="000000" w:themeColor="text1"/>
        </w:rPr>
        <w:t>ABSTRACT</w:t>
      </w:r>
    </w:p>
    <w:p w14:paraId="547A8A6E" w14:textId="77777777" w:rsidR="00FC7CAE" w:rsidRPr="009A2FC3" w:rsidRDefault="00FC7CAE" w:rsidP="00FC7CAE">
      <w:pPr>
        <w:jc w:val="both"/>
        <w:rPr>
          <w:rFonts w:ascii="Times New Roman" w:hAnsi="Times New Roman" w:cs="Times New Roman"/>
          <w:color w:val="000000"/>
        </w:rPr>
      </w:pPr>
      <w:r w:rsidRPr="009A2FC3">
        <w:rPr>
          <w:rFonts w:ascii="Times New Roman" w:hAnsi="Times New Roman" w:cs="Times New Roman"/>
          <w:color w:val="000000"/>
        </w:rPr>
        <w:t xml:space="preserve">This paper examines the imperative to “identify a gap in the literature,” which has become both a methodological standard and an epistemic constraint within management and accounting scholarship, largely as a result of the reforms introduced by the Carnegie Commission in the United States during the 1960s. The genealogical analysis traces the historical origins, normalization, and institutional ascendancy of the gap-centric model, contending that it distorts scholarly inquiry, encourages the pursuit of transient conceptual fashions, and diminishes the value placed on problem-driven or practice-based research. The concept of the “gap” emerges as a prevailing rhetorical mechanism—supposedly defined as under-explored domains, theoretical inconsistencies, or overlooked perspectives—but what is overlooked is that these “gaps” are only in the literature, not in real-world phenomena. The literature itself has become the principal source for scholarly engagement rather than the world. This restricts the scope of inquiry to issues in the literature itself, it prioritizes “navigation” through existing research instead of the exploration of human problems, it overtly suppresses practical concerns, and it leads to the development of theories that are linked only to the academic canon rather than to empirical reality.  Consequently, many theories are actually literary constructs rather than discoveries grounded in real-world phenomena. The traditions preceding the Carnegie reforms (prior to the 1960s) are delineated, emphasizing </w:t>
      </w:r>
      <w:r w:rsidRPr="009A2FC3">
        <w:rPr>
          <w:rFonts w:ascii="Times New Roman" w:hAnsi="Times New Roman" w:cs="Times New Roman"/>
          <w:i/>
          <w:color w:val="000000"/>
        </w:rPr>
        <w:t>phronesis</w:t>
      </w:r>
      <w:r w:rsidRPr="009A2FC3">
        <w:rPr>
          <w:rFonts w:ascii="Times New Roman" w:hAnsi="Times New Roman" w:cs="Times New Roman"/>
          <w:color w:val="000000"/>
        </w:rPr>
        <w:t xml:space="preserve"> and craftsmanship, as exemplified by seminal figures such as Taylor (1911), Follett (1924), Barnard (1938), and Fayol (1949), who prioritized narrative synthesis and contextual judgment. The Carnegie Commission’s 1959 reforms created a disciplinary void, institutionalizing the “gap” as a ritualistic gatekeeper, leading to epistemic mimicry and a decline in practical relevance. The consequences of these developments including theory proliferation and intellectual insularity. This paper characterizes the gap as an epistemic bottleneck which reduces our ability to understand the world.</w:t>
      </w:r>
    </w:p>
    <w:p w14:paraId="7C1D7E77" w14:textId="77777777" w:rsidR="00FC7CAE" w:rsidRPr="00CD2C4F" w:rsidRDefault="00FC7CAE" w:rsidP="00FC7CAE">
      <w:pPr>
        <w:pStyle w:val="BodyText"/>
        <w:jc w:val="both"/>
        <w:rPr>
          <w:i/>
          <w:iCs/>
          <w:lang w:val="en-CA"/>
        </w:rPr>
      </w:pPr>
      <w:r w:rsidRPr="009A2FC3">
        <w:rPr>
          <w:b/>
          <w:bCs/>
          <w:lang w:val="en-CA"/>
        </w:rPr>
        <w:t xml:space="preserve">Keywords: </w:t>
      </w:r>
      <w:r w:rsidRPr="009A2FC3">
        <w:rPr>
          <w:i/>
          <w:iCs/>
          <w:lang w:val="en-CA"/>
        </w:rPr>
        <w:t>Literature gap; Epistemic trap; Carnegie reforms; Phronesis; Epistemic mimicry; Practice-based research</w:t>
      </w:r>
    </w:p>
    <w:p w14:paraId="128999A3" w14:textId="77777777" w:rsidR="00FC7CAE" w:rsidRDefault="00FC7CAE" w:rsidP="00FC7CAE"/>
    <w:p w14:paraId="31AA04AE" w14:textId="77777777" w:rsidR="00D01771" w:rsidRPr="009D6FA2" w:rsidRDefault="00D01771" w:rsidP="00D01771">
      <w:pPr>
        <w:pStyle w:val="Heading2"/>
      </w:pPr>
      <w:bookmarkStart w:id="8" w:name="X03a0a4ed3b2ebb2884d01667e454363c1777a27"/>
      <w:r w:rsidRPr="009D6FA2">
        <w:t>Introduction: The Tyranny of the Literature Gap</w:t>
      </w:r>
    </w:p>
    <w:p w14:paraId="6282591B" w14:textId="77777777" w:rsidR="00D01771" w:rsidRPr="006630A6" w:rsidRDefault="00D01771" w:rsidP="006630A6">
      <w:pPr>
        <w:pStyle w:val="FirstParagraph"/>
        <w:jc w:val="both"/>
        <w:rPr>
          <w:color w:val="000000" w:themeColor="text1"/>
        </w:rPr>
      </w:pPr>
      <w:r>
        <w:t xml:space="preserve">In academic accounting and business research, the imperative to “identify a gap in the literature” has become a methodological default and an epistemic trap. While intended to prevent redundancy and promote novel contributions, this gap-centric model distorts inquiry, incentivizes conceptual fads, and devalues problem-driven, practice-based, or discovery-led research. This essay examines the rise of the “gap” as a ritualized justification mechanism, arguing that it contributes to theory bloat, citation cartels, and the marginalization of inductive insight. By tracing its emergence and assessing its epistemological and practical consequences, the essay advocates for research grounded in reality, not rhetorical absence. This genealogy focuses on the U.S. system, where the Carnegie reforms began the process of looking for a gap, </w:t>
      </w:r>
      <w:r w:rsidRPr="006630A6">
        <w:rPr>
          <w:color w:val="000000" w:themeColor="text1"/>
        </w:rPr>
        <w:lastRenderedPageBreak/>
        <w:t>but its influence has extended globally, reshaping accounting and business tertiary education systems worldwide through the adoption of gap-centric norms and U.S.-dominated journals.</w:t>
      </w:r>
    </w:p>
    <w:p w14:paraId="3DA14F1A" w14:textId="77777777" w:rsidR="00D01771" w:rsidRPr="006630A6" w:rsidRDefault="00D01771" w:rsidP="006630A6">
      <w:pPr>
        <w:pStyle w:val="Heading3"/>
        <w:spacing w:line="240" w:lineRule="auto"/>
        <w:rPr>
          <w:rFonts w:ascii="Times New Roman" w:hAnsi="Times New Roman" w:cs="Times New Roman"/>
          <w:b/>
          <w:bCs/>
          <w:color w:val="000000" w:themeColor="text1"/>
        </w:rPr>
      </w:pPr>
      <w:bookmarkStart w:id="9" w:name="defining-the-gap"/>
      <w:r w:rsidRPr="006630A6">
        <w:rPr>
          <w:rFonts w:ascii="Times New Roman" w:hAnsi="Times New Roman" w:cs="Times New Roman"/>
          <w:b/>
          <w:bCs/>
          <w:color w:val="000000" w:themeColor="text1"/>
        </w:rPr>
        <w:t>Defining the Gap</w:t>
      </w:r>
    </w:p>
    <w:p w14:paraId="706480AB" w14:textId="77777777" w:rsidR="00D01771" w:rsidRPr="006630A6" w:rsidRDefault="00D01771" w:rsidP="006630A6">
      <w:pPr>
        <w:pStyle w:val="FirstParagraph"/>
        <w:jc w:val="both"/>
        <w:rPr>
          <w:color w:val="000000" w:themeColor="text1"/>
        </w:rPr>
      </w:pPr>
      <w:r w:rsidRPr="006630A6">
        <w:rPr>
          <w:color w:val="000000" w:themeColor="text1"/>
        </w:rPr>
        <w:t>In management, accounting, and related social sciences, research papers are expected to identify a “gap” in the literature and position their contribution as filling it. This has become the dominant rhetorical device in introductions and justifications, framing studies as legitimate by anchoring them to what has not been done. The gap is typically defined as:</w:t>
      </w:r>
    </w:p>
    <w:p w14:paraId="5AA9135C" w14:textId="77777777" w:rsidR="00D01771" w:rsidRPr="006630A6" w:rsidRDefault="00D01771" w:rsidP="00856618">
      <w:pPr>
        <w:pStyle w:val="BodyText"/>
        <w:numPr>
          <w:ilvl w:val="0"/>
          <w:numId w:val="62"/>
        </w:numPr>
        <w:spacing w:before="180" w:after="180"/>
        <w:jc w:val="both"/>
        <w:rPr>
          <w:color w:val="000000" w:themeColor="text1"/>
        </w:rPr>
      </w:pPr>
      <w:r w:rsidRPr="006630A6">
        <w:rPr>
          <w:color w:val="000000" w:themeColor="text1"/>
        </w:rPr>
        <w:t>An area under-explored by prior literature.</w:t>
      </w:r>
    </w:p>
    <w:p w14:paraId="23589833" w14:textId="77777777" w:rsidR="00D01771" w:rsidRPr="006630A6" w:rsidRDefault="00D01771" w:rsidP="00856618">
      <w:pPr>
        <w:pStyle w:val="BodyText"/>
        <w:numPr>
          <w:ilvl w:val="0"/>
          <w:numId w:val="62"/>
        </w:numPr>
        <w:spacing w:before="180" w:after="180"/>
        <w:jc w:val="both"/>
        <w:rPr>
          <w:color w:val="000000" w:themeColor="text1"/>
        </w:rPr>
      </w:pPr>
      <w:r w:rsidRPr="006630A6">
        <w:rPr>
          <w:color w:val="000000" w:themeColor="text1"/>
        </w:rPr>
        <w:t>A theoretical inconsistency between two or more models.</w:t>
      </w:r>
    </w:p>
    <w:p w14:paraId="18D3A5F6" w14:textId="77777777" w:rsidR="00D01771" w:rsidRPr="006630A6" w:rsidRDefault="00D01771" w:rsidP="00856618">
      <w:pPr>
        <w:pStyle w:val="BodyText"/>
        <w:numPr>
          <w:ilvl w:val="0"/>
          <w:numId w:val="62"/>
        </w:numPr>
        <w:spacing w:before="180" w:after="180"/>
        <w:jc w:val="both"/>
        <w:rPr>
          <w:color w:val="000000" w:themeColor="text1"/>
        </w:rPr>
      </w:pPr>
      <w:r w:rsidRPr="006630A6">
        <w:rPr>
          <w:color w:val="000000" w:themeColor="text1"/>
        </w:rPr>
        <w:t xml:space="preserve">A missing perspective, variable, or context in a well-known model. </w:t>
      </w:r>
    </w:p>
    <w:p w14:paraId="0A928225" w14:textId="77777777" w:rsidR="00D01771" w:rsidRPr="006630A6" w:rsidRDefault="00D01771" w:rsidP="009E2EBF">
      <w:pPr>
        <w:pStyle w:val="FirstParagraph"/>
        <w:jc w:val="both"/>
        <w:rPr>
          <w:color w:val="000000" w:themeColor="text1"/>
        </w:rPr>
      </w:pPr>
      <w:r w:rsidRPr="006630A6">
        <w:rPr>
          <w:color w:val="000000" w:themeColor="text1"/>
        </w:rPr>
        <w:t>This requirement shapes scholarly inquiry, often prioritizing uncharted conceptual territory rather than pressing real-world problems. Having defined the gap, we now explore its problematic characteristics and their impact on scholarship.</w:t>
      </w:r>
    </w:p>
    <w:p w14:paraId="31978CA0" w14:textId="77777777" w:rsidR="00D01771" w:rsidRPr="006630A6" w:rsidRDefault="00D01771" w:rsidP="00D01771">
      <w:pPr>
        <w:pStyle w:val="Heading3"/>
        <w:rPr>
          <w:rFonts w:ascii="Times New Roman" w:hAnsi="Times New Roman" w:cs="Times New Roman"/>
          <w:b/>
          <w:bCs/>
          <w:color w:val="000000" w:themeColor="text1"/>
        </w:rPr>
      </w:pPr>
      <w:bookmarkStart w:id="10" w:name="Xa629208037886d14b79805860747a5a9846d8b3"/>
      <w:bookmarkEnd w:id="9"/>
      <w:r w:rsidRPr="006630A6">
        <w:rPr>
          <w:rFonts w:ascii="Times New Roman" w:hAnsi="Times New Roman" w:cs="Times New Roman"/>
          <w:b/>
          <w:bCs/>
          <w:color w:val="000000" w:themeColor="text1"/>
        </w:rPr>
        <w:t>Characteristics and Problems with the Gap</w:t>
      </w:r>
    </w:p>
    <w:p w14:paraId="1DFA9F08" w14:textId="77777777" w:rsidR="00D01771" w:rsidRPr="006630A6" w:rsidRDefault="00D01771" w:rsidP="009E2EBF">
      <w:pPr>
        <w:pStyle w:val="FirstParagraph"/>
        <w:jc w:val="both"/>
        <w:rPr>
          <w:color w:val="000000" w:themeColor="text1"/>
        </w:rPr>
      </w:pPr>
      <w:r w:rsidRPr="006630A6">
        <w:rPr>
          <w:color w:val="000000" w:themeColor="text1"/>
        </w:rPr>
        <w:t>The gap-centric approach, often described as a methodological straitjacket, fosters a culture of performative research where “statistics wins out over practical relevance” (Rynes et al., 2018). Critics note that it leads to theorizing and methodological fetishism, with presentation conventions overshadowing substantive inquiry (Macdonald &amp; Kam, 2007). This ritualized gap-spotting substitutes hollow novelty for genuine knowledge, trapping scholars in a logic of positioning rather than problem-solving. Its key problems include:</w:t>
      </w:r>
    </w:p>
    <w:p w14:paraId="32B3C5A2" w14:textId="77777777" w:rsidR="00D01771" w:rsidRPr="006630A6" w:rsidRDefault="00D01771" w:rsidP="00856618">
      <w:pPr>
        <w:pStyle w:val="BodyText"/>
        <w:numPr>
          <w:ilvl w:val="0"/>
          <w:numId w:val="61"/>
        </w:numPr>
        <w:spacing w:before="180" w:after="180"/>
        <w:jc w:val="both"/>
        <w:rPr>
          <w:color w:val="000000" w:themeColor="text1"/>
        </w:rPr>
      </w:pPr>
      <w:r w:rsidRPr="006630A6">
        <w:rPr>
          <w:color w:val="000000" w:themeColor="text1"/>
        </w:rPr>
        <w:t>Narrowing Inquiry: Gap-justified research prioritizes what hasn’t been said over what is most important to understand, pushing scholars into marginal or artificial terrain. For example, a study might focus on “blockchain in niche industries” or “leadership in small Finnish consulting firms” solely because these are unstudied, not because they address significant issues. Such work often lacks practical significance, existing only to fill a rhetorical void.</w:t>
      </w:r>
    </w:p>
    <w:p w14:paraId="35B19585" w14:textId="77777777" w:rsidR="00D01771" w:rsidRPr="006630A6" w:rsidRDefault="00D01771" w:rsidP="00856618">
      <w:pPr>
        <w:pStyle w:val="BodyText"/>
        <w:numPr>
          <w:ilvl w:val="0"/>
          <w:numId w:val="61"/>
        </w:numPr>
        <w:spacing w:before="180" w:after="180"/>
        <w:jc w:val="both"/>
        <w:rPr>
          <w:color w:val="000000" w:themeColor="text1"/>
        </w:rPr>
      </w:pPr>
      <w:r w:rsidRPr="006630A6">
        <w:rPr>
          <w:color w:val="000000" w:themeColor="text1"/>
        </w:rPr>
        <w:t xml:space="preserve">Rewarding Literature Navigation: Scholars become curators of citation networks, judged by how cleverly they navigate existing theory rather than the depth of understanding they provide. The quality of a paper hinges on its positioning </w:t>
      </w:r>
      <w:r w:rsidRPr="006630A6">
        <w:rPr>
          <w:i/>
          <w:iCs/>
          <w:color w:val="000000" w:themeColor="text1"/>
        </w:rPr>
        <w:t>within the literature</w:t>
      </w:r>
      <w:r w:rsidRPr="006630A6">
        <w:rPr>
          <w:color w:val="000000" w:themeColor="text1"/>
        </w:rPr>
        <w:t>, not its contribution to real-world knowledge.</w:t>
      </w:r>
    </w:p>
    <w:p w14:paraId="78C1D599" w14:textId="77777777" w:rsidR="00D01771" w:rsidRPr="006630A6" w:rsidRDefault="00D01771" w:rsidP="00856618">
      <w:pPr>
        <w:pStyle w:val="BodyText"/>
        <w:numPr>
          <w:ilvl w:val="0"/>
          <w:numId w:val="61"/>
        </w:numPr>
        <w:spacing w:before="180" w:after="180"/>
        <w:jc w:val="both"/>
        <w:rPr>
          <w:color w:val="000000" w:themeColor="text1"/>
        </w:rPr>
      </w:pPr>
      <w:r w:rsidRPr="006630A6">
        <w:rPr>
          <w:color w:val="000000" w:themeColor="text1"/>
        </w:rPr>
        <w:t>Suppressing Practice-First Research: Observations of important real-world phenomena are often rejected if they cannot be tied to a literature gap. This gatekeeping excludes inductive or practice-based research, stifling insights from managerial or organizational realities.</w:t>
      </w:r>
    </w:p>
    <w:p w14:paraId="3F2C36F5" w14:textId="77777777" w:rsidR="00D01771" w:rsidRPr="006630A6" w:rsidRDefault="00D01771" w:rsidP="00856618">
      <w:pPr>
        <w:pStyle w:val="BodyText"/>
        <w:numPr>
          <w:ilvl w:val="0"/>
          <w:numId w:val="61"/>
        </w:numPr>
        <w:spacing w:before="180" w:after="180"/>
        <w:jc w:val="both"/>
        <w:rPr>
          <w:color w:val="000000" w:themeColor="text1"/>
        </w:rPr>
      </w:pPr>
      <w:r w:rsidRPr="006630A6">
        <w:rPr>
          <w:color w:val="000000" w:themeColor="text1"/>
        </w:rPr>
        <w:t xml:space="preserve">Proliferating Theories: To identify a gap, researchers often create new constructs or frameworks, leading to a bloated theory landscape. Many theories emerge not to enhance understanding but to satisfy the demand for novelty, resulting in “parasitic knowledge” that derives legitimacy from unoccupied conceptual space rather than explanatory power (Alvesson &amp; Sandberg, 2013). </w:t>
      </w:r>
    </w:p>
    <w:p w14:paraId="1E452FE5" w14:textId="77777777" w:rsidR="00D01771" w:rsidRPr="006630A6" w:rsidRDefault="00D01771" w:rsidP="009E2EBF">
      <w:pPr>
        <w:pStyle w:val="FirstParagraph"/>
        <w:jc w:val="both"/>
        <w:rPr>
          <w:color w:val="000000" w:themeColor="text1"/>
        </w:rPr>
      </w:pPr>
      <w:r w:rsidRPr="006630A6">
        <w:rPr>
          <w:color w:val="000000" w:themeColor="text1"/>
        </w:rPr>
        <w:t>These characteristics reveal broader epistemic issues, shaping the nature of scholarly inquiry.</w:t>
      </w:r>
    </w:p>
    <w:p w14:paraId="5F4B2454" w14:textId="77777777" w:rsidR="00D01771" w:rsidRPr="006630A6" w:rsidRDefault="00D01771" w:rsidP="009E2EBF">
      <w:pPr>
        <w:pStyle w:val="Heading3"/>
        <w:jc w:val="both"/>
        <w:rPr>
          <w:rFonts w:ascii="Times New Roman" w:hAnsi="Times New Roman" w:cs="Times New Roman"/>
          <w:b/>
          <w:bCs/>
          <w:color w:val="000000" w:themeColor="text1"/>
        </w:rPr>
      </w:pPr>
      <w:bookmarkStart w:id="11" w:name="broader-implications-and-alternatives"/>
      <w:bookmarkEnd w:id="10"/>
      <w:r w:rsidRPr="006630A6">
        <w:rPr>
          <w:rFonts w:ascii="Times New Roman" w:hAnsi="Times New Roman" w:cs="Times New Roman"/>
          <w:b/>
          <w:bCs/>
          <w:color w:val="000000" w:themeColor="text1"/>
        </w:rPr>
        <w:lastRenderedPageBreak/>
        <w:t>Broader Implications and Alternatives</w:t>
      </w:r>
    </w:p>
    <w:p w14:paraId="60BD96EF" w14:textId="77777777" w:rsidR="00D01771" w:rsidRPr="006630A6" w:rsidRDefault="00D01771" w:rsidP="009E2EBF">
      <w:pPr>
        <w:pStyle w:val="FirstParagraph"/>
        <w:jc w:val="both"/>
        <w:rPr>
          <w:color w:val="000000" w:themeColor="text1"/>
        </w:rPr>
      </w:pPr>
      <w:r w:rsidRPr="006630A6">
        <w:rPr>
          <w:color w:val="000000" w:themeColor="text1"/>
        </w:rPr>
        <w:t xml:space="preserve">The gap’s dominance reflects a deep-seated narrative that theory is the frontier of innovation, while practice is merely derivative—a framing that creates epistemic friction (Alvesson &amp; Sandberg, 2013). This bias, rooted in rationalist models where knowledge flows from intellectual conception to operational realization, devalues phronesis (practical wisdom) in favor of episteme (universal knowledge) (Flyvbjerg, 2001). For example, transformative practices like lean production, open-source software, and Agile teams originate in practice, not theory, yet are often ignored or subsumed under academic frameworks because they lack a gap-based justification. This represents an ontological error: management research treats the social world as waiting to be invented rather than understood, unlike fields like medicine or biology, where discovery is valued over invention (Mintzberg, 2004). The following framework highlights this misalignment: </w:t>
      </w:r>
    </w:p>
    <w:tbl>
      <w:tblPr>
        <w:tblStyle w:val="Tabl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1917"/>
        <w:gridCol w:w="2443"/>
        <w:gridCol w:w="1792"/>
        <w:gridCol w:w="2864"/>
      </w:tblGrid>
      <w:tr w:rsidR="00D01771" w14:paraId="4DED220C" w14:textId="77777777" w:rsidTr="008B7CBC">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645448A8" w14:textId="77777777" w:rsidR="00D01771" w:rsidRDefault="00D01771" w:rsidP="008B7CBC">
            <w:pPr>
              <w:pStyle w:val="Compact"/>
            </w:pPr>
            <w:r>
              <w:t>Type of Knowledge</w:t>
            </w:r>
          </w:p>
        </w:tc>
        <w:tc>
          <w:tcPr>
            <w:tcW w:w="2443" w:type="dxa"/>
            <w:tcBorders>
              <w:bottom w:val="none" w:sz="0" w:space="0" w:color="auto"/>
            </w:tcBorders>
          </w:tcPr>
          <w:p w14:paraId="10743C36" w14:textId="77777777" w:rsidR="00D01771" w:rsidRDefault="00D01771" w:rsidP="008B7CBC">
            <w:pPr>
              <w:pStyle w:val="Compact"/>
            </w:pPr>
            <w:r>
              <w:t>Source</w:t>
            </w:r>
          </w:p>
        </w:tc>
        <w:tc>
          <w:tcPr>
            <w:tcW w:w="1792" w:type="dxa"/>
            <w:tcBorders>
              <w:bottom w:val="none" w:sz="0" w:space="0" w:color="auto"/>
            </w:tcBorders>
          </w:tcPr>
          <w:p w14:paraId="56369BAA" w14:textId="77777777" w:rsidR="00D01771" w:rsidRDefault="00D01771" w:rsidP="008B7CBC">
            <w:pPr>
              <w:pStyle w:val="Compact"/>
            </w:pPr>
            <w:r>
              <w:t>Status in Academia</w:t>
            </w:r>
          </w:p>
        </w:tc>
        <w:tc>
          <w:tcPr>
            <w:tcW w:w="0" w:type="auto"/>
            <w:tcBorders>
              <w:bottom w:val="none" w:sz="0" w:space="0" w:color="auto"/>
            </w:tcBorders>
          </w:tcPr>
          <w:p w14:paraId="07FE9D81" w14:textId="77777777" w:rsidR="00D01771" w:rsidRDefault="00D01771" w:rsidP="008B7CBC">
            <w:pPr>
              <w:pStyle w:val="Compact"/>
            </w:pPr>
            <w:r>
              <w:t>Example</w:t>
            </w:r>
          </w:p>
        </w:tc>
      </w:tr>
      <w:tr w:rsidR="00D01771" w14:paraId="0BC72EB0" w14:textId="77777777" w:rsidTr="008B7CBC">
        <w:tc>
          <w:tcPr>
            <w:tcW w:w="0" w:type="auto"/>
          </w:tcPr>
          <w:p w14:paraId="1D400B71" w14:textId="77777777" w:rsidR="00D01771" w:rsidRDefault="00D01771" w:rsidP="008B7CBC">
            <w:pPr>
              <w:pStyle w:val="Compact"/>
            </w:pPr>
            <w:r>
              <w:t>Theoretical Invention</w:t>
            </w:r>
          </w:p>
        </w:tc>
        <w:tc>
          <w:tcPr>
            <w:tcW w:w="2443" w:type="dxa"/>
          </w:tcPr>
          <w:p w14:paraId="3D03A2CD" w14:textId="77777777" w:rsidR="00D01771" w:rsidRDefault="00D01771" w:rsidP="008B7CBC">
            <w:pPr>
              <w:pStyle w:val="Compact"/>
            </w:pPr>
            <w:r>
              <w:t>Academic theorist</w:t>
            </w:r>
          </w:p>
        </w:tc>
        <w:tc>
          <w:tcPr>
            <w:tcW w:w="1792" w:type="dxa"/>
          </w:tcPr>
          <w:p w14:paraId="4F896784" w14:textId="77777777" w:rsidR="00D01771" w:rsidRDefault="00D01771" w:rsidP="008B7CBC">
            <w:pPr>
              <w:pStyle w:val="Compact"/>
            </w:pPr>
            <w:r>
              <w:t>High</w:t>
            </w:r>
          </w:p>
        </w:tc>
        <w:tc>
          <w:tcPr>
            <w:tcW w:w="0" w:type="auto"/>
          </w:tcPr>
          <w:p w14:paraId="65551302" w14:textId="77777777" w:rsidR="00D01771" w:rsidRDefault="00D01771" w:rsidP="008B7CBC">
            <w:pPr>
              <w:pStyle w:val="Compact"/>
            </w:pPr>
            <w:r>
              <w:t>Dynamic capabilities, RBV, TCE</w:t>
            </w:r>
          </w:p>
        </w:tc>
      </w:tr>
      <w:tr w:rsidR="00D01771" w:rsidRPr="006369BC" w14:paraId="6AFDEEC7" w14:textId="77777777" w:rsidTr="008B7CBC">
        <w:tc>
          <w:tcPr>
            <w:tcW w:w="0" w:type="auto"/>
          </w:tcPr>
          <w:p w14:paraId="7356CC2F" w14:textId="77777777" w:rsidR="00D01771" w:rsidRDefault="00D01771" w:rsidP="008B7CBC">
            <w:pPr>
              <w:pStyle w:val="Compact"/>
            </w:pPr>
            <w:r>
              <w:t>Practical Discovery</w:t>
            </w:r>
          </w:p>
        </w:tc>
        <w:tc>
          <w:tcPr>
            <w:tcW w:w="2443" w:type="dxa"/>
          </w:tcPr>
          <w:p w14:paraId="63E41465" w14:textId="77777777" w:rsidR="00D01771" w:rsidRDefault="00D01771" w:rsidP="008B7CBC">
            <w:pPr>
              <w:pStyle w:val="Compact"/>
            </w:pPr>
            <w:r>
              <w:t>Practitioners</w:t>
            </w:r>
          </w:p>
        </w:tc>
        <w:tc>
          <w:tcPr>
            <w:tcW w:w="1792" w:type="dxa"/>
          </w:tcPr>
          <w:p w14:paraId="3FEF4121" w14:textId="77777777" w:rsidR="00D01771" w:rsidRDefault="00D01771" w:rsidP="008B7CBC">
            <w:pPr>
              <w:pStyle w:val="Compact"/>
            </w:pPr>
            <w:r>
              <w:t>Low</w:t>
            </w:r>
          </w:p>
        </w:tc>
        <w:tc>
          <w:tcPr>
            <w:tcW w:w="0" w:type="auto"/>
          </w:tcPr>
          <w:p w14:paraId="58A2720B" w14:textId="77777777" w:rsidR="00D01771" w:rsidRPr="007C1F6D" w:rsidRDefault="00D01771" w:rsidP="008B7CBC">
            <w:pPr>
              <w:pStyle w:val="Compact"/>
              <w:rPr>
                <w:lang w:val="it-IT"/>
              </w:rPr>
            </w:pPr>
            <w:r w:rsidRPr="007C1F6D">
              <w:rPr>
                <w:lang w:val="it-IT"/>
              </w:rPr>
              <w:t>Lean/TPS, Agile, DevOps, Montessori</w:t>
            </w:r>
          </w:p>
        </w:tc>
      </w:tr>
      <w:tr w:rsidR="00D01771" w14:paraId="51F7D7F2" w14:textId="77777777" w:rsidTr="008B7CBC">
        <w:tc>
          <w:tcPr>
            <w:tcW w:w="0" w:type="auto"/>
          </w:tcPr>
          <w:p w14:paraId="2ABE3FE1" w14:textId="77777777" w:rsidR="00D01771" w:rsidRDefault="00D01771" w:rsidP="008B7CBC">
            <w:pPr>
              <w:pStyle w:val="Compact"/>
            </w:pPr>
            <w:r>
              <w:t>Empirical Recognition</w:t>
            </w:r>
          </w:p>
        </w:tc>
        <w:tc>
          <w:tcPr>
            <w:tcW w:w="2443" w:type="dxa"/>
          </w:tcPr>
          <w:p w14:paraId="5FA570AE" w14:textId="77777777" w:rsidR="00D01771" w:rsidRDefault="00D01771" w:rsidP="008B7CBC">
            <w:pPr>
              <w:pStyle w:val="Compact"/>
            </w:pPr>
            <w:r>
              <w:t>Longitudinal study</w:t>
            </w:r>
          </w:p>
        </w:tc>
        <w:tc>
          <w:tcPr>
            <w:tcW w:w="1792" w:type="dxa"/>
          </w:tcPr>
          <w:p w14:paraId="68E0AA29" w14:textId="77777777" w:rsidR="00D01771" w:rsidRDefault="00D01771" w:rsidP="008B7CBC">
            <w:pPr>
              <w:pStyle w:val="Compact"/>
            </w:pPr>
            <w:r>
              <w:t>Mixed</w:t>
            </w:r>
          </w:p>
        </w:tc>
        <w:tc>
          <w:tcPr>
            <w:tcW w:w="0" w:type="auto"/>
          </w:tcPr>
          <w:p w14:paraId="0DECD6C4" w14:textId="77777777" w:rsidR="00D01771" w:rsidRDefault="00D01771" w:rsidP="008B7CBC">
            <w:pPr>
              <w:pStyle w:val="Compact"/>
            </w:pPr>
            <w:r>
              <w:t>Nightingale’s sanitation insights</w:t>
            </w:r>
          </w:p>
        </w:tc>
      </w:tr>
      <w:tr w:rsidR="00D01771" w14:paraId="300B4804" w14:textId="77777777" w:rsidTr="008B7CBC">
        <w:tc>
          <w:tcPr>
            <w:tcW w:w="0" w:type="auto"/>
          </w:tcPr>
          <w:p w14:paraId="2C244857" w14:textId="77777777" w:rsidR="00D01771" w:rsidRDefault="00D01771" w:rsidP="008B7CBC">
            <w:pPr>
              <w:pStyle w:val="Compact"/>
            </w:pPr>
            <w:r>
              <w:t>Design Knowledge</w:t>
            </w:r>
          </w:p>
        </w:tc>
        <w:tc>
          <w:tcPr>
            <w:tcW w:w="2443" w:type="dxa"/>
          </w:tcPr>
          <w:p w14:paraId="06F7FAE4" w14:textId="77777777" w:rsidR="00D01771" w:rsidRDefault="00D01771" w:rsidP="008B7CBC">
            <w:pPr>
              <w:pStyle w:val="Compact"/>
            </w:pPr>
            <w:r>
              <w:t>Engineers/designers</w:t>
            </w:r>
          </w:p>
        </w:tc>
        <w:tc>
          <w:tcPr>
            <w:tcW w:w="1792" w:type="dxa"/>
          </w:tcPr>
          <w:p w14:paraId="7260A2AA" w14:textId="77777777" w:rsidR="00D01771" w:rsidRDefault="00D01771" w:rsidP="008B7CBC">
            <w:pPr>
              <w:pStyle w:val="Compact"/>
            </w:pPr>
            <w:r>
              <w:t>Low (in management)</w:t>
            </w:r>
          </w:p>
        </w:tc>
        <w:tc>
          <w:tcPr>
            <w:tcW w:w="0" w:type="auto"/>
          </w:tcPr>
          <w:p w14:paraId="004D498D" w14:textId="77777777" w:rsidR="00D01771" w:rsidRDefault="00D01771" w:rsidP="008B7CBC">
            <w:pPr>
              <w:pStyle w:val="Compact"/>
            </w:pPr>
            <w:r>
              <w:t>Process flows, UI/UX principles, kaizen</w:t>
            </w:r>
          </w:p>
        </w:tc>
      </w:tr>
    </w:tbl>
    <w:p w14:paraId="3BD69839" w14:textId="77777777" w:rsidR="00D01771" w:rsidRDefault="00D01771" w:rsidP="009E2EBF">
      <w:pPr>
        <w:pStyle w:val="BodyText"/>
        <w:jc w:val="both"/>
      </w:pPr>
      <w:r>
        <w:t xml:space="preserve"> This prioritization of invention over discovery distorts scholarship, elevating citation choreography over real-world insight. As a corrective, alternative approaches can reframe research:</w:t>
      </w:r>
    </w:p>
    <w:p w14:paraId="329A919C" w14:textId="77777777" w:rsidR="00D01771" w:rsidRDefault="00D01771" w:rsidP="00856618">
      <w:pPr>
        <w:pStyle w:val="BodyText"/>
        <w:numPr>
          <w:ilvl w:val="0"/>
          <w:numId w:val="63"/>
        </w:numPr>
        <w:spacing w:before="0" w:after="0"/>
        <w:jc w:val="both"/>
      </w:pPr>
      <w:r>
        <w:t>Problem-driven research: Addressing real-world issues regardless of gaps.</w:t>
      </w:r>
    </w:p>
    <w:p w14:paraId="6ED0CB69" w14:textId="77777777" w:rsidR="00D01771" w:rsidRDefault="00D01771" w:rsidP="00856618">
      <w:pPr>
        <w:pStyle w:val="BodyText"/>
        <w:numPr>
          <w:ilvl w:val="0"/>
          <w:numId w:val="63"/>
        </w:numPr>
        <w:spacing w:before="0" w:after="0"/>
        <w:jc w:val="both"/>
      </w:pPr>
      <w:r>
        <w:t>Discovery-led inquiry: Starting from robust observations.</w:t>
      </w:r>
    </w:p>
    <w:p w14:paraId="5B186EC2" w14:textId="77777777" w:rsidR="00D01771" w:rsidRDefault="00D01771" w:rsidP="00856618">
      <w:pPr>
        <w:pStyle w:val="BodyText"/>
        <w:numPr>
          <w:ilvl w:val="0"/>
          <w:numId w:val="63"/>
        </w:numPr>
        <w:spacing w:before="0" w:after="0"/>
        <w:jc w:val="both"/>
      </w:pPr>
      <w:r>
        <w:t>Historical lineage research: Tracing enduring practices.</w:t>
      </w:r>
    </w:p>
    <w:p w14:paraId="4ED58785" w14:textId="2593D894" w:rsidR="009E2EBF" w:rsidRDefault="00D01771" w:rsidP="00856618">
      <w:pPr>
        <w:pStyle w:val="BodyText"/>
        <w:numPr>
          <w:ilvl w:val="0"/>
          <w:numId w:val="63"/>
        </w:numPr>
        <w:spacing w:before="0" w:after="0"/>
        <w:jc w:val="both"/>
      </w:pPr>
      <w:r>
        <w:t>Reverse theory, or Abductive Theorizing: Building theory from working systems. These approaches treat reality, not literature, as the source of inquiry, offering a path beyond the gap’s constraints. The gap’s emergence as a dominant paradigm stems from historical shifts in business research, beginning with the pre-reform era, as explored next.</w:t>
      </w:r>
      <w:bookmarkStart w:id="12" w:name="gap-conclusion"/>
      <w:bookmarkEnd w:id="11"/>
    </w:p>
    <w:p w14:paraId="77970472" w14:textId="77777777" w:rsidR="006630A6" w:rsidRPr="006630A6" w:rsidRDefault="006630A6" w:rsidP="006630A6">
      <w:pPr>
        <w:pStyle w:val="Heading3"/>
        <w:spacing w:line="240" w:lineRule="auto"/>
        <w:rPr>
          <w:rFonts w:ascii="Times New Roman" w:hAnsi="Times New Roman" w:cs="Times New Roman"/>
          <w:color w:val="000000" w:themeColor="text1"/>
        </w:rPr>
      </w:pPr>
    </w:p>
    <w:p w14:paraId="55527CFE" w14:textId="33E8732B" w:rsidR="00D01771" w:rsidRPr="006630A6" w:rsidRDefault="00D01771" w:rsidP="006630A6">
      <w:pPr>
        <w:pStyle w:val="Heading3"/>
        <w:spacing w:line="240" w:lineRule="auto"/>
        <w:rPr>
          <w:rFonts w:ascii="Times New Roman" w:hAnsi="Times New Roman" w:cs="Times New Roman"/>
          <w:b/>
          <w:bCs/>
          <w:color w:val="000000" w:themeColor="text1"/>
        </w:rPr>
      </w:pPr>
      <w:r w:rsidRPr="006630A6">
        <w:rPr>
          <w:rFonts w:ascii="Times New Roman" w:hAnsi="Times New Roman" w:cs="Times New Roman"/>
          <w:b/>
          <w:bCs/>
          <w:color w:val="000000" w:themeColor="text1"/>
        </w:rPr>
        <w:t>Gap Conclusion</w:t>
      </w:r>
    </w:p>
    <w:p w14:paraId="5891F42A" w14:textId="77777777" w:rsidR="00D01771" w:rsidRPr="006630A6" w:rsidRDefault="00D01771" w:rsidP="006630A6">
      <w:pPr>
        <w:pStyle w:val="FirstParagraph"/>
        <w:jc w:val="both"/>
        <w:rPr>
          <w:color w:val="000000" w:themeColor="text1"/>
        </w:rPr>
      </w:pPr>
      <w:r w:rsidRPr="006630A6">
        <w:rPr>
          <w:color w:val="000000" w:themeColor="text1"/>
        </w:rPr>
        <w:t>The literature gap, often a rhetorical crutch for academic legitimacy, has become a structural distortion in management and social science research. By prioritizing novelty over utility, it fosters a culture of performative originality, marginalizing practice-based insights and inflating theoretical constructs. Understanding its characteristics—narrow inquiry, citation navigation, suppression of practice, and theory proliferation—reveals its role as an intellectual alibi, justifying studies that lack real-world relevance. Escaping this trap requires reorienting research toward what needs to be understood, not merely what hasn’t been said.</w:t>
      </w:r>
    </w:p>
    <w:p w14:paraId="7250CB91" w14:textId="77777777" w:rsidR="00D01771" w:rsidRDefault="00D01771" w:rsidP="00D01771">
      <w:pPr>
        <w:pStyle w:val="Heading2"/>
      </w:pPr>
      <w:bookmarkStart w:id="13" w:name="X620ac5496b25ca0394367c3cd23870e24b3cb5b"/>
      <w:bookmarkEnd w:id="8"/>
      <w:bookmarkEnd w:id="12"/>
      <w:r>
        <w:lastRenderedPageBreak/>
        <w:t>Pre-Reform Traditions: Problem-Driven and Practitioner-Oriented Inquiry</w:t>
      </w:r>
    </w:p>
    <w:p w14:paraId="209E717D" w14:textId="77777777" w:rsidR="00D01771" w:rsidRPr="006630A6" w:rsidRDefault="00D01771" w:rsidP="006630A6">
      <w:pPr>
        <w:pStyle w:val="Heading3"/>
        <w:spacing w:before="0" w:line="240" w:lineRule="auto"/>
        <w:jc w:val="both"/>
        <w:rPr>
          <w:rFonts w:ascii="Times New Roman" w:hAnsi="Times New Roman" w:cs="Times New Roman"/>
          <w:b/>
          <w:bCs/>
          <w:color w:val="000000" w:themeColor="text1"/>
        </w:rPr>
      </w:pPr>
      <w:bookmarkStart w:id="14" w:name="early-20th-century-foundations"/>
      <w:r w:rsidRPr="006630A6">
        <w:rPr>
          <w:rFonts w:ascii="Times New Roman" w:hAnsi="Times New Roman" w:cs="Times New Roman"/>
          <w:b/>
          <w:bCs/>
          <w:color w:val="000000" w:themeColor="text1"/>
        </w:rPr>
        <w:t>Early 20th Century Foundations</w:t>
      </w:r>
    </w:p>
    <w:p w14:paraId="79748CF7" w14:textId="77777777" w:rsidR="00D01771" w:rsidRPr="006630A6" w:rsidRDefault="00D01771" w:rsidP="006630A6">
      <w:pPr>
        <w:pStyle w:val="FirstParagraph"/>
        <w:spacing w:before="0" w:after="0"/>
        <w:jc w:val="both"/>
        <w:rPr>
          <w:color w:val="000000" w:themeColor="text1"/>
        </w:rPr>
      </w:pPr>
      <w:r w:rsidRPr="006630A6">
        <w:rPr>
          <w:color w:val="000000" w:themeColor="text1"/>
        </w:rPr>
        <w:t xml:space="preserve">Before academic research became a formal mandate in business schools, knowledge production in accounting and management was driven by problem-solving and practitioner synthesis. In the early 20th century, fields like accounting, management, and marketing evolved through professional practice, not experimental or theoretical science. </w:t>
      </w:r>
    </w:p>
    <w:p w14:paraId="0750E7A7" w14:textId="77777777" w:rsidR="00D01771" w:rsidRDefault="00D01771" w:rsidP="006630A6">
      <w:pPr>
        <w:pStyle w:val="BodyText"/>
        <w:spacing w:before="0" w:after="0"/>
        <w:jc w:val="both"/>
        <w:rPr>
          <w:color w:val="000000" w:themeColor="text1"/>
        </w:rPr>
      </w:pPr>
      <w:r w:rsidRPr="006630A6">
        <w:rPr>
          <w:color w:val="000000" w:themeColor="text1"/>
        </w:rPr>
        <w:t>Accounting developed as a regulatory and stewardship function tied to state and commercial needs, grounded in standards, legal compliance, and normative judgment rather than hypothesis-driven discovery (</w:t>
      </w:r>
      <w:proofErr w:type="spellStart"/>
      <w:r w:rsidRPr="006630A6">
        <w:rPr>
          <w:color w:val="000000" w:themeColor="text1"/>
        </w:rPr>
        <w:t>Previts</w:t>
      </w:r>
      <w:proofErr w:type="spellEnd"/>
      <w:r w:rsidRPr="006630A6">
        <w:rPr>
          <w:color w:val="000000" w:themeColor="text1"/>
        </w:rPr>
        <w:t xml:space="preserve"> &amp; Merino, 1998). Early management thought, as reflected in figures like Taylor (1911) and Fayol (1949), focused on universally applicable methods to generate context-specific solutions. Taylor’s time-motion studies and Fayol’s administrative principles provided repeatable frameworks for practical problems in local organizational contexts, not generalizable theories. Similarly, marketing emerged as a practical toolkit for sales, distribution, and branding, distinct from later </w:t>
      </w:r>
      <w:proofErr w:type="spellStart"/>
      <w:r w:rsidRPr="006630A6">
        <w:rPr>
          <w:color w:val="000000" w:themeColor="text1"/>
        </w:rPr>
        <w:t>behavioral</w:t>
      </w:r>
      <w:proofErr w:type="spellEnd"/>
      <w:r w:rsidRPr="006630A6">
        <w:rPr>
          <w:color w:val="000000" w:themeColor="text1"/>
        </w:rPr>
        <w:t xml:space="preserve"> or econometric models (Jones &amp; Shaw, 2002). This era prioritized applied reasoning and design orientation over abstract theory, establishing a tradition rooted in craft and utility.</w:t>
      </w:r>
    </w:p>
    <w:p w14:paraId="5AA23B39" w14:textId="77777777" w:rsidR="006630A6" w:rsidRPr="006630A6" w:rsidRDefault="006630A6" w:rsidP="006630A6">
      <w:pPr>
        <w:pStyle w:val="BodyText"/>
        <w:spacing w:before="0" w:after="0"/>
        <w:jc w:val="both"/>
        <w:rPr>
          <w:color w:val="000000" w:themeColor="text1"/>
        </w:rPr>
      </w:pPr>
    </w:p>
    <w:p w14:paraId="45D3B82D" w14:textId="77777777" w:rsidR="00D01771" w:rsidRPr="006630A6" w:rsidRDefault="00D01771" w:rsidP="006630A6">
      <w:pPr>
        <w:pStyle w:val="Heading3"/>
        <w:spacing w:before="0" w:line="240" w:lineRule="auto"/>
        <w:rPr>
          <w:rFonts w:ascii="Times New Roman" w:hAnsi="Times New Roman" w:cs="Times New Roman"/>
          <w:b/>
          <w:bCs/>
          <w:color w:val="000000" w:themeColor="text1"/>
        </w:rPr>
      </w:pPr>
      <w:bookmarkStart w:id="15" w:name="mid-20th-century-synthesis"/>
      <w:bookmarkEnd w:id="14"/>
      <w:r w:rsidRPr="006630A6">
        <w:rPr>
          <w:rFonts w:ascii="Times New Roman" w:hAnsi="Times New Roman" w:cs="Times New Roman"/>
          <w:b/>
          <w:bCs/>
          <w:color w:val="000000" w:themeColor="text1"/>
        </w:rPr>
        <w:t>Mid-20th Century Synthesis</w:t>
      </w:r>
    </w:p>
    <w:p w14:paraId="1F25FE10" w14:textId="3245444E" w:rsidR="006630A6" w:rsidRPr="006630A6" w:rsidRDefault="00D01771" w:rsidP="006630A6">
      <w:pPr>
        <w:pStyle w:val="FirstParagraph"/>
        <w:spacing w:before="0" w:after="0"/>
        <w:jc w:val="both"/>
        <w:rPr>
          <w:color w:val="000000" w:themeColor="text1"/>
        </w:rPr>
      </w:pPr>
      <w:r w:rsidRPr="006630A6">
        <w:rPr>
          <w:color w:val="000000" w:themeColor="text1"/>
        </w:rPr>
        <w:t xml:space="preserve">By the mid-20th century, thinkers like Barnard (1938), Follett (1924), Drucker (1954), and </w:t>
      </w:r>
      <w:proofErr w:type="spellStart"/>
      <w:r w:rsidRPr="006630A6">
        <w:rPr>
          <w:color w:val="000000" w:themeColor="text1"/>
        </w:rPr>
        <w:t>Urwick</w:t>
      </w:r>
      <w:proofErr w:type="spellEnd"/>
      <w:r w:rsidRPr="006630A6">
        <w:rPr>
          <w:color w:val="000000" w:themeColor="text1"/>
        </w:rPr>
        <w:t xml:space="preserve"> and Gulick (1937) built on this tradition, creating conceptually generative and systematically reflective frameworks drawn from lived experience.</w:t>
      </w:r>
    </w:p>
    <w:p w14:paraId="43659827" w14:textId="77777777" w:rsidR="00D01771" w:rsidRPr="006630A6" w:rsidRDefault="00D01771" w:rsidP="006630A6">
      <w:pPr>
        <w:pStyle w:val="BodyText"/>
        <w:spacing w:before="0" w:after="0"/>
        <w:jc w:val="both"/>
        <w:rPr>
          <w:color w:val="000000" w:themeColor="text1"/>
        </w:rPr>
      </w:pPr>
      <w:r w:rsidRPr="006630A6">
        <w:rPr>
          <w:color w:val="000000" w:themeColor="text1"/>
        </w:rPr>
        <w:t xml:space="preserve">Barnard’s </w:t>
      </w:r>
      <w:r w:rsidRPr="006630A6">
        <w:rPr>
          <w:i/>
          <w:iCs/>
          <w:color w:val="000000" w:themeColor="text1"/>
        </w:rPr>
        <w:t>The Functions of the Executive</w:t>
      </w:r>
      <w:r w:rsidRPr="006630A6">
        <w:rPr>
          <w:color w:val="000000" w:themeColor="text1"/>
        </w:rPr>
        <w:t xml:space="preserve"> articulated a systemic theory of organizational cooperation, authority, and executive responsibility, using conceptual distinctions grounded in lived complexity rather than social science data or hypotheses. Barnard (1938) framed executive responsibility as a moral function: the executive must reconcile competing interests, maintain organizational coherence, and uphold legitimacy—not through formal authority alone, but through cooperative logic and responsibility to purpose. </w:t>
      </w:r>
    </w:p>
    <w:p w14:paraId="2B8AF0D4" w14:textId="77777777" w:rsidR="00D01771" w:rsidRDefault="00D01771" w:rsidP="006630A6">
      <w:pPr>
        <w:pStyle w:val="BodyText"/>
        <w:spacing w:before="0" w:after="0"/>
        <w:jc w:val="both"/>
        <w:rPr>
          <w:color w:val="000000" w:themeColor="text1"/>
        </w:rPr>
      </w:pPr>
      <w:r w:rsidRPr="006630A6">
        <w:rPr>
          <w:color w:val="000000" w:themeColor="text1"/>
        </w:rPr>
        <w:t xml:space="preserve">Follett (1924) explicitly positioned leadership as an integrative and participatory act. Her concepts of "constructive conflict," "circular response," and "power-with" reveal a vision of management in which authority is not imposed but generated through meaning-making. Her Creative Experience (1924) synthesized her civic organizing and conflict mediation work into a dynamic theory of integration, emphasizing situational judgment and evolving group norms—ideas ahead of their ethical and epistemological time (Graham, 1995). </w:t>
      </w:r>
    </w:p>
    <w:p w14:paraId="584599C5" w14:textId="77777777" w:rsidR="006630A6" w:rsidRPr="006630A6" w:rsidRDefault="006630A6" w:rsidP="006630A6">
      <w:pPr>
        <w:pStyle w:val="BodyText"/>
        <w:spacing w:before="0" w:after="0"/>
        <w:jc w:val="both"/>
        <w:rPr>
          <w:color w:val="000000" w:themeColor="text1"/>
        </w:rPr>
      </w:pPr>
    </w:p>
    <w:p w14:paraId="692F667E" w14:textId="5CA75024" w:rsidR="00D01771" w:rsidRDefault="00D01771" w:rsidP="006630A6">
      <w:pPr>
        <w:pStyle w:val="BodyText"/>
        <w:spacing w:before="0" w:after="0"/>
        <w:jc w:val="both"/>
        <w:rPr>
          <w:color w:val="000000" w:themeColor="text1"/>
        </w:rPr>
      </w:pPr>
      <w:r w:rsidRPr="006630A6">
        <w:rPr>
          <w:color w:val="000000" w:themeColor="text1"/>
        </w:rPr>
        <w:t xml:space="preserve">Similarly, Drucker’s Practice of Management (1954) integrated economic, </w:t>
      </w:r>
      <w:proofErr w:type="spellStart"/>
      <w:r w:rsidRPr="006630A6">
        <w:rPr>
          <w:color w:val="000000" w:themeColor="text1"/>
        </w:rPr>
        <w:t>behavioral</w:t>
      </w:r>
      <w:proofErr w:type="spellEnd"/>
      <w:r w:rsidRPr="006630A6">
        <w:rPr>
          <w:color w:val="000000" w:themeColor="text1"/>
        </w:rPr>
        <w:t xml:space="preserve">, and ethical concerns into an adaptable logic for organizational action, while </w:t>
      </w:r>
      <w:proofErr w:type="spellStart"/>
      <w:r w:rsidRPr="006630A6">
        <w:rPr>
          <w:color w:val="000000" w:themeColor="text1"/>
        </w:rPr>
        <w:t>Urwick</w:t>
      </w:r>
      <w:proofErr w:type="spellEnd"/>
      <w:r w:rsidRPr="006630A6">
        <w:rPr>
          <w:color w:val="000000" w:themeColor="text1"/>
        </w:rPr>
        <w:t xml:space="preserve"> and Gulick’s (1937) POSDCORB principles (planning, organizing, staffing, directing, co-ordinating, reporting, budgeting) required discretion for local adaptation (Wren &amp; </w:t>
      </w:r>
      <w:proofErr w:type="spellStart"/>
      <w:r w:rsidRPr="006630A6">
        <w:rPr>
          <w:color w:val="000000" w:themeColor="text1"/>
        </w:rPr>
        <w:t>Bedeian</w:t>
      </w:r>
      <w:proofErr w:type="spellEnd"/>
      <w:r w:rsidRPr="006630A6">
        <w:rPr>
          <w:color w:val="000000" w:themeColor="text1"/>
        </w:rPr>
        <w:t xml:space="preserve">, 2009). This pre-research tradition treated narrative, design, and systemic insight as legitimate knowledge forms. Case studies were detailed reconstructions intended to surface the tensions, trace the decision logics, and extract patterns, while narrative reasoning synthesized moral, institutional, and operational complexity. </w:t>
      </w:r>
    </w:p>
    <w:p w14:paraId="6659CFF0" w14:textId="77777777" w:rsidR="006630A6" w:rsidRPr="006630A6" w:rsidRDefault="006630A6" w:rsidP="006630A6">
      <w:pPr>
        <w:pStyle w:val="BodyText"/>
        <w:spacing w:before="0" w:after="0"/>
        <w:jc w:val="both"/>
        <w:rPr>
          <w:color w:val="000000" w:themeColor="text1"/>
        </w:rPr>
      </w:pPr>
    </w:p>
    <w:p w14:paraId="5A7BE017" w14:textId="77777777" w:rsidR="00D01771" w:rsidRDefault="00D01771" w:rsidP="006630A6">
      <w:pPr>
        <w:pStyle w:val="BodyText"/>
        <w:spacing w:before="0" w:after="0"/>
        <w:jc w:val="both"/>
        <w:rPr>
          <w:color w:val="000000" w:themeColor="text1"/>
        </w:rPr>
      </w:pPr>
      <w:r w:rsidRPr="006630A6">
        <w:rPr>
          <w:color w:val="000000" w:themeColor="text1"/>
        </w:rPr>
        <w:t xml:space="preserve">Systems thinking connected purpose, constraint, structure, and flow, aligning with Flyvbjerg’s (2001) discussions of the Aristotelian concept of phronesis—practical wisdom through contextual judgment. The alignment with phronesis rather than episteme demonstrated a focus on what must be judged, interpreted, and designed, not just measured. Managers were seen as designers and moral agents navigating ambiguity and multi-stakeholder dynamics, with internal coherence, utility, and psychological realism as standards, not generalizability or </w:t>
      </w:r>
      <w:r w:rsidRPr="006630A6">
        <w:rPr>
          <w:color w:val="000000" w:themeColor="text1"/>
        </w:rPr>
        <w:lastRenderedPageBreak/>
        <w:t xml:space="preserve">statistical significance (Follett, 1924; Barnard, 1938). As Schön (1983) later argued, practitioners developed knowledge through “reflection-in-action,” integrating reason with real-time complexity. This cognitive architecture emphasized patterns, tensions, and emergent fit over fixed laws, resonating with Nonaka and Takeuchi’s (1995) view of tacit, interaction-based organizational knowledge. </w:t>
      </w:r>
    </w:p>
    <w:p w14:paraId="6DE0D3A9" w14:textId="77777777" w:rsidR="006630A6" w:rsidRPr="006630A6" w:rsidRDefault="006630A6" w:rsidP="006630A6">
      <w:pPr>
        <w:pStyle w:val="BodyText"/>
        <w:spacing w:before="0" w:after="0"/>
        <w:jc w:val="both"/>
        <w:rPr>
          <w:color w:val="000000" w:themeColor="text1"/>
        </w:rPr>
      </w:pPr>
    </w:p>
    <w:p w14:paraId="5D50B6E8" w14:textId="77777777" w:rsidR="00D01771" w:rsidRDefault="00D01771" w:rsidP="006630A6">
      <w:pPr>
        <w:pStyle w:val="BodyText"/>
        <w:spacing w:before="0" w:after="0"/>
        <w:jc w:val="both"/>
        <w:rPr>
          <w:color w:val="000000" w:themeColor="text1"/>
        </w:rPr>
      </w:pPr>
      <w:r w:rsidRPr="006630A6">
        <w:rPr>
          <w:color w:val="000000" w:themeColor="text1"/>
        </w:rPr>
        <w:t xml:space="preserve">The pre-research management worldview was not reductionist, but rather, wholistic. It sought to understand organizations and action through coherent wholes—synthesizing purpose, structure, constraint, and ethical responsibility. The manager was a designer and moral agent operating within structurally and socially complex environments (Follett, 1924; Barnard, 1938) rather than an implementor of technique. This approach was based on the assumption that human judgment and interpretive reasoning were central to meaningful decision-making. As Nonaka and Takeuchi (1995) later argued, much of organizational knowledge is tacit, and managerial knowing is embedded in interaction, narrative, and intuition. Such a worldview places the emphasis not on isolated variables, but on patterns, tensions, and emergent fit. </w:t>
      </w:r>
    </w:p>
    <w:p w14:paraId="55A78D20" w14:textId="77777777" w:rsidR="006630A6" w:rsidRPr="006630A6" w:rsidRDefault="006630A6" w:rsidP="006630A6">
      <w:pPr>
        <w:pStyle w:val="BodyText"/>
        <w:spacing w:before="0" w:after="0"/>
        <w:jc w:val="both"/>
        <w:rPr>
          <w:color w:val="000000" w:themeColor="text1"/>
        </w:rPr>
      </w:pPr>
    </w:p>
    <w:p w14:paraId="35EFD07F" w14:textId="01B6CB71" w:rsidR="00D01771" w:rsidRDefault="00D01771" w:rsidP="006630A6">
      <w:pPr>
        <w:pStyle w:val="BodyText"/>
        <w:spacing w:before="0" w:after="0"/>
        <w:jc w:val="both"/>
        <w:rPr>
          <w:color w:val="000000" w:themeColor="text1"/>
        </w:rPr>
      </w:pPr>
      <w:r w:rsidRPr="006630A6">
        <w:rPr>
          <w:color w:val="000000" w:themeColor="text1"/>
        </w:rPr>
        <w:t>The managerial and accounting knowledge systems that existed prior to the Carnagie reforms of academic research were neither disorganized nor unsystematic. Rather, they followed a different logic of system: one grounded in synthesis, experiential accumulation, professional discretion, and institutional constraint. Taylor’s time-motion studies and Fayol’s administrative principles were not designed to produce generalizable findings in the modern academic sense; they were meant to provide repeatable frameworks for solving practical problems in local organizational environments (Taylor, 1911; Fayol, 1949). These were not proto-theories awaiting scientific refinement—they were mature forms of applied reasoning optimized for local adaptation, longitudinal continuity, and ethical responsibility (Barnard, 1938; Follett, 1924).</w:t>
      </w:r>
    </w:p>
    <w:p w14:paraId="352532FB" w14:textId="77777777" w:rsidR="006630A6" w:rsidRPr="006630A6" w:rsidRDefault="006630A6" w:rsidP="006630A6">
      <w:pPr>
        <w:pStyle w:val="BodyText"/>
        <w:spacing w:before="0" w:after="0"/>
        <w:jc w:val="both"/>
        <w:rPr>
          <w:color w:val="000000" w:themeColor="text1"/>
        </w:rPr>
      </w:pPr>
    </w:p>
    <w:p w14:paraId="4C1E7592" w14:textId="77777777" w:rsidR="00D01771" w:rsidRPr="006630A6" w:rsidRDefault="00D01771" w:rsidP="006630A6">
      <w:pPr>
        <w:pStyle w:val="Heading3"/>
        <w:spacing w:before="0" w:line="240" w:lineRule="auto"/>
        <w:jc w:val="both"/>
        <w:rPr>
          <w:rFonts w:ascii="Times New Roman" w:hAnsi="Times New Roman" w:cs="Times New Roman"/>
          <w:b/>
          <w:bCs/>
          <w:color w:val="000000" w:themeColor="text1"/>
        </w:rPr>
      </w:pPr>
      <w:bookmarkStart w:id="16" w:name="displacement-by-post-carnegie-norms"/>
      <w:bookmarkEnd w:id="15"/>
      <w:r w:rsidRPr="006630A6">
        <w:rPr>
          <w:rFonts w:ascii="Times New Roman" w:hAnsi="Times New Roman" w:cs="Times New Roman"/>
          <w:b/>
          <w:bCs/>
          <w:color w:val="000000" w:themeColor="text1"/>
        </w:rPr>
        <w:t>Displacement by Post-Carnegie Norms</w:t>
      </w:r>
    </w:p>
    <w:p w14:paraId="34FF288E" w14:textId="592E2FF6" w:rsidR="006630A6" w:rsidRDefault="00D01771" w:rsidP="006630A6">
      <w:pPr>
        <w:pStyle w:val="FirstParagraph"/>
        <w:spacing w:before="0" w:after="0"/>
        <w:jc w:val="both"/>
        <w:rPr>
          <w:color w:val="000000" w:themeColor="text1"/>
        </w:rPr>
      </w:pPr>
      <w:r w:rsidRPr="006630A6">
        <w:rPr>
          <w:color w:val="000000" w:themeColor="text1"/>
        </w:rPr>
        <w:t>This mature knowledge system, grounded in synthesis, experiential accumulation, and professional discretion, was not a pre-scientific stage awaiting refinement but a fully realized logic of practice optimized for local adaptation and ethical responsibility. However, this system was epistemically incompatible with the post-Carnegie research model, which emphasized generalizability and methodological purity. The phrase “scientific tradition,” used in Carnagie Commission reports to justify reforms, concealed the distinct epistemology of accounting, management, and marketing, which operated in the register of techne (craft) and phronesis (practical wisdom), not episteme (universal knowledge) (Flyvbjerg, 2001).</w:t>
      </w:r>
    </w:p>
    <w:p w14:paraId="0FED3AC5" w14:textId="77777777" w:rsidR="006630A6" w:rsidRPr="006630A6" w:rsidRDefault="006630A6" w:rsidP="006630A6">
      <w:pPr>
        <w:pStyle w:val="BodyText"/>
        <w:spacing w:before="0" w:after="0"/>
        <w:rPr>
          <w:lang w:val="en-US" w:eastAsia="en-US"/>
        </w:rPr>
      </w:pPr>
    </w:p>
    <w:p w14:paraId="2C9B76EB" w14:textId="77777777" w:rsidR="00D01771" w:rsidRDefault="00D01771" w:rsidP="006630A6">
      <w:pPr>
        <w:pStyle w:val="BodyText"/>
        <w:spacing w:before="0" w:after="0"/>
        <w:jc w:val="both"/>
        <w:rPr>
          <w:color w:val="000000" w:themeColor="text1"/>
        </w:rPr>
      </w:pPr>
      <w:r w:rsidRPr="006630A6">
        <w:rPr>
          <w:color w:val="000000" w:themeColor="text1"/>
        </w:rPr>
        <w:t xml:space="preserve">As Khurana (2007) documents, business schools abandoned their professional education mission for social science models prioritizing theoretical abstraction. In accounting, useful professional insights were devalued for lacking methodological purity (Kaplan, 2011). Ghoshal (2005) argues that abstract theory not only displaced applied reasoning but sometimes enabled destructive managerial ideologies. The following contrast illustrates this shift: </w:t>
      </w:r>
    </w:p>
    <w:p w14:paraId="78DEB444" w14:textId="77777777" w:rsidR="006630A6" w:rsidRPr="006630A6" w:rsidRDefault="006630A6" w:rsidP="006630A6">
      <w:pPr>
        <w:pStyle w:val="BodyText"/>
        <w:spacing w:before="0" w:after="0"/>
        <w:jc w:val="both"/>
        <w:rPr>
          <w:color w:val="000000" w:themeColor="text1"/>
        </w:rPr>
      </w:pPr>
    </w:p>
    <w:tbl>
      <w:tblPr>
        <w:tblStyle w:val="Table"/>
        <w:tblW w:w="0" w:type="auto"/>
        <w:tblLook w:val="0020" w:firstRow="1" w:lastRow="0" w:firstColumn="0" w:lastColumn="0" w:noHBand="0" w:noVBand="0"/>
      </w:tblPr>
      <w:tblGrid>
        <w:gridCol w:w="2110"/>
        <w:gridCol w:w="2456"/>
        <w:gridCol w:w="3243"/>
      </w:tblGrid>
      <w:tr w:rsidR="00D01771" w14:paraId="5A2D5113" w14:textId="77777777" w:rsidTr="008B7CBC">
        <w:trPr>
          <w:cnfStyle w:val="100000000000" w:firstRow="1" w:lastRow="0" w:firstColumn="0" w:lastColumn="0" w:oddVBand="0" w:evenVBand="0" w:oddHBand="0" w:evenHBand="0" w:firstRowFirstColumn="0" w:firstRowLastColumn="0" w:lastRowFirstColumn="0" w:lastRowLastColumn="0"/>
          <w:tblHeader/>
        </w:trPr>
        <w:tc>
          <w:tcPr>
            <w:tcW w:w="0" w:type="auto"/>
          </w:tcPr>
          <w:p w14:paraId="632DCF37" w14:textId="77777777" w:rsidR="00D01771" w:rsidRDefault="00D01771" w:rsidP="008B7CBC">
            <w:pPr>
              <w:pStyle w:val="Compact"/>
            </w:pPr>
            <w:r>
              <w:t>Dimension</w:t>
            </w:r>
          </w:p>
        </w:tc>
        <w:tc>
          <w:tcPr>
            <w:tcW w:w="0" w:type="auto"/>
          </w:tcPr>
          <w:p w14:paraId="6F735382" w14:textId="77777777" w:rsidR="00D01771" w:rsidRDefault="00D01771" w:rsidP="008B7CBC">
            <w:pPr>
              <w:pStyle w:val="Compact"/>
            </w:pPr>
            <w:r>
              <w:t>Pre-Reform Approach</w:t>
            </w:r>
          </w:p>
        </w:tc>
        <w:tc>
          <w:tcPr>
            <w:tcW w:w="0" w:type="auto"/>
          </w:tcPr>
          <w:p w14:paraId="36579CF6" w14:textId="77777777" w:rsidR="00D01771" w:rsidRDefault="00D01771" w:rsidP="008B7CBC">
            <w:pPr>
              <w:pStyle w:val="Compact"/>
            </w:pPr>
            <w:r>
              <w:t>Post-Carnegie Scientific Model</w:t>
            </w:r>
          </w:p>
        </w:tc>
      </w:tr>
      <w:tr w:rsidR="00D01771" w14:paraId="376108AC" w14:textId="77777777" w:rsidTr="008B7CBC">
        <w:tc>
          <w:tcPr>
            <w:tcW w:w="0" w:type="auto"/>
          </w:tcPr>
          <w:p w14:paraId="178C193A" w14:textId="77777777" w:rsidR="00D01771" w:rsidRDefault="00D01771" w:rsidP="008B7CBC">
            <w:pPr>
              <w:pStyle w:val="Compact"/>
            </w:pPr>
            <w:r>
              <w:t>What is universal?</w:t>
            </w:r>
          </w:p>
        </w:tc>
        <w:tc>
          <w:tcPr>
            <w:tcW w:w="0" w:type="auto"/>
          </w:tcPr>
          <w:p w14:paraId="74B078F2" w14:textId="77777777" w:rsidR="00D01771" w:rsidRDefault="00D01771" w:rsidP="008B7CBC">
            <w:pPr>
              <w:pStyle w:val="Compact"/>
            </w:pPr>
            <w:r>
              <w:t>The method</w:t>
            </w:r>
          </w:p>
        </w:tc>
        <w:tc>
          <w:tcPr>
            <w:tcW w:w="0" w:type="auto"/>
          </w:tcPr>
          <w:p w14:paraId="311CC291" w14:textId="77777777" w:rsidR="00D01771" w:rsidRDefault="00D01771" w:rsidP="008B7CBC">
            <w:pPr>
              <w:pStyle w:val="Compact"/>
            </w:pPr>
            <w:r>
              <w:t>The variables or models</w:t>
            </w:r>
          </w:p>
        </w:tc>
      </w:tr>
      <w:tr w:rsidR="00D01771" w14:paraId="50E6A5AE" w14:textId="77777777" w:rsidTr="008B7CBC">
        <w:tc>
          <w:tcPr>
            <w:tcW w:w="0" w:type="auto"/>
          </w:tcPr>
          <w:p w14:paraId="209679B7" w14:textId="77777777" w:rsidR="00D01771" w:rsidRDefault="00D01771" w:rsidP="008B7CBC">
            <w:pPr>
              <w:pStyle w:val="Compact"/>
            </w:pPr>
            <w:r>
              <w:t>Context role</w:t>
            </w:r>
          </w:p>
        </w:tc>
        <w:tc>
          <w:tcPr>
            <w:tcW w:w="0" w:type="auto"/>
          </w:tcPr>
          <w:p w14:paraId="47C8230B" w14:textId="77777777" w:rsidR="00D01771" w:rsidRDefault="00D01771" w:rsidP="008B7CBC">
            <w:pPr>
              <w:pStyle w:val="Compact"/>
            </w:pPr>
            <w:r>
              <w:t>Essential to application</w:t>
            </w:r>
          </w:p>
        </w:tc>
        <w:tc>
          <w:tcPr>
            <w:tcW w:w="0" w:type="auto"/>
          </w:tcPr>
          <w:p w14:paraId="63F5345C" w14:textId="77777777" w:rsidR="00D01771" w:rsidRDefault="00D01771" w:rsidP="008B7CBC">
            <w:pPr>
              <w:pStyle w:val="Compact"/>
            </w:pPr>
            <w:r>
              <w:t>Threat to generalizability</w:t>
            </w:r>
          </w:p>
        </w:tc>
      </w:tr>
      <w:tr w:rsidR="00D01771" w14:paraId="41EA4136" w14:textId="77777777" w:rsidTr="008B7CBC">
        <w:tc>
          <w:tcPr>
            <w:tcW w:w="0" w:type="auto"/>
          </w:tcPr>
          <w:p w14:paraId="3B6EF282" w14:textId="77777777" w:rsidR="00D01771" w:rsidRDefault="00D01771" w:rsidP="008B7CBC">
            <w:pPr>
              <w:pStyle w:val="Compact"/>
            </w:pPr>
            <w:r>
              <w:t>Function of method</w:t>
            </w:r>
          </w:p>
        </w:tc>
        <w:tc>
          <w:tcPr>
            <w:tcW w:w="0" w:type="auto"/>
          </w:tcPr>
          <w:p w14:paraId="2A5A2717" w14:textId="77777777" w:rsidR="00D01771" w:rsidRDefault="00D01771" w:rsidP="008B7CBC">
            <w:pPr>
              <w:pStyle w:val="Compact"/>
            </w:pPr>
            <w:r>
              <w:t>Guides judgment</w:t>
            </w:r>
          </w:p>
        </w:tc>
        <w:tc>
          <w:tcPr>
            <w:tcW w:w="0" w:type="auto"/>
          </w:tcPr>
          <w:p w14:paraId="5F9A6A3B" w14:textId="77777777" w:rsidR="00D01771" w:rsidRDefault="00D01771" w:rsidP="008B7CBC">
            <w:pPr>
              <w:pStyle w:val="Compact"/>
            </w:pPr>
            <w:r>
              <w:t>Produces valid claims</w:t>
            </w:r>
          </w:p>
        </w:tc>
      </w:tr>
      <w:tr w:rsidR="00D01771" w14:paraId="17C5CF7B" w14:textId="77777777" w:rsidTr="008B7CBC">
        <w:tc>
          <w:tcPr>
            <w:tcW w:w="0" w:type="auto"/>
          </w:tcPr>
          <w:p w14:paraId="52D47E0C" w14:textId="77777777" w:rsidR="00D01771" w:rsidRDefault="00D01771" w:rsidP="008B7CBC">
            <w:pPr>
              <w:pStyle w:val="Compact"/>
            </w:pPr>
            <w:r>
              <w:t>Practitioner role</w:t>
            </w:r>
          </w:p>
        </w:tc>
        <w:tc>
          <w:tcPr>
            <w:tcW w:w="0" w:type="auto"/>
          </w:tcPr>
          <w:p w14:paraId="3CF46C80" w14:textId="77777777" w:rsidR="00D01771" w:rsidRDefault="00D01771" w:rsidP="008B7CBC">
            <w:pPr>
              <w:pStyle w:val="Compact"/>
            </w:pPr>
            <w:r>
              <w:t>Interpreter of method</w:t>
            </w:r>
          </w:p>
        </w:tc>
        <w:tc>
          <w:tcPr>
            <w:tcW w:w="0" w:type="auto"/>
          </w:tcPr>
          <w:p w14:paraId="07F331B0" w14:textId="77777777" w:rsidR="00D01771" w:rsidRDefault="00D01771" w:rsidP="008B7CBC">
            <w:pPr>
              <w:pStyle w:val="Compact"/>
            </w:pPr>
            <w:r>
              <w:t>Implementer of technique</w:t>
            </w:r>
          </w:p>
        </w:tc>
      </w:tr>
      <w:tr w:rsidR="00D01771" w14:paraId="7E6D09D7" w14:textId="77777777" w:rsidTr="008B7CBC">
        <w:tc>
          <w:tcPr>
            <w:tcW w:w="0" w:type="auto"/>
          </w:tcPr>
          <w:p w14:paraId="1AB57169" w14:textId="77777777" w:rsidR="00D01771" w:rsidRDefault="00D01771" w:rsidP="008B7CBC">
            <w:pPr>
              <w:pStyle w:val="Compact"/>
            </w:pPr>
            <w:r>
              <w:t>Goal</w:t>
            </w:r>
          </w:p>
        </w:tc>
        <w:tc>
          <w:tcPr>
            <w:tcW w:w="0" w:type="auto"/>
          </w:tcPr>
          <w:p w14:paraId="3DCC86D0" w14:textId="77777777" w:rsidR="00D01771" w:rsidRDefault="00D01771" w:rsidP="008B7CBC">
            <w:pPr>
              <w:pStyle w:val="Compact"/>
            </w:pPr>
            <w:r>
              <w:t>Local improvement</w:t>
            </w:r>
          </w:p>
        </w:tc>
        <w:tc>
          <w:tcPr>
            <w:tcW w:w="0" w:type="auto"/>
          </w:tcPr>
          <w:p w14:paraId="6A5C9FD8" w14:textId="77777777" w:rsidR="00D01771" w:rsidRDefault="00D01771" w:rsidP="008B7CBC">
            <w:pPr>
              <w:pStyle w:val="Compact"/>
            </w:pPr>
            <w:r>
              <w:t>Theoretical contribution</w:t>
            </w:r>
          </w:p>
        </w:tc>
      </w:tr>
    </w:tbl>
    <w:p w14:paraId="381F7E48" w14:textId="31ECC7BA" w:rsidR="00D01771" w:rsidRPr="006630A6" w:rsidRDefault="00D01771" w:rsidP="009E2EBF">
      <w:pPr>
        <w:pStyle w:val="BodyText"/>
        <w:jc w:val="both"/>
        <w:rPr>
          <w:color w:val="000000" w:themeColor="text1"/>
        </w:rPr>
      </w:pPr>
      <w:r w:rsidRPr="006630A6">
        <w:rPr>
          <w:color w:val="000000" w:themeColor="text1"/>
        </w:rPr>
        <w:lastRenderedPageBreak/>
        <w:t xml:space="preserve">This displacement of the traditional system with the Carnagie version of </w:t>
      </w:r>
      <w:proofErr w:type="spellStart"/>
      <w:r w:rsidRPr="006630A6">
        <w:rPr>
          <w:color w:val="000000" w:themeColor="text1"/>
        </w:rPr>
        <w:t>sciencewas</w:t>
      </w:r>
      <w:proofErr w:type="spellEnd"/>
      <w:r w:rsidRPr="006630A6">
        <w:rPr>
          <w:color w:val="000000" w:themeColor="text1"/>
        </w:rPr>
        <w:t xml:space="preserve"> not meritocratic but a structural consequence of institutional mandates that rendered practice-based knowledge untranslatable into the new academic language of theory gaps and statistical inference (Bennis &amp; O’Toole, 2005).</w:t>
      </w:r>
    </w:p>
    <w:p w14:paraId="2B3C6FB1" w14:textId="77777777" w:rsidR="00D01771" w:rsidRPr="006630A6" w:rsidRDefault="00D01771" w:rsidP="00D01771">
      <w:pPr>
        <w:pStyle w:val="Heading2"/>
        <w:rPr>
          <w:color w:val="000000" w:themeColor="text1"/>
          <w:sz w:val="24"/>
          <w:szCs w:val="24"/>
        </w:rPr>
      </w:pPr>
      <w:bookmarkStart w:id="17" w:name="X29479c446b5cb4db3ffb58d70d7e42944af3ca9"/>
      <w:bookmarkEnd w:id="13"/>
      <w:bookmarkEnd w:id="16"/>
      <w:r w:rsidRPr="006630A6">
        <w:rPr>
          <w:color w:val="000000" w:themeColor="text1"/>
          <w:sz w:val="24"/>
          <w:szCs w:val="24"/>
        </w:rPr>
        <w:t>The Carnegie Reforms: Institutionalizing the Gap</w:t>
      </w:r>
    </w:p>
    <w:p w14:paraId="4895A37B" w14:textId="77777777" w:rsidR="00D01771" w:rsidRPr="006630A6" w:rsidRDefault="00D01771" w:rsidP="009E2EBF">
      <w:pPr>
        <w:pStyle w:val="Heading3"/>
        <w:jc w:val="both"/>
        <w:rPr>
          <w:rFonts w:ascii="Times New Roman" w:hAnsi="Times New Roman" w:cs="Times New Roman"/>
          <w:b/>
          <w:bCs/>
          <w:color w:val="000000" w:themeColor="text1"/>
        </w:rPr>
      </w:pPr>
      <w:bookmarkStart w:id="18" w:name="carnegie-reforms-as-catalyst"/>
      <w:r w:rsidRPr="006630A6">
        <w:rPr>
          <w:rFonts w:ascii="Times New Roman" w:hAnsi="Times New Roman" w:cs="Times New Roman"/>
          <w:b/>
          <w:bCs/>
          <w:color w:val="000000" w:themeColor="text1"/>
        </w:rPr>
        <w:t>Carnegie Reforms as Catalyst</w:t>
      </w:r>
    </w:p>
    <w:p w14:paraId="2FAD78C8" w14:textId="77777777" w:rsidR="00D01771" w:rsidRPr="006630A6" w:rsidRDefault="00D01771" w:rsidP="009E2EBF">
      <w:pPr>
        <w:pStyle w:val="FirstParagraph"/>
        <w:jc w:val="both"/>
        <w:rPr>
          <w:color w:val="000000" w:themeColor="text1"/>
        </w:rPr>
      </w:pPr>
      <w:r w:rsidRPr="006630A6">
        <w:rPr>
          <w:color w:val="000000" w:themeColor="text1"/>
        </w:rPr>
        <w:t>The rise of the “gap in the literature” as a central justification in business and accounting research stems from the Carnegie Commission’s transformative intervention in 1959. The Gordon and Howell report (Higher Education for Business, 1959) and Pierson’s critique (1959) rejected the vocational, practice-oriented model of business education as “unscientific,” advocating for rigorous methodologies drawn from economics, sociology, psychology, and operations research (</w:t>
      </w:r>
      <w:r w:rsidRPr="006630A6">
        <w:rPr>
          <w:color w:val="000000" w:themeColor="text1"/>
          <w:lang w:val="en-CA"/>
        </w:rPr>
        <w:t xml:space="preserve">see also, Augier &amp; March 2011). </w:t>
      </w:r>
      <w:r w:rsidRPr="006630A6">
        <w:rPr>
          <w:color w:val="000000" w:themeColor="text1"/>
        </w:rPr>
        <w:t xml:space="preserve">These reforms catalyzed the development of PhD programs, restructured curricula to emphasize quantitative methods, and established publication-driven tenure criteria, recasting academic legitimacy as theoretical contribution rather than practical utility (Gordon &amp; Howell, 1959; Pierson, 1959; Fourcade &amp; Khurana, 2013). This shift created a demand for a reproducible structure for research justification, into which the “gap” concept fit seamlessly, serving as a prosthetic epistemology—a borrowed framework to signal scholarly credibility (Khurana, 2007). The ultimate moral collapse has been the move to a three-paper dissertation instead of the </w:t>
      </w:r>
      <w:proofErr w:type="gramStart"/>
      <w:r w:rsidRPr="006630A6">
        <w:rPr>
          <w:color w:val="000000" w:themeColor="text1"/>
        </w:rPr>
        <w:t>more risky and scientific</w:t>
      </w:r>
      <w:proofErr w:type="gramEnd"/>
      <w:r w:rsidRPr="006630A6">
        <w:rPr>
          <w:color w:val="000000" w:themeColor="text1"/>
        </w:rPr>
        <w:t xml:space="preserve"> monograph. Most </w:t>
      </w:r>
      <w:proofErr w:type="spellStart"/>
      <w:r w:rsidRPr="006630A6">
        <w:rPr>
          <w:color w:val="000000" w:themeColor="text1"/>
        </w:rPr>
        <w:t>Phd</w:t>
      </w:r>
      <w:proofErr w:type="spellEnd"/>
      <w:r w:rsidRPr="006630A6">
        <w:rPr>
          <w:color w:val="000000" w:themeColor="text1"/>
        </w:rPr>
        <w:t xml:space="preserve"> programs have students work on three safe and risk-free studies completely inside the literature rather than experimenting with new thinking. This narrowing further cements the narrowness of scholarship because new PhDs believe that this is scholarship. </w:t>
      </w:r>
    </w:p>
    <w:p w14:paraId="2CFF54FE" w14:textId="77777777" w:rsidR="00D01771" w:rsidRPr="006630A6" w:rsidRDefault="00D01771" w:rsidP="009E2EBF">
      <w:pPr>
        <w:pStyle w:val="FirstParagraph"/>
        <w:jc w:val="both"/>
        <w:rPr>
          <w:color w:val="000000" w:themeColor="text1"/>
        </w:rPr>
      </w:pPr>
      <w:r w:rsidRPr="006630A6">
        <w:rPr>
          <w:color w:val="000000" w:themeColor="text1"/>
        </w:rPr>
        <w:t>Although centered on U.S. business education, the Carnegie Commission's reforms have had a profound global impact, influencing accounting and business tertiary systems worldwide by promoting a gap-centric model that prioritizes theoretical novelty over practical relevance.</w:t>
      </w:r>
    </w:p>
    <w:p w14:paraId="5A6C60EC" w14:textId="77777777" w:rsidR="00D01771" w:rsidRPr="006630A6" w:rsidRDefault="00D01771" w:rsidP="009E2EBF">
      <w:pPr>
        <w:pStyle w:val="Heading3"/>
        <w:jc w:val="both"/>
        <w:rPr>
          <w:rFonts w:ascii="Times New Roman" w:hAnsi="Times New Roman" w:cs="Times New Roman"/>
          <w:b/>
          <w:bCs/>
          <w:color w:val="000000" w:themeColor="text1"/>
        </w:rPr>
      </w:pPr>
      <w:bookmarkStart w:id="19" w:name="X4bcce841fd5257537e72b251a206a309dcf5305"/>
      <w:bookmarkEnd w:id="18"/>
      <w:r w:rsidRPr="006630A6">
        <w:rPr>
          <w:rFonts w:ascii="Times New Roman" w:hAnsi="Times New Roman" w:cs="Times New Roman"/>
          <w:b/>
          <w:bCs/>
          <w:color w:val="000000" w:themeColor="text1"/>
        </w:rPr>
        <w:t>Disciplinary Vacuum and Pre-Reform Context</w:t>
      </w:r>
    </w:p>
    <w:p w14:paraId="0ACF36F9" w14:textId="77777777" w:rsidR="00D01771" w:rsidRPr="006630A6" w:rsidRDefault="00D01771" w:rsidP="009E2EBF">
      <w:pPr>
        <w:pStyle w:val="FirstParagraph"/>
        <w:jc w:val="both"/>
        <w:rPr>
          <w:color w:val="000000" w:themeColor="text1"/>
        </w:rPr>
      </w:pPr>
      <w:r w:rsidRPr="006630A6">
        <w:rPr>
          <w:color w:val="000000" w:themeColor="text1"/>
        </w:rPr>
        <w:t>Business disciplines—accounting, marketing, strategy, operations, and organizational behavior—did not originate from investigative traditions but from craft, synthesis, and judgment rooted in professional practice. Unlike physics or anthropology, these fields had no indigenous culture of empirical puzzle-solving or systematic curiosity, relying instead on case-based pedagogy and practitioner expertise (Khurana &amp; Fourcade, 2013). Accounting developed as a regulatory and stewardship function, grounded in standards and normative judgment, not hypothesis-driven discovery (</w:t>
      </w:r>
      <w:proofErr w:type="spellStart"/>
      <w:r w:rsidRPr="006630A6">
        <w:rPr>
          <w:color w:val="000000" w:themeColor="text1"/>
        </w:rPr>
        <w:t>Previts</w:t>
      </w:r>
      <w:proofErr w:type="spellEnd"/>
      <w:r w:rsidRPr="006630A6">
        <w:rPr>
          <w:color w:val="000000" w:themeColor="text1"/>
        </w:rPr>
        <w:t xml:space="preserve"> &amp; Merino, 1998). Early management thought, exemplified by Taylor’s (1911) time-motion studies and Fayol’s (1949) administrative principles, provided frameworks for local problem-solving, not generalizable theories. Marketing emerged as a practical toolkit for sales and branding, distinct from later econometric models (Jones &amp; Shaw, 2002). This practice-based epistemology, oriented toward techne (craft) and phronesis (practical wisdom), was ill-suited to the Carnegie Commission’s scientific mandate, creating a vacuum that gap-justified research filled (Flyvbjerg, 2001).</w:t>
      </w:r>
    </w:p>
    <w:p w14:paraId="4A7C9DE3" w14:textId="77777777" w:rsidR="00D01771" w:rsidRPr="006630A6" w:rsidRDefault="00D01771" w:rsidP="009E2EBF">
      <w:pPr>
        <w:pStyle w:val="Heading3"/>
        <w:jc w:val="both"/>
        <w:rPr>
          <w:rFonts w:ascii="Times New Roman" w:hAnsi="Times New Roman" w:cs="Times New Roman"/>
          <w:b/>
          <w:bCs/>
          <w:color w:val="000000" w:themeColor="text1"/>
        </w:rPr>
      </w:pPr>
      <w:bookmarkStart w:id="20" w:name="institutionalization-of-the-gap"/>
      <w:bookmarkEnd w:id="19"/>
      <w:r w:rsidRPr="006630A6">
        <w:rPr>
          <w:rFonts w:ascii="Times New Roman" w:hAnsi="Times New Roman" w:cs="Times New Roman"/>
          <w:b/>
          <w:bCs/>
          <w:color w:val="000000" w:themeColor="text1"/>
        </w:rPr>
        <w:t>Institutionalization of the Gap</w:t>
      </w:r>
    </w:p>
    <w:p w14:paraId="29C1E67B" w14:textId="77777777" w:rsidR="00D01771" w:rsidRPr="006630A6" w:rsidRDefault="00D01771" w:rsidP="009E2EBF">
      <w:pPr>
        <w:pStyle w:val="FirstParagraph"/>
        <w:jc w:val="both"/>
        <w:rPr>
          <w:color w:val="000000" w:themeColor="text1"/>
        </w:rPr>
      </w:pPr>
      <w:r w:rsidRPr="006630A6">
        <w:rPr>
          <w:color w:val="000000" w:themeColor="text1"/>
        </w:rPr>
        <w:t xml:space="preserve">When business fields were directed to “do science,” they adopted the literature gap as a credible structure, alongside regression-based empiricism and imported theories like agency theory and institutional theory (Khurana, 2007). In the late 1970s and 1980s, this transformation solidified </w:t>
      </w:r>
      <w:r w:rsidRPr="006630A6">
        <w:rPr>
          <w:color w:val="000000" w:themeColor="text1"/>
        </w:rPr>
        <w:lastRenderedPageBreak/>
        <w:t xml:space="preserve">as PhD programs and journal hierarchies (e.g., Accounting Review, JAR) formalized gap identification as a mandatory template: </w:t>
      </w:r>
    </w:p>
    <w:p w14:paraId="0EB3CE6F" w14:textId="77777777" w:rsidR="00D01771" w:rsidRPr="006630A6" w:rsidRDefault="00D01771" w:rsidP="009E2EBF">
      <w:pPr>
        <w:pStyle w:val="FirstParagraph"/>
        <w:jc w:val="both"/>
        <w:rPr>
          <w:b/>
          <w:bCs/>
          <w:color w:val="000000" w:themeColor="text1"/>
        </w:rPr>
      </w:pPr>
      <w:r w:rsidRPr="006630A6">
        <w:rPr>
          <w:b/>
          <w:bCs/>
          <w:color w:val="000000" w:themeColor="text1"/>
        </w:rPr>
        <w:t xml:space="preserve">Introduction = define a gap → frame contribution as a plug → theorize. </w:t>
      </w:r>
    </w:p>
    <w:p w14:paraId="23033252" w14:textId="77777777" w:rsidR="00D01771" w:rsidRPr="006630A6" w:rsidRDefault="00D01771" w:rsidP="009E2EBF">
      <w:pPr>
        <w:pStyle w:val="FirstParagraph"/>
        <w:jc w:val="both"/>
        <w:rPr>
          <w:color w:val="000000" w:themeColor="text1"/>
        </w:rPr>
      </w:pPr>
      <w:r w:rsidRPr="006630A6">
        <w:rPr>
          <w:color w:val="000000" w:themeColor="text1"/>
        </w:rPr>
        <w:t xml:space="preserve">This “contribution ritual” allowed scholars to appear novel without engaging complex phenomena, satisfying standardized review formats (Alvesson &amp; Sandberg, 2013). Unlike predecessor disciplines, where gaps were a loose heuristic, business research turned them into a rigid gatekeeping device, shaping research agendas for decades (Macdonald &amp; Kam, 2007). In economics, papers like Coase (1937) and Akerlof (1970) focused on anomalies in the world, not literature voids; sociology emphasized social tensions in the world; and operations research prioritized design optimization of products or processes (Wren &amp; </w:t>
      </w:r>
      <w:proofErr w:type="spellStart"/>
      <w:r w:rsidRPr="006630A6">
        <w:rPr>
          <w:color w:val="000000" w:themeColor="text1"/>
        </w:rPr>
        <w:t>Bedeian</w:t>
      </w:r>
      <w:proofErr w:type="spellEnd"/>
      <w:r w:rsidRPr="006630A6">
        <w:rPr>
          <w:color w:val="000000" w:themeColor="text1"/>
        </w:rPr>
        <w:t>, 2009). The gap’s elevation to a methodological imperative was a misreading born of epistemic insecurity, not a natural evolution.</w:t>
      </w:r>
    </w:p>
    <w:p w14:paraId="4CAE3DE5" w14:textId="77777777" w:rsidR="00D01771" w:rsidRPr="006630A6" w:rsidRDefault="00D01771" w:rsidP="009E2EBF">
      <w:pPr>
        <w:pStyle w:val="Heading3"/>
        <w:jc w:val="both"/>
        <w:rPr>
          <w:rFonts w:ascii="Times New Roman" w:hAnsi="Times New Roman" w:cs="Times New Roman"/>
          <w:b/>
          <w:bCs/>
          <w:color w:val="000000" w:themeColor="text1"/>
        </w:rPr>
      </w:pPr>
      <w:bookmarkStart w:id="21" w:name="epistemic-consequences"/>
      <w:bookmarkEnd w:id="20"/>
      <w:r w:rsidRPr="006630A6">
        <w:rPr>
          <w:rFonts w:ascii="Times New Roman" w:hAnsi="Times New Roman" w:cs="Times New Roman"/>
          <w:b/>
          <w:bCs/>
          <w:color w:val="000000" w:themeColor="text1"/>
        </w:rPr>
        <w:t>Epistemic Consequences</w:t>
      </w:r>
    </w:p>
    <w:p w14:paraId="53894651" w14:textId="77777777" w:rsidR="00D01771" w:rsidRPr="006630A6" w:rsidRDefault="00D01771" w:rsidP="009E2EBF">
      <w:pPr>
        <w:pStyle w:val="FirstParagraph"/>
        <w:jc w:val="both"/>
        <w:rPr>
          <w:color w:val="000000" w:themeColor="text1"/>
        </w:rPr>
      </w:pPr>
      <w:r w:rsidRPr="006630A6">
        <w:rPr>
          <w:color w:val="000000" w:themeColor="text1"/>
        </w:rPr>
        <w:t xml:space="preserve">The Carnegie reforms created a borrowed epistemology, turning business schools into prestige-seeking subcultures of social sciences. This “epistemic mimicry” prioritized symbolic rigor over intellectual risk, displacing synthesis, judgment, and design with citation logic and theory signaling (Meyer &amp; Rowan, 1977). As Toulmin (1990) argues, the Enlightenment ideal of reason marginalized traditions of wisdom, rendering practice-based knowledge untranslatable into the new academic language of theory gaps and statistical inference (Bennis &amp; O’Toole, 2005). Accounting research lost practical relevance, favoring methodological purity (Kaplan, 2011), while management education produced analytical technicians, not reflective practitioners (Mintzberg, 2004). The gap became a ritual doorway, a threshold performance for scholarly entry, producing a simulacrum of science where research questions were formalities, not curiosities (Weick, 1996). This narrowing of intellectual range—codified through journal standards and PhD training—entrenched a system that valued positional novelty over phenomenological urgency, as shown below: </w:t>
      </w:r>
    </w:p>
    <w:tbl>
      <w:tblPr>
        <w:tblStyle w:val="Table"/>
        <w:tblW w:w="0" w:type="auto"/>
        <w:tblLook w:val="0020" w:firstRow="1" w:lastRow="0" w:firstColumn="0" w:lastColumn="0" w:noHBand="0" w:noVBand="0"/>
      </w:tblPr>
      <w:tblGrid>
        <w:gridCol w:w="2369"/>
        <w:gridCol w:w="5181"/>
      </w:tblGrid>
      <w:tr w:rsidR="00D01771" w14:paraId="088CCAA7" w14:textId="77777777" w:rsidTr="008B7CBC">
        <w:trPr>
          <w:cnfStyle w:val="100000000000" w:firstRow="1" w:lastRow="0" w:firstColumn="0" w:lastColumn="0" w:oddVBand="0" w:evenVBand="0" w:oddHBand="0" w:evenHBand="0" w:firstRowFirstColumn="0" w:firstRowLastColumn="0" w:lastRowFirstColumn="0" w:lastRowLastColumn="0"/>
          <w:cantSplit/>
          <w:tblHeader/>
        </w:trPr>
        <w:tc>
          <w:tcPr>
            <w:tcW w:w="0" w:type="auto"/>
          </w:tcPr>
          <w:p w14:paraId="545B803E" w14:textId="77777777" w:rsidR="00D01771" w:rsidRPr="00902E82" w:rsidRDefault="00D01771" w:rsidP="008B7CBC">
            <w:pPr>
              <w:pStyle w:val="Compact"/>
            </w:pPr>
            <w:r w:rsidRPr="00902E82">
              <w:t>Historical Event</w:t>
            </w:r>
          </w:p>
        </w:tc>
        <w:tc>
          <w:tcPr>
            <w:tcW w:w="0" w:type="auto"/>
          </w:tcPr>
          <w:p w14:paraId="5553BD2A" w14:textId="77777777" w:rsidR="00D01771" w:rsidRPr="00902E82" w:rsidRDefault="00D01771" w:rsidP="008B7CBC">
            <w:pPr>
              <w:pStyle w:val="Compact"/>
            </w:pPr>
            <w:r w:rsidRPr="00902E82">
              <w:t>Structural Effect</w:t>
            </w:r>
          </w:p>
        </w:tc>
      </w:tr>
      <w:tr w:rsidR="00D01771" w14:paraId="74D560C2" w14:textId="77777777" w:rsidTr="008B7CBC">
        <w:trPr>
          <w:cantSplit/>
        </w:trPr>
        <w:tc>
          <w:tcPr>
            <w:tcW w:w="0" w:type="auto"/>
          </w:tcPr>
          <w:p w14:paraId="1C472CB5" w14:textId="77777777" w:rsidR="00D01771" w:rsidRPr="00902E82" w:rsidRDefault="00D01771" w:rsidP="008B7CBC">
            <w:pPr>
              <w:pStyle w:val="Compact"/>
            </w:pPr>
            <w:r w:rsidRPr="00902E82">
              <w:t>Carnegie Commission</w:t>
            </w:r>
          </w:p>
        </w:tc>
        <w:tc>
          <w:tcPr>
            <w:tcW w:w="0" w:type="auto"/>
          </w:tcPr>
          <w:p w14:paraId="718ACC88" w14:textId="77777777" w:rsidR="00D01771" w:rsidRPr="00902E82" w:rsidRDefault="00D01771" w:rsidP="008B7CBC">
            <w:pPr>
              <w:pStyle w:val="Compact"/>
            </w:pPr>
            <w:r w:rsidRPr="00902E82">
              <w:t>Declared legitimacy requires scientific research.</w:t>
            </w:r>
          </w:p>
        </w:tc>
      </w:tr>
      <w:tr w:rsidR="00D01771" w14:paraId="4A4CD174" w14:textId="77777777" w:rsidTr="008B7CBC">
        <w:trPr>
          <w:cantSplit/>
        </w:trPr>
        <w:tc>
          <w:tcPr>
            <w:tcW w:w="0" w:type="auto"/>
          </w:tcPr>
          <w:p w14:paraId="38EDED23" w14:textId="77777777" w:rsidR="00D01771" w:rsidRPr="00902E82" w:rsidRDefault="00D01771" w:rsidP="008B7CBC">
            <w:pPr>
              <w:pStyle w:val="Compact"/>
            </w:pPr>
            <w:r w:rsidRPr="00902E82">
              <w:t>Disciplinary Vacuum</w:t>
            </w:r>
          </w:p>
        </w:tc>
        <w:tc>
          <w:tcPr>
            <w:tcW w:w="0" w:type="auto"/>
          </w:tcPr>
          <w:p w14:paraId="1AAF1888" w14:textId="77777777" w:rsidR="00D01771" w:rsidRPr="00902E82" w:rsidRDefault="00D01771" w:rsidP="008B7CBC">
            <w:pPr>
              <w:pStyle w:val="Compact"/>
            </w:pPr>
            <w:r w:rsidRPr="00902E82">
              <w:t>Lacked indigenous scientific culture.</w:t>
            </w:r>
          </w:p>
        </w:tc>
      </w:tr>
      <w:tr w:rsidR="00D01771" w14:paraId="0932E863" w14:textId="77777777" w:rsidTr="008B7CBC">
        <w:trPr>
          <w:cantSplit/>
        </w:trPr>
        <w:tc>
          <w:tcPr>
            <w:tcW w:w="0" w:type="auto"/>
          </w:tcPr>
          <w:p w14:paraId="000C23E4" w14:textId="77777777" w:rsidR="00D01771" w:rsidRPr="00902E82" w:rsidRDefault="00D01771" w:rsidP="008B7CBC">
            <w:pPr>
              <w:pStyle w:val="Compact"/>
            </w:pPr>
            <w:r w:rsidRPr="00902E82">
              <w:t>Epistemic Importation</w:t>
            </w:r>
          </w:p>
        </w:tc>
        <w:tc>
          <w:tcPr>
            <w:tcW w:w="0" w:type="auto"/>
          </w:tcPr>
          <w:p w14:paraId="6CC97FA6" w14:textId="77777777" w:rsidR="00D01771" w:rsidRPr="00902E82" w:rsidRDefault="00D01771" w:rsidP="008B7CBC">
            <w:pPr>
              <w:pStyle w:val="Compact"/>
            </w:pPr>
            <w:r w:rsidRPr="00902E82">
              <w:t>Gap-justified research filled the void.</w:t>
            </w:r>
          </w:p>
        </w:tc>
      </w:tr>
      <w:tr w:rsidR="00D01771" w14:paraId="057C25BC" w14:textId="77777777" w:rsidTr="008B7CBC">
        <w:trPr>
          <w:cantSplit/>
        </w:trPr>
        <w:tc>
          <w:tcPr>
            <w:tcW w:w="0" w:type="auto"/>
          </w:tcPr>
          <w:p w14:paraId="0109E06E" w14:textId="77777777" w:rsidR="00D01771" w:rsidRPr="00902E82" w:rsidRDefault="00D01771" w:rsidP="008B7CBC">
            <w:pPr>
              <w:pStyle w:val="Compact"/>
            </w:pPr>
            <w:r w:rsidRPr="00902E82">
              <w:t>Path Dependency</w:t>
            </w:r>
          </w:p>
        </w:tc>
        <w:tc>
          <w:tcPr>
            <w:tcW w:w="0" w:type="auto"/>
          </w:tcPr>
          <w:p w14:paraId="72F393DB" w14:textId="77777777" w:rsidR="00D01771" w:rsidRPr="00902E82" w:rsidRDefault="00D01771" w:rsidP="008B7CBC">
            <w:pPr>
              <w:pStyle w:val="Compact"/>
            </w:pPr>
            <w:r w:rsidRPr="00902E82">
              <w:t>Gap became default through training and standards.</w:t>
            </w:r>
          </w:p>
        </w:tc>
      </w:tr>
    </w:tbl>
    <w:p w14:paraId="06C04ED4" w14:textId="77777777" w:rsidR="00D01771" w:rsidRPr="007C3276" w:rsidRDefault="00D01771" w:rsidP="009E2EBF">
      <w:pPr>
        <w:pStyle w:val="BodyText"/>
        <w:jc w:val="both"/>
        <w:rPr>
          <w:color w:val="000000" w:themeColor="text1"/>
        </w:rPr>
      </w:pPr>
      <w:r w:rsidRPr="007C3276">
        <w:rPr>
          <w:color w:val="000000" w:themeColor="text1"/>
        </w:rPr>
        <w:t>Despite this dominance, practitioner traditions persisted through resistance and adaptation.</w:t>
      </w:r>
    </w:p>
    <w:p w14:paraId="1A9CD0F7" w14:textId="77777777" w:rsidR="00D01771" w:rsidRPr="007C3276" w:rsidRDefault="00D01771" w:rsidP="009E2EBF">
      <w:pPr>
        <w:pStyle w:val="Heading3"/>
        <w:jc w:val="both"/>
        <w:rPr>
          <w:rFonts w:ascii="Times New Roman" w:hAnsi="Times New Roman" w:cs="Times New Roman"/>
          <w:b/>
          <w:bCs/>
          <w:color w:val="000000" w:themeColor="text1"/>
        </w:rPr>
      </w:pPr>
      <w:bookmarkStart w:id="22" w:name="resistance-and-continuity"/>
      <w:bookmarkEnd w:id="21"/>
      <w:r w:rsidRPr="007C3276">
        <w:rPr>
          <w:rFonts w:ascii="Times New Roman" w:hAnsi="Times New Roman" w:cs="Times New Roman"/>
          <w:b/>
          <w:bCs/>
          <w:color w:val="000000" w:themeColor="text1"/>
        </w:rPr>
        <w:t>Resistance and Continuity</w:t>
      </w:r>
    </w:p>
    <w:p w14:paraId="0D09652E" w14:textId="77777777" w:rsidR="00D01771" w:rsidRPr="007C3276" w:rsidRDefault="00D01771" w:rsidP="009E2EBF">
      <w:pPr>
        <w:pStyle w:val="FirstParagraph"/>
        <w:jc w:val="both"/>
        <w:rPr>
          <w:color w:val="000000" w:themeColor="text1"/>
        </w:rPr>
      </w:pPr>
      <w:r w:rsidRPr="007C3276">
        <w:rPr>
          <w:color w:val="000000" w:themeColor="text1"/>
        </w:rPr>
        <w:t>The displacement of practitioner-rooted inquiry did not erase it. A vibrant literature by figures like Drucker (1954), Covey (1989), and Christensen (2003) flourished in consulting and trade publishing, retaining the reflective, problem-driven ethos of phronesis. Within universities, a “fifth column” of faculty—teachers and applied thinkers—maintained practical orientation, especially in lower-tier institutions rewarding relevance (Bennis &amp; O’Toole, 2005). Lower-tier journals (e.g., ABDC C-level, regional outlets in Asia, Latin America) offered submerged resistance, publishing contextually grounded work while mimicking Western formats. This “strategic mimicry” preserved pluralism, acting as a pressure valve within a standardized system (</w:t>
      </w:r>
      <w:proofErr w:type="spellStart"/>
      <w:r w:rsidRPr="007C3276">
        <w:rPr>
          <w:color w:val="000000" w:themeColor="text1"/>
        </w:rPr>
        <w:t>Mignolo</w:t>
      </w:r>
      <w:proofErr w:type="spellEnd"/>
      <w:r w:rsidRPr="007C3276">
        <w:rPr>
          <w:color w:val="000000" w:themeColor="text1"/>
        </w:rPr>
        <w:t xml:space="preserve">, 2009; Scott, 1990). However, a parallel ecosystem of pseudo-scientific journals emerged, mimicking scholarship without substance, driven by audit incentives </w:t>
      </w:r>
      <w:r w:rsidRPr="007C3276">
        <w:rPr>
          <w:color w:val="000000" w:themeColor="text1"/>
        </w:rPr>
        <w:lastRenderedPageBreak/>
        <w:t>(Strathern, 1997). These developments reveal a contested genealogy, where the practitioner tradition fractured but survived outside elite academia. These impacts and resistances set the stage for assessing the gap’s broader consequences and alternatives, explored next.</w:t>
      </w:r>
    </w:p>
    <w:p w14:paraId="3C7B5A32" w14:textId="77777777" w:rsidR="00D01771" w:rsidRPr="007C3276" w:rsidRDefault="00D01771" w:rsidP="009E2EBF">
      <w:pPr>
        <w:pStyle w:val="Heading2"/>
        <w:jc w:val="both"/>
        <w:rPr>
          <w:color w:val="000000" w:themeColor="text1"/>
          <w:sz w:val="24"/>
          <w:szCs w:val="24"/>
        </w:rPr>
      </w:pPr>
      <w:bookmarkStart w:id="23" w:name="section-4-conclusion-and-assessment"/>
      <w:bookmarkEnd w:id="17"/>
      <w:bookmarkEnd w:id="22"/>
      <w:r w:rsidRPr="007C3276">
        <w:rPr>
          <w:color w:val="000000" w:themeColor="text1"/>
          <w:sz w:val="24"/>
          <w:szCs w:val="24"/>
        </w:rPr>
        <w:t>Conclusion and Assessment</w:t>
      </w:r>
    </w:p>
    <w:p w14:paraId="63400AC0" w14:textId="77777777" w:rsidR="00D01771" w:rsidRPr="007C3276" w:rsidRDefault="00D01771" w:rsidP="009E2EBF">
      <w:pPr>
        <w:pStyle w:val="Heading3"/>
        <w:jc w:val="both"/>
        <w:rPr>
          <w:rFonts w:ascii="Times New Roman" w:hAnsi="Times New Roman" w:cs="Times New Roman"/>
          <w:b/>
          <w:bCs/>
          <w:color w:val="000000" w:themeColor="text1"/>
        </w:rPr>
      </w:pPr>
      <w:bookmarkStart w:id="24" w:name="synthesizing-the-genealogy"/>
      <w:r w:rsidRPr="007C3276">
        <w:rPr>
          <w:rFonts w:ascii="Times New Roman" w:hAnsi="Times New Roman" w:cs="Times New Roman"/>
          <w:b/>
          <w:bCs/>
          <w:color w:val="000000" w:themeColor="text1"/>
        </w:rPr>
        <w:t>Synthesizing the Genealogy</w:t>
      </w:r>
    </w:p>
    <w:p w14:paraId="2AE958BE" w14:textId="77777777" w:rsidR="00D01771" w:rsidRPr="007C3276" w:rsidRDefault="00D01771" w:rsidP="009E2EBF">
      <w:pPr>
        <w:pStyle w:val="FirstParagraph"/>
        <w:jc w:val="both"/>
        <w:rPr>
          <w:color w:val="000000" w:themeColor="text1"/>
        </w:rPr>
      </w:pPr>
      <w:r w:rsidRPr="007C3276">
        <w:rPr>
          <w:color w:val="000000" w:themeColor="text1"/>
        </w:rPr>
        <w:t>The literature gap, a methodological straitjacket in management and accounting research, emerged not as a natural evolution of inquiry but as a historical contingency rooted in institutional pressures to “look like a science”. Before the 1950s, business scholarship thrived on practice-based traditions, grounded in phronesis—practical wisdom—and narrative synthesis, as seen in the work of thinkers like Barnard and Follett. The Carnegie Commission’s 1959 reforms, demanding scientific rigor, displaced this tradition by importing social science models, creating a “prosthetic epistemology” where the gap became a ritualized justification for academic legitimacy (Gordon &amp; Howell, 1959; Khurana, 2007). By the 1970s–1980s, this gap-centric model hardened into a gatekeeping mechanism through PhD programs and journal standards, prioritizing theoretical novelty over practical relevance (Alvesson &amp; Sandberg, 2013). In summary, this U.S.-centric genealogy illustrates how the gap model has permeated global accounting and business education, marginalizing practice-oriented traditions and incentivizing a universal emphasis on theoretical novelty.</w:t>
      </w:r>
    </w:p>
    <w:p w14:paraId="54FE4791" w14:textId="77777777" w:rsidR="00D01771" w:rsidRPr="007C3276" w:rsidRDefault="00D01771" w:rsidP="009E2EBF">
      <w:pPr>
        <w:pStyle w:val="Heading3"/>
        <w:jc w:val="both"/>
        <w:rPr>
          <w:rFonts w:ascii="Times New Roman" w:hAnsi="Times New Roman" w:cs="Times New Roman"/>
          <w:b/>
          <w:bCs/>
          <w:color w:val="000000" w:themeColor="text1"/>
        </w:rPr>
      </w:pPr>
      <w:bookmarkStart w:id="25" w:name="contemporary-impacts"/>
      <w:bookmarkEnd w:id="24"/>
      <w:r w:rsidRPr="007C3276">
        <w:rPr>
          <w:rFonts w:ascii="Times New Roman" w:hAnsi="Times New Roman" w:cs="Times New Roman"/>
          <w:b/>
          <w:bCs/>
          <w:color w:val="000000" w:themeColor="text1"/>
        </w:rPr>
        <w:t>Contemporary Impacts</w:t>
      </w:r>
    </w:p>
    <w:p w14:paraId="3A0C57A6" w14:textId="77777777" w:rsidR="00D01771" w:rsidRPr="007C3276" w:rsidRDefault="00D01771" w:rsidP="009E2EBF">
      <w:pPr>
        <w:pStyle w:val="FirstParagraph"/>
        <w:jc w:val="both"/>
        <w:rPr>
          <w:color w:val="000000" w:themeColor="text1"/>
        </w:rPr>
      </w:pPr>
      <w:r w:rsidRPr="007C3276">
        <w:rPr>
          <w:color w:val="000000" w:themeColor="text1"/>
        </w:rPr>
        <w:t>The gap-centric model has entrenched a performative scholarship, particularly evident in the 2010s–present, where researchers chase narrow, artificial gaps, producing “novelty inflation” through micro-constructs like “We examine X in the context of Y using Z” (Kaplan, 2011). This has led to several critical consequences:</w:t>
      </w:r>
    </w:p>
    <w:p w14:paraId="068B4A35" w14:textId="77777777" w:rsidR="00D01771" w:rsidRPr="007C3276" w:rsidRDefault="00D01771" w:rsidP="00856618">
      <w:pPr>
        <w:pStyle w:val="BodyText"/>
        <w:numPr>
          <w:ilvl w:val="0"/>
          <w:numId w:val="64"/>
        </w:numPr>
        <w:spacing w:before="180" w:after="180"/>
        <w:jc w:val="both"/>
        <w:rPr>
          <w:color w:val="000000" w:themeColor="text1"/>
        </w:rPr>
      </w:pPr>
      <w:r w:rsidRPr="007C3276">
        <w:rPr>
          <w:color w:val="000000" w:themeColor="text1"/>
        </w:rPr>
        <w:t>Theory Bloat: The proliferation of constructs creates a cluttered theoretical landscape, lacking clarity or coherence (Gendron, 2008).</w:t>
      </w:r>
    </w:p>
    <w:p w14:paraId="28AA90FF" w14:textId="77777777" w:rsidR="00D01771" w:rsidRPr="007C3276" w:rsidRDefault="00D01771" w:rsidP="00856618">
      <w:pPr>
        <w:pStyle w:val="BodyText"/>
        <w:numPr>
          <w:ilvl w:val="0"/>
          <w:numId w:val="64"/>
        </w:numPr>
        <w:spacing w:before="180" w:after="180"/>
        <w:jc w:val="both"/>
        <w:rPr>
          <w:color w:val="000000" w:themeColor="text1"/>
        </w:rPr>
      </w:pPr>
      <w:r w:rsidRPr="007C3276">
        <w:rPr>
          <w:color w:val="000000" w:themeColor="text1"/>
        </w:rPr>
        <w:t>Intellectual Isolation: Academic research is increasingly disconnected from practice, with executives, managers, and accountants relying on consulting firms, practitioner books, or internal innovations rather than journals (Bennis &amp; O’Toole, 2005; Bartunek &amp; Rynes, 2014).</w:t>
      </w:r>
    </w:p>
    <w:p w14:paraId="328953E4" w14:textId="77777777" w:rsidR="00D01771" w:rsidRPr="007C3276" w:rsidRDefault="00D01771" w:rsidP="00856618">
      <w:pPr>
        <w:pStyle w:val="BodyText"/>
        <w:numPr>
          <w:ilvl w:val="0"/>
          <w:numId w:val="64"/>
        </w:numPr>
        <w:spacing w:before="180" w:after="180"/>
        <w:jc w:val="both"/>
        <w:rPr>
          <w:color w:val="000000" w:themeColor="text1"/>
        </w:rPr>
      </w:pPr>
      <w:r w:rsidRPr="007C3276">
        <w:rPr>
          <w:color w:val="000000" w:themeColor="text1"/>
        </w:rPr>
        <w:t>Weak Replication Culture: Top journals rarely publish retractions or critical examinations, undermining the logic of falsification central to scientific inquiry (Kaplan, 2011).</w:t>
      </w:r>
    </w:p>
    <w:p w14:paraId="59640FB8" w14:textId="77777777" w:rsidR="00D01771" w:rsidRPr="007C3276" w:rsidRDefault="00D01771" w:rsidP="00856618">
      <w:pPr>
        <w:pStyle w:val="BodyText"/>
        <w:numPr>
          <w:ilvl w:val="0"/>
          <w:numId w:val="64"/>
        </w:numPr>
        <w:spacing w:before="180" w:after="180"/>
        <w:jc w:val="both"/>
        <w:rPr>
          <w:color w:val="000000" w:themeColor="text1"/>
        </w:rPr>
      </w:pPr>
      <w:r w:rsidRPr="007C3276">
        <w:rPr>
          <w:color w:val="000000" w:themeColor="text1"/>
        </w:rPr>
        <w:t xml:space="preserve">Neglect of Practice-Led Innovations: Transformative practices like lean production, Agile methods, and sociotechnical design are ignored or subsumed under unrelated academic frameworks, as the academy neither leads nor follows practice (Bourdieu, 1988). </w:t>
      </w:r>
    </w:p>
    <w:p w14:paraId="6EBBE107" w14:textId="77777777" w:rsidR="00D01771" w:rsidRPr="007C3276" w:rsidRDefault="00D01771" w:rsidP="009E2EBF">
      <w:pPr>
        <w:pStyle w:val="FirstParagraph"/>
        <w:jc w:val="both"/>
        <w:rPr>
          <w:color w:val="000000" w:themeColor="text1"/>
        </w:rPr>
      </w:pPr>
      <w:r w:rsidRPr="007C3276">
        <w:rPr>
          <w:color w:val="000000" w:themeColor="text1"/>
        </w:rPr>
        <w:t xml:space="preserve">This system operates as a symbolic community, engaged in ritualized status maintenance rather than discovery. As Collins (1998) and Becher and </w:t>
      </w:r>
      <w:proofErr w:type="spellStart"/>
      <w:r w:rsidRPr="007C3276">
        <w:rPr>
          <w:color w:val="000000" w:themeColor="text1"/>
        </w:rPr>
        <w:t>Trowler</w:t>
      </w:r>
      <w:proofErr w:type="spellEnd"/>
      <w:r w:rsidRPr="007C3276">
        <w:rPr>
          <w:color w:val="000000" w:themeColor="text1"/>
        </w:rPr>
        <w:t xml:space="preserve"> (2001) argue, business academia functions as an academic tribe, guarding boundary rituals like publication counts and citation metrics, which signal legitimacy rather than epistemic progress. The gap, as a ritual doorway, prioritizes compliance with these forms over phenomenological urgency, sealing off scholarship from real-world relevance.</w:t>
      </w:r>
    </w:p>
    <w:p w14:paraId="38B4CBEB" w14:textId="77777777" w:rsidR="00D01771" w:rsidRPr="007C3276" w:rsidRDefault="00D01771" w:rsidP="009E2EBF">
      <w:pPr>
        <w:pStyle w:val="Heading4"/>
        <w:jc w:val="both"/>
        <w:rPr>
          <w:rFonts w:ascii="Times New Roman" w:hAnsi="Times New Roman" w:cs="Times New Roman"/>
          <w:color w:val="000000" w:themeColor="text1"/>
          <w:sz w:val="24"/>
          <w:szCs w:val="24"/>
        </w:rPr>
      </w:pPr>
      <w:r w:rsidRPr="007C3276">
        <w:rPr>
          <w:rFonts w:ascii="Times New Roman" w:hAnsi="Times New Roman" w:cs="Times New Roman"/>
          <w:color w:val="000000" w:themeColor="text1"/>
          <w:sz w:val="24"/>
          <w:szCs w:val="24"/>
        </w:rPr>
        <w:lastRenderedPageBreak/>
        <w:t>How the “value-neutral, method-first” epistemic stance became institutionalized in business &amp; accounting schools</w:t>
      </w:r>
    </w:p>
    <w:p w14:paraId="0AFFD250" w14:textId="77777777" w:rsidR="00D01771" w:rsidRPr="007C3276" w:rsidRDefault="00D01771" w:rsidP="009E2EBF">
      <w:pPr>
        <w:pStyle w:val="BodyText"/>
        <w:jc w:val="both"/>
        <w:rPr>
          <w:color w:val="000000" w:themeColor="text1"/>
          <w:lang w:val="en-CA"/>
        </w:rPr>
      </w:pPr>
      <w:r w:rsidRPr="007C3276">
        <w:rPr>
          <w:color w:val="000000" w:themeColor="text1"/>
          <w:lang w:val="en-CA"/>
        </w:rPr>
        <w:t>The modern stance is sometimes called the scientization of U.S. business education. Early in the post-Carnagie era, the import of economics-style positivism and agency theory helped cement a view of knowledge as hypothetico-deductive, generalizable, and “value neutral” (Jensen &amp; Meckling, 1976; Williamson, 1975).</w:t>
      </w:r>
    </w:p>
    <w:p w14:paraId="1333F5AC" w14:textId="77777777" w:rsidR="00D01771" w:rsidRPr="007C3276" w:rsidRDefault="00D01771" w:rsidP="009E2EBF">
      <w:pPr>
        <w:pStyle w:val="BodyText"/>
        <w:jc w:val="both"/>
        <w:rPr>
          <w:color w:val="000000" w:themeColor="text1"/>
          <w:lang w:val="en-CA"/>
        </w:rPr>
      </w:pPr>
      <w:r w:rsidRPr="007C3276">
        <w:rPr>
          <w:color w:val="000000" w:themeColor="text1"/>
          <w:lang w:val="en-CA"/>
        </w:rPr>
        <w:t>In accounting research, this in turn manifested as capital-markets empirics (e.g., Ball &amp; Brown, 1968; Beaver, 1968) and later positive accounting theory, explicitly modeling managers and standard setting with incentives and market equilibrium tools (Watts &amp; Zimmerman, 1978, 1986). These intellectual moves aligned with the institutional rise of journal hierarchies, rankings, and audit regimes (Power, 1997; Willmott, 2011; Shore &amp; Wright, 2015), which rewarded tight identification strategies, large-sample econometrics, and “A-journal” placement—often irrespective of practice relevance (Hopwood, 2007; Gendron, 2008; Humphrey &amp; Gendron, 2015).</w:t>
      </w:r>
    </w:p>
    <w:p w14:paraId="4B647A36" w14:textId="64CC3D9E" w:rsidR="00D01771" w:rsidRPr="007C3276" w:rsidRDefault="00D01771" w:rsidP="009E2EBF">
      <w:pPr>
        <w:pStyle w:val="BodyText"/>
        <w:jc w:val="both"/>
        <w:rPr>
          <w:color w:val="000000" w:themeColor="text1"/>
          <w:lang w:val="en-CA"/>
        </w:rPr>
      </w:pPr>
      <w:r w:rsidRPr="007C3276">
        <w:rPr>
          <w:color w:val="000000" w:themeColor="text1"/>
          <w:lang w:val="en-CA"/>
        </w:rPr>
        <w:t xml:space="preserve">Parallel critiques have long noted the relevance gap: business schools’ growing emphasis on method and theory purity over impact (Starkey &amp; Madan, 2001; Pfeffer &amp; Fong, 2002; Bennis &amp; O’Toole, 2005; Ghoshal, 2005; Van de Ven, 2007). But those critiques had no power when colliding with the performative force of audit culture in universities (Power, 1997) and journal-list governance (Willmott, 2011), which then reproduce the same epistemic stance via hiring, tenure, accreditation, and doctoral socialization (Augier &amp; </w:t>
      </w:r>
      <w:r w:rsidR="006630A6" w:rsidRPr="007C3276">
        <w:rPr>
          <w:color w:val="000000" w:themeColor="text1"/>
          <w:lang w:val="en-CA"/>
        </w:rPr>
        <w:t>March</w:t>
      </w:r>
      <w:r w:rsidRPr="007C3276">
        <w:rPr>
          <w:color w:val="000000" w:themeColor="text1"/>
          <w:lang w:val="en-CA"/>
        </w:rPr>
        <w:t xml:space="preserve"> 2011; Whitley, 1984). In short, an ostensibly descriptive, non-normative ideal of what research is </w:t>
      </w:r>
      <w:r w:rsidR="006630A6" w:rsidRPr="007C3276">
        <w:rPr>
          <w:color w:val="000000" w:themeColor="text1"/>
          <w:lang w:val="en-CA"/>
        </w:rPr>
        <w:t>becoming</w:t>
      </w:r>
      <w:r w:rsidRPr="007C3276">
        <w:rPr>
          <w:color w:val="000000" w:themeColor="text1"/>
          <w:lang w:val="en-CA"/>
        </w:rPr>
        <w:t xml:space="preserve"> the institutional control system through reports, incentives, and infrastructure that favor method over meaning.</w:t>
      </w:r>
    </w:p>
    <w:p w14:paraId="68B14255" w14:textId="77777777" w:rsidR="00D01771" w:rsidRPr="007C3276" w:rsidRDefault="00D01771" w:rsidP="009E2EBF">
      <w:pPr>
        <w:pStyle w:val="Heading4"/>
        <w:jc w:val="both"/>
        <w:rPr>
          <w:rFonts w:ascii="Times New Roman" w:hAnsi="Times New Roman" w:cs="Times New Roman"/>
          <w:color w:val="000000" w:themeColor="text1"/>
          <w:sz w:val="24"/>
          <w:szCs w:val="24"/>
        </w:rPr>
      </w:pPr>
      <w:r w:rsidRPr="007C3276">
        <w:rPr>
          <w:rFonts w:ascii="Times New Roman" w:hAnsi="Times New Roman" w:cs="Times New Roman"/>
          <w:color w:val="000000" w:themeColor="text1"/>
          <w:sz w:val="24"/>
          <w:szCs w:val="24"/>
        </w:rPr>
        <w:t>Who survives—and who struggles—under this regime</w:t>
      </w:r>
    </w:p>
    <w:p w14:paraId="734A931D" w14:textId="77777777" w:rsidR="00D01771" w:rsidRPr="007F250A" w:rsidRDefault="00D01771" w:rsidP="009E2EBF">
      <w:pPr>
        <w:pStyle w:val="BodyText"/>
        <w:jc w:val="both"/>
        <w:rPr>
          <w:lang w:val="en-CA"/>
        </w:rPr>
      </w:pPr>
      <w:r w:rsidRPr="007F250A">
        <w:rPr>
          <w:b/>
          <w:bCs/>
          <w:lang w:val="en-CA"/>
        </w:rPr>
        <w:t>Most advantaged</w:t>
      </w:r>
      <w:r>
        <w:rPr>
          <w:b/>
          <w:bCs/>
          <w:lang w:val="en-CA"/>
        </w:rPr>
        <w:t xml:space="preserve">. </w:t>
      </w:r>
      <w:r w:rsidRPr="007D197E">
        <w:rPr>
          <w:lang w:val="en-CA"/>
        </w:rPr>
        <w:t>R</w:t>
      </w:r>
      <w:r w:rsidRPr="007F250A">
        <w:rPr>
          <w:lang w:val="en-CA"/>
        </w:rPr>
        <w:t>esearchers who:</w:t>
      </w:r>
    </w:p>
    <w:p w14:paraId="0EFAB061" w14:textId="77777777" w:rsidR="00D01771" w:rsidRPr="007F250A" w:rsidRDefault="00D01771" w:rsidP="00856618">
      <w:pPr>
        <w:pStyle w:val="BodyText"/>
        <w:numPr>
          <w:ilvl w:val="0"/>
          <w:numId w:val="65"/>
        </w:numPr>
        <w:spacing w:before="180" w:after="180"/>
        <w:jc w:val="both"/>
        <w:rPr>
          <w:lang w:val="en-CA"/>
        </w:rPr>
      </w:pPr>
      <w:r w:rsidRPr="007F250A">
        <w:rPr>
          <w:lang w:val="en-CA"/>
        </w:rPr>
        <w:t>Work within economics/finance-style empiricism with strong causal identification, large datasets, and narrow, testable hypotheses (Jensen &amp; Meckling, 1976; Watts &amp; Zimmerman, 1986).</w:t>
      </w:r>
    </w:p>
    <w:p w14:paraId="424D41D8" w14:textId="36D8A554" w:rsidR="00D01771" w:rsidRPr="007F250A" w:rsidRDefault="00D01771" w:rsidP="00856618">
      <w:pPr>
        <w:pStyle w:val="BodyText"/>
        <w:numPr>
          <w:ilvl w:val="0"/>
          <w:numId w:val="65"/>
        </w:numPr>
        <w:spacing w:before="180" w:after="180"/>
        <w:jc w:val="both"/>
        <w:rPr>
          <w:lang w:val="en-CA"/>
        </w:rPr>
      </w:pPr>
      <w:r w:rsidRPr="007F250A">
        <w:rPr>
          <w:lang w:val="en-CA"/>
        </w:rPr>
        <w:t>Choose problems legible</w:t>
      </w:r>
      <w:r>
        <w:rPr>
          <w:lang w:val="en-CA"/>
        </w:rPr>
        <w:t xml:space="preserve"> (“auditable”)</w:t>
      </w:r>
      <w:r w:rsidRPr="007F250A">
        <w:rPr>
          <w:lang w:val="en-CA"/>
        </w:rPr>
        <w:t xml:space="preserve"> to </w:t>
      </w:r>
      <w:r>
        <w:rPr>
          <w:lang w:val="en-CA"/>
        </w:rPr>
        <w:t xml:space="preserve">editors and reviewers </w:t>
      </w:r>
      <w:r w:rsidRPr="007F250A">
        <w:rPr>
          <w:lang w:val="en-CA"/>
        </w:rPr>
        <w:t xml:space="preserve">&amp; </w:t>
      </w:r>
      <w:r w:rsidR="006630A6" w:rsidRPr="007F250A">
        <w:rPr>
          <w:lang w:val="en-CA"/>
        </w:rPr>
        <w:t>measura</w:t>
      </w:r>
      <w:r w:rsidR="006630A6">
        <w:rPr>
          <w:lang w:val="en-CA"/>
        </w:rPr>
        <w:t xml:space="preserve">ble </w:t>
      </w:r>
      <w:r w:rsidR="006630A6" w:rsidRPr="007F250A">
        <w:rPr>
          <w:lang w:val="en-CA"/>
        </w:rPr>
        <w:t>(</w:t>
      </w:r>
      <w:r w:rsidRPr="007F250A">
        <w:rPr>
          <w:lang w:val="en-CA"/>
        </w:rPr>
        <w:t>e.g., “value relevance,” disclosure, governance) that fit the canonical pipeline of top journals and rankings (Ball &amp; Brown, 1968; Hopwood, 2007; Willmott, 2011).</w:t>
      </w:r>
    </w:p>
    <w:p w14:paraId="28E3D5AF" w14:textId="77777777" w:rsidR="00D01771" w:rsidRPr="007F250A" w:rsidRDefault="00D01771" w:rsidP="00856618">
      <w:pPr>
        <w:pStyle w:val="BodyText"/>
        <w:numPr>
          <w:ilvl w:val="0"/>
          <w:numId w:val="65"/>
        </w:numPr>
        <w:spacing w:before="180" w:after="180"/>
        <w:jc w:val="both"/>
        <w:rPr>
          <w:lang w:val="en-CA"/>
        </w:rPr>
      </w:pPr>
      <w:r w:rsidRPr="007F250A">
        <w:rPr>
          <w:lang w:val="en-CA"/>
        </w:rPr>
        <w:t>Publish incremental contributions with “gap-spotting” logic</w:t>
      </w:r>
      <w:r>
        <w:rPr>
          <w:lang w:val="en-CA"/>
        </w:rPr>
        <w:t xml:space="preserve">—which means that they </w:t>
      </w:r>
      <w:r w:rsidRPr="007F250A">
        <w:rPr>
          <w:lang w:val="en-CA"/>
        </w:rPr>
        <w:t xml:space="preserve">conform to </w:t>
      </w:r>
      <w:r>
        <w:rPr>
          <w:lang w:val="en-CA"/>
        </w:rPr>
        <w:t>“</w:t>
      </w:r>
      <w:r w:rsidRPr="007F250A">
        <w:rPr>
          <w:lang w:val="en-CA"/>
        </w:rPr>
        <w:t>expectations</w:t>
      </w:r>
      <w:r>
        <w:rPr>
          <w:lang w:val="en-CA"/>
        </w:rPr>
        <w:t>”</w:t>
      </w:r>
      <w:r w:rsidRPr="007F250A">
        <w:rPr>
          <w:lang w:val="en-CA"/>
        </w:rPr>
        <w:t xml:space="preserve"> (Alvesson &amp; Sandberg, 2011).</w:t>
      </w:r>
    </w:p>
    <w:p w14:paraId="478968B9" w14:textId="77777777" w:rsidR="00D01771" w:rsidRPr="007F250A" w:rsidRDefault="00D01771" w:rsidP="009E2EBF">
      <w:pPr>
        <w:pStyle w:val="BodyText"/>
        <w:jc w:val="both"/>
        <w:rPr>
          <w:lang w:val="en-CA"/>
        </w:rPr>
      </w:pPr>
      <w:r w:rsidRPr="007F250A">
        <w:rPr>
          <w:b/>
          <w:bCs/>
          <w:lang w:val="en-CA"/>
        </w:rPr>
        <w:t>Viable but constrained.</w:t>
      </w:r>
      <w:r w:rsidRPr="007F250A">
        <w:rPr>
          <w:lang w:val="en-CA"/>
        </w:rPr>
        <w:t xml:space="preserve"> Scholars in behavioral/experimental or field-based quantitative traditions </w:t>
      </w:r>
      <w:r>
        <w:rPr>
          <w:lang w:val="en-CA"/>
        </w:rPr>
        <w:t xml:space="preserve">who can </w:t>
      </w:r>
      <w:r w:rsidRPr="007F250A">
        <w:rPr>
          <w:lang w:val="en-CA"/>
        </w:rPr>
        <w:t xml:space="preserve">survive by translating </w:t>
      </w:r>
      <w:r>
        <w:rPr>
          <w:lang w:val="en-CA"/>
        </w:rPr>
        <w:t xml:space="preserve">the description of </w:t>
      </w:r>
      <w:r w:rsidRPr="007F250A">
        <w:rPr>
          <w:lang w:val="en-CA"/>
        </w:rPr>
        <w:t xml:space="preserve">their work into the dominant evidentiary grammar and </w:t>
      </w:r>
      <w:r>
        <w:rPr>
          <w:lang w:val="en-CA"/>
        </w:rPr>
        <w:t xml:space="preserve">by </w:t>
      </w:r>
      <w:r w:rsidRPr="007F250A">
        <w:rPr>
          <w:lang w:val="en-CA"/>
        </w:rPr>
        <w:t xml:space="preserve">targeting journals that accept mixed methods—yet </w:t>
      </w:r>
      <w:r>
        <w:rPr>
          <w:lang w:val="en-CA"/>
        </w:rPr>
        <w:t xml:space="preserve">they </w:t>
      </w:r>
      <w:r w:rsidRPr="007F250A">
        <w:rPr>
          <w:lang w:val="en-CA"/>
        </w:rPr>
        <w:t>still face pressure to “reframe” questions and designs to fit audit-friendly templates (Humphrey &amp; Gendron, 2015).</w:t>
      </w:r>
    </w:p>
    <w:p w14:paraId="7D836C5A" w14:textId="77777777" w:rsidR="00D01771" w:rsidRPr="007F250A" w:rsidRDefault="00D01771" w:rsidP="009E2EBF">
      <w:pPr>
        <w:pStyle w:val="BodyText"/>
        <w:jc w:val="both"/>
        <w:rPr>
          <w:lang w:val="en-CA"/>
        </w:rPr>
      </w:pPr>
      <w:r w:rsidRPr="007F250A">
        <w:rPr>
          <w:b/>
          <w:bCs/>
          <w:lang w:val="en-CA"/>
        </w:rPr>
        <w:t>Most disadvantaged profiles</w:t>
      </w:r>
      <w:r w:rsidRPr="007F250A">
        <w:rPr>
          <w:lang w:val="en-CA"/>
        </w:rPr>
        <w:t>. Researchers who:</w:t>
      </w:r>
    </w:p>
    <w:p w14:paraId="35E0AF28" w14:textId="77777777" w:rsidR="00D01771" w:rsidRPr="007F250A" w:rsidRDefault="00D01771" w:rsidP="00856618">
      <w:pPr>
        <w:pStyle w:val="BodyText"/>
        <w:numPr>
          <w:ilvl w:val="0"/>
          <w:numId w:val="66"/>
        </w:numPr>
        <w:spacing w:before="180" w:after="180"/>
        <w:jc w:val="both"/>
        <w:rPr>
          <w:lang w:val="en-CA"/>
        </w:rPr>
      </w:pPr>
      <w:r w:rsidRPr="007F250A">
        <w:rPr>
          <w:lang w:val="en-CA"/>
        </w:rPr>
        <w:t>Do practice-engaged, qualitative, or interdisciplinary work (case/ethnography, design science, action research) that delivers insight but resists standardization (Flyvbjerg, 2006; Van de Ven, 2007).</w:t>
      </w:r>
    </w:p>
    <w:p w14:paraId="07AC721E" w14:textId="77777777" w:rsidR="00D01771" w:rsidRPr="007F250A" w:rsidRDefault="00D01771" w:rsidP="00856618">
      <w:pPr>
        <w:pStyle w:val="BodyText"/>
        <w:numPr>
          <w:ilvl w:val="0"/>
          <w:numId w:val="66"/>
        </w:numPr>
        <w:spacing w:before="180" w:after="180"/>
        <w:jc w:val="both"/>
        <w:rPr>
          <w:lang w:val="en-CA"/>
        </w:rPr>
      </w:pPr>
      <w:r w:rsidRPr="007F250A">
        <w:rPr>
          <w:lang w:val="en-CA"/>
        </w:rPr>
        <w:lastRenderedPageBreak/>
        <w:t xml:space="preserve">Pursue critical/interpretive agendas that interrogate managerialism, power, or ethics, </w:t>
      </w:r>
      <w:r>
        <w:rPr>
          <w:lang w:val="en-CA"/>
        </w:rPr>
        <w:t xml:space="preserve">and </w:t>
      </w:r>
      <w:r w:rsidRPr="007F250A">
        <w:rPr>
          <w:lang w:val="en-CA"/>
        </w:rPr>
        <w:t xml:space="preserve">which </w:t>
      </w:r>
      <w:r>
        <w:rPr>
          <w:lang w:val="en-CA"/>
        </w:rPr>
        <w:t xml:space="preserve">are often </w:t>
      </w:r>
      <w:r w:rsidRPr="007F250A">
        <w:rPr>
          <w:lang w:val="en-CA"/>
        </w:rPr>
        <w:t xml:space="preserve">dismissed as insufficiently “positive” or attacked (sometimes explicitly) as “managerialist” or, </w:t>
      </w:r>
      <w:r>
        <w:rPr>
          <w:lang w:val="en-CA"/>
        </w:rPr>
        <w:t xml:space="preserve">in some sub-fields, </w:t>
      </w:r>
      <w:r w:rsidRPr="007F250A">
        <w:rPr>
          <w:lang w:val="en-CA"/>
        </w:rPr>
        <w:t>conversely,</w:t>
      </w:r>
      <w:r>
        <w:rPr>
          <w:lang w:val="en-CA"/>
        </w:rPr>
        <w:t xml:space="preserve"> as</w:t>
      </w:r>
      <w:r w:rsidRPr="007F250A">
        <w:rPr>
          <w:lang w:val="en-CA"/>
        </w:rPr>
        <w:t xml:space="preserve"> “anti-managerial” (Alvesson &amp; Willmott, 1992; Parker, 2002; Whitley, 1984).</w:t>
      </w:r>
    </w:p>
    <w:p w14:paraId="7DA2A18A" w14:textId="77777777" w:rsidR="00D01771" w:rsidRPr="007F250A" w:rsidRDefault="00D01771" w:rsidP="00856618">
      <w:pPr>
        <w:pStyle w:val="BodyText"/>
        <w:numPr>
          <w:ilvl w:val="0"/>
          <w:numId w:val="66"/>
        </w:numPr>
        <w:spacing w:before="180" w:after="180"/>
        <w:jc w:val="both"/>
        <w:rPr>
          <w:lang w:val="en-CA"/>
        </w:rPr>
      </w:pPr>
      <w:r w:rsidRPr="007F250A">
        <w:rPr>
          <w:lang w:val="en-CA"/>
        </w:rPr>
        <w:t xml:space="preserve">Attempt problem-driven research with messy boundaries, stakeholder plurality, and normative transparency—valuable to practice but hard to </w:t>
      </w:r>
      <w:r>
        <w:rPr>
          <w:lang w:val="en-CA"/>
        </w:rPr>
        <w:t>“</w:t>
      </w:r>
      <w:r w:rsidRPr="007F250A">
        <w:rPr>
          <w:lang w:val="en-CA"/>
        </w:rPr>
        <w:t>score</w:t>
      </w:r>
      <w:r>
        <w:rPr>
          <w:lang w:val="en-CA"/>
        </w:rPr>
        <w:t>”</w:t>
      </w:r>
      <w:r w:rsidRPr="007F250A">
        <w:rPr>
          <w:lang w:val="en-CA"/>
        </w:rPr>
        <w:t xml:space="preserve"> in journal-list regimes (Starkey &amp; Madan, 2001; Ghoshal, 2005).</w:t>
      </w:r>
    </w:p>
    <w:p w14:paraId="3DD4FE4C" w14:textId="2F2C8639" w:rsidR="006630A6" w:rsidRDefault="00D01771" w:rsidP="006630A6">
      <w:pPr>
        <w:pStyle w:val="BodyText"/>
        <w:spacing w:before="0" w:after="0"/>
        <w:jc w:val="both"/>
        <w:rPr>
          <w:lang w:val="en-CA"/>
        </w:rPr>
      </w:pPr>
      <w:r w:rsidRPr="007F250A">
        <w:rPr>
          <w:lang w:val="en-CA"/>
        </w:rPr>
        <w:t>Functionally, the ecology rewards legibility to audit</w:t>
      </w:r>
      <w:r>
        <w:rPr>
          <w:lang w:val="en-CA"/>
        </w:rPr>
        <w:t xml:space="preserve"> by the department chair or dean</w:t>
      </w:r>
      <w:r w:rsidRPr="007F250A">
        <w:rPr>
          <w:lang w:val="en-CA"/>
        </w:rPr>
        <w:t xml:space="preserve"> (clean designs, tight constructs, tidy narratives) </w:t>
      </w:r>
      <w:r>
        <w:rPr>
          <w:lang w:val="en-CA"/>
        </w:rPr>
        <w:t>higher than</w:t>
      </w:r>
      <w:r w:rsidRPr="007F250A">
        <w:rPr>
          <w:lang w:val="en-CA"/>
        </w:rPr>
        <w:t xml:space="preserve"> usefulness to practice (context, conflict, value trade-offs). As audit metrics intensify, scholars adapt—often performing what Gendron (2008) calls the “academic performer” role, </w:t>
      </w:r>
      <w:r>
        <w:rPr>
          <w:lang w:val="en-CA"/>
        </w:rPr>
        <w:t xml:space="preserve">crafting their </w:t>
      </w:r>
      <w:r w:rsidRPr="007F250A">
        <w:rPr>
          <w:lang w:val="en-CA"/>
        </w:rPr>
        <w:t xml:space="preserve">outputs to </w:t>
      </w:r>
      <w:r>
        <w:rPr>
          <w:lang w:val="en-CA"/>
        </w:rPr>
        <w:t xml:space="preserve">match </w:t>
      </w:r>
      <w:r w:rsidRPr="007F250A">
        <w:rPr>
          <w:lang w:val="en-CA"/>
        </w:rPr>
        <w:t xml:space="preserve">visible metrics while </w:t>
      </w:r>
      <w:r>
        <w:rPr>
          <w:lang w:val="en-CA"/>
        </w:rPr>
        <w:t xml:space="preserve">their </w:t>
      </w:r>
      <w:r w:rsidRPr="007F250A">
        <w:rPr>
          <w:lang w:val="en-CA"/>
        </w:rPr>
        <w:t>deeper engagement atrophies. This is how an epistemic stance becomes a career technology: it selects for certain problems, methods, and identities—and quietly deselects others.</w:t>
      </w:r>
      <w:bookmarkStart w:id="26" w:name="pathways-forward"/>
      <w:bookmarkEnd w:id="25"/>
    </w:p>
    <w:p w14:paraId="7ECDF71E" w14:textId="77777777" w:rsidR="006630A6" w:rsidRPr="006630A6" w:rsidRDefault="006630A6" w:rsidP="006630A6">
      <w:pPr>
        <w:pStyle w:val="BodyText"/>
        <w:spacing w:before="0" w:after="0"/>
        <w:jc w:val="both"/>
        <w:rPr>
          <w:lang w:val="en-CA"/>
        </w:rPr>
      </w:pPr>
    </w:p>
    <w:p w14:paraId="09083382" w14:textId="18C44D45" w:rsidR="006630A6" w:rsidRPr="006630A6" w:rsidRDefault="00D01771" w:rsidP="006630A6">
      <w:pPr>
        <w:pStyle w:val="Heading3"/>
        <w:spacing w:before="0" w:line="240" w:lineRule="auto"/>
        <w:jc w:val="both"/>
        <w:rPr>
          <w:rFonts w:ascii="Times New Roman" w:hAnsi="Times New Roman" w:cs="Times New Roman"/>
          <w:b/>
          <w:bCs/>
          <w:color w:val="000000" w:themeColor="text1"/>
        </w:rPr>
      </w:pPr>
      <w:r w:rsidRPr="006630A6">
        <w:rPr>
          <w:rFonts w:ascii="Times New Roman" w:hAnsi="Times New Roman" w:cs="Times New Roman"/>
          <w:b/>
          <w:bCs/>
          <w:color w:val="000000" w:themeColor="text1"/>
        </w:rPr>
        <w:t>Pathways Forward</w:t>
      </w:r>
    </w:p>
    <w:p w14:paraId="1B39C757" w14:textId="1537641C" w:rsidR="00D01771" w:rsidRPr="006630A6" w:rsidRDefault="00D01771" w:rsidP="006630A6">
      <w:pPr>
        <w:pStyle w:val="Heading3"/>
        <w:spacing w:before="0" w:line="240" w:lineRule="auto"/>
        <w:jc w:val="both"/>
        <w:rPr>
          <w:rFonts w:ascii="Times New Roman" w:hAnsi="Times New Roman" w:cs="Times New Roman"/>
          <w:b/>
          <w:bCs/>
          <w:color w:val="000000" w:themeColor="text1"/>
        </w:rPr>
      </w:pPr>
      <w:r w:rsidRPr="006630A6">
        <w:rPr>
          <w:rFonts w:ascii="Times New Roman" w:hAnsi="Times New Roman" w:cs="Times New Roman"/>
          <w:color w:val="000000" w:themeColor="text1"/>
        </w:rPr>
        <w:t>To escape the gap’s epistemic trap, research must shift from “what hasn’t been said” to “what needs to be understood.” Alternatives rooted in reality-based inquiry include:</w:t>
      </w:r>
    </w:p>
    <w:p w14:paraId="12A10F6D" w14:textId="77777777" w:rsidR="00D01771" w:rsidRDefault="00D01771" w:rsidP="00856618">
      <w:pPr>
        <w:pStyle w:val="BodyText"/>
        <w:numPr>
          <w:ilvl w:val="0"/>
          <w:numId w:val="60"/>
        </w:numPr>
        <w:spacing w:before="180" w:after="180"/>
        <w:jc w:val="both"/>
      </w:pPr>
      <w:r w:rsidRPr="006630A6">
        <w:rPr>
          <w:color w:val="000000" w:themeColor="text1"/>
        </w:rPr>
        <w:t xml:space="preserve">Problem-Driven Research: Addressing pressing real-world issues, regardless of </w:t>
      </w:r>
      <w:r>
        <w:t>gaps in the literature.</w:t>
      </w:r>
    </w:p>
    <w:p w14:paraId="47D992A0" w14:textId="77777777" w:rsidR="00D01771" w:rsidRDefault="00D01771" w:rsidP="00856618">
      <w:pPr>
        <w:pStyle w:val="BodyText"/>
        <w:numPr>
          <w:ilvl w:val="0"/>
          <w:numId w:val="60"/>
        </w:numPr>
        <w:spacing w:before="180" w:after="180"/>
        <w:jc w:val="both"/>
      </w:pPr>
      <w:r>
        <w:t>Discovery-Led Inquiry: Starting from robust observations to uncover mechanisms, as in medicine or biology.</w:t>
      </w:r>
    </w:p>
    <w:p w14:paraId="00DAEFA7" w14:textId="77777777" w:rsidR="00D01771" w:rsidRDefault="00D01771" w:rsidP="00856618">
      <w:pPr>
        <w:pStyle w:val="BodyText"/>
        <w:numPr>
          <w:ilvl w:val="0"/>
          <w:numId w:val="60"/>
        </w:numPr>
        <w:spacing w:before="180" w:after="180"/>
        <w:jc w:val="both"/>
      </w:pPr>
      <w:r>
        <w:t>Historical Lineage Research: Tracing the evolution of enduring practices, like those of Drucker or Kaplan.</w:t>
      </w:r>
    </w:p>
    <w:p w14:paraId="6A287FE1" w14:textId="77777777" w:rsidR="00D01771" w:rsidRDefault="00D01771" w:rsidP="00856618">
      <w:pPr>
        <w:pStyle w:val="BodyText"/>
        <w:numPr>
          <w:ilvl w:val="0"/>
          <w:numId w:val="60"/>
        </w:numPr>
        <w:spacing w:before="180" w:after="180"/>
        <w:jc w:val="both"/>
      </w:pPr>
      <w:r>
        <w:t xml:space="preserve">Reverse Theory: Building theory inductively from systems that work, prioritizing practice over abstraction. </w:t>
      </w:r>
    </w:p>
    <w:p w14:paraId="2EBECD02" w14:textId="77777777" w:rsidR="00D01771" w:rsidRDefault="00D01771" w:rsidP="009E2EBF">
      <w:pPr>
        <w:pStyle w:val="BodyText"/>
        <w:jc w:val="both"/>
      </w:pPr>
      <w:r>
        <w:t>These approaches, echoing the pre-reform tradition’s phronesis, treat reality as the source of inquiry, not literature. They challenge the contribution ritual by valuing synthesis and relevance over novelty (Flyvbjerg, 2001). Resistance persists in practitioner literature (e.g., Drucker, 1954; Christensen, 2003) and lower-tier journals, which practice “strategic mimicry” to embed applied insights within academic formats (</w:t>
      </w:r>
      <w:proofErr w:type="spellStart"/>
      <w:r>
        <w:t>Mignolo</w:t>
      </w:r>
      <w:proofErr w:type="spellEnd"/>
      <w:r>
        <w:t>, 2009; Scott, 1990). These counterpoints suggest a pluralistic future for business scholarship, reconnecting with its practical roots.</w:t>
      </w:r>
    </w:p>
    <w:p w14:paraId="77A0E897" w14:textId="77777777" w:rsidR="006630A6" w:rsidRPr="006630A6" w:rsidRDefault="00D01771" w:rsidP="006630A6">
      <w:pPr>
        <w:pStyle w:val="Heading3"/>
        <w:jc w:val="both"/>
        <w:rPr>
          <w:rFonts w:ascii="Times New Roman" w:hAnsi="Times New Roman" w:cs="Times New Roman"/>
          <w:b/>
          <w:bCs/>
          <w:color w:val="000000" w:themeColor="text1"/>
        </w:rPr>
      </w:pPr>
      <w:bookmarkStart w:id="27" w:name="contributions-to-scholarship"/>
      <w:bookmarkEnd w:id="26"/>
      <w:r w:rsidRPr="006630A6">
        <w:rPr>
          <w:rFonts w:ascii="Times New Roman" w:hAnsi="Times New Roman" w:cs="Times New Roman"/>
          <w:b/>
          <w:bCs/>
          <w:color w:val="000000" w:themeColor="text1"/>
        </w:rPr>
        <w:t>Contributions to Scholarship</w:t>
      </w:r>
    </w:p>
    <w:p w14:paraId="62B03DA5" w14:textId="51B714AC" w:rsidR="00D01771" w:rsidRDefault="00D01771" w:rsidP="006630A6">
      <w:pPr>
        <w:pStyle w:val="Heading3"/>
        <w:jc w:val="both"/>
        <w:rPr>
          <w:rFonts w:ascii="Times New Roman" w:hAnsi="Times New Roman" w:cs="Times New Roman"/>
          <w:color w:val="000000" w:themeColor="text1"/>
        </w:rPr>
      </w:pPr>
      <w:r w:rsidRPr="006630A6">
        <w:rPr>
          <w:rFonts w:ascii="Times New Roman" w:hAnsi="Times New Roman" w:cs="Times New Roman"/>
          <w:color w:val="000000" w:themeColor="text1"/>
        </w:rPr>
        <w:t>This genealogy diagnoses the literature gap as an epistemic bottleneck, stifling meaningful inquiry in business and accounting research. It bridges critiques of theory overload, irrelevance, and disciplinary self-absorption, offering a historical lens on their origins (Ghoshal, 2005). By exposing the gap’s roots in institutional mimicry, it informs debates on research quality, doctoral training, and editorial policy, urging a return to problem-driven and practice-oriented scholarship. This analysis not only critiques the status quo but proposes a framework for revitalizing business research, honoring the complexity of what works in practice.</w:t>
      </w:r>
    </w:p>
    <w:p w14:paraId="18DD4C41" w14:textId="77777777" w:rsidR="006630A6" w:rsidRPr="006630A6" w:rsidRDefault="006630A6" w:rsidP="006630A6"/>
    <w:tbl>
      <w:tblPr>
        <w:tblW w:w="8812" w:type="dxa"/>
        <w:tblInd w:w="20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1493"/>
        <w:gridCol w:w="2459"/>
        <w:gridCol w:w="4860"/>
      </w:tblGrid>
      <w:tr w:rsidR="00D01771" w:rsidRPr="00C30689" w14:paraId="2A9B78D8" w14:textId="77777777" w:rsidTr="008B7CBC">
        <w:trPr>
          <w:cantSplit/>
          <w:tblHeader/>
        </w:trPr>
        <w:tc>
          <w:tcPr>
            <w:tcW w:w="8812" w:type="dxa"/>
            <w:gridSpan w:val="3"/>
            <w:tcMar>
              <w:top w:w="90" w:type="dxa"/>
              <w:left w:w="195" w:type="dxa"/>
              <w:bottom w:w="90" w:type="dxa"/>
              <w:right w:w="195" w:type="dxa"/>
            </w:tcMar>
            <w:vAlign w:val="center"/>
          </w:tcPr>
          <w:p w14:paraId="1E39CDDE" w14:textId="77777777" w:rsidR="00D01771" w:rsidRPr="001D32B1" w:rsidRDefault="00D01771" w:rsidP="008B7CBC">
            <w:pPr>
              <w:keepNext/>
              <w:spacing w:after="0"/>
              <w:jc w:val="center"/>
              <w:rPr>
                <w:rFonts w:ascii="Times New Roman" w:eastAsia="Times New Roman" w:hAnsi="Times New Roman" w:cs="Times New Roman"/>
                <w:b/>
                <w:bCs/>
                <w:color w:val="333333"/>
                <w:lang w:val="en-CA" w:eastAsia="en-CA"/>
              </w:rPr>
            </w:pPr>
            <w:bookmarkStart w:id="28" w:name="timeline-of-the-gaps-genealogy"/>
            <w:bookmarkEnd w:id="23"/>
            <w:bookmarkEnd w:id="27"/>
            <w:r w:rsidRPr="001D32B1">
              <w:rPr>
                <w:rFonts w:ascii="Times New Roman" w:hAnsi="Times New Roman" w:cs="Times New Roman"/>
              </w:rPr>
              <w:lastRenderedPageBreak/>
              <w:t>Timeline of the Gap's Genealogy</w:t>
            </w:r>
          </w:p>
        </w:tc>
      </w:tr>
      <w:tr w:rsidR="00D01771" w:rsidRPr="00C30689" w14:paraId="527630E7" w14:textId="77777777" w:rsidTr="008B7CBC">
        <w:trPr>
          <w:cantSplit/>
          <w:tblHeader/>
        </w:trPr>
        <w:tc>
          <w:tcPr>
            <w:tcW w:w="0" w:type="auto"/>
            <w:tcMar>
              <w:top w:w="90" w:type="dxa"/>
              <w:left w:w="195" w:type="dxa"/>
              <w:bottom w:w="90" w:type="dxa"/>
              <w:right w:w="195" w:type="dxa"/>
            </w:tcMar>
            <w:vAlign w:val="center"/>
            <w:hideMark/>
          </w:tcPr>
          <w:p w14:paraId="2977BCFA" w14:textId="77777777" w:rsidR="00D01771" w:rsidRPr="00C30689" w:rsidRDefault="00D01771" w:rsidP="008B7CBC">
            <w:pPr>
              <w:keepNext/>
              <w:spacing w:after="0"/>
              <w:jc w:val="center"/>
              <w:rPr>
                <w:rFonts w:ascii="Times New Roman" w:eastAsia="Times New Roman" w:hAnsi="Times New Roman" w:cs="Times New Roman"/>
                <w:b/>
                <w:bCs/>
                <w:color w:val="333333"/>
                <w:lang w:val="en-CA" w:eastAsia="en-CA"/>
              </w:rPr>
            </w:pPr>
            <w:r w:rsidRPr="00C30689">
              <w:rPr>
                <w:rFonts w:ascii="Times New Roman" w:eastAsia="Times New Roman" w:hAnsi="Times New Roman" w:cs="Times New Roman"/>
                <w:b/>
                <w:bCs/>
                <w:color w:val="333333"/>
                <w:lang w:val="en-CA" w:eastAsia="en-CA"/>
              </w:rPr>
              <w:t>Era</w:t>
            </w:r>
          </w:p>
        </w:tc>
        <w:tc>
          <w:tcPr>
            <w:tcW w:w="2459" w:type="dxa"/>
            <w:tcMar>
              <w:top w:w="90" w:type="dxa"/>
              <w:left w:w="195" w:type="dxa"/>
              <w:bottom w:w="90" w:type="dxa"/>
              <w:right w:w="195" w:type="dxa"/>
            </w:tcMar>
            <w:vAlign w:val="center"/>
            <w:hideMark/>
          </w:tcPr>
          <w:p w14:paraId="719999BC" w14:textId="77777777" w:rsidR="00D01771" w:rsidRPr="00C30689" w:rsidRDefault="00D01771" w:rsidP="008B7CBC">
            <w:pPr>
              <w:keepNext/>
              <w:spacing w:after="0"/>
              <w:jc w:val="center"/>
              <w:rPr>
                <w:rFonts w:ascii="Times New Roman" w:eastAsia="Times New Roman" w:hAnsi="Times New Roman" w:cs="Times New Roman"/>
                <w:b/>
                <w:bCs/>
                <w:color w:val="333333"/>
                <w:lang w:val="en-CA" w:eastAsia="en-CA"/>
              </w:rPr>
            </w:pPr>
            <w:r w:rsidRPr="00C30689">
              <w:rPr>
                <w:rFonts w:ascii="Times New Roman" w:eastAsia="Times New Roman" w:hAnsi="Times New Roman" w:cs="Times New Roman"/>
                <w:b/>
                <w:bCs/>
                <w:color w:val="333333"/>
                <w:lang w:val="en-CA" w:eastAsia="en-CA"/>
              </w:rPr>
              <w:t>Key Event</w:t>
            </w:r>
          </w:p>
        </w:tc>
        <w:tc>
          <w:tcPr>
            <w:tcW w:w="4860" w:type="dxa"/>
            <w:tcMar>
              <w:top w:w="90" w:type="dxa"/>
              <w:left w:w="195" w:type="dxa"/>
              <w:bottom w:w="90" w:type="dxa"/>
              <w:right w:w="195" w:type="dxa"/>
            </w:tcMar>
            <w:vAlign w:val="center"/>
            <w:hideMark/>
          </w:tcPr>
          <w:p w14:paraId="2CABB61D" w14:textId="77777777" w:rsidR="00D01771" w:rsidRPr="00C30689" w:rsidRDefault="00D01771" w:rsidP="008B7CBC">
            <w:pPr>
              <w:keepNext/>
              <w:spacing w:after="0"/>
              <w:jc w:val="center"/>
              <w:rPr>
                <w:rFonts w:ascii="Times New Roman" w:eastAsia="Times New Roman" w:hAnsi="Times New Roman" w:cs="Times New Roman"/>
                <w:b/>
                <w:bCs/>
                <w:color w:val="333333"/>
                <w:lang w:val="en-CA" w:eastAsia="en-CA"/>
              </w:rPr>
            </w:pPr>
            <w:r w:rsidRPr="00C30689">
              <w:rPr>
                <w:rFonts w:ascii="Times New Roman" w:eastAsia="Times New Roman" w:hAnsi="Times New Roman" w:cs="Times New Roman"/>
                <w:b/>
                <w:bCs/>
                <w:color w:val="333333"/>
                <w:lang w:val="en-CA" w:eastAsia="en-CA"/>
              </w:rPr>
              <w:t>Impact</w:t>
            </w:r>
          </w:p>
        </w:tc>
      </w:tr>
      <w:tr w:rsidR="00D01771" w:rsidRPr="00C30689" w14:paraId="69613618" w14:textId="77777777" w:rsidTr="008B7CBC">
        <w:trPr>
          <w:cantSplit/>
        </w:trPr>
        <w:tc>
          <w:tcPr>
            <w:tcW w:w="0" w:type="auto"/>
            <w:tcMar>
              <w:top w:w="90" w:type="dxa"/>
              <w:left w:w="195" w:type="dxa"/>
              <w:bottom w:w="90" w:type="dxa"/>
              <w:right w:w="195" w:type="dxa"/>
            </w:tcMar>
            <w:vAlign w:val="center"/>
            <w:hideMark/>
          </w:tcPr>
          <w:p w14:paraId="1B3EFADE" w14:textId="77777777" w:rsidR="00D01771" w:rsidRPr="00C30689" w:rsidRDefault="00D01771" w:rsidP="008B7CBC">
            <w:pPr>
              <w:keepNext/>
              <w:spacing w:after="0"/>
              <w:rPr>
                <w:rFonts w:ascii="Times New Roman" w:eastAsia="Times New Roman" w:hAnsi="Times New Roman" w:cs="Times New Roman"/>
                <w:color w:val="333333"/>
                <w:lang w:val="en-CA" w:eastAsia="en-CA"/>
              </w:rPr>
            </w:pPr>
            <w:r w:rsidRPr="00C30689">
              <w:rPr>
                <w:rFonts w:ascii="Times New Roman" w:eastAsia="Times New Roman" w:hAnsi="Times New Roman" w:cs="Times New Roman"/>
                <w:color w:val="333333"/>
                <w:lang w:val="en-CA" w:eastAsia="en-CA"/>
              </w:rPr>
              <w:t>Pre-1950s</w:t>
            </w:r>
          </w:p>
        </w:tc>
        <w:tc>
          <w:tcPr>
            <w:tcW w:w="2459" w:type="dxa"/>
            <w:tcMar>
              <w:top w:w="90" w:type="dxa"/>
              <w:left w:w="195" w:type="dxa"/>
              <w:bottom w:w="90" w:type="dxa"/>
              <w:right w:w="195" w:type="dxa"/>
            </w:tcMar>
            <w:vAlign w:val="center"/>
            <w:hideMark/>
          </w:tcPr>
          <w:p w14:paraId="5A2ACE2B" w14:textId="77777777" w:rsidR="00D01771" w:rsidRPr="00C30689" w:rsidRDefault="00D01771" w:rsidP="008B7CBC">
            <w:pPr>
              <w:keepNext/>
              <w:spacing w:after="0"/>
              <w:rPr>
                <w:rFonts w:ascii="Times New Roman" w:eastAsia="Times New Roman" w:hAnsi="Times New Roman" w:cs="Times New Roman"/>
                <w:color w:val="333333"/>
                <w:lang w:val="en-CA" w:eastAsia="en-CA"/>
              </w:rPr>
            </w:pPr>
            <w:r w:rsidRPr="00C30689">
              <w:rPr>
                <w:rFonts w:ascii="Times New Roman" w:eastAsia="Times New Roman" w:hAnsi="Times New Roman" w:cs="Times New Roman"/>
                <w:color w:val="333333"/>
                <w:lang w:val="en-CA" w:eastAsia="en-CA"/>
              </w:rPr>
              <w:t>Practice-Based Traditions</w:t>
            </w:r>
          </w:p>
        </w:tc>
        <w:tc>
          <w:tcPr>
            <w:tcW w:w="4860" w:type="dxa"/>
            <w:tcMar>
              <w:top w:w="90" w:type="dxa"/>
              <w:left w:w="195" w:type="dxa"/>
              <w:bottom w:w="90" w:type="dxa"/>
              <w:right w:w="195" w:type="dxa"/>
            </w:tcMar>
            <w:vAlign w:val="center"/>
            <w:hideMark/>
          </w:tcPr>
          <w:p w14:paraId="37343850" w14:textId="77777777" w:rsidR="00D01771" w:rsidRPr="00C30689" w:rsidRDefault="00D01771" w:rsidP="008B7CBC">
            <w:pPr>
              <w:keepNext/>
              <w:spacing w:after="0"/>
              <w:rPr>
                <w:rFonts w:ascii="Times New Roman" w:eastAsia="Times New Roman" w:hAnsi="Times New Roman" w:cs="Times New Roman"/>
                <w:color w:val="333333"/>
                <w:lang w:val="en-CA" w:eastAsia="en-CA"/>
              </w:rPr>
            </w:pPr>
            <w:r w:rsidRPr="00C30689">
              <w:rPr>
                <w:rFonts w:ascii="Times New Roman" w:eastAsia="Times New Roman" w:hAnsi="Times New Roman" w:cs="Times New Roman"/>
                <w:color w:val="333333"/>
                <w:lang w:val="en-CA" w:eastAsia="en-CA"/>
              </w:rPr>
              <w:t>Emphasis on phronesis, craft, and local problem-solving (e.g., Taylor, Follett).</w:t>
            </w:r>
          </w:p>
        </w:tc>
      </w:tr>
      <w:tr w:rsidR="00D01771" w:rsidRPr="00C30689" w14:paraId="373B4DB6" w14:textId="77777777" w:rsidTr="008B7CBC">
        <w:trPr>
          <w:cantSplit/>
        </w:trPr>
        <w:tc>
          <w:tcPr>
            <w:tcW w:w="0" w:type="auto"/>
            <w:tcMar>
              <w:top w:w="90" w:type="dxa"/>
              <w:left w:w="195" w:type="dxa"/>
              <w:bottom w:w="90" w:type="dxa"/>
              <w:right w:w="195" w:type="dxa"/>
            </w:tcMar>
            <w:vAlign w:val="center"/>
            <w:hideMark/>
          </w:tcPr>
          <w:p w14:paraId="5165192C" w14:textId="77777777" w:rsidR="00D01771" w:rsidRPr="00C30689" w:rsidRDefault="00D01771" w:rsidP="008B7CBC">
            <w:pPr>
              <w:keepNext/>
              <w:spacing w:after="0"/>
              <w:rPr>
                <w:rFonts w:ascii="Times New Roman" w:eastAsia="Times New Roman" w:hAnsi="Times New Roman" w:cs="Times New Roman"/>
                <w:color w:val="333333"/>
                <w:lang w:val="en-CA" w:eastAsia="en-CA"/>
              </w:rPr>
            </w:pPr>
            <w:r w:rsidRPr="00C30689">
              <w:rPr>
                <w:rFonts w:ascii="Times New Roman" w:eastAsia="Times New Roman" w:hAnsi="Times New Roman" w:cs="Times New Roman"/>
                <w:color w:val="333333"/>
                <w:lang w:val="en-CA" w:eastAsia="en-CA"/>
              </w:rPr>
              <w:t>1959</w:t>
            </w:r>
          </w:p>
        </w:tc>
        <w:tc>
          <w:tcPr>
            <w:tcW w:w="2459" w:type="dxa"/>
            <w:tcMar>
              <w:top w:w="90" w:type="dxa"/>
              <w:left w:w="195" w:type="dxa"/>
              <w:bottom w:w="90" w:type="dxa"/>
              <w:right w:w="195" w:type="dxa"/>
            </w:tcMar>
            <w:vAlign w:val="center"/>
            <w:hideMark/>
          </w:tcPr>
          <w:p w14:paraId="2E83A0C0" w14:textId="77777777" w:rsidR="00D01771" w:rsidRPr="00C30689" w:rsidRDefault="00D01771" w:rsidP="008B7CBC">
            <w:pPr>
              <w:keepNext/>
              <w:spacing w:after="0"/>
              <w:rPr>
                <w:rFonts w:ascii="Times New Roman" w:eastAsia="Times New Roman" w:hAnsi="Times New Roman" w:cs="Times New Roman"/>
                <w:color w:val="333333"/>
                <w:lang w:val="en-CA" w:eastAsia="en-CA"/>
              </w:rPr>
            </w:pPr>
            <w:r w:rsidRPr="00C30689">
              <w:rPr>
                <w:rFonts w:ascii="Times New Roman" w:eastAsia="Times New Roman" w:hAnsi="Times New Roman" w:cs="Times New Roman"/>
                <w:color w:val="333333"/>
                <w:lang w:val="en-CA" w:eastAsia="en-CA"/>
              </w:rPr>
              <w:t>Carnegie Reforms</w:t>
            </w:r>
          </w:p>
        </w:tc>
        <w:tc>
          <w:tcPr>
            <w:tcW w:w="4860" w:type="dxa"/>
            <w:tcMar>
              <w:top w:w="90" w:type="dxa"/>
              <w:left w:w="195" w:type="dxa"/>
              <w:bottom w:w="90" w:type="dxa"/>
              <w:right w:w="195" w:type="dxa"/>
            </w:tcMar>
            <w:vAlign w:val="center"/>
            <w:hideMark/>
          </w:tcPr>
          <w:p w14:paraId="0ABAB195" w14:textId="77777777" w:rsidR="00D01771" w:rsidRPr="00C30689" w:rsidRDefault="00D01771" w:rsidP="008B7CBC">
            <w:pPr>
              <w:keepNext/>
              <w:spacing w:after="0"/>
              <w:rPr>
                <w:rFonts w:ascii="Times New Roman" w:eastAsia="Times New Roman" w:hAnsi="Times New Roman" w:cs="Times New Roman"/>
                <w:color w:val="333333"/>
                <w:lang w:val="en-CA" w:eastAsia="en-CA"/>
              </w:rPr>
            </w:pPr>
            <w:r w:rsidRPr="00C30689">
              <w:rPr>
                <w:rFonts w:ascii="Times New Roman" w:eastAsia="Times New Roman" w:hAnsi="Times New Roman" w:cs="Times New Roman"/>
                <w:color w:val="333333"/>
                <w:lang w:val="en-CA" w:eastAsia="en-CA"/>
              </w:rPr>
              <w:t>Shift to the appearance of scientific rigor, creating disciplinary vacuum for gap model (Gordon &amp; Howell, Pierson).</w:t>
            </w:r>
          </w:p>
        </w:tc>
      </w:tr>
      <w:tr w:rsidR="00D01771" w:rsidRPr="00C30689" w14:paraId="1DE4382B" w14:textId="77777777" w:rsidTr="008B7CBC">
        <w:trPr>
          <w:cantSplit/>
        </w:trPr>
        <w:tc>
          <w:tcPr>
            <w:tcW w:w="0" w:type="auto"/>
            <w:tcMar>
              <w:top w:w="90" w:type="dxa"/>
              <w:left w:w="195" w:type="dxa"/>
              <w:bottom w:w="90" w:type="dxa"/>
              <w:right w:w="195" w:type="dxa"/>
            </w:tcMar>
            <w:vAlign w:val="center"/>
            <w:hideMark/>
          </w:tcPr>
          <w:p w14:paraId="79211BE0" w14:textId="77777777" w:rsidR="00D01771" w:rsidRPr="00C30689" w:rsidRDefault="00D01771" w:rsidP="008B7CBC">
            <w:pPr>
              <w:keepNext/>
              <w:spacing w:after="0"/>
              <w:rPr>
                <w:rFonts w:ascii="Times New Roman" w:eastAsia="Times New Roman" w:hAnsi="Times New Roman" w:cs="Times New Roman"/>
                <w:color w:val="333333"/>
                <w:lang w:val="en-CA" w:eastAsia="en-CA"/>
              </w:rPr>
            </w:pPr>
            <w:r w:rsidRPr="00C30689">
              <w:rPr>
                <w:rFonts w:ascii="Times New Roman" w:eastAsia="Times New Roman" w:hAnsi="Times New Roman" w:cs="Times New Roman"/>
                <w:color w:val="333333"/>
                <w:lang w:val="en-CA" w:eastAsia="en-CA"/>
              </w:rPr>
              <w:t>1970s–1980s</w:t>
            </w:r>
          </w:p>
        </w:tc>
        <w:tc>
          <w:tcPr>
            <w:tcW w:w="2459" w:type="dxa"/>
            <w:tcMar>
              <w:top w:w="90" w:type="dxa"/>
              <w:left w:w="195" w:type="dxa"/>
              <w:bottom w:w="90" w:type="dxa"/>
              <w:right w:w="195" w:type="dxa"/>
            </w:tcMar>
            <w:vAlign w:val="center"/>
            <w:hideMark/>
          </w:tcPr>
          <w:p w14:paraId="06375BA3" w14:textId="77777777" w:rsidR="00D01771" w:rsidRPr="00C30689" w:rsidRDefault="00D01771" w:rsidP="008B7CBC">
            <w:pPr>
              <w:keepNext/>
              <w:spacing w:after="0"/>
              <w:rPr>
                <w:rFonts w:ascii="Times New Roman" w:eastAsia="Times New Roman" w:hAnsi="Times New Roman" w:cs="Times New Roman"/>
                <w:color w:val="333333"/>
                <w:lang w:val="en-CA" w:eastAsia="en-CA"/>
              </w:rPr>
            </w:pPr>
            <w:r w:rsidRPr="00C30689">
              <w:rPr>
                <w:rFonts w:ascii="Times New Roman" w:eastAsia="Times New Roman" w:hAnsi="Times New Roman" w:cs="Times New Roman"/>
                <w:color w:val="333333"/>
                <w:lang w:val="en-CA" w:eastAsia="en-CA"/>
              </w:rPr>
              <w:t>Institutionalization</w:t>
            </w:r>
          </w:p>
        </w:tc>
        <w:tc>
          <w:tcPr>
            <w:tcW w:w="4860" w:type="dxa"/>
            <w:tcMar>
              <w:top w:w="90" w:type="dxa"/>
              <w:left w:w="195" w:type="dxa"/>
              <w:bottom w:w="90" w:type="dxa"/>
              <w:right w:w="195" w:type="dxa"/>
            </w:tcMar>
            <w:vAlign w:val="center"/>
            <w:hideMark/>
          </w:tcPr>
          <w:p w14:paraId="14C3280D" w14:textId="77777777" w:rsidR="00D01771" w:rsidRPr="00C30689" w:rsidRDefault="00D01771" w:rsidP="008B7CBC">
            <w:pPr>
              <w:keepNext/>
              <w:spacing w:after="0"/>
              <w:rPr>
                <w:rFonts w:ascii="Times New Roman" w:eastAsia="Times New Roman" w:hAnsi="Times New Roman" w:cs="Times New Roman"/>
                <w:color w:val="333333"/>
                <w:lang w:val="en-CA" w:eastAsia="en-CA"/>
              </w:rPr>
            </w:pPr>
            <w:r w:rsidRPr="00C30689">
              <w:rPr>
                <w:rFonts w:ascii="Times New Roman" w:eastAsia="Times New Roman" w:hAnsi="Times New Roman" w:cs="Times New Roman"/>
                <w:color w:val="333333"/>
                <w:lang w:val="en-CA" w:eastAsia="en-CA"/>
              </w:rPr>
              <w:t>Gap formalized in PhD programs and journals, becoming a ritual gatekeeper (Alvesson &amp; Sandberg, 2013).</w:t>
            </w:r>
          </w:p>
        </w:tc>
      </w:tr>
      <w:tr w:rsidR="00D01771" w:rsidRPr="00C30689" w14:paraId="6FA46F69" w14:textId="77777777" w:rsidTr="008B7CBC">
        <w:trPr>
          <w:cantSplit/>
        </w:trPr>
        <w:tc>
          <w:tcPr>
            <w:tcW w:w="0" w:type="auto"/>
            <w:tcMar>
              <w:top w:w="90" w:type="dxa"/>
              <w:left w:w="195" w:type="dxa"/>
              <w:bottom w:w="90" w:type="dxa"/>
              <w:right w:w="195" w:type="dxa"/>
            </w:tcMar>
            <w:vAlign w:val="center"/>
            <w:hideMark/>
          </w:tcPr>
          <w:p w14:paraId="574B7AFF" w14:textId="77777777" w:rsidR="00D01771" w:rsidRPr="00C30689" w:rsidRDefault="00D01771" w:rsidP="008B7CBC">
            <w:pPr>
              <w:keepNext/>
              <w:spacing w:after="0"/>
              <w:rPr>
                <w:rFonts w:ascii="Times New Roman" w:eastAsia="Times New Roman" w:hAnsi="Times New Roman" w:cs="Times New Roman"/>
                <w:color w:val="333333"/>
                <w:lang w:val="en-CA" w:eastAsia="en-CA"/>
              </w:rPr>
            </w:pPr>
            <w:r w:rsidRPr="00C30689">
              <w:rPr>
                <w:rFonts w:ascii="Times New Roman" w:eastAsia="Times New Roman" w:hAnsi="Times New Roman" w:cs="Times New Roman"/>
                <w:color w:val="333333"/>
                <w:lang w:val="en-CA" w:eastAsia="en-CA"/>
              </w:rPr>
              <w:t>2010s–Present</w:t>
            </w:r>
          </w:p>
        </w:tc>
        <w:tc>
          <w:tcPr>
            <w:tcW w:w="2459" w:type="dxa"/>
            <w:tcMar>
              <w:top w:w="90" w:type="dxa"/>
              <w:left w:w="195" w:type="dxa"/>
              <w:bottom w:w="90" w:type="dxa"/>
              <w:right w:w="195" w:type="dxa"/>
            </w:tcMar>
            <w:vAlign w:val="center"/>
            <w:hideMark/>
          </w:tcPr>
          <w:p w14:paraId="05BA7D61" w14:textId="77777777" w:rsidR="00D01771" w:rsidRPr="00C30689" w:rsidRDefault="00D01771" w:rsidP="008B7CBC">
            <w:pPr>
              <w:keepNext/>
              <w:spacing w:after="0"/>
              <w:rPr>
                <w:rFonts w:ascii="Times New Roman" w:eastAsia="Times New Roman" w:hAnsi="Times New Roman" w:cs="Times New Roman"/>
                <w:color w:val="333333"/>
                <w:lang w:val="en-CA" w:eastAsia="en-CA"/>
              </w:rPr>
            </w:pPr>
            <w:r w:rsidRPr="00C30689">
              <w:rPr>
                <w:rFonts w:ascii="Times New Roman" w:eastAsia="Times New Roman" w:hAnsi="Times New Roman" w:cs="Times New Roman"/>
                <w:color w:val="333333"/>
                <w:lang w:val="en-CA" w:eastAsia="en-CA"/>
              </w:rPr>
              <w:t>Contemporary Distortions</w:t>
            </w:r>
          </w:p>
        </w:tc>
        <w:tc>
          <w:tcPr>
            <w:tcW w:w="4860" w:type="dxa"/>
            <w:tcMar>
              <w:top w:w="90" w:type="dxa"/>
              <w:left w:w="195" w:type="dxa"/>
              <w:bottom w:w="90" w:type="dxa"/>
              <w:right w:w="195" w:type="dxa"/>
            </w:tcMar>
            <w:vAlign w:val="center"/>
            <w:hideMark/>
          </w:tcPr>
          <w:p w14:paraId="5E68A590" w14:textId="77777777" w:rsidR="00D01771" w:rsidRPr="00C30689" w:rsidRDefault="00D01771" w:rsidP="008B7CBC">
            <w:pPr>
              <w:keepNext/>
              <w:spacing w:after="0"/>
              <w:rPr>
                <w:rFonts w:ascii="Times New Roman" w:eastAsia="Times New Roman" w:hAnsi="Times New Roman" w:cs="Times New Roman"/>
                <w:color w:val="333333"/>
                <w:lang w:val="en-CA" w:eastAsia="en-CA"/>
              </w:rPr>
            </w:pPr>
            <w:r w:rsidRPr="00C30689">
              <w:rPr>
                <w:rFonts w:ascii="Times New Roman" w:eastAsia="Times New Roman" w:hAnsi="Times New Roman" w:cs="Times New Roman"/>
                <w:color w:val="333333"/>
                <w:lang w:val="en-CA" w:eastAsia="en-CA"/>
              </w:rPr>
              <w:t xml:space="preserve">Novelty inflation and isolation from practice, with resistance in practitioner literature (Kaplan, 2011; </w:t>
            </w:r>
            <w:proofErr w:type="spellStart"/>
            <w:r w:rsidRPr="00C30689">
              <w:rPr>
                <w:rFonts w:ascii="Times New Roman" w:eastAsia="Times New Roman" w:hAnsi="Times New Roman" w:cs="Times New Roman"/>
                <w:color w:val="333333"/>
                <w:lang w:val="en-CA" w:eastAsia="en-CA"/>
              </w:rPr>
              <w:t>Mignolo</w:t>
            </w:r>
            <w:proofErr w:type="spellEnd"/>
            <w:r w:rsidRPr="00C30689">
              <w:rPr>
                <w:rFonts w:ascii="Times New Roman" w:eastAsia="Times New Roman" w:hAnsi="Times New Roman" w:cs="Times New Roman"/>
                <w:color w:val="333333"/>
                <w:lang w:val="en-CA" w:eastAsia="en-CA"/>
              </w:rPr>
              <w:t>, 2009).</w:t>
            </w:r>
          </w:p>
        </w:tc>
      </w:tr>
    </w:tbl>
    <w:p w14:paraId="6C420F02" w14:textId="77777777" w:rsidR="009E2EBF" w:rsidRDefault="009E2EBF" w:rsidP="006630A6">
      <w:pPr>
        <w:pStyle w:val="Heading2"/>
        <w:spacing w:line="240" w:lineRule="auto"/>
        <w:jc w:val="left"/>
      </w:pPr>
      <w:bookmarkStart w:id="29" w:name="references"/>
      <w:bookmarkEnd w:id="28"/>
    </w:p>
    <w:p w14:paraId="7B916B3B" w14:textId="33251B66" w:rsidR="00D01771" w:rsidRDefault="006630A6" w:rsidP="006630A6">
      <w:pPr>
        <w:pStyle w:val="Heading2"/>
        <w:spacing w:line="240" w:lineRule="auto"/>
      </w:pPr>
      <w:r w:rsidRPr="00F613FB">
        <w:t>REFERENCES</w:t>
      </w:r>
    </w:p>
    <w:bookmarkEnd w:id="29"/>
    <w:p w14:paraId="14CBA781" w14:textId="77777777" w:rsidR="00D01771" w:rsidRPr="00F613FB" w:rsidRDefault="00D01771" w:rsidP="007C3276">
      <w:pPr>
        <w:pStyle w:val="Bibliography"/>
        <w:spacing w:line="240" w:lineRule="auto"/>
        <w:jc w:val="both"/>
      </w:pPr>
      <w:r w:rsidRPr="00F613FB">
        <w:t>Abbott, A. (2001). Chaos of disciplines. University of Chicago Press.</w:t>
      </w:r>
    </w:p>
    <w:p w14:paraId="63E5B715" w14:textId="77777777" w:rsidR="00D01771" w:rsidRDefault="00D01771" w:rsidP="007C3276">
      <w:pPr>
        <w:pStyle w:val="Bibliography"/>
        <w:spacing w:line="240" w:lineRule="auto"/>
        <w:ind w:left="426" w:hanging="426"/>
        <w:jc w:val="both"/>
      </w:pPr>
      <w:r w:rsidRPr="00B81DD4">
        <w:t>Abrahamson, E., &amp; Fairchild, G. (1999). Management fashion: Lifecycles, triggers, and collective learning processes. Administrative Science Quarterly, 44(4), 708–740.</w:t>
      </w:r>
    </w:p>
    <w:p w14:paraId="7EAD9BCF" w14:textId="77777777" w:rsidR="00D01771" w:rsidRDefault="00D01771" w:rsidP="007C3276">
      <w:pPr>
        <w:pStyle w:val="Bibliography"/>
        <w:spacing w:line="240" w:lineRule="auto"/>
        <w:ind w:left="426" w:hanging="426"/>
        <w:jc w:val="both"/>
      </w:pPr>
      <w:r>
        <w:t xml:space="preserve">Ackoff, R. L. (1971). </w:t>
      </w:r>
      <w:r>
        <w:rPr>
          <w:i/>
          <w:iCs/>
        </w:rPr>
        <w:t>Towards a system of systems concepts</w:t>
      </w:r>
      <w:r>
        <w:t>. Management Science, 17(11), 661–671.</w:t>
      </w:r>
    </w:p>
    <w:p w14:paraId="653F45B7" w14:textId="77777777" w:rsidR="00D01771" w:rsidRDefault="00D01771" w:rsidP="007C3276">
      <w:pPr>
        <w:pStyle w:val="Bibliography"/>
        <w:spacing w:line="240" w:lineRule="auto"/>
        <w:ind w:left="426" w:hanging="426"/>
        <w:jc w:val="both"/>
      </w:pPr>
      <w:r w:rsidRPr="00B81DD4">
        <w:t>Alvesson, M., &amp; Sandberg, J. (2011). Generating research questions through problematization. Academy of Management Review, 36(2), 247–271.</w:t>
      </w:r>
    </w:p>
    <w:p w14:paraId="47625E83" w14:textId="77777777" w:rsidR="00D01771" w:rsidRDefault="00D01771" w:rsidP="007C3276">
      <w:pPr>
        <w:pStyle w:val="Bibliography"/>
        <w:tabs>
          <w:tab w:val="left" w:pos="426"/>
        </w:tabs>
        <w:spacing w:line="240" w:lineRule="auto"/>
        <w:ind w:left="426" w:hanging="426"/>
        <w:jc w:val="both"/>
      </w:pPr>
      <w:r>
        <w:t>Alvesson, M., &amp; Sandberg, J. (2013). Constructing research questions: Doing interesting research. Sage.</w:t>
      </w:r>
    </w:p>
    <w:p w14:paraId="23D0AA0C" w14:textId="77777777" w:rsidR="00D01771" w:rsidRDefault="00D01771" w:rsidP="007C3276">
      <w:pPr>
        <w:pStyle w:val="Bibliography"/>
        <w:spacing w:line="240" w:lineRule="auto"/>
        <w:ind w:left="426" w:hanging="426"/>
        <w:jc w:val="both"/>
      </w:pPr>
      <w:r w:rsidRPr="00B81DD4">
        <w:t>Alvesson, M., &amp; Willmott, H. (1992). On the idea of emancipation in management and organization studies. Academy of Management Review, 17(3), 432–464.</w:t>
      </w:r>
    </w:p>
    <w:p w14:paraId="17185BC3" w14:textId="77777777" w:rsidR="00D01771" w:rsidRDefault="00D01771" w:rsidP="007C3276">
      <w:pPr>
        <w:pStyle w:val="Bibliography"/>
        <w:spacing w:line="240" w:lineRule="auto"/>
        <w:ind w:left="426" w:hanging="426"/>
        <w:jc w:val="both"/>
      </w:pPr>
      <w:r w:rsidRPr="00B81DD4">
        <w:t>Augier, M., &amp; March, J. G. (2011). The roots, rituals, and rhetorics of change: North American business schools after the Second World War. Stanford University Press.</w:t>
      </w:r>
    </w:p>
    <w:p w14:paraId="1C8513AB" w14:textId="77777777" w:rsidR="00D01771" w:rsidRDefault="00D01771" w:rsidP="007C3276">
      <w:pPr>
        <w:pStyle w:val="Bibliography"/>
        <w:spacing w:line="240" w:lineRule="auto"/>
        <w:ind w:left="426" w:hanging="426"/>
        <w:jc w:val="both"/>
      </w:pPr>
      <w:r w:rsidRPr="00B81DD4">
        <w:t>Ball, R., &amp; Brown, P. (1968). An empirical evaluation of accounting income numbers. Journal of Accounting Research, 6(2), 159–178.</w:t>
      </w:r>
    </w:p>
    <w:p w14:paraId="38505A11" w14:textId="77777777" w:rsidR="00D01771" w:rsidRDefault="00D01771" w:rsidP="007C3276">
      <w:pPr>
        <w:pStyle w:val="Bibliography"/>
        <w:spacing w:line="240" w:lineRule="auto"/>
        <w:jc w:val="both"/>
      </w:pPr>
      <w:r>
        <w:t xml:space="preserve">Barnard, C. I. (1938). </w:t>
      </w:r>
      <w:r>
        <w:rPr>
          <w:i/>
          <w:iCs/>
        </w:rPr>
        <w:t>The functions of the executive</w:t>
      </w:r>
      <w:r>
        <w:t>. Harvard University Press.</w:t>
      </w:r>
    </w:p>
    <w:p w14:paraId="7D9C1AEF" w14:textId="77777777" w:rsidR="00D01771" w:rsidRDefault="00D01771" w:rsidP="007C3276">
      <w:pPr>
        <w:pStyle w:val="Bibliography"/>
        <w:spacing w:line="240" w:lineRule="auto"/>
        <w:ind w:left="426" w:hanging="426"/>
        <w:jc w:val="both"/>
      </w:pPr>
      <w:r w:rsidRPr="00AB0557">
        <w:rPr>
          <w:lang w:val="en-CA"/>
        </w:rPr>
        <w:t xml:space="preserve">Bartunek, J. M., &amp; Rynes, S. L. (2014). </w:t>
      </w:r>
      <w:r>
        <w:t xml:space="preserve">Academics and practitioners are alike and unlike. </w:t>
      </w:r>
      <w:r>
        <w:rPr>
          <w:i/>
          <w:iCs/>
        </w:rPr>
        <w:t>Journal of Management</w:t>
      </w:r>
      <w:r>
        <w:t xml:space="preserve">, 40(5), 1181–1201. </w:t>
      </w:r>
      <w:hyperlink r:id="rId16">
        <w:r>
          <w:rPr>
            <w:rStyle w:val="Hyperlink"/>
          </w:rPr>
          <w:t>https://doi.org/10.1177/0149206314529160</w:t>
        </w:r>
      </w:hyperlink>
    </w:p>
    <w:p w14:paraId="68C23E14" w14:textId="77777777" w:rsidR="00D01771" w:rsidRDefault="00D01771" w:rsidP="007C3276">
      <w:pPr>
        <w:pStyle w:val="Bibliography"/>
        <w:spacing w:line="240" w:lineRule="auto"/>
        <w:ind w:left="426" w:hanging="426"/>
        <w:jc w:val="both"/>
      </w:pPr>
      <w:r w:rsidRPr="00B81DD4">
        <w:t>Beaver, W. H. (1968). The information content of annual earnings announcements. Journal of Accounting Research, 6, 67–92.</w:t>
      </w:r>
    </w:p>
    <w:p w14:paraId="7ED47DD2" w14:textId="77777777" w:rsidR="00D01771" w:rsidRDefault="00D01771" w:rsidP="007C3276">
      <w:pPr>
        <w:pStyle w:val="Bibliography"/>
        <w:spacing w:line="240" w:lineRule="auto"/>
        <w:ind w:left="426" w:hanging="426"/>
        <w:jc w:val="both"/>
      </w:pPr>
      <w:r>
        <w:t xml:space="preserve">Becher, T., &amp; </w:t>
      </w:r>
      <w:proofErr w:type="spellStart"/>
      <w:r>
        <w:t>Trowler</w:t>
      </w:r>
      <w:proofErr w:type="spellEnd"/>
      <w:r>
        <w:t>, P. R. (2001). Academic tribes and territories: Intellectual enquiry and the culture of disciplines (2nd ed.). Open University Press.</w:t>
      </w:r>
    </w:p>
    <w:p w14:paraId="38EBEB75" w14:textId="77777777" w:rsidR="00D01771" w:rsidRDefault="00D01771" w:rsidP="007C3276">
      <w:pPr>
        <w:pStyle w:val="Bibliography"/>
        <w:spacing w:line="240" w:lineRule="auto"/>
        <w:ind w:left="426" w:hanging="426"/>
        <w:jc w:val="both"/>
      </w:pPr>
      <w:r w:rsidRPr="00B81DD4">
        <w:t>Bennis, W. G., &amp; O’Toole, J. (2005). How business schools lost their way. Harvard Business Review, 83(5), 96–104.</w:t>
      </w:r>
    </w:p>
    <w:p w14:paraId="4DB4BF3F" w14:textId="77777777" w:rsidR="00D01771" w:rsidRDefault="00D01771" w:rsidP="007C3276">
      <w:pPr>
        <w:pStyle w:val="Bibliography"/>
        <w:spacing w:line="240" w:lineRule="auto"/>
        <w:jc w:val="both"/>
      </w:pPr>
      <w:r>
        <w:t xml:space="preserve">Bourdieu, P. (1988). </w:t>
      </w:r>
      <w:r>
        <w:rPr>
          <w:i/>
          <w:iCs/>
        </w:rPr>
        <w:t xml:space="preserve">Homo </w:t>
      </w:r>
      <w:proofErr w:type="spellStart"/>
      <w:r>
        <w:rPr>
          <w:i/>
          <w:iCs/>
        </w:rPr>
        <w:t>academicus</w:t>
      </w:r>
      <w:proofErr w:type="spellEnd"/>
      <w:r>
        <w:t xml:space="preserve"> (P. Collier, Trans.). Stanford University Press.</w:t>
      </w:r>
    </w:p>
    <w:p w14:paraId="2A19A243" w14:textId="77777777" w:rsidR="00D01771" w:rsidRDefault="00D01771" w:rsidP="007C3276">
      <w:pPr>
        <w:pStyle w:val="Bibliography"/>
        <w:spacing w:line="240" w:lineRule="auto"/>
        <w:ind w:left="426" w:hanging="426"/>
        <w:jc w:val="both"/>
      </w:pPr>
      <w:r w:rsidRPr="00B81DD4">
        <w:t>Burrell, G., &amp; Morgan, G. (1979). Sociological paradigms and organisational analysis. Heinemann.</w:t>
      </w:r>
    </w:p>
    <w:p w14:paraId="3472BE08" w14:textId="77777777" w:rsidR="00D01771" w:rsidRDefault="00D01771" w:rsidP="007C3276">
      <w:pPr>
        <w:pStyle w:val="Bibliography"/>
        <w:spacing w:line="240" w:lineRule="auto"/>
        <w:ind w:left="426" w:hanging="426"/>
        <w:jc w:val="both"/>
      </w:pPr>
      <w:r>
        <w:t xml:space="preserve">Christensen, C. M., &amp; Raynor, M. E. (2003). </w:t>
      </w:r>
      <w:r>
        <w:rPr>
          <w:i/>
          <w:iCs/>
        </w:rPr>
        <w:t>The innovator’s solution: Creating and sustaining successful growth</w:t>
      </w:r>
      <w:r>
        <w:t>. Harvard Business Press.</w:t>
      </w:r>
    </w:p>
    <w:p w14:paraId="30F0FCA5" w14:textId="77777777" w:rsidR="00D01771" w:rsidRDefault="00D01771" w:rsidP="00291FCB">
      <w:pPr>
        <w:pStyle w:val="Bibliography"/>
        <w:spacing w:line="240" w:lineRule="auto"/>
        <w:ind w:left="426" w:hanging="426"/>
        <w:jc w:val="both"/>
      </w:pPr>
      <w:r>
        <w:lastRenderedPageBreak/>
        <w:t>Collins, R. (1998). The sociology of philosophies: A global theory of intellectual change. Harvard University Press.</w:t>
      </w:r>
    </w:p>
    <w:p w14:paraId="28190136" w14:textId="77777777" w:rsidR="00D01771" w:rsidRDefault="00D01771" w:rsidP="00291FCB">
      <w:pPr>
        <w:pStyle w:val="Bibliography"/>
        <w:spacing w:line="240" w:lineRule="auto"/>
        <w:jc w:val="both"/>
      </w:pPr>
      <w:r>
        <w:t>Covey, S. R. (1989). The 7 habits of highly effective people. Free Press.</w:t>
      </w:r>
    </w:p>
    <w:p w14:paraId="62504217" w14:textId="77777777" w:rsidR="00D01771" w:rsidRDefault="00D01771" w:rsidP="00291FCB">
      <w:pPr>
        <w:pStyle w:val="Bibliography"/>
        <w:spacing w:line="240" w:lineRule="auto"/>
        <w:jc w:val="both"/>
      </w:pPr>
      <w:r>
        <w:t xml:space="preserve">Drucker, P. F. (1954). </w:t>
      </w:r>
      <w:r>
        <w:rPr>
          <w:i/>
          <w:iCs/>
        </w:rPr>
        <w:t>The practice of management</w:t>
      </w:r>
      <w:r>
        <w:t>. Harper &amp; Row.</w:t>
      </w:r>
    </w:p>
    <w:p w14:paraId="3C046584" w14:textId="77777777" w:rsidR="00D01771" w:rsidRDefault="00D01771" w:rsidP="00291FCB">
      <w:pPr>
        <w:pStyle w:val="Bibliography"/>
        <w:spacing w:line="240" w:lineRule="auto"/>
        <w:ind w:left="426" w:hanging="426"/>
        <w:jc w:val="both"/>
      </w:pPr>
      <w:r>
        <w:t xml:space="preserve">Fayol, H. (1949). </w:t>
      </w:r>
      <w:r>
        <w:rPr>
          <w:i/>
          <w:iCs/>
        </w:rPr>
        <w:t>General and industrial management</w:t>
      </w:r>
      <w:r>
        <w:t xml:space="preserve"> (C. Storrs, Trans.). Pitman. (Original work published 1916)</w:t>
      </w:r>
    </w:p>
    <w:p w14:paraId="0FB747C8" w14:textId="77777777" w:rsidR="00D01771" w:rsidRDefault="00D01771" w:rsidP="00291FCB">
      <w:pPr>
        <w:pStyle w:val="Bibliography"/>
        <w:spacing w:line="240" w:lineRule="auto"/>
        <w:ind w:left="426" w:hanging="426"/>
        <w:jc w:val="both"/>
      </w:pPr>
      <w:r w:rsidRPr="00BA50BB">
        <w:rPr>
          <w:lang w:val="en-CA"/>
        </w:rPr>
        <w:t xml:space="preserve">Ferraro, F., Pfeffer, J., &amp; Sutton, R. I. (2005). </w:t>
      </w:r>
      <w:r w:rsidRPr="00B81DD4">
        <w:t>Economic language and assumptions: How theories can become self-fulfilling. Academy of Management Review, 30(1), 8–24.</w:t>
      </w:r>
    </w:p>
    <w:p w14:paraId="05497A6F" w14:textId="77777777" w:rsidR="00D01771" w:rsidRDefault="00D01771" w:rsidP="00291FCB">
      <w:pPr>
        <w:pStyle w:val="Bibliography"/>
        <w:spacing w:line="240" w:lineRule="auto"/>
        <w:ind w:left="426" w:hanging="426"/>
        <w:jc w:val="both"/>
      </w:pPr>
      <w:r>
        <w:t>Flyvbjerg, B. (2001). Making social science matter: Why social inquiry fails and how it can succeed again. Cambridge University Press.</w:t>
      </w:r>
    </w:p>
    <w:p w14:paraId="6EEA9F55" w14:textId="77777777" w:rsidR="00D01771" w:rsidRDefault="00D01771" w:rsidP="00291FCB">
      <w:pPr>
        <w:pStyle w:val="Bibliography"/>
        <w:spacing w:line="240" w:lineRule="auto"/>
        <w:ind w:left="426" w:hanging="426"/>
        <w:jc w:val="both"/>
      </w:pPr>
      <w:r w:rsidRPr="00B81DD4">
        <w:t>Flyvbjerg, B. (2006). Five misunderstandings about case-study research. Qualitative Inquiry, 12(2), 219–245.</w:t>
      </w:r>
    </w:p>
    <w:p w14:paraId="39EF63C2" w14:textId="77777777" w:rsidR="00D01771" w:rsidRPr="002244FB" w:rsidRDefault="00D01771" w:rsidP="00291FCB">
      <w:pPr>
        <w:pStyle w:val="Bibliography"/>
        <w:spacing w:line="240" w:lineRule="auto"/>
        <w:jc w:val="both"/>
        <w:rPr>
          <w:lang w:val="en-CA"/>
        </w:rPr>
      </w:pPr>
      <w:hyperlink r:id="rId17" w:history="1">
        <w:r w:rsidRPr="002244FB">
          <w:rPr>
            <w:rStyle w:val="Hyperlink"/>
            <w:color w:val="auto"/>
            <w:lang w:val="en-CA"/>
          </w:rPr>
          <w:t xml:space="preserve">Follett, Mary </w:t>
        </w:r>
        <w:r w:rsidRPr="002244FB">
          <w:rPr>
            <w:rStyle w:val="Hyperlink"/>
            <w:color w:val="auto"/>
          </w:rPr>
          <w:t>Parker</w:t>
        </w:r>
      </w:hyperlink>
      <w:r w:rsidRPr="002244FB">
        <w:t xml:space="preserve"> (</w:t>
      </w:r>
      <w:hyperlink r:id="rId18" w:history="1">
        <w:r w:rsidRPr="002244FB">
          <w:rPr>
            <w:rStyle w:val="Hyperlink"/>
            <w:color w:val="auto"/>
            <w:lang w:val="en-CA"/>
          </w:rPr>
          <w:t>1924</w:t>
        </w:r>
      </w:hyperlink>
      <w:r w:rsidRPr="002244FB">
        <w:t xml:space="preserve">). Creative </w:t>
      </w:r>
      <w:hyperlink r:id="rId19" w:history="1">
        <w:r w:rsidRPr="002244FB">
          <w:rPr>
            <w:rStyle w:val="Hyperlink"/>
            <w:color w:val="auto"/>
            <w:lang w:val="en-CA"/>
          </w:rPr>
          <w:t>Experience</w:t>
        </w:r>
      </w:hyperlink>
      <w:r w:rsidRPr="002244FB">
        <w:t xml:space="preserve">. </w:t>
      </w:r>
      <w:r w:rsidRPr="002244FB">
        <w:rPr>
          <w:lang w:val="en-CA"/>
        </w:rPr>
        <w:t>Longmans, Green and co., New York.</w:t>
      </w:r>
    </w:p>
    <w:p w14:paraId="2FD2E843" w14:textId="77777777" w:rsidR="00D01771" w:rsidRDefault="00D01771" w:rsidP="00291FCB">
      <w:pPr>
        <w:pStyle w:val="Bibliography"/>
        <w:spacing w:line="240" w:lineRule="auto"/>
        <w:ind w:left="426" w:hanging="426"/>
        <w:jc w:val="both"/>
      </w:pPr>
      <w:r>
        <w:t xml:space="preserve">Fourcade, M., &amp; Khurana, R. (2013). From social control to financial economics: The linked ecologies of economics and business in twentieth century America. </w:t>
      </w:r>
      <w:r>
        <w:rPr>
          <w:i/>
          <w:iCs/>
        </w:rPr>
        <w:t>Theory and Society</w:t>
      </w:r>
      <w:r>
        <w:t xml:space="preserve">, 42(2), 121–159. </w:t>
      </w:r>
      <w:hyperlink r:id="rId20">
        <w:r>
          <w:rPr>
            <w:rStyle w:val="Hyperlink"/>
          </w:rPr>
          <w:t>https://doi.org/10.1007/s11186-012-9188-1</w:t>
        </w:r>
      </w:hyperlink>
    </w:p>
    <w:p w14:paraId="49252390" w14:textId="77777777" w:rsidR="00D01771" w:rsidRDefault="00D01771" w:rsidP="00291FCB">
      <w:pPr>
        <w:pStyle w:val="Bibliography"/>
        <w:spacing w:line="240" w:lineRule="auto"/>
        <w:ind w:left="426" w:hanging="426"/>
        <w:jc w:val="both"/>
      </w:pPr>
      <w:r>
        <w:t xml:space="preserve">Gendron, Y. (2008). Constituting the academic performer: The spectre of superficiality and stagnation in academia. </w:t>
      </w:r>
      <w:r>
        <w:rPr>
          <w:i/>
          <w:iCs/>
        </w:rPr>
        <w:t>European Accounting Review</w:t>
      </w:r>
      <w:r>
        <w:t xml:space="preserve">, 17(1), 87–112. </w:t>
      </w:r>
      <w:hyperlink r:id="rId21">
        <w:r>
          <w:rPr>
            <w:rStyle w:val="Hyperlink"/>
          </w:rPr>
          <w:t>https://doi.org/10.1080/09638180701705973</w:t>
        </w:r>
      </w:hyperlink>
    </w:p>
    <w:p w14:paraId="30D22142" w14:textId="77777777" w:rsidR="00D01771" w:rsidRDefault="00D01771" w:rsidP="00291FCB">
      <w:pPr>
        <w:pStyle w:val="Bibliography"/>
        <w:spacing w:line="240" w:lineRule="auto"/>
        <w:ind w:left="426" w:hanging="426"/>
        <w:jc w:val="both"/>
      </w:pPr>
      <w:r>
        <w:t xml:space="preserve">Ghoshal, S. (2005). Bad management theories are destroying good management practices. </w:t>
      </w:r>
      <w:r>
        <w:rPr>
          <w:i/>
          <w:iCs/>
        </w:rPr>
        <w:t>Academy of Management Learning &amp; Education</w:t>
      </w:r>
      <w:r>
        <w:t xml:space="preserve">, 4(1), 75–91. </w:t>
      </w:r>
      <w:hyperlink r:id="rId22">
        <w:r>
          <w:rPr>
            <w:rStyle w:val="Hyperlink"/>
          </w:rPr>
          <w:t>https://doi.org/10.5465/amle.2005.16132558</w:t>
        </w:r>
      </w:hyperlink>
    </w:p>
    <w:p w14:paraId="0852A192" w14:textId="77777777" w:rsidR="00D01771" w:rsidRDefault="00D01771" w:rsidP="00291FCB">
      <w:pPr>
        <w:pStyle w:val="Bibliography"/>
        <w:spacing w:line="240" w:lineRule="auto"/>
        <w:ind w:left="426" w:hanging="426"/>
        <w:jc w:val="both"/>
      </w:pPr>
      <w:r>
        <w:t xml:space="preserve">Gordon, R. A., &amp; Howell, J. E. (1959). </w:t>
      </w:r>
      <w:r>
        <w:rPr>
          <w:i/>
          <w:iCs/>
        </w:rPr>
        <w:t>Higher education for business</w:t>
      </w:r>
      <w:r>
        <w:t>. Columbia University Press.</w:t>
      </w:r>
    </w:p>
    <w:p w14:paraId="650D012E" w14:textId="77777777" w:rsidR="00D01771" w:rsidRDefault="00D01771" w:rsidP="00291FCB">
      <w:pPr>
        <w:pStyle w:val="Bibliography"/>
        <w:spacing w:line="240" w:lineRule="auto"/>
        <w:jc w:val="both"/>
      </w:pPr>
      <w:r>
        <w:t>Graham, P. (1995). Mary Parker Follett: Prophet of management. Beard Books.</w:t>
      </w:r>
    </w:p>
    <w:p w14:paraId="3EF322D2" w14:textId="77777777" w:rsidR="00D01771" w:rsidRDefault="00D01771" w:rsidP="00291FCB">
      <w:pPr>
        <w:pStyle w:val="Bibliography"/>
        <w:spacing w:line="240" w:lineRule="auto"/>
        <w:ind w:left="426" w:hanging="426"/>
        <w:jc w:val="both"/>
      </w:pPr>
      <w:r w:rsidRPr="00B81DD4">
        <w:t>Hopwood, A. G. (2007). Whither accounting research? The Accounting Review, 82(5), 1365–1374.</w:t>
      </w:r>
    </w:p>
    <w:p w14:paraId="108B955A" w14:textId="77777777" w:rsidR="00D01771" w:rsidRDefault="00D01771" w:rsidP="00291FCB">
      <w:pPr>
        <w:pStyle w:val="Bibliography"/>
        <w:spacing w:line="240" w:lineRule="auto"/>
        <w:ind w:left="426" w:hanging="426"/>
        <w:jc w:val="both"/>
      </w:pPr>
      <w:r w:rsidRPr="00B81DD4">
        <w:t>Humphrey, C., &amp; Gendron, Y. (2015). What is going on? The sustainability of accounting academia. Critical Perspectives on Accounting, 26, 47–66.</w:t>
      </w:r>
    </w:p>
    <w:p w14:paraId="55ED66F9" w14:textId="77777777" w:rsidR="00D01771" w:rsidRDefault="00D01771" w:rsidP="00291FCB">
      <w:pPr>
        <w:pStyle w:val="Bibliography"/>
        <w:spacing w:line="240" w:lineRule="auto"/>
        <w:ind w:left="426" w:hanging="426"/>
        <w:jc w:val="both"/>
      </w:pPr>
      <w:r w:rsidRPr="00AB0557">
        <w:rPr>
          <w:lang w:val="en-CA"/>
        </w:rPr>
        <w:t xml:space="preserve">Jensen, M. C., &amp; Meckling, W. H. (1976). </w:t>
      </w:r>
      <w:r w:rsidRPr="00B81DD4">
        <w:t xml:space="preserve">Theory of the firm: Managerial </w:t>
      </w:r>
      <w:proofErr w:type="spellStart"/>
      <w:r w:rsidRPr="00B81DD4">
        <w:t>behavior</w:t>
      </w:r>
      <w:proofErr w:type="spellEnd"/>
      <w:r w:rsidRPr="00B81DD4">
        <w:t>, agency costs and ownership structure. Journal of Financial Economics, 3(4), 305–360.</w:t>
      </w:r>
    </w:p>
    <w:p w14:paraId="0F945107" w14:textId="77777777" w:rsidR="00D01771" w:rsidRDefault="00D01771" w:rsidP="00291FCB">
      <w:pPr>
        <w:pStyle w:val="Bibliography"/>
        <w:spacing w:line="240" w:lineRule="auto"/>
        <w:ind w:left="426" w:hanging="426"/>
        <w:jc w:val="both"/>
      </w:pPr>
      <w:r>
        <w:t xml:space="preserve">Jones, D. G. B., &amp; Shaw, E. H. (2002). A history of marketing thought. In B. Weitz &amp; R. Wensley (Eds.), </w:t>
      </w:r>
      <w:r>
        <w:rPr>
          <w:i/>
          <w:iCs/>
        </w:rPr>
        <w:t>Handbook of marketing</w:t>
      </w:r>
      <w:r>
        <w:t xml:space="preserve"> (pp. 39–65). Sage.</w:t>
      </w:r>
    </w:p>
    <w:p w14:paraId="47F5229B" w14:textId="77777777" w:rsidR="00D01771" w:rsidRDefault="00D01771" w:rsidP="00291FCB">
      <w:pPr>
        <w:pStyle w:val="Bibliography"/>
        <w:spacing w:line="240" w:lineRule="auto"/>
        <w:ind w:left="426" w:hanging="426"/>
        <w:jc w:val="both"/>
      </w:pPr>
      <w:r>
        <w:t xml:space="preserve">Kaplan, R. S. (2011). Accounting scholarship that advances professional knowledge and practice. </w:t>
      </w:r>
      <w:r>
        <w:rPr>
          <w:i/>
          <w:iCs/>
        </w:rPr>
        <w:t>The Accounting Review</w:t>
      </w:r>
      <w:r>
        <w:t xml:space="preserve">, 86(2), 367–383. </w:t>
      </w:r>
      <w:hyperlink r:id="rId23">
        <w:r>
          <w:rPr>
            <w:rStyle w:val="Hyperlink"/>
          </w:rPr>
          <w:t>https://doi.org/10.2308/accr.00000027</w:t>
        </w:r>
      </w:hyperlink>
    </w:p>
    <w:p w14:paraId="223D5C77" w14:textId="77777777" w:rsidR="00D01771" w:rsidRDefault="00D01771" w:rsidP="00291FCB">
      <w:pPr>
        <w:pStyle w:val="Bibliography"/>
        <w:spacing w:line="240" w:lineRule="auto"/>
        <w:ind w:left="426" w:hanging="426"/>
        <w:jc w:val="both"/>
      </w:pPr>
      <w:r w:rsidRPr="00AB0557">
        <w:rPr>
          <w:lang w:val="en-CA"/>
        </w:rPr>
        <w:t xml:space="preserve">Kaplan, R. S., &amp; Norton, D. P. (1992). </w:t>
      </w:r>
      <w:r w:rsidRPr="00B81DD4">
        <w:t>The balanced scorecard—Measures that drive performance. Harvard Business Review, 70(1), 71–79.</w:t>
      </w:r>
    </w:p>
    <w:p w14:paraId="27111800" w14:textId="77777777" w:rsidR="00D01771" w:rsidRDefault="00D01771" w:rsidP="00291FCB">
      <w:pPr>
        <w:pStyle w:val="Bibliography"/>
        <w:spacing w:line="240" w:lineRule="auto"/>
        <w:ind w:left="426" w:hanging="426"/>
        <w:jc w:val="both"/>
      </w:pPr>
      <w:r>
        <w:t>Khurana, R. (2007). From higher aims to hired hands: The social transformation of American business schools. Princeton University Press.</w:t>
      </w:r>
    </w:p>
    <w:p w14:paraId="55D27883" w14:textId="77777777" w:rsidR="00D01771" w:rsidRPr="00AB0557" w:rsidRDefault="00D01771" w:rsidP="00291FCB">
      <w:pPr>
        <w:pStyle w:val="Bibliography"/>
        <w:spacing w:line="240" w:lineRule="auto"/>
        <w:jc w:val="both"/>
        <w:rPr>
          <w:lang w:val="sv-SE"/>
        </w:rPr>
      </w:pPr>
      <w:r w:rsidRPr="00B81DD4">
        <w:t xml:space="preserve">Lewin, K. (1951). Field theory in social science. </w:t>
      </w:r>
      <w:r w:rsidRPr="00AB0557">
        <w:rPr>
          <w:lang w:val="sv-SE"/>
        </w:rPr>
        <w:t>Harper.</w:t>
      </w:r>
    </w:p>
    <w:p w14:paraId="0666227E" w14:textId="77777777" w:rsidR="00D01771" w:rsidRDefault="00D01771" w:rsidP="00291FCB">
      <w:pPr>
        <w:pStyle w:val="Bibliography"/>
        <w:spacing w:line="240" w:lineRule="auto"/>
        <w:ind w:left="426" w:hanging="426"/>
        <w:jc w:val="both"/>
      </w:pPr>
      <w:r w:rsidRPr="00BA50BB">
        <w:rPr>
          <w:lang w:val="sv-SE"/>
        </w:rPr>
        <w:t xml:space="preserve">Macdonald, K. M., &amp; Kam, J. (2007). </w:t>
      </w:r>
      <w:r>
        <w:t xml:space="preserve">The skewed few: People and papers of quality in management studies. </w:t>
      </w:r>
      <w:r>
        <w:rPr>
          <w:i/>
          <w:iCs/>
        </w:rPr>
        <w:t>Organization</w:t>
      </w:r>
      <w:r>
        <w:t xml:space="preserve">, 14(2), 155–172. </w:t>
      </w:r>
      <w:hyperlink r:id="rId24">
        <w:r>
          <w:rPr>
            <w:rStyle w:val="Hyperlink"/>
          </w:rPr>
          <w:t>https://doi.org/10.1177/1350508407074220</w:t>
        </w:r>
      </w:hyperlink>
    </w:p>
    <w:p w14:paraId="1745FAA4" w14:textId="77777777" w:rsidR="00D01771" w:rsidRDefault="00D01771" w:rsidP="00291FCB">
      <w:pPr>
        <w:pStyle w:val="Bibliography"/>
        <w:spacing w:line="240" w:lineRule="auto"/>
        <w:ind w:left="426" w:hanging="426"/>
        <w:jc w:val="both"/>
      </w:pPr>
      <w:r w:rsidRPr="00B81DD4">
        <w:t>Merchant, K. A. (2010). Paradigms in accounting research: A view from North America. Management Accounting Research, 21(2), 116–120.</w:t>
      </w:r>
    </w:p>
    <w:p w14:paraId="72AD2843" w14:textId="77777777" w:rsidR="00D01771" w:rsidRDefault="00D01771" w:rsidP="00291FCB">
      <w:pPr>
        <w:pStyle w:val="Bibliography"/>
        <w:spacing w:line="240" w:lineRule="auto"/>
        <w:ind w:left="426" w:hanging="426"/>
        <w:jc w:val="both"/>
      </w:pPr>
      <w:r>
        <w:t xml:space="preserve">Meyer, J. W., &amp; Rowan, B. (1977). Institutionalized organizations: Formal structure as myth and ceremony. </w:t>
      </w:r>
      <w:r>
        <w:rPr>
          <w:i/>
          <w:iCs/>
        </w:rPr>
        <w:t>American Journal of Sociology</w:t>
      </w:r>
      <w:r>
        <w:t xml:space="preserve">, 83(2), 340–363. </w:t>
      </w:r>
      <w:hyperlink r:id="rId25">
        <w:r>
          <w:rPr>
            <w:rStyle w:val="Hyperlink"/>
          </w:rPr>
          <w:t>https://doi.org/10.1086/226550</w:t>
        </w:r>
      </w:hyperlink>
    </w:p>
    <w:p w14:paraId="77EE8580" w14:textId="77777777" w:rsidR="00D01771" w:rsidRDefault="00D01771" w:rsidP="00291FCB">
      <w:pPr>
        <w:pStyle w:val="Bibliography"/>
        <w:spacing w:line="240" w:lineRule="auto"/>
        <w:ind w:left="426" w:hanging="426"/>
        <w:jc w:val="both"/>
      </w:pPr>
      <w:proofErr w:type="spellStart"/>
      <w:r>
        <w:t>Mignolo</w:t>
      </w:r>
      <w:proofErr w:type="spellEnd"/>
      <w:r>
        <w:t xml:space="preserve">, W. D. (2009). Epistemic disobedience, independent thought and decolonial freedom. </w:t>
      </w:r>
      <w:r>
        <w:rPr>
          <w:i/>
          <w:iCs/>
        </w:rPr>
        <w:t>Theory, Culture &amp; Society</w:t>
      </w:r>
      <w:r>
        <w:t xml:space="preserve">, 26(7–8), 159–181. </w:t>
      </w:r>
      <w:hyperlink r:id="rId26">
        <w:r>
          <w:rPr>
            <w:rStyle w:val="Hyperlink"/>
          </w:rPr>
          <w:t>https://doi.org/10.1177/0263276409349275</w:t>
        </w:r>
      </w:hyperlink>
    </w:p>
    <w:p w14:paraId="148486C0" w14:textId="77777777" w:rsidR="00D01771" w:rsidRDefault="00D01771" w:rsidP="00291FCB">
      <w:pPr>
        <w:pStyle w:val="Bibliography"/>
        <w:spacing w:line="240" w:lineRule="auto"/>
        <w:ind w:left="426" w:hanging="426"/>
        <w:jc w:val="both"/>
      </w:pPr>
      <w:r>
        <w:lastRenderedPageBreak/>
        <w:t>Mintzberg, H. (2004). Managers not MBAs: A hard look at the soft practice of managing and management development. Berrett-Koehler Publishers.</w:t>
      </w:r>
    </w:p>
    <w:p w14:paraId="3B3221FB" w14:textId="77777777" w:rsidR="00D01771" w:rsidRDefault="00D01771" w:rsidP="00291FCB">
      <w:pPr>
        <w:pStyle w:val="Bibliography"/>
        <w:spacing w:line="240" w:lineRule="auto"/>
        <w:jc w:val="both"/>
      </w:pPr>
      <w:r w:rsidRPr="00B81DD4">
        <w:t>Morgan, G. (1986). Images of organization. Sage.</w:t>
      </w:r>
    </w:p>
    <w:p w14:paraId="0D4E76CC" w14:textId="77777777" w:rsidR="00D01771" w:rsidRDefault="00D01771" w:rsidP="00291FCB">
      <w:pPr>
        <w:pStyle w:val="Bibliography"/>
        <w:spacing w:line="240" w:lineRule="auto"/>
        <w:ind w:left="426" w:hanging="426"/>
        <w:jc w:val="both"/>
      </w:pPr>
      <w:r>
        <w:t>Nonaka, I., &amp; Takeuchi, H. (1995). The knowledge-creating company: How Japanese companies create the dynamics of innovation. Oxford University Press.</w:t>
      </w:r>
    </w:p>
    <w:p w14:paraId="16303712" w14:textId="77777777" w:rsidR="00D01771" w:rsidRDefault="00D01771" w:rsidP="00291FCB">
      <w:pPr>
        <w:pStyle w:val="Bibliography"/>
        <w:spacing w:line="240" w:lineRule="auto"/>
        <w:jc w:val="both"/>
      </w:pPr>
      <w:r w:rsidRPr="00B81DD4">
        <w:t>Parker, M. (2002). Against management: Organization in the age of managerialism. Polity.</w:t>
      </w:r>
    </w:p>
    <w:p w14:paraId="52BD618A" w14:textId="77777777" w:rsidR="00D01771" w:rsidRDefault="00D01771" w:rsidP="00291FCB">
      <w:pPr>
        <w:pStyle w:val="Bibliography"/>
        <w:spacing w:line="240" w:lineRule="auto"/>
        <w:ind w:left="426" w:hanging="426"/>
        <w:jc w:val="both"/>
      </w:pPr>
      <w:r w:rsidRPr="00B81DD4">
        <w:t>Pfeffer, J., &amp; Fong, C. T. (2002). The end of business schools? Less success than meets the eye. Academy of Management Learning &amp; Education, 1(1), 78–95.</w:t>
      </w:r>
    </w:p>
    <w:p w14:paraId="4653C738" w14:textId="77777777" w:rsidR="00D01771" w:rsidRDefault="00D01771" w:rsidP="00291FCB">
      <w:pPr>
        <w:pStyle w:val="Bibliography"/>
        <w:spacing w:line="240" w:lineRule="auto"/>
        <w:jc w:val="both"/>
      </w:pPr>
      <w:r>
        <w:t xml:space="preserve">Pierson, F. C. (1959). </w:t>
      </w:r>
      <w:r>
        <w:rPr>
          <w:i/>
          <w:iCs/>
        </w:rPr>
        <w:t>The education of American businessmen</w:t>
      </w:r>
      <w:r>
        <w:t>. McGraw-Hill.</w:t>
      </w:r>
    </w:p>
    <w:p w14:paraId="170E9240" w14:textId="77777777" w:rsidR="00D01771" w:rsidRDefault="00D01771" w:rsidP="00291FCB">
      <w:pPr>
        <w:pStyle w:val="Bibliography"/>
        <w:spacing w:line="240" w:lineRule="auto"/>
        <w:jc w:val="both"/>
      </w:pPr>
      <w:r w:rsidRPr="00B81DD4">
        <w:t>Power, M. (1997). The audit society: Rituals of verification. Oxford University Press.</w:t>
      </w:r>
    </w:p>
    <w:p w14:paraId="250D7219" w14:textId="77777777" w:rsidR="00D01771" w:rsidRDefault="00D01771" w:rsidP="00291FCB">
      <w:pPr>
        <w:pStyle w:val="Bibliography"/>
        <w:spacing w:line="240" w:lineRule="auto"/>
        <w:ind w:left="426" w:hanging="426"/>
        <w:jc w:val="both"/>
      </w:pPr>
      <w:proofErr w:type="spellStart"/>
      <w:r>
        <w:t>Previts</w:t>
      </w:r>
      <w:proofErr w:type="spellEnd"/>
      <w:r>
        <w:t>, G. J., &amp; Merino, B. D. (1998). A history of accountancy in the United States: The cultural significance of accounting. Ohio State University Press.</w:t>
      </w:r>
    </w:p>
    <w:p w14:paraId="0FDF028D" w14:textId="77777777" w:rsidR="00D01771" w:rsidRDefault="00D01771" w:rsidP="00291FCB">
      <w:pPr>
        <w:pStyle w:val="Bibliography"/>
        <w:spacing w:line="240" w:lineRule="auto"/>
        <w:ind w:left="426" w:hanging="426"/>
        <w:jc w:val="both"/>
      </w:pPr>
      <w:r>
        <w:t xml:space="preserve">Rynes, S. L., Colbert, A. E., &amp; O’Boyle, E. H. (2018). Implications of the changing nature of work for the interface between work and nonwork. </w:t>
      </w:r>
      <w:r>
        <w:rPr>
          <w:i/>
          <w:iCs/>
        </w:rPr>
        <w:t>Journal of Business and Psychology</w:t>
      </w:r>
      <w:r>
        <w:t xml:space="preserve">, 33(6), 705–714. </w:t>
      </w:r>
      <w:hyperlink r:id="rId27">
        <w:r>
          <w:rPr>
            <w:rStyle w:val="Hyperlink"/>
          </w:rPr>
          <w:t>https://doi.org/10.1007/s10869-018-9560-4</w:t>
        </w:r>
      </w:hyperlink>
    </w:p>
    <w:p w14:paraId="79718A0D" w14:textId="77777777" w:rsidR="00D01771" w:rsidRDefault="00D01771" w:rsidP="00291FCB">
      <w:pPr>
        <w:pStyle w:val="Bibliography"/>
        <w:spacing w:line="240" w:lineRule="auto"/>
        <w:ind w:left="426" w:hanging="426"/>
        <w:jc w:val="both"/>
      </w:pPr>
      <w:r>
        <w:t>Schön, D. A. (1983). The reflective practitioner: How professionals think in action. Basic Books.</w:t>
      </w:r>
    </w:p>
    <w:p w14:paraId="13CA02B8" w14:textId="77777777" w:rsidR="00D01771" w:rsidRDefault="00D01771" w:rsidP="00291FCB">
      <w:pPr>
        <w:pStyle w:val="Bibliography"/>
        <w:spacing w:line="240" w:lineRule="auto"/>
        <w:ind w:left="426" w:hanging="426"/>
        <w:jc w:val="both"/>
      </w:pPr>
      <w:r>
        <w:t>Scott, J. C. (1990). Domination and the arts of resistance: Hidden transcripts. Yale University Press.</w:t>
      </w:r>
    </w:p>
    <w:p w14:paraId="47D71932" w14:textId="77777777" w:rsidR="00D01771" w:rsidRDefault="00D01771" w:rsidP="00291FCB">
      <w:pPr>
        <w:pStyle w:val="Bibliography"/>
        <w:spacing w:line="240" w:lineRule="auto"/>
        <w:ind w:left="426" w:hanging="426"/>
        <w:jc w:val="both"/>
      </w:pPr>
      <w:r w:rsidRPr="00B81DD4">
        <w:t>Shore, C., &amp; Wright, S. (2015). Governing by numbers: Audit culture, rankings and the new world order. Social Anthropology, 23(1), 22–28.</w:t>
      </w:r>
    </w:p>
    <w:p w14:paraId="21EE7087" w14:textId="77777777" w:rsidR="00D01771" w:rsidRDefault="00D01771" w:rsidP="00291FCB">
      <w:pPr>
        <w:pStyle w:val="Bibliography"/>
        <w:spacing w:line="240" w:lineRule="auto"/>
        <w:ind w:left="426" w:hanging="426"/>
        <w:jc w:val="both"/>
      </w:pPr>
      <w:r w:rsidRPr="00B81DD4">
        <w:t>Starkey, K., &amp; Madan, P. (2001). Bridging the relevance gap: Aligning stakeholders in the future of management research. British Journal of Management, 12, S3–S26.</w:t>
      </w:r>
    </w:p>
    <w:p w14:paraId="535FAAF5" w14:textId="48B8197C" w:rsidR="00D01771" w:rsidRDefault="00D01771" w:rsidP="00291FCB">
      <w:pPr>
        <w:pStyle w:val="Bibliography"/>
        <w:spacing w:line="240" w:lineRule="auto"/>
        <w:ind w:left="426" w:hanging="426"/>
        <w:jc w:val="both"/>
      </w:pPr>
      <w:r>
        <w:t xml:space="preserve">Strathern, M. (1997). ‘Improving ratings’: Audit in the British university system. </w:t>
      </w:r>
      <w:r>
        <w:rPr>
          <w:i/>
          <w:iCs/>
        </w:rPr>
        <w:t>European Review</w:t>
      </w:r>
      <w:r>
        <w:t xml:space="preserve">, 5(3), 305–321. </w:t>
      </w:r>
      <w:hyperlink r:id="rId28">
        <w:r>
          <w:rPr>
            <w:rStyle w:val="Hyperlink"/>
          </w:rPr>
          <w:t>https://doi.org/10.1002/(SICI)1234-981X(199707)5:3</w:t>
        </w:r>
      </w:hyperlink>
      <w:hyperlink r:id="rId29">
        <w:r>
          <w:rPr>
            <w:rStyle w:val="Hyperlink"/>
          </w:rPr>
          <w:t>305::AID-EURO184</w:t>
        </w:r>
      </w:hyperlink>
      <w:r>
        <w:t>3.0.CO;2-S</w:t>
      </w:r>
    </w:p>
    <w:p w14:paraId="182E5086" w14:textId="77777777" w:rsidR="00D01771" w:rsidRDefault="00D01771" w:rsidP="00291FCB">
      <w:pPr>
        <w:pStyle w:val="Bibliography"/>
        <w:spacing w:line="240" w:lineRule="auto"/>
        <w:jc w:val="both"/>
      </w:pPr>
      <w:r>
        <w:t xml:space="preserve">Taylor, F. W. (1911). </w:t>
      </w:r>
      <w:r>
        <w:rPr>
          <w:i/>
          <w:iCs/>
        </w:rPr>
        <w:t>The principles of scientific management</w:t>
      </w:r>
      <w:r>
        <w:t>. Harper &amp; Brothers.</w:t>
      </w:r>
    </w:p>
    <w:p w14:paraId="43D3DE26" w14:textId="77777777" w:rsidR="00D01771" w:rsidRDefault="00D01771" w:rsidP="00291FCB">
      <w:pPr>
        <w:pStyle w:val="Bibliography"/>
        <w:spacing w:line="240" w:lineRule="auto"/>
        <w:ind w:left="426" w:hanging="426"/>
        <w:jc w:val="both"/>
      </w:pPr>
      <w:r>
        <w:t xml:space="preserve">Toulmin, S. (1990). </w:t>
      </w:r>
      <w:r>
        <w:rPr>
          <w:i/>
          <w:iCs/>
        </w:rPr>
        <w:t>Cosmopolis: The hidden agenda of modernity</w:t>
      </w:r>
      <w:r>
        <w:t>. University of Chicago Press.</w:t>
      </w:r>
    </w:p>
    <w:p w14:paraId="31FE3DDC" w14:textId="77777777" w:rsidR="00D01771" w:rsidRDefault="00D01771" w:rsidP="00291FCB">
      <w:pPr>
        <w:pStyle w:val="Bibliography"/>
        <w:spacing w:line="240" w:lineRule="auto"/>
        <w:ind w:left="426" w:hanging="426"/>
        <w:jc w:val="both"/>
      </w:pPr>
      <w:proofErr w:type="spellStart"/>
      <w:r w:rsidRPr="00B81DD4">
        <w:t>Tsoukas</w:t>
      </w:r>
      <w:proofErr w:type="spellEnd"/>
      <w:r w:rsidRPr="00B81DD4">
        <w:t>, H., &amp; Chia, R. (2002). On organizational becoming: Rethinking organizational change. Organization Science, 13(5), 567–582.</w:t>
      </w:r>
    </w:p>
    <w:p w14:paraId="0197E38A" w14:textId="77777777" w:rsidR="00D01771" w:rsidRDefault="00D01771" w:rsidP="00291FCB">
      <w:pPr>
        <w:pStyle w:val="Bibliography"/>
        <w:spacing w:line="240" w:lineRule="auto"/>
        <w:ind w:left="426" w:hanging="426"/>
        <w:jc w:val="both"/>
      </w:pPr>
      <w:proofErr w:type="spellStart"/>
      <w:r w:rsidRPr="003021D3">
        <w:rPr>
          <w:lang w:val="en-CA"/>
        </w:rPr>
        <w:t>Urwick</w:t>
      </w:r>
      <w:proofErr w:type="spellEnd"/>
      <w:r w:rsidRPr="003021D3">
        <w:rPr>
          <w:lang w:val="en-CA"/>
        </w:rPr>
        <w:t xml:space="preserve">, L., &amp; Gulick, L. (Eds.). </w:t>
      </w:r>
      <w:r>
        <w:t xml:space="preserve">(1937). </w:t>
      </w:r>
      <w:r>
        <w:rPr>
          <w:i/>
          <w:iCs/>
        </w:rPr>
        <w:t>Papers on the science of administration</w:t>
      </w:r>
      <w:r>
        <w:t>. Institute of Public Administration.</w:t>
      </w:r>
    </w:p>
    <w:p w14:paraId="3B00C49A" w14:textId="77777777" w:rsidR="00D01771" w:rsidRDefault="00D01771" w:rsidP="00291FCB">
      <w:pPr>
        <w:pStyle w:val="Bibliography"/>
        <w:spacing w:line="240" w:lineRule="auto"/>
        <w:ind w:left="426" w:hanging="426"/>
        <w:jc w:val="both"/>
      </w:pPr>
      <w:r w:rsidRPr="00AB0557">
        <w:rPr>
          <w:lang w:val="en-CA"/>
        </w:rPr>
        <w:t xml:space="preserve">Van de Ven, A. H. (2007). </w:t>
      </w:r>
      <w:r w:rsidRPr="00711D29">
        <w:rPr>
          <w:i/>
          <w:iCs/>
        </w:rPr>
        <w:t>Engaged scholarship: A guide for organizational and social research</w:t>
      </w:r>
      <w:r w:rsidRPr="00B81DD4">
        <w:t>. Oxford University Press.</w:t>
      </w:r>
    </w:p>
    <w:p w14:paraId="27832CE0" w14:textId="77777777" w:rsidR="00D01771" w:rsidRDefault="00D01771" w:rsidP="00291FCB">
      <w:pPr>
        <w:pStyle w:val="Bibliography"/>
        <w:spacing w:line="240" w:lineRule="auto"/>
        <w:ind w:left="426" w:hanging="426"/>
        <w:jc w:val="both"/>
      </w:pPr>
      <w:r w:rsidRPr="00B81DD4">
        <w:t>Watts, R. L., &amp; Zimmerman, J. L. (1978). Towards a positive theory of the determination of accounting standards. The Accounting Review, 53(1), 112–134.</w:t>
      </w:r>
    </w:p>
    <w:p w14:paraId="6E5D6603" w14:textId="77777777" w:rsidR="00D01771" w:rsidRDefault="00D01771" w:rsidP="00291FCB">
      <w:pPr>
        <w:pStyle w:val="Bibliography"/>
        <w:spacing w:line="240" w:lineRule="auto"/>
        <w:jc w:val="both"/>
      </w:pPr>
      <w:r w:rsidRPr="00B81DD4">
        <w:t xml:space="preserve">Watts, R. L., &amp; Zimmerman, J. L. (1986). </w:t>
      </w:r>
      <w:r w:rsidRPr="00711D29">
        <w:rPr>
          <w:i/>
          <w:iCs/>
        </w:rPr>
        <w:t>Positive accounting theory</w:t>
      </w:r>
      <w:r w:rsidRPr="00B81DD4">
        <w:t>. Prentice Hall.</w:t>
      </w:r>
    </w:p>
    <w:p w14:paraId="101F7CBA" w14:textId="77777777" w:rsidR="00D01771" w:rsidRDefault="00D01771" w:rsidP="00291FCB">
      <w:pPr>
        <w:pStyle w:val="Bibliography"/>
        <w:spacing w:line="240" w:lineRule="auto"/>
        <w:ind w:left="426" w:hanging="426"/>
        <w:jc w:val="both"/>
      </w:pPr>
      <w:r>
        <w:t xml:space="preserve">Weick, K. E. (1996). Drop your tools: An allegory for organizational studies. </w:t>
      </w:r>
      <w:r>
        <w:rPr>
          <w:i/>
          <w:iCs/>
        </w:rPr>
        <w:t>Administrative Science Quarterly</w:t>
      </w:r>
      <w:r>
        <w:t xml:space="preserve">, 41(2), 301–313. </w:t>
      </w:r>
      <w:hyperlink r:id="rId30">
        <w:r>
          <w:rPr>
            <w:rStyle w:val="Hyperlink"/>
          </w:rPr>
          <w:t>https://doi.org/10.2307/2393712</w:t>
        </w:r>
      </w:hyperlink>
    </w:p>
    <w:p w14:paraId="230093CF" w14:textId="77777777" w:rsidR="00D01771" w:rsidRDefault="00D01771" w:rsidP="00291FCB">
      <w:pPr>
        <w:pStyle w:val="Bibliography"/>
        <w:spacing w:line="240" w:lineRule="auto"/>
        <w:ind w:left="426" w:hanging="426"/>
        <w:jc w:val="both"/>
      </w:pPr>
      <w:r w:rsidRPr="00B81DD4">
        <w:t>Whitley, R. (1984). The fragmented state of management studies: Reasons and consequences. Journal of Management Studies, 21(3), 331–348.</w:t>
      </w:r>
    </w:p>
    <w:p w14:paraId="6833346E" w14:textId="77777777" w:rsidR="00D01771" w:rsidRPr="00B81DD4" w:rsidRDefault="00D01771" w:rsidP="00291FCB">
      <w:pPr>
        <w:pStyle w:val="Bibliography"/>
        <w:spacing w:line="240" w:lineRule="auto"/>
        <w:jc w:val="both"/>
      </w:pPr>
      <w:r w:rsidRPr="00B81DD4">
        <w:t xml:space="preserve">Williamson, O. E. (1975). </w:t>
      </w:r>
      <w:r w:rsidRPr="00711D29">
        <w:rPr>
          <w:i/>
          <w:iCs/>
        </w:rPr>
        <w:t>Markets and hierarchies</w:t>
      </w:r>
      <w:r w:rsidRPr="00B81DD4">
        <w:t>. Free Press.</w:t>
      </w:r>
    </w:p>
    <w:p w14:paraId="0F6F3DB3" w14:textId="77777777" w:rsidR="00D01771" w:rsidRDefault="00D01771" w:rsidP="00291FCB">
      <w:pPr>
        <w:pStyle w:val="Bibliography"/>
        <w:spacing w:line="240" w:lineRule="auto"/>
        <w:ind w:left="426" w:hanging="426"/>
        <w:jc w:val="both"/>
      </w:pPr>
      <w:r w:rsidRPr="00B81DD4">
        <w:t>Willmott, H. (2011). Journal list fetishism and the perversion of scholarship: Reactivity in the UK’s research assessment exercise. Organization, 18(4), 429–442.</w:t>
      </w:r>
    </w:p>
    <w:p w14:paraId="399EB86C" w14:textId="77777777" w:rsidR="00D01771" w:rsidRDefault="00D01771" w:rsidP="006630A6">
      <w:pPr>
        <w:pStyle w:val="Bibliography"/>
        <w:spacing w:line="240" w:lineRule="auto"/>
      </w:pPr>
      <w:r>
        <w:t xml:space="preserve">Wren, D. A., &amp; </w:t>
      </w:r>
      <w:proofErr w:type="spellStart"/>
      <w:r>
        <w:t>Bedeian</w:t>
      </w:r>
      <w:proofErr w:type="spellEnd"/>
      <w:r>
        <w:t xml:space="preserve">, A. G. (2009). </w:t>
      </w:r>
      <w:r>
        <w:rPr>
          <w:i/>
          <w:iCs/>
        </w:rPr>
        <w:t>The evolution of management thought</w:t>
      </w:r>
      <w:r>
        <w:t xml:space="preserve"> (6th ed.). Wiley.</w:t>
      </w:r>
    </w:p>
    <w:p w14:paraId="3CACA549" w14:textId="136D0BE9" w:rsidR="00FC7CAE" w:rsidRDefault="00FC7CAE" w:rsidP="00FC7CAE">
      <w:pPr>
        <w:pStyle w:val="Heading1"/>
      </w:pPr>
      <w:bookmarkStart w:id="30" w:name="_heading=h.ablp8ci3cvmb" w:colFirst="0" w:colLast="0"/>
      <w:bookmarkStart w:id="31" w:name="_Toc211808129"/>
      <w:bookmarkEnd w:id="30"/>
      <w:r>
        <w:lastRenderedPageBreak/>
        <w:t>Paper ID 97</w:t>
      </w:r>
      <w:bookmarkEnd w:id="31"/>
    </w:p>
    <w:p w14:paraId="464DB883" w14:textId="77777777" w:rsidR="00FC7CAE" w:rsidRDefault="00FC7CAE" w:rsidP="00FC7CAE">
      <w:pPr>
        <w:pStyle w:val="Heading2"/>
        <w:widowControl w:val="0"/>
      </w:pPr>
      <w:bookmarkStart w:id="32" w:name="_heading=h.pdjr9cngc7gr" w:colFirst="0" w:colLast="0"/>
      <w:bookmarkStart w:id="33" w:name="_Toc211808130"/>
      <w:bookmarkEnd w:id="32"/>
      <w:r>
        <w:t>PANEL SESSION PROPOSAL: “MIND THE GAP”: A GENEALOGY OF THE LITERATURE GAP IN ACCOUNTING AND BUSINESS RESEARCH</w:t>
      </w:r>
      <w:bookmarkEnd w:id="33"/>
    </w:p>
    <w:p w14:paraId="2EAC4F02" w14:textId="77777777" w:rsidR="00FC7CAE" w:rsidRDefault="00FC7CAE" w:rsidP="00FC7CAE">
      <w:pPr>
        <w:widowControl w:val="0"/>
        <w:spacing w:after="0"/>
        <w:jc w:val="center"/>
        <w:rPr>
          <w:rFonts w:ascii="Times New Roman" w:eastAsia="Times New Roman" w:hAnsi="Times New Roman" w:cs="Times New Roman"/>
          <w:b/>
          <w:sz w:val="26"/>
          <w:szCs w:val="26"/>
        </w:rPr>
      </w:pPr>
    </w:p>
    <w:p w14:paraId="235FDC44" w14:textId="77777777" w:rsidR="00FC7CAE" w:rsidRDefault="00FC7CAE" w:rsidP="00FC7CAE">
      <w:pPr>
        <w:widowControl w:val="0"/>
        <w:shd w:val="clear" w:color="auto" w:fill="FFFFFF"/>
        <w:spacing w:after="0" w:line="240" w:lineRule="auto"/>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Susumu Ueno*</w:t>
      </w:r>
      <w:r>
        <w:rPr>
          <w:rFonts w:ascii="Times New Roman" w:eastAsia="Times New Roman" w:hAnsi="Times New Roman" w:cs="Times New Roman"/>
          <w:color w:val="222222"/>
          <w:sz w:val="24"/>
          <w:szCs w:val="24"/>
        </w:rPr>
        <w:t>, Konan University, Japan (ueno@konan-u.ac.jp)</w:t>
      </w:r>
    </w:p>
    <w:p w14:paraId="2F91DCB1" w14:textId="77777777" w:rsidR="00FC7CAE" w:rsidRDefault="00FC7CAE" w:rsidP="00FC7CAE">
      <w:pPr>
        <w:widowControl w:val="0"/>
        <w:shd w:val="clear" w:color="auto" w:fill="FFFFFF"/>
        <w:spacing w:after="0" w:line="240" w:lineRule="auto"/>
        <w:jc w:val="center"/>
        <w:rPr>
          <w:rFonts w:ascii="Times New Roman" w:eastAsia="Times New Roman" w:hAnsi="Times New Roman" w:cs="Times New Roman"/>
          <w:color w:val="222222"/>
          <w:sz w:val="24"/>
          <w:szCs w:val="24"/>
        </w:rPr>
      </w:pPr>
    </w:p>
    <w:p w14:paraId="09CC50CA" w14:textId="77777777" w:rsidR="00FC7CAE" w:rsidRDefault="00FC7CAE" w:rsidP="00FC7CAE">
      <w:pPr>
        <w:widowControl w:val="0"/>
        <w:shd w:val="clear" w:color="auto" w:fill="FFFFFF"/>
        <w:spacing w:after="0" w:line="240" w:lineRule="auto"/>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Paul Scarbrough</w:t>
      </w:r>
      <w:r>
        <w:rPr>
          <w:rFonts w:ascii="Times New Roman" w:eastAsia="Times New Roman" w:hAnsi="Times New Roman" w:cs="Times New Roman"/>
          <w:color w:val="222222"/>
          <w:sz w:val="24"/>
          <w:szCs w:val="24"/>
        </w:rPr>
        <w:t>, Brock University, Canada (pscarbrough@brocku.ca)</w:t>
      </w:r>
    </w:p>
    <w:p w14:paraId="7E440ABA" w14:textId="77777777" w:rsidR="00FC7CAE" w:rsidRDefault="00FC7CAE" w:rsidP="00FC7CAE">
      <w:pPr>
        <w:widowControl w:val="0"/>
        <w:shd w:val="clear" w:color="auto" w:fill="FFFFFF"/>
        <w:spacing w:after="0" w:line="240" w:lineRule="auto"/>
        <w:jc w:val="center"/>
        <w:rPr>
          <w:rFonts w:ascii="Times New Roman" w:eastAsia="Times New Roman" w:hAnsi="Times New Roman" w:cs="Times New Roman"/>
          <w:color w:val="222222"/>
          <w:sz w:val="24"/>
          <w:szCs w:val="24"/>
        </w:rPr>
      </w:pPr>
    </w:p>
    <w:p w14:paraId="135C8E5D" w14:textId="77777777" w:rsidR="00FC7CAE" w:rsidRDefault="00FC7CAE" w:rsidP="00FC7CAE">
      <w:pPr>
        <w:widowControl w:val="0"/>
        <w:spacing w:after="0" w:line="240" w:lineRule="auto"/>
        <w:jc w:val="center"/>
        <w:rPr>
          <w:rFonts w:ascii="Times New Roman" w:eastAsia="Times New Roman" w:hAnsi="Times New Roman" w:cs="Times New Roman"/>
          <w:color w:val="222222"/>
          <w:sz w:val="24"/>
          <w:szCs w:val="24"/>
        </w:rPr>
      </w:pPr>
      <w:r>
        <w:rPr>
          <w:rFonts w:ascii="Times New Roman" w:eastAsia="Times New Roman" w:hAnsi="Times New Roman" w:cs="Times New Roman"/>
          <w:b/>
          <w:sz w:val="24"/>
          <w:szCs w:val="24"/>
        </w:rPr>
        <w:t>Robert C. Rickards</w:t>
      </w:r>
      <w:r>
        <w:rPr>
          <w:rFonts w:ascii="Times New Roman" w:eastAsia="Times New Roman" w:hAnsi="Times New Roman" w:cs="Times New Roman"/>
          <w:color w:val="222222"/>
          <w:sz w:val="24"/>
          <w:szCs w:val="24"/>
        </w:rPr>
        <w:t>, German Police University, Germany (rrickards@hs-harz.de)</w:t>
      </w:r>
    </w:p>
    <w:p w14:paraId="60CE44F3" w14:textId="77777777" w:rsidR="00FC7CAE" w:rsidRDefault="00FC7CAE" w:rsidP="00FC7CAE">
      <w:pPr>
        <w:widowControl w:val="0"/>
        <w:spacing w:after="0" w:line="240" w:lineRule="auto"/>
        <w:jc w:val="center"/>
        <w:rPr>
          <w:rFonts w:ascii="Times New Roman" w:eastAsia="Times New Roman" w:hAnsi="Times New Roman" w:cs="Times New Roman"/>
          <w:sz w:val="24"/>
          <w:szCs w:val="24"/>
        </w:rPr>
      </w:pPr>
    </w:p>
    <w:p w14:paraId="6437FCD6" w14:textId="77777777" w:rsidR="00FC7CAE" w:rsidRDefault="00FC7CAE" w:rsidP="00FC7CAE">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Yutaka Kato</w:t>
      </w:r>
      <w:r>
        <w:rPr>
          <w:rFonts w:ascii="Times New Roman" w:eastAsia="Times New Roman" w:hAnsi="Times New Roman" w:cs="Times New Roman"/>
          <w:color w:val="222222"/>
          <w:sz w:val="24"/>
          <w:szCs w:val="24"/>
        </w:rPr>
        <w:t>, Graduate School of Business, Nagoya University of Commerce and Business, Japan (yutaka_kato@nucba.ac.jp)</w:t>
      </w:r>
    </w:p>
    <w:p w14:paraId="52EB806C" w14:textId="77777777" w:rsidR="00FC7CAE" w:rsidRDefault="00FC7CAE" w:rsidP="00FC7CAE">
      <w:pPr>
        <w:widowControl w:val="0"/>
        <w:spacing w:after="0"/>
        <w:jc w:val="center"/>
        <w:rPr>
          <w:rFonts w:ascii="Times New Roman" w:eastAsia="Times New Roman" w:hAnsi="Times New Roman" w:cs="Times New Roman"/>
          <w:b/>
          <w:sz w:val="24"/>
          <w:szCs w:val="24"/>
        </w:rPr>
      </w:pPr>
    </w:p>
    <w:p w14:paraId="2FAA918B" w14:textId="77777777" w:rsidR="00FC7CAE" w:rsidRDefault="00FC7CAE" w:rsidP="00FC7CAE">
      <w:pPr>
        <w:widowControl w:val="0"/>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ABSTRACT</w:t>
      </w:r>
    </w:p>
    <w:p w14:paraId="3D9E40F6" w14:textId="77777777" w:rsidR="00FC7CAE" w:rsidRDefault="00FC7CAE" w:rsidP="00FC7CAE">
      <w:pPr>
        <w:widowControl w:val="0"/>
        <w:spacing w:after="0"/>
        <w:jc w:val="center"/>
        <w:rPr>
          <w:rFonts w:ascii="Times New Roman" w:eastAsia="Times New Roman" w:hAnsi="Times New Roman" w:cs="Times New Roman"/>
          <w:b/>
          <w:sz w:val="24"/>
          <w:szCs w:val="24"/>
        </w:rPr>
      </w:pPr>
    </w:p>
    <w:p w14:paraId="7B2EF16F" w14:textId="77777777" w:rsidR="00FC7CAE" w:rsidRDefault="00FC7CAE" w:rsidP="00FC7CAE">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panel, “Mind the Gap: A Genealogy of the Literature Gap in Accounting and Business Research,” examines the historical emergence, institutionalization, and consequences of the “literature gap” as the central organizing principle of academic inquiry in accounting and business. Although it was once thought to be a neutral tool for identifying areas of contribution, the gap requirement has become one of the most powerful gatekeeping devices, privileging navigation over the academic literature instead of engaging with real-world problems. The panel argues that this model is not a natural progression of scholarly rigor but a historical artifact of the 1959 Carnegie and Ford Foundation reforms, which sought to confer scientific legitimacy on business schools—not realizing that most research fields were in a state of flux and that there was no such thing as a “model” of scientific research. In moving to an imagined “scientific” process, these reforms displaced earlier traditions of practice-based research, exemplified by figures such as Frederick Winslow Taylor and Chester Barnard, who grounded their work in direct engagement with organizational life. The consequences of this move are far-reaching: intellectual isolation from practice, fragmentation of theory through relentless pursuit of narrow “gaps,” and neglect of practice-led innovations such as lean production and Agile methods. The “audit culture” of academia further reinforces this system, rewarding quantifiable, “auditable” research while marginalizing qualitative, interdisciplinary, and problem-driven work. This session proposes a reorientation from the gap (what has not been said) to “what needs to be understood.” Alternatives include problem-driven inquiry, discovery-led exploration, and reverse theory development built from successful practices. With presentations and discussions by Dr. Paul Scarbrough, Dr. Robert C. Rickards, and Dr. Yutaka Kato, and moderated by Dr. Susumu Ueno, the panel will offer historical insight, practical critique, and actionable pathways toward reconnecting business research with its practical mission.</w:t>
      </w:r>
    </w:p>
    <w:p w14:paraId="52F127E2" w14:textId="77777777" w:rsidR="00FC7CAE" w:rsidRDefault="00FC7CAE" w:rsidP="00FC7CAE">
      <w:pPr>
        <w:widowControl w:val="0"/>
        <w:spacing w:after="0"/>
        <w:jc w:val="both"/>
        <w:rPr>
          <w:rFonts w:ascii="Times New Roman" w:eastAsia="Times New Roman" w:hAnsi="Times New Roman" w:cs="Times New Roman"/>
          <w:sz w:val="24"/>
          <w:szCs w:val="24"/>
        </w:rPr>
      </w:pPr>
    </w:p>
    <w:p w14:paraId="0893ECFC" w14:textId="77777777" w:rsidR="00FC7CAE" w:rsidRDefault="00FC7CAE" w:rsidP="00FC7CAE">
      <w:pPr>
        <w:widowControl w:val="0"/>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Keywords: </w:t>
      </w:r>
      <w:r>
        <w:rPr>
          <w:rFonts w:ascii="Times New Roman" w:eastAsia="Times New Roman" w:hAnsi="Times New Roman" w:cs="Times New Roman"/>
          <w:i/>
          <w:sz w:val="24"/>
          <w:szCs w:val="24"/>
        </w:rPr>
        <w:t xml:space="preserve">Literature Gap, Practice-Based Research, Management Accounting, Relevance of Scholarship, Carnegie Reforms </w:t>
      </w:r>
    </w:p>
    <w:p w14:paraId="2B8178DB" w14:textId="77777777" w:rsidR="00FC7CAE" w:rsidRDefault="00FC7CAE" w:rsidP="00FC7CAE"/>
    <w:p w14:paraId="634B20EE" w14:textId="77777777" w:rsidR="009E2EBF" w:rsidRPr="005D7FE7" w:rsidRDefault="009E2EBF" w:rsidP="009E2EBF">
      <w:pPr>
        <w:adjustRightInd w:val="0"/>
        <w:snapToGrid w:val="0"/>
        <w:spacing w:after="0" w:line="240" w:lineRule="atLeast"/>
        <w:rPr>
          <w:rFonts w:ascii="Times New Roman" w:hAnsi="Times New Roman" w:cs="Times New Roman"/>
          <w:color w:val="EE0000"/>
          <w:sz w:val="24"/>
          <w:szCs w:val="24"/>
        </w:rPr>
      </w:pPr>
      <w:r>
        <w:rPr>
          <w:rFonts w:ascii="Times New Roman" w:hAnsi="Times New Roman" w:cs="Times New Roman" w:hint="eastAsia"/>
          <w:b/>
          <w:bCs/>
          <w:sz w:val="24"/>
          <w:szCs w:val="24"/>
        </w:rPr>
        <w:t xml:space="preserve">                                       </w:t>
      </w:r>
      <w:r w:rsidRPr="0093219A">
        <w:rPr>
          <w:rFonts w:ascii="Times New Roman" w:hAnsi="Times New Roman" w:cs="Times New Roman" w:hint="eastAsia"/>
          <w:b/>
          <w:bCs/>
          <w:sz w:val="24"/>
          <w:szCs w:val="24"/>
        </w:rPr>
        <w:t xml:space="preserve">1. </w:t>
      </w:r>
      <w:r w:rsidRPr="0093219A">
        <w:rPr>
          <w:rFonts w:ascii="Times New Roman" w:eastAsia="Times New Roman" w:hAnsi="Times New Roman" w:cs="Times New Roman"/>
          <w:b/>
          <w:bCs/>
          <w:sz w:val="24"/>
          <w:szCs w:val="24"/>
          <w:lang w:eastAsia="zh-CN"/>
        </w:rPr>
        <w:t>Key Arguments and Discussion Points</w:t>
      </w:r>
      <w:r>
        <w:rPr>
          <w:rFonts w:ascii="Times New Roman" w:hAnsi="Times New Roman" w:cs="Times New Roman" w:hint="eastAsia"/>
          <w:b/>
          <w:bCs/>
          <w:sz w:val="24"/>
          <w:szCs w:val="24"/>
        </w:rPr>
        <w:t xml:space="preserve"> </w:t>
      </w:r>
      <w:bookmarkStart w:id="34" w:name="_Hlk208151677"/>
      <w:r>
        <w:rPr>
          <w:rFonts w:ascii="Times New Roman" w:hAnsi="Times New Roman" w:cs="Times New Roman"/>
          <w:b/>
          <w:bCs/>
          <w:sz w:val="24"/>
          <w:szCs w:val="24"/>
        </w:rPr>
        <w:br/>
      </w:r>
    </w:p>
    <w:bookmarkEnd w:id="34"/>
    <w:p w14:paraId="543B2619" w14:textId="77777777" w:rsidR="009E2EBF" w:rsidRPr="00121D8A" w:rsidRDefault="009E2EBF" w:rsidP="009E2EBF">
      <w:pPr>
        <w:adjustRightInd w:val="0"/>
        <w:snapToGrid w:val="0"/>
        <w:spacing w:after="0" w:line="240" w:lineRule="atLeast"/>
        <w:jc w:val="both"/>
        <w:rPr>
          <w:rFonts w:ascii="Times New Roman" w:hAnsi="Times New Roman" w:cs="Times New Roman"/>
          <w:sz w:val="24"/>
          <w:szCs w:val="24"/>
        </w:rPr>
      </w:pPr>
      <w:r w:rsidRPr="00D62856">
        <w:rPr>
          <w:rFonts w:ascii="Times New Roman" w:eastAsia="Times New Roman" w:hAnsi="Times New Roman" w:cs="Times New Roman"/>
          <w:sz w:val="24"/>
          <w:szCs w:val="24"/>
          <w:lang w:eastAsia="zh-CN"/>
        </w:rPr>
        <w:t xml:space="preserve">The session builds on a provocative central claim: the gap-centric research model is not the culmination of rigorous intellectual progress but the outcome of </w:t>
      </w:r>
      <w:r w:rsidRPr="00D62856">
        <w:rPr>
          <w:rFonts w:ascii="Times New Roman" w:eastAsia="Times New Roman" w:hAnsi="Times New Roman" w:cs="Times New Roman"/>
          <w:b/>
          <w:bCs/>
          <w:sz w:val="24"/>
          <w:szCs w:val="24"/>
          <w:lang w:eastAsia="zh-CN"/>
        </w:rPr>
        <w:t>historical contingencies</w:t>
      </w:r>
      <w:r w:rsidRPr="00D62856">
        <w:rPr>
          <w:rFonts w:ascii="Times New Roman" w:eastAsia="Times New Roman" w:hAnsi="Times New Roman" w:cs="Times New Roman"/>
          <w:sz w:val="24"/>
          <w:szCs w:val="24"/>
          <w:lang w:eastAsia="zh-CN"/>
        </w:rPr>
        <w:t xml:space="preserve">, </w:t>
      </w:r>
      <w:r w:rsidRPr="00D62856">
        <w:rPr>
          <w:rFonts w:ascii="Times New Roman" w:eastAsia="Times New Roman" w:hAnsi="Times New Roman" w:cs="Times New Roman"/>
          <w:sz w:val="24"/>
          <w:szCs w:val="24"/>
          <w:lang w:eastAsia="zh-CN"/>
        </w:rPr>
        <w:lastRenderedPageBreak/>
        <w:t xml:space="preserve">especially those arising from the 1959 Carnegie and Ford Foundation reports on business education. These reforms, intended to elevate the scientific stature of business schools, inadvertently entrenched a research culture in which legitimacy was tied to </w:t>
      </w:r>
      <w:r>
        <w:rPr>
          <w:rFonts w:ascii="Times New Roman" w:eastAsia="Times New Roman" w:hAnsi="Times New Roman" w:cs="Times New Roman"/>
          <w:sz w:val="24"/>
          <w:szCs w:val="24"/>
          <w:lang w:eastAsia="zh-CN"/>
        </w:rPr>
        <w:t>a narrow form of pseudo-theory-driven</w:t>
      </w:r>
      <w:r w:rsidRPr="00D62856">
        <w:rPr>
          <w:rFonts w:ascii="Times New Roman" w:eastAsia="Times New Roman" w:hAnsi="Times New Roman" w:cs="Times New Roman"/>
          <w:sz w:val="24"/>
          <w:szCs w:val="24"/>
          <w:lang w:eastAsia="zh-CN"/>
        </w:rPr>
        <w:t xml:space="preserve"> academic publication rather than to </w:t>
      </w:r>
      <w:r w:rsidRPr="00A04CC2">
        <w:rPr>
          <w:rFonts w:ascii="Times New Roman" w:eastAsia="Times New Roman" w:hAnsi="Times New Roman" w:cs="Times New Roman"/>
          <w:sz w:val="24"/>
          <w:szCs w:val="24"/>
          <w:lang w:eastAsia="zh-CN"/>
        </w:rPr>
        <w:t xml:space="preserve">genuine theory or </w:t>
      </w:r>
      <w:r>
        <w:rPr>
          <w:rFonts w:ascii="Times New Roman" w:eastAsia="Times New Roman" w:hAnsi="Times New Roman" w:cs="Times New Roman"/>
          <w:sz w:val="24"/>
          <w:szCs w:val="24"/>
          <w:lang w:eastAsia="zh-CN"/>
        </w:rPr>
        <w:t xml:space="preserve">to </w:t>
      </w:r>
      <w:r w:rsidRPr="00D62856">
        <w:rPr>
          <w:rFonts w:ascii="Times New Roman" w:eastAsia="Times New Roman" w:hAnsi="Times New Roman" w:cs="Times New Roman"/>
          <w:sz w:val="24"/>
          <w:szCs w:val="24"/>
          <w:lang w:eastAsia="zh-CN"/>
        </w:rPr>
        <w:t>practical relevance.</w:t>
      </w:r>
      <w:r>
        <w:rPr>
          <w:rFonts w:ascii="Times New Roman" w:hAnsi="Times New Roman" w:cs="Times New Roman"/>
          <w:sz w:val="24"/>
          <w:szCs w:val="24"/>
        </w:rPr>
        <w:br/>
      </w:r>
    </w:p>
    <w:p w14:paraId="7C316C8A" w14:textId="77777777" w:rsidR="009E2EBF" w:rsidRPr="00D62856" w:rsidRDefault="009E2EBF" w:rsidP="009E2EBF">
      <w:pPr>
        <w:adjustRightInd w:val="0"/>
        <w:snapToGrid w:val="0"/>
        <w:spacing w:after="0" w:line="240" w:lineRule="atLeast"/>
        <w:jc w:val="both"/>
        <w:rPr>
          <w:rFonts w:ascii="Times New Roman" w:hAnsi="Times New Roman" w:cs="Times New Roman"/>
          <w:sz w:val="24"/>
          <w:szCs w:val="24"/>
        </w:rPr>
      </w:pPr>
      <w:r w:rsidRPr="00D62856">
        <w:rPr>
          <w:rFonts w:ascii="Times New Roman" w:eastAsia="Times New Roman" w:hAnsi="Times New Roman" w:cs="Times New Roman"/>
          <w:b/>
          <w:bCs/>
          <w:sz w:val="24"/>
          <w:szCs w:val="24"/>
          <w:lang w:eastAsia="zh-CN"/>
        </w:rPr>
        <w:t>The Historical Shift</w:t>
      </w:r>
    </w:p>
    <w:p w14:paraId="0F1DD3B6" w14:textId="77777777" w:rsidR="009E2EBF" w:rsidRDefault="009E2EBF" w:rsidP="009E2EBF">
      <w:pPr>
        <w:adjustRightInd w:val="0"/>
        <w:snapToGrid w:val="0"/>
        <w:spacing w:after="0" w:line="240" w:lineRule="atLeast"/>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Before</w:t>
      </w:r>
      <w:r w:rsidRPr="00D62856">
        <w:rPr>
          <w:rFonts w:ascii="Times New Roman" w:eastAsia="Times New Roman" w:hAnsi="Times New Roman" w:cs="Times New Roman"/>
          <w:sz w:val="24"/>
          <w:szCs w:val="24"/>
          <w:lang w:eastAsia="zh-CN"/>
        </w:rPr>
        <w:t xml:space="preserve"> the 1960s, business research was often unapologetically practice-based. Thinkers such as </w:t>
      </w:r>
      <w:r w:rsidRPr="00D62856">
        <w:rPr>
          <w:rFonts w:ascii="Times New Roman" w:eastAsia="Times New Roman" w:hAnsi="Times New Roman" w:cs="Times New Roman"/>
          <w:b/>
          <w:bCs/>
          <w:sz w:val="24"/>
          <w:szCs w:val="24"/>
          <w:lang w:eastAsia="zh-CN"/>
        </w:rPr>
        <w:t>Frederick Winslow Taylor</w:t>
      </w:r>
      <w:r w:rsidRPr="00D62856">
        <w:rPr>
          <w:rFonts w:ascii="Times New Roman" w:eastAsia="Times New Roman" w:hAnsi="Times New Roman" w:cs="Times New Roman"/>
          <w:sz w:val="24"/>
          <w:szCs w:val="24"/>
          <w:lang w:eastAsia="zh-CN"/>
        </w:rPr>
        <w:t xml:space="preserve">, with his scientific management experiments, or </w:t>
      </w:r>
      <w:r w:rsidRPr="00D62856">
        <w:rPr>
          <w:rFonts w:ascii="Times New Roman" w:eastAsia="Times New Roman" w:hAnsi="Times New Roman" w:cs="Times New Roman"/>
          <w:b/>
          <w:bCs/>
          <w:sz w:val="24"/>
          <w:szCs w:val="24"/>
          <w:lang w:eastAsia="zh-CN"/>
        </w:rPr>
        <w:t>Chester Barnard</w:t>
      </w:r>
      <w:r w:rsidRPr="00D62856">
        <w:rPr>
          <w:rFonts w:ascii="Times New Roman" w:eastAsia="Times New Roman" w:hAnsi="Times New Roman" w:cs="Times New Roman"/>
          <w:sz w:val="24"/>
          <w:szCs w:val="24"/>
          <w:lang w:eastAsia="zh-CN"/>
        </w:rPr>
        <w:t xml:space="preserve">, with his </w:t>
      </w:r>
      <w:r>
        <w:rPr>
          <w:rFonts w:ascii="Times New Roman" w:eastAsia="Times New Roman" w:hAnsi="Times New Roman" w:cs="Times New Roman"/>
          <w:sz w:val="24"/>
          <w:szCs w:val="24"/>
          <w:lang w:eastAsia="zh-CN"/>
        </w:rPr>
        <w:t>profound</w:t>
      </w:r>
      <w:r w:rsidRPr="00D62856">
        <w:rPr>
          <w:rFonts w:ascii="Times New Roman" w:eastAsia="Times New Roman" w:hAnsi="Times New Roman" w:cs="Times New Roman"/>
          <w:sz w:val="24"/>
          <w:szCs w:val="24"/>
          <w:lang w:eastAsia="zh-CN"/>
        </w:rPr>
        <w:t xml:space="preserve"> reflections on executive practice, derived their insights directly from immersion in organizations. Their work was </w:t>
      </w:r>
      <w:r>
        <w:rPr>
          <w:rFonts w:ascii="Times New Roman" w:eastAsia="Times New Roman" w:hAnsi="Times New Roman" w:cs="Times New Roman"/>
          <w:sz w:val="24"/>
          <w:szCs w:val="24"/>
          <w:lang w:eastAsia="zh-CN"/>
        </w:rPr>
        <w:t>not</w:t>
      </w:r>
      <w:r w:rsidRPr="00D62856">
        <w:rPr>
          <w:rFonts w:ascii="Times New Roman" w:eastAsia="Times New Roman" w:hAnsi="Times New Roman" w:cs="Times New Roman"/>
          <w:sz w:val="24"/>
          <w:szCs w:val="24"/>
          <w:lang w:eastAsia="zh-CN"/>
        </w:rPr>
        <w:t xml:space="preserve"> concerned with filling “literature gaps” </w:t>
      </w:r>
      <w:r>
        <w:rPr>
          <w:rFonts w:ascii="Times New Roman" w:eastAsia="Times New Roman" w:hAnsi="Times New Roman" w:cs="Times New Roman"/>
          <w:sz w:val="24"/>
          <w:szCs w:val="24"/>
          <w:lang w:eastAsia="zh-CN"/>
        </w:rPr>
        <w:t xml:space="preserve">but with </w:t>
      </w:r>
      <w:r w:rsidRPr="00D62856">
        <w:rPr>
          <w:rFonts w:ascii="Times New Roman" w:eastAsia="Times New Roman" w:hAnsi="Times New Roman" w:cs="Times New Roman"/>
          <w:sz w:val="24"/>
          <w:szCs w:val="24"/>
          <w:lang w:eastAsia="zh-CN"/>
        </w:rPr>
        <w:t>illuminating pressing challenges of efficiency, coordination, and leadership.</w:t>
      </w:r>
    </w:p>
    <w:p w14:paraId="4D31C8CA" w14:textId="77777777" w:rsidR="00291FCB" w:rsidRPr="00D62856" w:rsidRDefault="00291FCB" w:rsidP="009E2EBF">
      <w:pPr>
        <w:adjustRightInd w:val="0"/>
        <w:snapToGrid w:val="0"/>
        <w:spacing w:after="0" w:line="240" w:lineRule="atLeast"/>
        <w:jc w:val="both"/>
        <w:rPr>
          <w:rFonts w:ascii="Times New Roman" w:eastAsia="Times New Roman" w:hAnsi="Times New Roman" w:cs="Times New Roman"/>
          <w:sz w:val="24"/>
          <w:szCs w:val="24"/>
          <w:lang w:eastAsia="zh-CN"/>
        </w:rPr>
      </w:pPr>
    </w:p>
    <w:p w14:paraId="064F9E0D" w14:textId="77777777" w:rsidR="009E2EBF" w:rsidRDefault="009E2EBF" w:rsidP="009E2EBF">
      <w:pPr>
        <w:adjustRightInd w:val="0"/>
        <w:snapToGrid w:val="0"/>
        <w:spacing w:after="0" w:line="240" w:lineRule="atLeast"/>
        <w:jc w:val="both"/>
        <w:rPr>
          <w:rFonts w:ascii="Times New Roman" w:eastAsia="Times New Roman" w:hAnsi="Times New Roman" w:cs="Times New Roman"/>
          <w:sz w:val="24"/>
          <w:szCs w:val="24"/>
          <w:lang w:eastAsia="zh-CN"/>
        </w:rPr>
      </w:pPr>
      <w:r w:rsidRPr="00D62856">
        <w:rPr>
          <w:rFonts w:ascii="Times New Roman" w:eastAsia="Times New Roman" w:hAnsi="Times New Roman" w:cs="Times New Roman"/>
          <w:sz w:val="24"/>
          <w:szCs w:val="24"/>
          <w:lang w:eastAsia="zh-CN"/>
        </w:rPr>
        <w:t xml:space="preserve">The Carnegie reforms sought to align business schools with the natural and social sciences, emphasizing rigor, quantification, and theory development. </w:t>
      </w:r>
      <w:r>
        <w:rPr>
          <w:rFonts w:ascii="Times New Roman" w:eastAsia="Times New Roman" w:hAnsi="Times New Roman" w:cs="Times New Roman"/>
          <w:sz w:val="24"/>
          <w:szCs w:val="24"/>
          <w:lang w:eastAsia="zh-CN"/>
        </w:rPr>
        <w:t xml:space="preserve">However, the “root” disciplines were at that time undergoing tremendous change and did not have a unified concept of good research. Business research then focused on one peripheral aspect of the then-current research practice, which was to use the existing research as a tool to determine what needed to be studied. It might be the case that if there is a long-developed and effective body of research work available, this can provide some direction. However, business research had no such history (and as a result of the too-early over specification, it still does not).  </w:t>
      </w:r>
    </w:p>
    <w:p w14:paraId="7584E276" w14:textId="77777777" w:rsidR="00291FCB" w:rsidRDefault="00291FCB" w:rsidP="009E2EBF">
      <w:pPr>
        <w:adjustRightInd w:val="0"/>
        <w:snapToGrid w:val="0"/>
        <w:spacing w:after="0" w:line="240" w:lineRule="atLeast"/>
        <w:jc w:val="both"/>
        <w:rPr>
          <w:rFonts w:ascii="Times New Roman" w:eastAsia="Times New Roman" w:hAnsi="Times New Roman" w:cs="Times New Roman"/>
          <w:sz w:val="24"/>
          <w:szCs w:val="24"/>
          <w:lang w:eastAsia="zh-CN"/>
        </w:rPr>
      </w:pPr>
    </w:p>
    <w:p w14:paraId="376EFD4A" w14:textId="7F0F93AE" w:rsidR="009E2EBF" w:rsidRPr="00D62856" w:rsidRDefault="009E2EBF" w:rsidP="009E2EBF">
      <w:pPr>
        <w:adjustRightInd w:val="0"/>
        <w:snapToGrid w:val="0"/>
        <w:spacing w:after="0" w:line="240" w:lineRule="atLeast"/>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So, w</w:t>
      </w:r>
      <w:r w:rsidRPr="00D62856">
        <w:rPr>
          <w:rFonts w:ascii="Times New Roman" w:eastAsia="Times New Roman" w:hAnsi="Times New Roman" w:cs="Times New Roman"/>
          <w:sz w:val="24"/>
          <w:szCs w:val="24"/>
          <w:lang w:eastAsia="zh-CN"/>
        </w:rPr>
        <w:t>hile</w:t>
      </w:r>
      <w:r>
        <w:rPr>
          <w:rFonts w:ascii="Times New Roman" w:eastAsia="Times New Roman" w:hAnsi="Times New Roman" w:cs="Times New Roman"/>
          <w:sz w:val="24"/>
          <w:szCs w:val="24"/>
          <w:lang w:eastAsia="zh-CN"/>
        </w:rPr>
        <w:t xml:space="preserve"> perhaps</w:t>
      </w:r>
      <w:r w:rsidRPr="00D62856">
        <w:rPr>
          <w:rFonts w:ascii="Times New Roman" w:eastAsia="Times New Roman" w:hAnsi="Times New Roman" w:cs="Times New Roman"/>
          <w:sz w:val="24"/>
          <w:szCs w:val="24"/>
          <w:lang w:eastAsia="zh-CN"/>
        </w:rPr>
        <w:t xml:space="preserve"> laudable in intent, this reform displaced traditions of </w:t>
      </w:r>
      <w:r w:rsidRPr="00D62856">
        <w:rPr>
          <w:rFonts w:ascii="Times New Roman" w:eastAsia="Times New Roman" w:hAnsi="Times New Roman" w:cs="Times New Roman"/>
          <w:b/>
          <w:bCs/>
          <w:sz w:val="24"/>
          <w:szCs w:val="24"/>
          <w:lang w:eastAsia="zh-CN"/>
        </w:rPr>
        <w:t>practical wisdom (phronesis)</w:t>
      </w:r>
      <w:r w:rsidRPr="00D62856">
        <w:rPr>
          <w:rFonts w:ascii="Times New Roman" w:eastAsia="Times New Roman" w:hAnsi="Times New Roman" w:cs="Times New Roman"/>
          <w:sz w:val="24"/>
          <w:szCs w:val="24"/>
          <w:lang w:eastAsia="zh-CN"/>
        </w:rPr>
        <w:t xml:space="preserve"> with what might be called a </w:t>
      </w:r>
      <w:r w:rsidRPr="00D62856">
        <w:rPr>
          <w:rFonts w:ascii="Times New Roman" w:eastAsia="Times New Roman" w:hAnsi="Times New Roman" w:cs="Times New Roman"/>
          <w:b/>
          <w:bCs/>
          <w:sz w:val="24"/>
          <w:szCs w:val="24"/>
          <w:lang w:eastAsia="zh-CN"/>
        </w:rPr>
        <w:t>prosthetic epistemology</w:t>
      </w:r>
      <w:r>
        <w:rPr>
          <w:rFonts w:ascii="Times New Roman" w:eastAsia="Times New Roman" w:hAnsi="Times New Roman" w:cs="Times New Roman"/>
          <w:sz w:val="24"/>
          <w:szCs w:val="24"/>
          <w:lang w:eastAsia="zh-CN"/>
        </w:rPr>
        <w:t>. In this system,</w:t>
      </w:r>
      <w:r w:rsidRPr="00D62856">
        <w:rPr>
          <w:rFonts w:ascii="Times New Roman" w:eastAsia="Times New Roman" w:hAnsi="Times New Roman" w:cs="Times New Roman"/>
          <w:sz w:val="24"/>
          <w:szCs w:val="24"/>
          <w:lang w:eastAsia="zh-CN"/>
        </w:rPr>
        <w:t xml:space="preserve"> </w:t>
      </w:r>
      <w:r>
        <w:rPr>
          <w:rFonts w:ascii="Times New Roman" w:eastAsia="Times New Roman" w:hAnsi="Times New Roman" w:cs="Times New Roman"/>
          <w:sz w:val="24"/>
          <w:szCs w:val="24"/>
          <w:lang w:eastAsia="zh-CN"/>
        </w:rPr>
        <w:t xml:space="preserve">a </w:t>
      </w:r>
      <w:r w:rsidR="000549B5">
        <w:rPr>
          <w:rFonts w:ascii="Times New Roman" w:eastAsia="Times New Roman" w:hAnsi="Times New Roman" w:cs="Times New Roman"/>
          <w:sz w:val="24"/>
          <w:szCs w:val="24"/>
          <w:lang w:eastAsia="zh-CN"/>
        </w:rPr>
        <w:t>non-existent</w:t>
      </w:r>
      <w:r>
        <w:rPr>
          <w:rFonts w:ascii="Times New Roman" w:eastAsia="Times New Roman" w:hAnsi="Times New Roman" w:cs="Times New Roman"/>
          <w:sz w:val="24"/>
          <w:szCs w:val="24"/>
          <w:lang w:eastAsia="zh-CN"/>
        </w:rPr>
        <w:t xml:space="preserve">, or at best inadequate, </w:t>
      </w:r>
      <w:r w:rsidRPr="00D62856">
        <w:rPr>
          <w:rFonts w:ascii="Times New Roman" w:eastAsia="Times New Roman" w:hAnsi="Times New Roman" w:cs="Times New Roman"/>
          <w:sz w:val="24"/>
          <w:szCs w:val="24"/>
          <w:lang w:eastAsia="zh-CN"/>
        </w:rPr>
        <w:t xml:space="preserve">academic literature became the primary terrain of inquiry, rather than the messy realities of business practice. Scholars increasingly </w:t>
      </w:r>
      <w:r>
        <w:rPr>
          <w:rFonts w:ascii="Times New Roman" w:eastAsia="Times New Roman" w:hAnsi="Times New Roman" w:cs="Times New Roman"/>
          <w:sz w:val="24"/>
          <w:szCs w:val="24"/>
          <w:lang w:eastAsia="zh-CN"/>
        </w:rPr>
        <w:t>did not ask, “What is happening in practice that demands understanding Rather, they asked, “What</w:t>
      </w:r>
      <w:r w:rsidRPr="00D62856">
        <w:rPr>
          <w:rFonts w:ascii="Times New Roman" w:eastAsia="Times New Roman" w:hAnsi="Times New Roman" w:cs="Times New Roman"/>
          <w:sz w:val="24"/>
          <w:szCs w:val="24"/>
          <w:lang w:eastAsia="zh-CN"/>
        </w:rPr>
        <w:t xml:space="preserve"> has not yet been said in the literature that I can say?”</w:t>
      </w:r>
    </w:p>
    <w:p w14:paraId="37F7CBF0" w14:textId="77777777" w:rsidR="009E2EBF" w:rsidRPr="00E06B58" w:rsidRDefault="009E2EBF" w:rsidP="009E2EBF">
      <w:pPr>
        <w:adjustRightInd w:val="0"/>
        <w:snapToGrid w:val="0"/>
        <w:spacing w:after="0" w:line="240" w:lineRule="atLeast"/>
        <w:rPr>
          <w:rFonts w:ascii="Times New Roman" w:hAnsi="Times New Roman" w:cs="Times New Roman"/>
          <w:b/>
          <w:bCs/>
          <w:sz w:val="24"/>
          <w:szCs w:val="24"/>
        </w:rPr>
      </w:pPr>
      <w:r>
        <w:rPr>
          <w:rFonts w:ascii="Times New Roman" w:hAnsi="Times New Roman" w:cs="Times New Roman" w:hint="eastAsia"/>
          <w:b/>
          <w:bCs/>
          <w:sz w:val="24"/>
          <w:szCs w:val="24"/>
        </w:rPr>
        <w:t xml:space="preserve">                                   </w:t>
      </w:r>
      <w:r>
        <w:rPr>
          <w:rFonts w:ascii="Times New Roman" w:hAnsi="Times New Roman" w:cs="Times New Roman"/>
          <w:b/>
          <w:bCs/>
          <w:sz w:val="24"/>
          <w:szCs w:val="24"/>
        </w:rPr>
        <w:br/>
      </w:r>
      <w:r>
        <w:rPr>
          <w:rFonts w:ascii="Times New Roman" w:hAnsi="Times New Roman" w:cs="Times New Roman" w:hint="eastAsia"/>
          <w:b/>
          <w:bCs/>
          <w:sz w:val="24"/>
          <w:szCs w:val="24"/>
        </w:rPr>
        <w:t xml:space="preserve">                                          </w:t>
      </w:r>
      <w:r w:rsidRPr="00D62856">
        <w:rPr>
          <w:rFonts w:ascii="Times New Roman" w:eastAsia="Times New Roman" w:hAnsi="Times New Roman" w:cs="Times New Roman"/>
          <w:b/>
          <w:bCs/>
          <w:sz w:val="24"/>
          <w:szCs w:val="24"/>
          <w:lang w:eastAsia="zh-CN"/>
        </w:rPr>
        <w:t>2. Consequences of the Gap-Centric Model</w:t>
      </w:r>
      <w:r>
        <w:rPr>
          <w:rFonts w:ascii="Times New Roman" w:hAnsi="Times New Roman" w:cs="Times New Roman"/>
          <w:b/>
          <w:bCs/>
          <w:sz w:val="24"/>
          <w:szCs w:val="24"/>
        </w:rPr>
        <w:br/>
      </w:r>
    </w:p>
    <w:p w14:paraId="385777AD" w14:textId="77777777" w:rsidR="009E2EBF" w:rsidRPr="00121D8A" w:rsidRDefault="009E2EBF" w:rsidP="009E2EBF">
      <w:pPr>
        <w:adjustRightInd w:val="0"/>
        <w:snapToGrid w:val="0"/>
        <w:spacing w:after="0" w:line="240" w:lineRule="atLeast"/>
        <w:rPr>
          <w:rFonts w:ascii="Times New Roman" w:hAnsi="Times New Roman" w:cs="Times New Roman"/>
          <w:sz w:val="24"/>
          <w:szCs w:val="24"/>
        </w:rPr>
      </w:pPr>
      <w:r w:rsidRPr="00D62856">
        <w:rPr>
          <w:rFonts w:ascii="Times New Roman" w:eastAsia="Times New Roman" w:hAnsi="Times New Roman" w:cs="Times New Roman"/>
          <w:sz w:val="24"/>
          <w:szCs w:val="24"/>
          <w:lang w:eastAsia="zh-CN"/>
        </w:rPr>
        <w:t>This reorientation produced a series of interlocking, self-reinforcing problems:</w:t>
      </w:r>
      <w:r>
        <w:rPr>
          <w:rFonts w:ascii="Times New Roman" w:hAnsi="Times New Roman" w:cs="Times New Roman"/>
          <w:sz w:val="24"/>
          <w:szCs w:val="24"/>
        </w:rPr>
        <w:br/>
      </w:r>
    </w:p>
    <w:p w14:paraId="6EEC675D" w14:textId="77777777" w:rsidR="009E2EBF" w:rsidRDefault="009E2EBF" w:rsidP="009E2EBF">
      <w:pPr>
        <w:adjustRightInd w:val="0"/>
        <w:snapToGrid w:val="0"/>
        <w:spacing w:after="0" w:line="240" w:lineRule="atLeast"/>
        <w:rPr>
          <w:rFonts w:ascii="Times New Roman" w:eastAsia="Times New Roman" w:hAnsi="Times New Roman" w:cs="Times New Roman"/>
          <w:b/>
          <w:bCs/>
          <w:sz w:val="24"/>
          <w:szCs w:val="24"/>
          <w:lang w:eastAsia="zh-CN"/>
        </w:rPr>
      </w:pPr>
      <w:r w:rsidRPr="00D62856">
        <w:rPr>
          <w:rFonts w:ascii="Times New Roman" w:eastAsia="Times New Roman" w:hAnsi="Times New Roman" w:cs="Times New Roman"/>
          <w:b/>
          <w:bCs/>
          <w:sz w:val="24"/>
          <w:szCs w:val="24"/>
          <w:lang w:eastAsia="zh-CN"/>
        </w:rPr>
        <w:t>Intellectual Isolation:</w:t>
      </w:r>
    </w:p>
    <w:p w14:paraId="0E96F840" w14:textId="3ADDED7B" w:rsidR="009E2EBF" w:rsidRPr="009E2EBF" w:rsidRDefault="009E2EBF" w:rsidP="009E2EBF">
      <w:pPr>
        <w:adjustRightInd w:val="0"/>
        <w:snapToGrid w:val="0"/>
        <w:spacing w:after="0" w:line="240" w:lineRule="atLeast"/>
        <w:jc w:val="both"/>
        <w:rPr>
          <w:rFonts w:ascii="Times New Roman" w:eastAsia="Times New Roman" w:hAnsi="Times New Roman" w:cs="Times New Roman"/>
          <w:b/>
          <w:bCs/>
          <w:sz w:val="24"/>
          <w:szCs w:val="24"/>
          <w:lang w:eastAsia="zh-CN"/>
        </w:rPr>
      </w:pPr>
      <w:r w:rsidRPr="00D62856">
        <w:rPr>
          <w:rFonts w:ascii="Times New Roman" w:eastAsia="Times New Roman" w:hAnsi="Times New Roman" w:cs="Times New Roman"/>
          <w:sz w:val="24"/>
          <w:szCs w:val="24"/>
          <w:lang w:eastAsia="zh-CN"/>
        </w:rPr>
        <w:br/>
        <w:t xml:space="preserve">The most visible consequence is the widening gulf between academia and practice. Executives, managers, and policymakers </w:t>
      </w:r>
      <w:r>
        <w:rPr>
          <w:rFonts w:ascii="Times New Roman" w:eastAsia="Times New Roman" w:hAnsi="Times New Roman" w:cs="Times New Roman"/>
          <w:sz w:val="24"/>
          <w:szCs w:val="24"/>
          <w:lang w:eastAsia="zh-CN"/>
        </w:rPr>
        <w:t>rarely consult</w:t>
      </w:r>
      <w:r w:rsidRPr="00D62856">
        <w:rPr>
          <w:rFonts w:ascii="Times New Roman" w:eastAsia="Times New Roman" w:hAnsi="Times New Roman" w:cs="Times New Roman"/>
          <w:sz w:val="24"/>
          <w:szCs w:val="24"/>
          <w:lang w:eastAsia="zh-CN"/>
        </w:rPr>
        <w:t xml:space="preserve"> scholarly journals for guidance. Instead, they rely on consultants, trade publications, and internal innovations. Academic accounting and management research has thus </w:t>
      </w:r>
      <w:r>
        <w:rPr>
          <w:rFonts w:ascii="Times New Roman" w:eastAsia="Times New Roman" w:hAnsi="Times New Roman" w:cs="Times New Roman"/>
          <w:sz w:val="24"/>
          <w:szCs w:val="24"/>
          <w:lang w:eastAsia="zh-CN"/>
        </w:rPr>
        <w:t xml:space="preserve">walked away from </w:t>
      </w:r>
      <w:r w:rsidRPr="00D62856">
        <w:rPr>
          <w:rFonts w:ascii="Times New Roman" w:eastAsia="Times New Roman" w:hAnsi="Times New Roman" w:cs="Times New Roman"/>
          <w:sz w:val="24"/>
          <w:szCs w:val="24"/>
          <w:lang w:eastAsia="zh-CN"/>
        </w:rPr>
        <w:t xml:space="preserve">its role as a source of practical insight, </w:t>
      </w:r>
      <w:r>
        <w:rPr>
          <w:rFonts w:ascii="Times New Roman" w:eastAsia="Times New Roman" w:hAnsi="Times New Roman" w:cs="Times New Roman"/>
          <w:sz w:val="24"/>
          <w:szCs w:val="24"/>
          <w:lang w:eastAsia="zh-CN"/>
        </w:rPr>
        <w:t xml:space="preserve">which </w:t>
      </w:r>
      <w:r w:rsidRPr="00D62856">
        <w:rPr>
          <w:rFonts w:ascii="Times New Roman" w:eastAsia="Times New Roman" w:hAnsi="Times New Roman" w:cs="Times New Roman"/>
          <w:sz w:val="24"/>
          <w:szCs w:val="24"/>
          <w:lang w:eastAsia="zh-CN"/>
        </w:rPr>
        <w:t>rais</w:t>
      </w:r>
      <w:r>
        <w:rPr>
          <w:rFonts w:ascii="Times New Roman" w:eastAsia="Times New Roman" w:hAnsi="Times New Roman" w:cs="Times New Roman"/>
          <w:sz w:val="24"/>
          <w:szCs w:val="24"/>
          <w:lang w:eastAsia="zh-CN"/>
        </w:rPr>
        <w:t>es</w:t>
      </w:r>
      <w:r w:rsidRPr="00D62856">
        <w:rPr>
          <w:rFonts w:ascii="Times New Roman" w:eastAsia="Times New Roman" w:hAnsi="Times New Roman" w:cs="Times New Roman"/>
          <w:sz w:val="24"/>
          <w:szCs w:val="24"/>
          <w:lang w:eastAsia="zh-CN"/>
        </w:rPr>
        <w:t xml:space="preserve"> questions about the very purpose of business schools.</w:t>
      </w:r>
    </w:p>
    <w:p w14:paraId="5B2944F5" w14:textId="77777777" w:rsidR="009E2EBF" w:rsidRPr="00D62856" w:rsidRDefault="009E2EBF" w:rsidP="009E2EBF">
      <w:pPr>
        <w:adjustRightInd w:val="0"/>
        <w:snapToGrid w:val="0"/>
        <w:spacing w:after="0" w:line="240" w:lineRule="atLeast"/>
        <w:jc w:val="both"/>
        <w:rPr>
          <w:rFonts w:ascii="Times New Roman" w:eastAsia="Times New Roman" w:hAnsi="Times New Roman" w:cs="Times New Roman"/>
          <w:sz w:val="24"/>
          <w:szCs w:val="24"/>
          <w:lang w:eastAsia="zh-CN"/>
        </w:rPr>
      </w:pPr>
    </w:p>
    <w:p w14:paraId="6BDB508E" w14:textId="77777777" w:rsidR="009E2EBF" w:rsidRDefault="009E2EBF" w:rsidP="009E2EBF">
      <w:pPr>
        <w:adjustRightInd w:val="0"/>
        <w:snapToGrid w:val="0"/>
        <w:spacing w:after="0" w:line="240" w:lineRule="atLeast"/>
        <w:rPr>
          <w:rFonts w:ascii="Times New Roman" w:eastAsia="Times New Roman" w:hAnsi="Times New Roman" w:cs="Times New Roman"/>
          <w:b/>
          <w:bCs/>
          <w:sz w:val="24"/>
          <w:szCs w:val="24"/>
          <w:lang w:eastAsia="zh-CN"/>
        </w:rPr>
      </w:pPr>
      <w:r w:rsidRPr="00D62856">
        <w:rPr>
          <w:rFonts w:ascii="Times New Roman" w:eastAsia="Times New Roman" w:hAnsi="Times New Roman" w:cs="Times New Roman"/>
          <w:b/>
          <w:bCs/>
          <w:sz w:val="24"/>
          <w:szCs w:val="24"/>
          <w:lang w:eastAsia="zh-CN"/>
        </w:rPr>
        <w:t>Theory Bloat and Fragmentation:</w:t>
      </w:r>
    </w:p>
    <w:p w14:paraId="50BE5EE7" w14:textId="7E465943" w:rsidR="009E2EBF" w:rsidRDefault="009E2EBF" w:rsidP="009E2EBF">
      <w:pPr>
        <w:adjustRightInd w:val="0"/>
        <w:snapToGrid w:val="0"/>
        <w:spacing w:after="0" w:line="240" w:lineRule="atLeast"/>
        <w:jc w:val="both"/>
        <w:rPr>
          <w:rFonts w:ascii="Times New Roman" w:eastAsia="Times New Roman" w:hAnsi="Times New Roman" w:cs="Times New Roman"/>
          <w:sz w:val="24"/>
          <w:szCs w:val="24"/>
          <w:lang w:eastAsia="zh-CN"/>
        </w:rPr>
      </w:pPr>
      <w:r w:rsidRPr="00D62856">
        <w:rPr>
          <w:rFonts w:ascii="Times New Roman" w:eastAsia="Times New Roman" w:hAnsi="Times New Roman" w:cs="Times New Roman"/>
          <w:sz w:val="24"/>
          <w:szCs w:val="24"/>
          <w:lang w:eastAsia="zh-CN"/>
        </w:rPr>
        <w:br/>
        <w:t xml:space="preserve">The relentless pursuit of narrow gaps has led to the proliferation of micro-constructs and highly fragmented theories. Each incremental </w:t>
      </w:r>
      <w:r>
        <w:rPr>
          <w:rFonts w:ascii="Times New Roman" w:eastAsia="Times New Roman" w:hAnsi="Times New Roman" w:cs="Times New Roman"/>
          <w:sz w:val="24"/>
          <w:szCs w:val="24"/>
          <w:lang w:eastAsia="zh-CN"/>
        </w:rPr>
        <w:t>“</w:t>
      </w:r>
      <w:r w:rsidRPr="00D62856">
        <w:rPr>
          <w:rFonts w:ascii="Times New Roman" w:eastAsia="Times New Roman" w:hAnsi="Times New Roman" w:cs="Times New Roman"/>
          <w:sz w:val="24"/>
          <w:szCs w:val="24"/>
          <w:lang w:eastAsia="zh-CN"/>
        </w:rPr>
        <w:t>contribution</w:t>
      </w:r>
      <w:r>
        <w:rPr>
          <w:rFonts w:ascii="Times New Roman" w:eastAsia="Times New Roman" w:hAnsi="Times New Roman" w:cs="Times New Roman"/>
          <w:sz w:val="24"/>
          <w:szCs w:val="24"/>
          <w:lang w:eastAsia="zh-CN"/>
        </w:rPr>
        <w:t>”</w:t>
      </w:r>
      <w:r w:rsidRPr="00D62856">
        <w:rPr>
          <w:rFonts w:ascii="Times New Roman" w:eastAsia="Times New Roman" w:hAnsi="Times New Roman" w:cs="Times New Roman"/>
          <w:sz w:val="24"/>
          <w:szCs w:val="24"/>
          <w:lang w:eastAsia="zh-CN"/>
        </w:rPr>
        <w:t xml:space="preserve"> often addresses a </w:t>
      </w:r>
      <w:r>
        <w:rPr>
          <w:rFonts w:ascii="Times New Roman" w:eastAsia="Times New Roman" w:hAnsi="Times New Roman" w:cs="Times New Roman"/>
          <w:sz w:val="24"/>
          <w:szCs w:val="24"/>
          <w:lang w:eastAsia="zh-CN"/>
        </w:rPr>
        <w:t>minor oversight rather than a significant</w:t>
      </w:r>
      <w:r w:rsidRPr="00D62856">
        <w:rPr>
          <w:rFonts w:ascii="Times New Roman" w:eastAsia="Times New Roman" w:hAnsi="Times New Roman" w:cs="Times New Roman"/>
          <w:sz w:val="24"/>
          <w:szCs w:val="24"/>
          <w:lang w:eastAsia="zh-CN"/>
        </w:rPr>
        <w:t xml:space="preserve"> issue. The result is a cluttered intellectual landscape—replete with specialized jargon, overlapping constructs, and limited generalizability—that fails to accumulate into coherent knowledge.</w:t>
      </w:r>
    </w:p>
    <w:p w14:paraId="535155D3" w14:textId="77777777" w:rsidR="009E2EBF" w:rsidRPr="00D62856" w:rsidRDefault="009E2EBF" w:rsidP="009E2EBF">
      <w:pPr>
        <w:adjustRightInd w:val="0"/>
        <w:snapToGrid w:val="0"/>
        <w:spacing w:after="0" w:line="240" w:lineRule="atLeast"/>
        <w:rPr>
          <w:rFonts w:ascii="Times New Roman" w:eastAsia="Times New Roman" w:hAnsi="Times New Roman" w:cs="Times New Roman"/>
          <w:sz w:val="24"/>
          <w:szCs w:val="24"/>
          <w:lang w:eastAsia="zh-CN"/>
        </w:rPr>
      </w:pPr>
    </w:p>
    <w:p w14:paraId="74A8B478" w14:textId="77777777" w:rsidR="009E2EBF" w:rsidRDefault="009E2EBF" w:rsidP="009E2EBF">
      <w:pPr>
        <w:adjustRightInd w:val="0"/>
        <w:snapToGrid w:val="0"/>
        <w:spacing w:after="0" w:line="240" w:lineRule="atLeast"/>
        <w:rPr>
          <w:rFonts w:ascii="Times New Roman" w:eastAsia="Times New Roman" w:hAnsi="Times New Roman" w:cs="Times New Roman"/>
          <w:b/>
          <w:bCs/>
          <w:sz w:val="24"/>
          <w:szCs w:val="24"/>
          <w:lang w:eastAsia="zh-CN"/>
        </w:rPr>
      </w:pPr>
      <w:r w:rsidRPr="00D62856">
        <w:rPr>
          <w:rFonts w:ascii="Times New Roman" w:eastAsia="Times New Roman" w:hAnsi="Times New Roman" w:cs="Times New Roman"/>
          <w:b/>
          <w:bCs/>
          <w:sz w:val="24"/>
          <w:szCs w:val="24"/>
          <w:lang w:eastAsia="zh-CN"/>
        </w:rPr>
        <w:t>Neglect of Practice-Led Innovations:</w:t>
      </w:r>
    </w:p>
    <w:p w14:paraId="324BB1D7" w14:textId="72565285" w:rsidR="009E2EBF" w:rsidRDefault="009E2EBF" w:rsidP="009E2EBF">
      <w:pPr>
        <w:adjustRightInd w:val="0"/>
        <w:snapToGrid w:val="0"/>
        <w:spacing w:after="0" w:line="240" w:lineRule="atLeast"/>
        <w:jc w:val="both"/>
        <w:rPr>
          <w:rFonts w:ascii="Times New Roman" w:eastAsia="Times New Roman" w:hAnsi="Times New Roman" w:cs="Times New Roman"/>
          <w:sz w:val="24"/>
          <w:szCs w:val="24"/>
          <w:lang w:eastAsia="zh-CN"/>
        </w:rPr>
      </w:pPr>
      <w:r w:rsidRPr="00D62856">
        <w:rPr>
          <w:rFonts w:ascii="Times New Roman" w:eastAsia="Times New Roman" w:hAnsi="Times New Roman" w:cs="Times New Roman"/>
          <w:sz w:val="24"/>
          <w:szCs w:val="24"/>
          <w:lang w:eastAsia="zh-CN"/>
        </w:rPr>
        <w:lastRenderedPageBreak/>
        <w:br/>
      </w:r>
      <w:r>
        <w:rPr>
          <w:rFonts w:ascii="Times New Roman" w:eastAsia="Times New Roman" w:hAnsi="Times New Roman" w:cs="Times New Roman"/>
          <w:sz w:val="24"/>
          <w:szCs w:val="24"/>
          <w:lang w:eastAsia="zh-CN"/>
        </w:rPr>
        <w:t xml:space="preserve">Academic research has largely overlooked the existence of every significant innovation in business. </w:t>
      </w:r>
      <w:r w:rsidRPr="00D62856">
        <w:rPr>
          <w:rFonts w:ascii="Times New Roman" w:eastAsia="Times New Roman" w:hAnsi="Times New Roman" w:cs="Times New Roman"/>
          <w:sz w:val="24"/>
          <w:szCs w:val="24"/>
          <w:lang w:eastAsia="zh-CN"/>
        </w:rPr>
        <w:t>Transformative business innovations—such as lean production systems, Agile methodologies, or sociotechnical systems design—have emerged outside academia</w:t>
      </w:r>
      <w:r>
        <w:rPr>
          <w:rFonts w:ascii="Times New Roman" w:eastAsia="Times New Roman" w:hAnsi="Times New Roman" w:cs="Times New Roman"/>
          <w:sz w:val="24"/>
          <w:szCs w:val="24"/>
          <w:lang w:eastAsia="zh-CN"/>
        </w:rPr>
        <w:t>, and are then ignored or looked down upon for the most part</w:t>
      </w:r>
      <w:r w:rsidRPr="00D62856">
        <w:rPr>
          <w:rFonts w:ascii="Times New Roman" w:eastAsia="Times New Roman" w:hAnsi="Times New Roman" w:cs="Times New Roman"/>
          <w:sz w:val="24"/>
          <w:szCs w:val="24"/>
          <w:lang w:eastAsia="zh-CN"/>
        </w:rPr>
        <w:t xml:space="preserve">. When scholars </w:t>
      </w:r>
      <w:r>
        <w:rPr>
          <w:rFonts w:ascii="Times New Roman" w:eastAsia="Times New Roman" w:hAnsi="Times New Roman" w:cs="Times New Roman"/>
          <w:sz w:val="24"/>
          <w:szCs w:val="24"/>
          <w:lang w:eastAsia="zh-CN"/>
        </w:rPr>
        <w:t>do engage with these innovations (rarely)</w:t>
      </w:r>
      <w:r w:rsidRPr="00D62856">
        <w:rPr>
          <w:rFonts w:ascii="Times New Roman" w:eastAsia="Times New Roman" w:hAnsi="Times New Roman" w:cs="Times New Roman"/>
          <w:sz w:val="24"/>
          <w:szCs w:val="24"/>
          <w:lang w:eastAsia="zh-CN"/>
        </w:rPr>
        <w:t xml:space="preserve">, they frequently shoehorn them into pre-existing theoretical frameworks, stripping them of their contextual richness. </w:t>
      </w:r>
      <w:r>
        <w:rPr>
          <w:rFonts w:ascii="Times New Roman" w:eastAsia="Times New Roman" w:hAnsi="Times New Roman" w:cs="Times New Roman"/>
          <w:sz w:val="24"/>
          <w:szCs w:val="24"/>
          <w:lang w:eastAsia="zh-CN"/>
        </w:rPr>
        <w:t>So, t</w:t>
      </w:r>
      <w:r w:rsidRPr="00D62856">
        <w:rPr>
          <w:rFonts w:ascii="Times New Roman" w:eastAsia="Times New Roman" w:hAnsi="Times New Roman" w:cs="Times New Roman"/>
          <w:sz w:val="24"/>
          <w:szCs w:val="24"/>
          <w:lang w:eastAsia="zh-CN"/>
        </w:rPr>
        <w:t>he academy neither leads practice nor meaningfully follows it; it floats in an insulated orbit of self-referential debates.</w:t>
      </w:r>
    </w:p>
    <w:p w14:paraId="7FEB2825" w14:textId="77777777" w:rsidR="009E2EBF" w:rsidRPr="00D62856" w:rsidRDefault="009E2EBF" w:rsidP="009E2EBF">
      <w:pPr>
        <w:adjustRightInd w:val="0"/>
        <w:snapToGrid w:val="0"/>
        <w:spacing w:after="0" w:line="240" w:lineRule="atLeast"/>
        <w:rPr>
          <w:rFonts w:ascii="Times New Roman" w:eastAsia="Times New Roman" w:hAnsi="Times New Roman" w:cs="Times New Roman"/>
          <w:sz w:val="24"/>
          <w:szCs w:val="24"/>
          <w:lang w:eastAsia="zh-CN"/>
        </w:rPr>
      </w:pPr>
    </w:p>
    <w:p w14:paraId="1715C273" w14:textId="77777777" w:rsidR="009E2EBF" w:rsidRDefault="009E2EBF" w:rsidP="009E2EBF">
      <w:pPr>
        <w:adjustRightInd w:val="0"/>
        <w:snapToGrid w:val="0"/>
        <w:spacing w:after="0" w:line="240" w:lineRule="atLeast"/>
        <w:rPr>
          <w:rFonts w:ascii="Times New Roman" w:eastAsia="Times New Roman" w:hAnsi="Times New Roman" w:cs="Times New Roman"/>
          <w:b/>
          <w:bCs/>
          <w:sz w:val="24"/>
          <w:szCs w:val="24"/>
          <w:lang w:eastAsia="zh-CN"/>
        </w:rPr>
      </w:pPr>
      <w:r w:rsidRPr="00D62856">
        <w:rPr>
          <w:rFonts w:ascii="Times New Roman" w:eastAsia="Times New Roman" w:hAnsi="Times New Roman" w:cs="Times New Roman"/>
          <w:b/>
          <w:bCs/>
          <w:sz w:val="24"/>
          <w:szCs w:val="24"/>
          <w:lang w:eastAsia="zh-CN"/>
        </w:rPr>
        <w:t>Audit Culture and Methodological Narrowness:</w:t>
      </w:r>
    </w:p>
    <w:p w14:paraId="021779B4" w14:textId="4DA40A73" w:rsidR="00291FCB" w:rsidRDefault="009E2EBF" w:rsidP="00291FCB">
      <w:pPr>
        <w:adjustRightInd w:val="0"/>
        <w:snapToGrid w:val="0"/>
        <w:spacing w:after="0" w:line="240" w:lineRule="atLeast"/>
        <w:jc w:val="both"/>
        <w:rPr>
          <w:rFonts w:ascii="Times New Roman" w:eastAsia="Times New Roman" w:hAnsi="Times New Roman" w:cs="Times New Roman"/>
          <w:sz w:val="24"/>
          <w:szCs w:val="24"/>
          <w:lang w:eastAsia="zh-CN"/>
        </w:rPr>
      </w:pPr>
      <w:r w:rsidRPr="00D62856">
        <w:rPr>
          <w:rFonts w:ascii="Times New Roman" w:eastAsia="Times New Roman" w:hAnsi="Times New Roman" w:cs="Times New Roman"/>
          <w:sz w:val="24"/>
          <w:szCs w:val="24"/>
          <w:lang w:eastAsia="zh-CN"/>
        </w:rPr>
        <w:br/>
        <w:t xml:space="preserve">The rise of an academic </w:t>
      </w:r>
      <w:r>
        <w:rPr>
          <w:rFonts w:ascii="Times New Roman" w:eastAsia="Times New Roman" w:hAnsi="Times New Roman" w:cs="Times New Roman"/>
          <w:sz w:val="24"/>
          <w:szCs w:val="24"/>
          <w:lang w:eastAsia="zh-CN"/>
        </w:rPr>
        <w:t>“</w:t>
      </w:r>
      <w:r w:rsidRPr="00D62856">
        <w:rPr>
          <w:rFonts w:ascii="Times New Roman" w:eastAsia="Times New Roman" w:hAnsi="Times New Roman" w:cs="Times New Roman"/>
          <w:sz w:val="24"/>
          <w:szCs w:val="24"/>
          <w:lang w:eastAsia="zh-CN"/>
        </w:rPr>
        <w:t>audit</w:t>
      </w:r>
      <w:r>
        <w:rPr>
          <w:rFonts w:ascii="Times New Roman" w:eastAsia="Times New Roman" w:hAnsi="Times New Roman" w:cs="Times New Roman"/>
          <w:sz w:val="24"/>
          <w:szCs w:val="24"/>
          <w:lang w:eastAsia="zh-CN"/>
        </w:rPr>
        <w:t>”</w:t>
      </w:r>
      <w:r w:rsidRPr="00D62856">
        <w:rPr>
          <w:rFonts w:ascii="Times New Roman" w:eastAsia="Times New Roman" w:hAnsi="Times New Roman" w:cs="Times New Roman"/>
          <w:sz w:val="24"/>
          <w:szCs w:val="24"/>
          <w:lang w:eastAsia="zh-CN"/>
        </w:rPr>
        <w:t xml:space="preserve"> culture has amplified these tendencies. Evaluation systems</w:t>
      </w:r>
      <w:r w:rsidR="00291FCB">
        <w:rPr>
          <w:rFonts w:ascii="Times New Roman" w:eastAsia="Times New Roman" w:hAnsi="Times New Roman" w:cs="Times New Roman"/>
          <w:sz w:val="24"/>
          <w:szCs w:val="24"/>
          <w:lang w:eastAsia="zh-CN"/>
        </w:rPr>
        <w:t xml:space="preserve"> </w:t>
      </w:r>
      <w:r w:rsidRPr="00D62856">
        <w:rPr>
          <w:rFonts w:ascii="Times New Roman" w:eastAsia="Times New Roman" w:hAnsi="Times New Roman" w:cs="Times New Roman"/>
          <w:sz w:val="24"/>
          <w:szCs w:val="24"/>
          <w:lang w:eastAsia="zh-CN"/>
        </w:rPr>
        <w:t xml:space="preserve">reward “auditable” forms of research, </w:t>
      </w:r>
      <w:proofErr w:type="spellStart"/>
      <w:r w:rsidRPr="00D62856">
        <w:rPr>
          <w:rFonts w:ascii="Times New Roman" w:eastAsia="Times New Roman" w:hAnsi="Times New Roman" w:cs="Times New Roman"/>
          <w:sz w:val="24"/>
          <w:szCs w:val="24"/>
          <w:lang w:eastAsia="zh-CN"/>
        </w:rPr>
        <w:t>favoring</w:t>
      </w:r>
      <w:proofErr w:type="spellEnd"/>
      <w:r w:rsidRPr="00D62856">
        <w:rPr>
          <w:rFonts w:ascii="Times New Roman" w:eastAsia="Times New Roman" w:hAnsi="Times New Roman" w:cs="Times New Roman"/>
          <w:sz w:val="24"/>
          <w:szCs w:val="24"/>
          <w:lang w:eastAsia="zh-CN"/>
        </w:rPr>
        <w:t xml:space="preserve"> large-sample econometric studies and tightly</w:t>
      </w:r>
      <w:r w:rsidR="00291FCB">
        <w:rPr>
          <w:rFonts w:ascii="Times New Roman" w:eastAsia="Times New Roman" w:hAnsi="Times New Roman" w:cs="Times New Roman"/>
          <w:sz w:val="24"/>
          <w:szCs w:val="24"/>
          <w:lang w:eastAsia="zh-CN"/>
        </w:rPr>
        <w:t xml:space="preserve"> </w:t>
      </w:r>
      <w:r w:rsidRPr="00D62856">
        <w:rPr>
          <w:rFonts w:ascii="Times New Roman" w:eastAsia="Times New Roman" w:hAnsi="Times New Roman" w:cs="Times New Roman"/>
          <w:sz w:val="24"/>
          <w:szCs w:val="24"/>
          <w:lang w:eastAsia="zh-CN"/>
        </w:rPr>
        <w:t>identified causal designs. While these methods have their place, their institutional dominance discourages qualitative, interdisciplinary, or exploratory work</w:t>
      </w:r>
      <w:r w:rsidR="00291FCB">
        <w:rPr>
          <w:rFonts w:ascii="Times New Roman" w:eastAsia="Times New Roman" w:hAnsi="Times New Roman" w:cs="Times New Roman"/>
          <w:sz w:val="24"/>
          <w:szCs w:val="24"/>
          <w:lang w:eastAsia="zh-CN"/>
        </w:rPr>
        <w:t xml:space="preserve"> </w:t>
      </w:r>
      <w:r>
        <w:rPr>
          <w:rFonts w:ascii="Times New Roman" w:eastAsia="Times New Roman" w:hAnsi="Times New Roman" w:cs="Times New Roman"/>
          <w:sz w:val="24"/>
          <w:szCs w:val="24"/>
          <w:lang w:eastAsia="zh-CN"/>
        </w:rPr>
        <w:t>and especially discourages</w:t>
      </w:r>
      <w:r w:rsidR="00291FCB">
        <w:rPr>
          <w:rFonts w:ascii="Times New Roman" w:eastAsia="Times New Roman" w:hAnsi="Times New Roman" w:cs="Times New Roman"/>
          <w:sz w:val="24"/>
          <w:szCs w:val="24"/>
          <w:lang w:eastAsia="zh-CN"/>
        </w:rPr>
        <w:t xml:space="preserve"> </w:t>
      </w:r>
      <w:r>
        <w:rPr>
          <w:rFonts w:ascii="Times New Roman" w:eastAsia="Times New Roman" w:hAnsi="Times New Roman" w:cs="Times New Roman"/>
          <w:sz w:val="24"/>
          <w:szCs w:val="24"/>
          <w:lang w:eastAsia="zh-CN"/>
        </w:rPr>
        <w:t>work directed at real issues</w:t>
      </w:r>
      <w:r w:rsidR="00291FCB">
        <w:rPr>
          <w:rFonts w:ascii="Times New Roman" w:eastAsia="Times New Roman" w:hAnsi="Times New Roman" w:cs="Times New Roman"/>
          <w:sz w:val="24"/>
          <w:szCs w:val="24"/>
          <w:lang w:eastAsia="zh-CN"/>
        </w:rPr>
        <w:t xml:space="preserve"> </w:t>
      </w:r>
      <w:r>
        <w:rPr>
          <w:rFonts w:ascii="Times New Roman" w:eastAsia="Times New Roman" w:hAnsi="Times New Roman" w:cs="Times New Roman"/>
          <w:sz w:val="24"/>
          <w:szCs w:val="24"/>
          <w:lang w:eastAsia="zh-CN"/>
        </w:rPr>
        <w:t>s</w:t>
      </w:r>
      <w:r w:rsidRPr="00D62856">
        <w:rPr>
          <w:rFonts w:ascii="Times New Roman" w:eastAsia="Times New Roman" w:hAnsi="Times New Roman" w:cs="Times New Roman"/>
          <w:sz w:val="24"/>
          <w:szCs w:val="24"/>
          <w:lang w:eastAsia="zh-CN"/>
        </w:rPr>
        <w:t>cholars who engage in immersive, problem-driven research</w:t>
      </w:r>
      <w:r w:rsidR="00291FCB">
        <w:rPr>
          <w:rFonts w:ascii="Times New Roman" w:eastAsia="Times New Roman" w:hAnsi="Times New Roman" w:cs="Times New Roman"/>
          <w:sz w:val="24"/>
          <w:szCs w:val="24"/>
          <w:lang w:eastAsia="zh-CN"/>
        </w:rPr>
        <w:t xml:space="preserve"> </w:t>
      </w:r>
      <w:r w:rsidRPr="00D62856">
        <w:rPr>
          <w:rFonts w:ascii="Times New Roman" w:eastAsia="Times New Roman" w:hAnsi="Times New Roman" w:cs="Times New Roman"/>
          <w:sz w:val="24"/>
          <w:szCs w:val="24"/>
          <w:lang w:eastAsia="zh-CN"/>
        </w:rPr>
        <w:t>struggle</w:t>
      </w:r>
      <w:r>
        <w:rPr>
          <w:rFonts w:ascii="Times New Roman" w:eastAsia="Times New Roman" w:hAnsi="Times New Roman" w:cs="Times New Roman"/>
          <w:sz w:val="24"/>
          <w:szCs w:val="24"/>
          <w:lang w:eastAsia="zh-CN"/>
        </w:rPr>
        <w:t xml:space="preserve"> </w:t>
      </w:r>
      <w:r w:rsidRPr="00D62856">
        <w:rPr>
          <w:rFonts w:ascii="Times New Roman" w:eastAsia="Times New Roman" w:hAnsi="Times New Roman" w:cs="Times New Roman"/>
          <w:sz w:val="24"/>
          <w:szCs w:val="24"/>
          <w:lang w:eastAsia="zh-CN"/>
        </w:rPr>
        <w:t>for</w:t>
      </w:r>
      <w:r w:rsidR="00291FCB">
        <w:rPr>
          <w:rFonts w:ascii="Times New Roman" w:eastAsia="Times New Roman" w:hAnsi="Times New Roman" w:cs="Times New Roman"/>
          <w:sz w:val="24"/>
          <w:szCs w:val="24"/>
          <w:lang w:eastAsia="zh-CN"/>
        </w:rPr>
        <w:t xml:space="preserve"> recognition, resources, and career advancement.</w:t>
      </w:r>
      <w:r w:rsidRPr="00D62856">
        <w:rPr>
          <w:rFonts w:ascii="Times New Roman" w:eastAsia="Times New Roman" w:hAnsi="Times New Roman" w:cs="Times New Roman"/>
          <w:sz w:val="24"/>
          <w:szCs w:val="24"/>
          <w:lang w:eastAsia="zh-CN"/>
        </w:rPr>
        <w:t xml:space="preserve"> </w:t>
      </w:r>
    </w:p>
    <w:p w14:paraId="191C9345" w14:textId="77777777" w:rsidR="00291FCB" w:rsidRDefault="00291FCB" w:rsidP="00291FCB">
      <w:pPr>
        <w:adjustRightInd w:val="0"/>
        <w:snapToGrid w:val="0"/>
        <w:spacing w:after="0" w:line="240" w:lineRule="atLeast"/>
        <w:jc w:val="both"/>
        <w:rPr>
          <w:rFonts w:ascii="Times New Roman" w:eastAsia="Times New Roman" w:hAnsi="Times New Roman" w:cs="Times New Roman"/>
          <w:sz w:val="24"/>
          <w:szCs w:val="24"/>
          <w:lang w:eastAsia="zh-CN"/>
        </w:rPr>
      </w:pPr>
    </w:p>
    <w:p w14:paraId="16207EE5" w14:textId="77777777" w:rsidR="009E2EBF" w:rsidRPr="00D62856" w:rsidRDefault="009E2EBF" w:rsidP="009E2EBF">
      <w:pPr>
        <w:adjustRightInd w:val="0"/>
        <w:snapToGrid w:val="0"/>
        <w:spacing w:after="0" w:line="240" w:lineRule="atLeast"/>
        <w:rPr>
          <w:rFonts w:ascii="Times New Roman" w:hAnsi="Times New Roman" w:cs="Times New Roman"/>
          <w:b/>
          <w:bCs/>
          <w:sz w:val="24"/>
          <w:szCs w:val="24"/>
        </w:rPr>
      </w:pPr>
      <w:r>
        <w:rPr>
          <w:rFonts w:ascii="Times New Roman" w:hAnsi="Times New Roman" w:cs="Times New Roman" w:hint="eastAsia"/>
          <w:b/>
          <w:bCs/>
          <w:sz w:val="24"/>
          <w:szCs w:val="24"/>
        </w:rPr>
        <w:t xml:space="preserve">                                                             2. </w:t>
      </w:r>
      <w:r w:rsidRPr="00D62856">
        <w:rPr>
          <w:rFonts w:ascii="Times New Roman" w:eastAsia="Times New Roman" w:hAnsi="Times New Roman" w:cs="Times New Roman"/>
          <w:b/>
          <w:bCs/>
          <w:sz w:val="24"/>
          <w:szCs w:val="24"/>
          <w:lang w:eastAsia="zh-CN"/>
        </w:rPr>
        <w:t>A Path Forward</w:t>
      </w:r>
      <w:r>
        <w:rPr>
          <w:rFonts w:ascii="Times New Roman" w:hAnsi="Times New Roman" w:cs="Times New Roman" w:hint="eastAsia"/>
          <w:b/>
          <w:bCs/>
          <w:sz w:val="24"/>
          <w:szCs w:val="24"/>
        </w:rPr>
        <w:t xml:space="preserve"> </w:t>
      </w:r>
      <w:r>
        <w:rPr>
          <w:rFonts w:ascii="Times New Roman" w:hAnsi="Times New Roman" w:cs="Times New Roman"/>
          <w:b/>
          <w:bCs/>
          <w:sz w:val="24"/>
          <w:szCs w:val="24"/>
        </w:rPr>
        <w:br/>
      </w:r>
    </w:p>
    <w:p w14:paraId="76ADF3EB" w14:textId="0D4167F8" w:rsidR="00291FCB" w:rsidRDefault="009E2EBF" w:rsidP="009E2EBF">
      <w:pPr>
        <w:adjustRightInd w:val="0"/>
        <w:snapToGrid w:val="0"/>
        <w:spacing w:after="0" w:line="240" w:lineRule="atLeast"/>
        <w:jc w:val="both"/>
        <w:rPr>
          <w:rFonts w:ascii="Times New Roman" w:eastAsia="Times New Roman" w:hAnsi="Times New Roman" w:cs="Times New Roman"/>
          <w:sz w:val="24"/>
          <w:szCs w:val="24"/>
          <w:lang w:eastAsia="zh-CN"/>
        </w:rPr>
      </w:pPr>
      <w:r w:rsidRPr="00D62856">
        <w:rPr>
          <w:rFonts w:ascii="Times New Roman" w:eastAsia="Times New Roman" w:hAnsi="Times New Roman" w:cs="Times New Roman"/>
          <w:sz w:val="24"/>
          <w:szCs w:val="24"/>
          <w:lang w:eastAsia="zh-CN"/>
        </w:rPr>
        <w:t xml:space="preserve">The panel will argue that reclaiming the relevance of business research requires a </w:t>
      </w:r>
      <w:r w:rsidRPr="00D62856">
        <w:rPr>
          <w:rFonts w:ascii="Times New Roman" w:eastAsia="Times New Roman" w:hAnsi="Times New Roman" w:cs="Times New Roman"/>
          <w:b/>
          <w:bCs/>
          <w:sz w:val="24"/>
          <w:szCs w:val="24"/>
          <w:lang w:eastAsia="zh-CN"/>
        </w:rPr>
        <w:t>paradigm shift</w:t>
      </w:r>
      <w:r w:rsidRPr="00D62856">
        <w:rPr>
          <w:rFonts w:ascii="Times New Roman" w:eastAsia="Times New Roman" w:hAnsi="Times New Roman" w:cs="Times New Roman"/>
          <w:sz w:val="24"/>
          <w:szCs w:val="24"/>
          <w:lang w:eastAsia="zh-CN"/>
        </w:rPr>
        <w:t>—a move from “what hasn’t been said” to “what needs to be understood.” This shift calls for courage, as it challenges entrenched incentives and professional norms. Three promising</w:t>
      </w:r>
      <w:r w:rsidR="00291FCB">
        <w:rPr>
          <w:rFonts w:ascii="Times New Roman" w:eastAsia="Times New Roman" w:hAnsi="Times New Roman" w:cs="Times New Roman"/>
          <w:sz w:val="24"/>
          <w:szCs w:val="24"/>
          <w:lang w:eastAsia="zh-CN"/>
        </w:rPr>
        <w:t xml:space="preserve"> approaches will be highlighted:</w:t>
      </w:r>
      <w:r w:rsidRPr="00D62856">
        <w:rPr>
          <w:rFonts w:ascii="Times New Roman" w:eastAsia="Times New Roman" w:hAnsi="Times New Roman" w:cs="Times New Roman"/>
          <w:sz w:val="24"/>
          <w:szCs w:val="24"/>
          <w:lang w:eastAsia="zh-CN"/>
        </w:rPr>
        <w:t xml:space="preserve"> </w:t>
      </w:r>
    </w:p>
    <w:p w14:paraId="77B0D6BA" w14:textId="6DEE7526" w:rsidR="009E2EBF" w:rsidRPr="00121D8A" w:rsidRDefault="009E2EBF" w:rsidP="009E2EBF">
      <w:pPr>
        <w:adjustRightInd w:val="0"/>
        <w:snapToGrid w:val="0"/>
        <w:spacing w:after="0" w:line="240" w:lineRule="atLeast"/>
        <w:jc w:val="both"/>
        <w:rPr>
          <w:rFonts w:ascii="Times New Roman" w:hAnsi="Times New Roman" w:cs="Times New Roman"/>
          <w:sz w:val="24"/>
          <w:szCs w:val="24"/>
        </w:rPr>
      </w:pPr>
    </w:p>
    <w:p w14:paraId="09AE5A56" w14:textId="77777777" w:rsidR="009E2EBF" w:rsidRDefault="009E2EBF" w:rsidP="009E2EBF">
      <w:pPr>
        <w:adjustRightInd w:val="0"/>
        <w:snapToGrid w:val="0"/>
        <w:spacing w:after="0" w:line="240" w:lineRule="atLeast"/>
        <w:rPr>
          <w:rFonts w:ascii="Times New Roman" w:eastAsia="Times New Roman" w:hAnsi="Times New Roman" w:cs="Times New Roman"/>
          <w:b/>
          <w:bCs/>
          <w:sz w:val="24"/>
          <w:szCs w:val="24"/>
          <w:lang w:eastAsia="zh-CN"/>
        </w:rPr>
      </w:pPr>
      <w:r w:rsidRPr="00D62856">
        <w:rPr>
          <w:rFonts w:ascii="Times New Roman" w:eastAsia="Times New Roman" w:hAnsi="Times New Roman" w:cs="Times New Roman"/>
          <w:b/>
          <w:bCs/>
          <w:sz w:val="24"/>
          <w:szCs w:val="24"/>
          <w:lang w:eastAsia="zh-CN"/>
        </w:rPr>
        <w:t>Problem-Driven Research:</w:t>
      </w:r>
    </w:p>
    <w:p w14:paraId="562A9EF8" w14:textId="39A85414" w:rsidR="009E2EBF" w:rsidRDefault="009E2EBF" w:rsidP="009E2EBF">
      <w:pPr>
        <w:adjustRightInd w:val="0"/>
        <w:snapToGrid w:val="0"/>
        <w:spacing w:after="0" w:line="240" w:lineRule="atLeast"/>
        <w:jc w:val="both"/>
        <w:rPr>
          <w:rFonts w:ascii="Times New Roman" w:eastAsia="Times New Roman" w:hAnsi="Times New Roman" w:cs="Times New Roman"/>
          <w:sz w:val="24"/>
          <w:szCs w:val="24"/>
          <w:lang w:eastAsia="zh-CN"/>
        </w:rPr>
      </w:pPr>
      <w:r w:rsidRPr="00D62856">
        <w:rPr>
          <w:rFonts w:ascii="Times New Roman" w:eastAsia="Times New Roman" w:hAnsi="Times New Roman" w:cs="Times New Roman"/>
          <w:sz w:val="24"/>
          <w:szCs w:val="24"/>
          <w:lang w:eastAsia="zh-CN"/>
        </w:rPr>
        <w:br/>
        <w:t>Instead of beginning with the literature, scholars can start with pressing real-world problems—climate change, digital transformation, corporate governance failures, or social inequities in workplaces—and pursue them regardless of whether a neat “gap” exists in academic writing.</w:t>
      </w:r>
    </w:p>
    <w:p w14:paraId="3870481F" w14:textId="77777777" w:rsidR="009E2EBF" w:rsidRPr="00D62856" w:rsidRDefault="009E2EBF" w:rsidP="009E2EBF">
      <w:pPr>
        <w:adjustRightInd w:val="0"/>
        <w:snapToGrid w:val="0"/>
        <w:spacing w:after="0" w:line="240" w:lineRule="atLeast"/>
        <w:rPr>
          <w:rFonts w:ascii="Times New Roman" w:eastAsia="Times New Roman" w:hAnsi="Times New Roman" w:cs="Times New Roman"/>
          <w:sz w:val="24"/>
          <w:szCs w:val="24"/>
          <w:lang w:eastAsia="zh-CN"/>
        </w:rPr>
      </w:pPr>
    </w:p>
    <w:p w14:paraId="518DF62F" w14:textId="77777777" w:rsidR="009E2EBF" w:rsidRDefault="009E2EBF" w:rsidP="009E2EBF">
      <w:pPr>
        <w:adjustRightInd w:val="0"/>
        <w:snapToGrid w:val="0"/>
        <w:spacing w:after="0" w:line="240" w:lineRule="atLeast"/>
        <w:rPr>
          <w:rFonts w:ascii="Times New Roman" w:eastAsia="Times New Roman" w:hAnsi="Times New Roman" w:cs="Times New Roman"/>
          <w:b/>
          <w:bCs/>
          <w:sz w:val="24"/>
          <w:szCs w:val="24"/>
          <w:lang w:eastAsia="zh-CN"/>
        </w:rPr>
      </w:pPr>
      <w:r w:rsidRPr="00D62856">
        <w:rPr>
          <w:rFonts w:ascii="Times New Roman" w:eastAsia="Times New Roman" w:hAnsi="Times New Roman" w:cs="Times New Roman"/>
          <w:b/>
          <w:bCs/>
          <w:sz w:val="24"/>
          <w:szCs w:val="24"/>
          <w:lang w:eastAsia="zh-CN"/>
        </w:rPr>
        <w:t>Discovery-Led Inquiry:</w:t>
      </w:r>
    </w:p>
    <w:p w14:paraId="3C21849C" w14:textId="5D4C4207" w:rsidR="009E2EBF" w:rsidRDefault="009E2EBF" w:rsidP="009E2EBF">
      <w:pPr>
        <w:adjustRightInd w:val="0"/>
        <w:snapToGrid w:val="0"/>
        <w:spacing w:after="0" w:line="240" w:lineRule="atLeast"/>
        <w:jc w:val="both"/>
        <w:rPr>
          <w:rFonts w:ascii="Times New Roman" w:eastAsia="Times New Roman" w:hAnsi="Times New Roman" w:cs="Times New Roman"/>
          <w:sz w:val="24"/>
          <w:szCs w:val="24"/>
          <w:lang w:eastAsia="zh-CN"/>
        </w:rPr>
      </w:pPr>
      <w:r w:rsidRPr="00D62856">
        <w:rPr>
          <w:rFonts w:ascii="Times New Roman" w:eastAsia="Times New Roman" w:hAnsi="Times New Roman" w:cs="Times New Roman"/>
          <w:sz w:val="24"/>
          <w:szCs w:val="24"/>
          <w:lang w:eastAsia="zh-CN"/>
        </w:rPr>
        <w:br/>
        <w:t>This approach emphasizes inductive exploration. By observing organizations, technologies, and communities in action, researchers can generate insights that emerge directly from practice. Rather than testing predefined hypotheses, discovery-led inquiry values surprise, anomaly, and serendipity.</w:t>
      </w:r>
    </w:p>
    <w:p w14:paraId="72C5198D" w14:textId="77777777" w:rsidR="009E2EBF" w:rsidRPr="00D62856" w:rsidRDefault="009E2EBF" w:rsidP="009E2EBF">
      <w:pPr>
        <w:adjustRightInd w:val="0"/>
        <w:snapToGrid w:val="0"/>
        <w:spacing w:after="0" w:line="240" w:lineRule="atLeast"/>
        <w:rPr>
          <w:rFonts w:ascii="Times New Roman" w:eastAsia="Times New Roman" w:hAnsi="Times New Roman" w:cs="Times New Roman"/>
          <w:sz w:val="24"/>
          <w:szCs w:val="24"/>
          <w:lang w:eastAsia="zh-CN"/>
        </w:rPr>
      </w:pPr>
    </w:p>
    <w:p w14:paraId="4A9C9370" w14:textId="37589B58" w:rsidR="009E2EBF" w:rsidRDefault="009E2EBF" w:rsidP="009E2EBF">
      <w:pPr>
        <w:adjustRightInd w:val="0"/>
        <w:snapToGrid w:val="0"/>
        <w:spacing w:after="0" w:line="240" w:lineRule="atLeast"/>
        <w:rPr>
          <w:rFonts w:ascii="Times New Roman" w:eastAsia="Times New Roman" w:hAnsi="Times New Roman" w:cs="Times New Roman"/>
          <w:b/>
          <w:bCs/>
          <w:sz w:val="24"/>
          <w:szCs w:val="24"/>
          <w:lang w:eastAsia="zh-CN"/>
        </w:rPr>
      </w:pPr>
      <w:r>
        <w:rPr>
          <w:rFonts w:ascii="Times New Roman" w:hAnsi="Times New Roman" w:cs="Times New Roman" w:hint="eastAsia"/>
          <w:b/>
          <w:bCs/>
          <w:sz w:val="24"/>
          <w:szCs w:val="24"/>
        </w:rPr>
        <w:t xml:space="preserve"> </w:t>
      </w:r>
      <w:r>
        <w:rPr>
          <w:rFonts w:ascii="Times New Roman" w:hAnsi="Times New Roman" w:cs="Times New Roman"/>
          <w:b/>
          <w:bCs/>
          <w:sz w:val="24"/>
          <w:szCs w:val="24"/>
        </w:rPr>
        <w:t>T</w:t>
      </w:r>
      <w:r>
        <w:rPr>
          <w:rFonts w:ascii="Times New Roman" w:hAnsi="Times New Roman" w:cs="Times New Roman" w:hint="eastAsia"/>
          <w:b/>
          <w:bCs/>
          <w:sz w:val="24"/>
          <w:szCs w:val="24"/>
        </w:rPr>
        <w:t>o</w:t>
      </w:r>
      <w:r w:rsidRPr="00D62856">
        <w:rPr>
          <w:rFonts w:ascii="Times New Roman" w:eastAsia="Times New Roman" w:hAnsi="Times New Roman" w:cs="Times New Roman"/>
          <w:b/>
          <w:bCs/>
          <w:sz w:val="24"/>
          <w:szCs w:val="24"/>
          <w:lang w:eastAsia="zh-CN"/>
        </w:rPr>
        <w:t xml:space="preserve"> Theory Development:</w:t>
      </w:r>
    </w:p>
    <w:p w14:paraId="6CE91974" w14:textId="0E721BAE" w:rsidR="009E2EBF" w:rsidRPr="00D62856" w:rsidRDefault="009E2EBF" w:rsidP="009E2EBF">
      <w:pPr>
        <w:adjustRightInd w:val="0"/>
        <w:snapToGrid w:val="0"/>
        <w:spacing w:after="0" w:line="240" w:lineRule="atLeast"/>
        <w:jc w:val="both"/>
        <w:rPr>
          <w:rFonts w:ascii="Times New Roman" w:eastAsia="Times New Roman" w:hAnsi="Times New Roman" w:cs="Times New Roman"/>
          <w:sz w:val="24"/>
          <w:szCs w:val="24"/>
          <w:lang w:eastAsia="zh-CN"/>
        </w:rPr>
      </w:pPr>
      <w:r w:rsidRPr="00D62856">
        <w:rPr>
          <w:rFonts w:ascii="Times New Roman" w:eastAsia="Times New Roman" w:hAnsi="Times New Roman" w:cs="Times New Roman"/>
          <w:sz w:val="24"/>
          <w:szCs w:val="24"/>
          <w:lang w:eastAsia="zh-CN"/>
        </w:rPr>
        <w:br/>
        <w:t>Here, scholars build theory from the ground up, derived from successful practices and systems. For example, studying how companies sustain long-term profitability might generate new theoretical frameworks for management accounting that are far more relevant than those derived from abstract constructs.</w:t>
      </w:r>
    </w:p>
    <w:p w14:paraId="45826D9A" w14:textId="77777777" w:rsidR="009E2EBF" w:rsidRDefault="009E2EBF" w:rsidP="009E2EBF">
      <w:pPr>
        <w:adjustRightInd w:val="0"/>
        <w:snapToGrid w:val="0"/>
        <w:spacing w:after="0" w:line="240" w:lineRule="atLeast"/>
        <w:jc w:val="both"/>
        <w:rPr>
          <w:rFonts w:ascii="Times New Roman" w:hAnsi="Times New Roman" w:cs="Times New Roman"/>
          <w:sz w:val="24"/>
          <w:szCs w:val="24"/>
        </w:rPr>
      </w:pPr>
      <w:r w:rsidRPr="00D62856">
        <w:rPr>
          <w:rFonts w:ascii="Times New Roman" w:eastAsia="Times New Roman" w:hAnsi="Times New Roman" w:cs="Times New Roman"/>
          <w:sz w:val="24"/>
          <w:szCs w:val="24"/>
          <w:lang w:eastAsia="zh-CN"/>
        </w:rPr>
        <w:t>By embracing these alternatives, business scholarship can reconnect with its original mission: to illuminate, support, and improve the practice of management in real organizations.</w:t>
      </w:r>
    </w:p>
    <w:p w14:paraId="37B38D87" w14:textId="77777777" w:rsidR="009E2EBF" w:rsidRPr="00E06B58" w:rsidRDefault="009E2EBF" w:rsidP="009E2EBF">
      <w:pPr>
        <w:adjustRightInd w:val="0"/>
        <w:snapToGrid w:val="0"/>
        <w:spacing w:after="0" w:line="240" w:lineRule="atLeast"/>
        <w:rPr>
          <w:rFonts w:ascii="Times New Roman" w:hAnsi="Times New Roman" w:cs="Times New Roman"/>
          <w:sz w:val="24"/>
          <w:szCs w:val="24"/>
        </w:rPr>
      </w:pPr>
    </w:p>
    <w:p w14:paraId="7E49530C" w14:textId="77777777" w:rsidR="009E2EBF" w:rsidRPr="00A04CC2" w:rsidRDefault="009E2EBF" w:rsidP="009E2EBF">
      <w:pPr>
        <w:adjustRightInd w:val="0"/>
        <w:snapToGrid w:val="0"/>
        <w:spacing w:after="0" w:line="240" w:lineRule="atLeast"/>
        <w:rPr>
          <w:rFonts w:ascii="Times New Roman" w:hAnsi="Times New Roman" w:cs="Times New Roman"/>
          <w:b/>
          <w:bCs/>
          <w:sz w:val="24"/>
          <w:szCs w:val="24"/>
        </w:rPr>
      </w:pPr>
      <w:r w:rsidRPr="00A04CC2">
        <w:rPr>
          <w:rFonts w:ascii="Times New Roman" w:hAnsi="Times New Roman" w:cs="Times New Roman" w:hint="eastAsia"/>
          <w:b/>
          <w:bCs/>
          <w:sz w:val="24"/>
          <w:szCs w:val="24"/>
        </w:rPr>
        <w:t xml:space="preserve">                                      </w:t>
      </w:r>
      <w:r w:rsidRPr="00A04CC2">
        <w:rPr>
          <w:rFonts w:ascii="Times New Roman" w:hAnsi="Times New Roman" w:cs="Times New Roman"/>
          <w:b/>
          <w:bCs/>
          <w:sz w:val="24"/>
          <w:szCs w:val="24"/>
        </w:rPr>
        <w:t xml:space="preserve">3. Session Agenda and Presenter Roles </w:t>
      </w:r>
      <w:bookmarkStart w:id="35" w:name="_Hlk208151087"/>
      <w:r w:rsidRPr="00A04CC2">
        <w:rPr>
          <w:rFonts w:ascii="Times New Roman" w:hAnsi="Times New Roman" w:cs="Times New Roman"/>
          <w:b/>
          <w:bCs/>
          <w:sz w:val="24"/>
          <w:szCs w:val="24"/>
        </w:rPr>
        <w:br/>
      </w:r>
    </w:p>
    <w:bookmarkEnd w:id="35"/>
    <w:p w14:paraId="5E03FFD9" w14:textId="77777777" w:rsidR="009E2EBF" w:rsidRPr="00D5071A" w:rsidRDefault="009E2EBF" w:rsidP="009E2EBF">
      <w:pPr>
        <w:adjustRightInd w:val="0"/>
        <w:snapToGrid w:val="0"/>
        <w:spacing w:after="0" w:line="240" w:lineRule="atLeast"/>
        <w:rPr>
          <w:rFonts w:ascii="Times New Roman" w:hAnsi="Times New Roman" w:cs="Times New Roman"/>
          <w:sz w:val="24"/>
          <w:szCs w:val="24"/>
        </w:rPr>
      </w:pPr>
      <w:r w:rsidRPr="00D5071A">
        <w:rPr>
          <w:rFonts w:ascii="Times New Roman" w:hAnsi="Times New Roman" w:cs="Times New Roman"/>
          <w:sz w:val="24"/>
          <w:szCs w:val="24"/>
        </w:rPr>
        <w:lastRenderedPageBreak/>
        <w:t>The proposed session is designed to foster both critical reflection and constructive dialogue.</w:t>
      </w:r>
      <w:r w:rsidRPr="00D5071A">
        <w:rPr>
          <w:rFonts w:ascii="Times New Roman" w:hAnsi="Times New Roman" w:cs="Times New Roman"/>
          <w:sz w:val="24"/>
          <w:szCs w:val="24"/>
        </w:rPr>
        <w:br/>
      </w:r>
    </w:p>
    <w:p w14:paraId="4084BD15" w14:textId="77777777" w:rsidR="009E2EBF" w:rsidRDefault="009E2EBF" w:rsidP="009E2EBF">
      <w:pPr>
        <w:adjustRightInd w:val="0"/>
        <w:snapToGrid w:val="0"/>
        <w:spacing w:after="0" w:line="240" w:lineRule="atLeast"/>
        <w:rPr>
          <w:rFonts w:ascii="Times New Roman" w:hAnsi="Times New Roman" w:cs="Times New Roman"/>
          <w:b/>
          <w:bCs/>
          <w:sz w:val="24"/>
          <w:szCs w:val="24"/>
        </w:rPr>
      </w:pPr>
    </w:p>
    <w:p w14:paraId="4A0A7200" w14:textId="0DC45886" w:rsidR="009E2EBF" w:rsidRDefault="009E2EBF" w:rsidP="009E2EBF">
      <w:pPr>
        <w:adjustRightInd w:val="0"/>
        <w:snapToGrid w:val="0"/>
        <w:spacing w:after="0" w:line="240" w:lineRule="atLeast"/>
        <w:rPr>
          <w:rFonts w:ascii="Times New Roman" w:hAnsi="Times New Roman" w:cs="Times New Roman"/>
          <w:b/>
          <w:bCs/>
          <w:sz w:val="24"/>
          <w:szCs w:val="24"/>
        </w:rPr>
      </w:pPr>
      <w:r w:rsidRPr="00A04CC2">
        <w:rPr>
          <w:rFonts w:ascii="Times New Roman" w:hAnsi="Times New Roman" w:cs="Times New Roman"/>
          <w:b/>
          <w:bCs/>
          <w:sz w:val="24"/>
          <w:szCs w:val="24"/>
        </w:rPr>
        <w:t>Keynote Address (20 minutes): Dr. Paul Scarbrough</w:t>
      </w:r>
    </w:p>
    <w:p w14:paraId="5A7B17D9" w14:textId="4E2A5BA4" w:rsidR="009E2EBF" w:rsidRPr="00D5071A" w:rsidRDefault="009E2EBF" w:rsidP="009E2EBF">
      <w:pPr>
        <w:adjustRightInd w:val="0"/>
        <w:snapToGrid w:val="0"/>
        <w:spacing w:after="0" w:line="240" w:lineRule="atLeast"/>
        <w:jc w:val="both"/>
        <w:rPr>
          <w:rFonts w:ascii="Times New Roman" w:hAnsi="Times New Roman" w:cs="Times New Roman"/>
          <w:sz w:val="24"/>
          <w:szCs w:val="24"/>
        </w:rPr>
      </w:pPr>
      <w:r w:rsidRPr="00D5071A">
        <w:rPr>
          <w:rFonts w:ascii="Times New Roman" w:hAnsi="Times New Roman" w:cs="Times New Roman"/>
          <w:sz w:val="24"/>
          <w:szCs w:val="24"/>
        </w:rPr>
        <w:br/>
        <w:t xml:space="preserve">Dr. Scarbrough will deliver the central keynote, presenting his genealogical analysis of the “literature gap” as a product of mid-20th-century reforms, which were not based on an understanding of the then-existing state of scientific research. He will show that the research approaches at the time of the Carnegie and Ford reports did not </w:t>
      </w:r>
      <w:proofErr w:type="spellStart"/>
      <w:r w:rsidRPr="00D5071A">
        <w:rPr>
          <w:rFonts w:ascii="Times New Roman" w:hAnsi="Times New Roman" w:cs="Times New Roman"/>
          <w:sz w:val="24"/>
          <w:szCs w:val="24"/>
        </w:rPr>
        <w:t>favor</w:t>
      </w:r>
      <w:proofErr w:type="spellEnd"/>
      <w:r w:rsidRPr="00D5071A">
        <w:rPr>
          <w:rFonts w:ascii="Times New Roman" w:hAnsi="Times New Roman" w:cs="Times New Roman"/>
          <w:sz w:val="24"/>
          <w:szCs w:val="24"/>
        </w:rPr>
        <w:t xml:space="preserve"> or emphasize the “gap” concept, and the presentation will also show that the same issue is faced in many disciplines other than business and accounting. The gap-centric model will be contrasted with earlier traditions of practice-based inquiry in business and accounting, and also in economics and other literatures. This examination of what constituted scientific research will offer a historical lens that allows participants to see current norms as the failed product of a social change that was imposed on a group of academics who lacked the necessary grounding to evaluate the paths they faced and thus created a system that was contingent and therefore changeable. </w:t>
      </w:r>
    </w:p>
    <w:p w14:paraId="3F4ECEE0" w14:textId="77777777" w:rsidR="009E2EBF" w:rsidRDefault="009E2EBF" w:rsidP="009E2EBF">
      <w:pPr>
        <w:adjustRightInd w:val="0"/>
        <w:snapToGrid w:val="0"/>
        <w:spacing w:after="0" w:line="240" w:lineRule="atLeast"/>
        <w:rPr>
          <w:rFonts w:ascii="Times New Roman" w:hAnsi="Times New Roman" w:cs="Times New Roman"/>
          <w:b/>
          <w:bCs/>
          <w:sz w:val="24"/>
          <w:szCs w:val="24"/>
        </w:rPr>
      </w:pPr>
      <w:r w:rsidRPr="00D5071A">
        <w:rPr>
          <w:rFonts w:ascii="Times New Roman" w:hAnsi="Times New Roman" w:cs="Times New Roman"/>
          <w:sz w:val="24"/>
          <w:szCs w:val="24"/>
        </w:rPr>
        <w:br/>
      </w:r>
      <w:r w:rsidRPr="00A04CC2">
        <w:rPr>
          <w:rFonts w:ascii="Times New Roman" w:hAnsi="Times New Roman" w:cs="Times New Roman"/>
          <w:b/>
          <w:bCs/>
          <w:sz w:val="24"/>
          <w:szCs w:val="24"/>
        </w:rPr>
        <w:t xml:space="preserve">Panel Discussion (10 minutes): Dr. Robert C. Rickards </w:t>
      </w:r>
    </w:p>
    <w:p w14:paraId="7C7DFEC2" w14:textId="77777777" w:rsidR="009E2EBF" w:rsidRPr="00A04CC2" w:rsidRDefault="009E2EBF" w:rsidP="009E2EBF">
      <w:pPr>
        <w:adjustRightInd w:val="0"/>
        <w:snapToGrid w:val="0"/>
        <w:spacing w:after="0" w:line="240" w:lineRule="atLeast"/>
        <w:rPr>
          <w:rFonts w:ascii="Times New Roman" w:hAnsi="Times New Roman" w:cs="Times New Roman"/>
          <w:b/>
          <w:bCs/>
          <w:sz w:val="24"/>
          <w:szCs w:val="24"/>
        </w:rPr>
      </w:pPr>
    </w:p>
    <w:p w14:paraId="4D63488E" w14:textId="77777777" w:rsidR="009E2EBF" w:rsidRPr="00D5071A" w:rsidRDefault="009E2EBF" w:rsidP="009E2EBF">
      <w:pPr>
        <w:adjustRightInd w:val="0"/>
        <w:snapToGrid w:val="0"/>
        <w:spacing w:after="0" w:line="240" w:lineRule="atLeast"/>
        <w:jc w:val="both"/>
        <w:rPr>
          <w:rFonts w:ascii="Times New Roman" w:hAnsi="Times New Roman" w:cs="Times New Roman"/>
          <w:sz w:val="24"/>
          <w:szCs w:val="24"/>
        </w:rPr>
      </w:pPr>
      <w:r w:rsidRPr="00D5071A">
        <w:rPr>
          <w:rFonts w:ascii="Times New Roman" w:hAnsi="Times New Roman" w:cs="Times New Roman"/>
          <w:sz w:val="24"/>
          <w:szCs w:val="24"/>
        </w:rPr>
        <w:t xml:space="preserve">Drawing on his extensive experience in public management and organizational governance, Dr. Rickards will offer a European perspective on the origins and consequences of gap-driven research for Continental institutions. While </w:t>
      </w:r>
      <w:r>
        <w:rPr>
          <w:rFonts w:ascii="Times New Roman" w:hAnsi="Times New Roman" w:cs="Times New Roman"/>
          <w:sz w:val="24"/>
          <w:szCs w:val="24"/>
        </w:rPr>
        <w:t>broad</w:t>
      </w:r>
      <w:r w:rsidRPr="00D5071A">
        <w:rPr>
          <w:rFonts w:ascii="Times New Roman" w:hAnsi="Times New Roman" w:cs="Times New Roman"/>
          <w:sz w:val="24"/>
          <w:szCs w:val="24"/>
        </w:rPr>
        <w:t xml:space="preserve">ly agreeing with Dr. Scarbrough’s reflections, he will present a few examples supporting more nuanced views. Dr. Rickards will argue that academic insularity, particularly in doctoral education, not only undermines the ability of organizations to learn from scholarship but also has pernicious, long-term effects on universities. He will propose several modifications for doctoral programs and suggest </w:t>
      </w:r>
      <w:r>
        <w:rPr>
          <w:rFonts w:ascii="Times New Roman" w:hAnsi="Times New Roman" w:cs="Times New Roman"/>
          <w:sz w:val="24"/>
          <w:szCs w:val="24"/>
        </w:rPr>
        <w:t>ways in which</w:t>
      </w:r>
      <w:r w:rsidRPr="00D5071A">
        <w:rPr>
          <w:rFonts w:ascii="Times New Roman" w:hAnsi="Times New Roman" w:cs="Times New Roman"/>
          <w:sz w:val="24"/>
          <w:szCs w:val="24"/>
        </w:rPr>
        <w:t xml:space="preserve"> applied research can better inform public and private sector decision-making.</w:t>
      </w:r>
    </w:p>
    <w:p w14:paraId="74E35FFA" w14:textId="77777777" w:rsidR="009E2EBF" w:rsidRPr="00D5071A" w:rsidRDefault="009E2EBF" w:rsidP="009E2EBF">
      <w:pPr>
        <w:adjustRightInd w:val="0"/>
        <w:snapToGrid w:val="0"/>
        <w:spacing w:after="0" w:line="240" w:lineRule="atLeast"/>
        <w:rPr>
          <w:rFonts w:ascii="Times New Roman" w:hAnsi="Times New Roman" w:cs="Times New Roman"/>
          <w:sz w:val="24"/>
          <w:szCs w:val="24"/>
        </w:rPr>
      </w:pPr>
    </w:p>
    <w:p w14:paraId="7F42C94C" w14:textId="77777777" w:rsidR="009E2EBF" w:rsidRDefault="009E2EBF" w:rsidP="009E2EBF">
      <w:pPr>
        <w:adjustRightInd w:val="0"/>
        <w:snapToGrid w:val="0"/>
        <w:spacing w:after="0" w:line="240" w:lineRule="atLeast"/>
        <w:rPr>
          <w:rFonts w:ascii="Times New Roman" w:hAnsi="Times New Roman" w:cs="Times New Roman"/>
          <w:b/>
          <w:bCs/>
          <w:sz w:val="24"/>
          <w:szCs w:val="24"/>
        </w:rPr>
      </w:pPr>
      <w:r w:rsidRPr="00A04CC2">
        <w:rPr>
          <w:rFonts w:ascii="Times New Roman" w:hAnsi="Times New Roman" w:cs="Times New Roman"/>
          <w:b/>
          <w:bCs/>
          <w:sz w:val="24"/>
          <w:szCs w:val="24"/>
        </w:rPr>
        <w:t xml:space="preserve">Panel Discussion (10 minutes): Dr. Yutaka Kato </w:t>
      </w:r>
    </w:p>
    <w:p w14:paraId="5B3E2F2B" w14:textId="42BD0997" w:rsidR="00291FCB" w:rsidRDefault="009E2EBF" w:rsidP="009E2EBF">
      <w:pPr>
        <w:adjustRightInd w:val="0"/>
        <w:snapToGrid w:val="0"/>
        <w:spacing w:after="0" w:line="240" w:lineRule="atLeast"/>
        <w:jc w:val="both"/>
        <w:rPr>
          <w:rFonts w:ascii="Times New Roman" w:hAnsi="Times New Roman" w:cs="Times New Roman"/>
          <w:sz w:val="24"/>
          <w:szCs w:val="24"/>
        </w:rPr>
      </w:pPr>
      <w:r w:rsidRPr="00A04CC2">
        <w:rPr>
          <w:rFonts w:ascii="Times New Roman" w:hAnsi="Times New Roman" w:cs="Times New Roman"/>
          <w:b/>
          <w:bCs/>
          <w:sz w:val="24"/>
          <w:szCs w:val="24"/>
        </w:rPr>
        <w:br/>
      </w:r>
      <w:r w:rsidRPr="00D5071A">
        <w:rPr>
          <w:rFonts w:ascii="Times New Roman" w:hAnsi="Times New Roman" w:cs="Times New Roman"/>
          <w:sz w:val="24"/>
          <w:szCs w:val="24"/>
        </w:rPr>
        <w:t xml:space="preserve">Dr. Kato will argue for embedding management accounting directly within business systems. He will critique conventional research that treats accounting techniques in isolation, showing how this approach deprives managers of integrated tools for long-term performance. His presentation will outline a vision of management accounting as a guiding discipline that aligns pricing, sales, and cost control toward strategic objectives. He also discusses the possible pitfalls of the “Literature Gap” that mislead business practices and make academic research boring and meaningless. He will make several proposals to make research relevant to business practices, including (1) promotion of research on EBM (evidence-based management), (2) publishing useful management accounting textbooks to guide business practices, and (3) executing joint research with managers. He strongly suggests </w:t>
      </w:r>
      <w:r>
        <w:rPr>
          <w:rFonts w:ascii="Times New Roman" w:hAnsi="Times New Roman" w:cs="Times New Roman"/>
          <w:sz w:val="24"/>
          <w:szCs w:val="24"/>
        </w:rPr>
        <w:t xml:space="preserve">reading </w:t>
      </w:r>
      <w:proofErr w:type="spellStart"/>
      <w:r w:rsidRPr="00D5071A">
        <w:rPr>
          <w:rFonts w:ascii="Times New Roman" w:hAnsi="Times New Roman" w:cs="Times New Roman"/>
          <w:sz w:val="24"/>
          <w:szCs w:val="24"/>
        </w:rPr>
        <w:t>Tourish</w:t>
      </w:r>
      <w:proofErr w:type="spellEnd"/>
      <w:r>
        <w:rPr>
          <w:rFonts w:ascii="Times New Roman" w:hAnsi="Times New Roman" w:cs="Times New Roman" w:hint="eastAsia"/>
          <w:sz w:val="24"/>
          <w:szCs w:val="24"/>
        </w:rPr>
        <w:t xml:space="preserve"> </w:t>
      </w:r>
      <w:r w:rsidRPr="00D5071A">
        <w:rPr>
          <w:rFonts w:ascii="Times New Roman" w:hAnsi="Times New Roman" w:cs="Times New Roman"/>
          <w:sz w:val="24"/>
          <w:szCs w:val="24"/>
        </w:rPr>
        <w:t xml:space="preserve">(2019) (Management Studies in Crisis: Fraud, Deception and Meaningless Research, Cambridge </w:t>
      </w:r>
      <w:r w:rsidR="00291FCB">
        <w:rPr>
          <w:rFonts w:ascii="Times New Roman" w:hAnsi="Times New Roman" w:cs="Times New Roman"/>
          <w:sz w:val="24"/>
          <w:szCs w:val="24"/>
        </w:rPr>
        <w:t>University Press).</w:t>
      </w:r>
    </w:p>
    <w:p w14:paraId="654C82F5" w14:textId="77777777" w:rsidR="00291FCB" w:rsidRDefault="00291FCB" w:rsidP="009E2EBF">
      <w:pPr>
        <w:adjustRightInd w:val="0"/>
        <w:snapToGrid w:val="0"/>
        <w:spacing w:after="0" w:line="240" w:lineRule="atLeast"/>
        <w:jc w:val="both"/>
        <w:rPr>
          <w:rFonts w:ascii="Times New Roman" w:hAnsi="Times New Roman" w:cs="Times New Roman"/>
          <w:sz w:val="24"/>
          <w:szCs w:val="24"/>
        </w:rPr>
      </w:pPr>
    </w:p>
    <w:p w14:paraId="41A5EFB6" w14:textId="77777777" w:rsidR="009E2EBF" w:rsidRDefault="009E2EBF" w:rsidP="009E2EBF">
      <w:pPr>
        <w:adjustRightInd w:val="0"/>
        <w:snapToGrid w:val="0"/>
        <w:spacing w:after="0" w:line="240" w:lineRule="atLeast"/>
        <w:rPr>
          <w:rFonts w:ascii="Times New Roman" w:hAnsi="Times New Roman" w:cs="Times New Roman"/>
          <w:b/>
          <w:bCs/>
          <w:sz w:val="24"/>
          <w:szCs w:val="24"/>
        </w:rPr>
      </w:pPr>
      <w:r w:rsidRPr="00A04CC2">
        <w:rPr>
          <w:rFonts w:ascii="Times New Roman" w:hAnsi="Times New Roman" w:cs="Times New Roman"/>
          <w:b/>
          <w:bCs/>
          <w:sz w:val="24"/>
          <w:szCs w:val="24"/>
        </w:rPr>
        <w:t>Interactive Dialogue and Q&amp;A (10 minutes): Moderated by Dr. Susumu Ueno</w:t>
      </w:r>
    </w:p>
    <w:p w14:paraId="7B9C2D9E" w14:textId="403162BE" w:rsidR="009E2EBF" w:rsidRPr="00D5071A" w:rsidRDefault="009E2EBF" w:rsidP="009E2EBF">
      <w:pPr>
        <w:adjustRightInd w:val="0"/>
        <w:snapToGrid w:val="0"/>
        <w:spacing w:after="0" w:line="240" w:lineRule="atLeast"/>
        <w:jc w:val="both"/>
        <w:rPr>
          <w:rFonts w:ascii="Times New Roman" w:hAnsi="Times New Roman" w:cs="Times New Roman"/>
          <w:sz w:val="24"/>
          <w:szCs w:val="24"/>
        </w:rPr>
      </w:pPr>
      <w:r w:rsidRPr="00D5071A">
        <w:rPr>
          <w:rFonts w:ascii="Times New Roman" w:hAnsi="Times New Roman" w:cs="Times New Roman"/>
          <w:sz w:val="24"/>
          <w:szCs w:val="24"/>
        </w:rPr>
        <w:br/>
        <w:t xml:space="preserve">Dr. Ueno will lead a structured dialogue among the </w:t>
      </w:r>
      <w:proofErr w:type="spellStart"/>
      <w:r w:rsidRPr="00D5071A">
        <w:rPr>
          <w:rFonts w:ascii="Times New Roman" w:hAnsi="Times New Roman" w:cs="Times New Roman"/>
          <w:sz w:val="24"/>
          <w:szCs w:val="24"/>
        </w:rPr>
        <w:t>panelists</w:t>
      </w:r>
      <w:proofErr w:type="spellEnd"/>
      <w:r w:rsidRPr="00D5071A">
        <w:rPr>
          <w:rFonts w:ascii="Times New Roman" w:hAnsi="Times New Roman" w:cs="Times New Roman"/>
          <w:sz w:val="24"/>
          <w:szCs w:val="24"/>
        </w:rPr>
        <w:t xml:space="preserve"> and audience, inviting participants to reflect on how they might escape the “epistemic trap” of gap-spotting in their own research. The discussion will encourage practical brainstorming of alternative research designs, methodological pluralism, and new institutional incentives.</w:t>
      </w:r>
    </w:p>
    <w:p w14:paraId="318EFFA2" w14:textId="77777777" w:rsidR="009E2EBF" w:rsidRPr="00D5071A" w:rsidRDefault="009E2EBF" w:rsidP="009E2EBF">
      <w:pPr>
        <w:adjustRightInd w:val="0"/>
        <w:snapToGrid w:val="0"/>
        <w:spacing w:after="0" w:line="240" w:lineRule="atLeast"/>
        <w:rPr>
          <w:rFonts w:ascii="Times New Roman" w:hAnsi="Times New Roman" w:cs="Times New Roman"/>
          <w:sz w:val="24"/>
          <w:szCs w:val="24"/>
        </w:rPr>
      </w:pPr>
      <w:r w:rsidRPr="00D5071A">
        <w:rPr>
          <w:rFonts w:ascii="Times New Roman" w:hAnsi="Times New Roman" w:cs="Times New Roman"/>
          <w:sz w:val="24"/>
          <w:szCs w:val="24"/>
        </w:rPr>
        <w:t xml:space="preserve">                                             </w:t>
      </w:r>
    </w:p>
    <w:p w14:paraId="55F1BFA5" w14:textId="77777777" w:rsidR="009E2EBF" w:rsidRPr="00A04CC2" w:rsidRDefault="009E2EBF" w:rsidP="009E2EBF">
      <w:pPr>
        <w:adjustRightInd w:val="0"/>
        <w:snapToGrid w:val="0"/>
        <w:spacing w:after="0" w:line="240" w:lineRule="atLeast"/>
        <w:rPr>
          <w:rFonts w:ascii="Times New Roman" w:hAnsi="Times New Roman" w:cs="Times New Roman"/>
          <w:b/>
          <w:bCs/>
          <w:sz w:val="24"/>
          <w:szCs w:val="24"/>
        </w:rPr>
      </w:pPr>
      <w:r w:rsidRPr="00A04CC2">
        <w:rPr>
          <w:rFonts w:ascii="Times New Roman" w:hAnsi="Times New Roman" w:cs="Times New Roman"/>
          <w:b/>
          <w:bCs/>
          <w:sz w:val="24"/>
          <w:szCs w:val="24"/>
        </w:rPr>
        <w:lastRenderedPageBreak/>
        <w:t xml:space="preserve">                                           Presenter and Panelist Biographies </w:t>
      </w:r>
      <w:r w:rsidRPr="00A04CC2">
        <w:rPr>
          <w:rFonts w:ascii="Times New Roman" w:hAnsi="Times New Roman" w:cs="Times New Roman"/>
          <w:b/>
          <w:bCs/>
          <w:sz w:val="24"/>
          <w:szCs w:val="24"/>
        </w:rPr>
        <w:br/>
      </w:r>
    </w:p>
    <w:p w14:paraId="3651F5F5" w14:textId="77777777" w:rsidR="009E2EBF" w:rsidRPr="00A04CC2" w:rsidRDefault="009E2EBF" w:rsidP="009E2EBF">
      <w:pPr>
        <w:adjustRightInd w:val="0"/>
        <w:snapToGrid w:val="0"/>
        <w:spacing w:after="0" w:line="240" w:lineRule="atLeast"/>
        <w:rPr>
          <w:rFonts w:ascii="Times New Roman" w:hAnsi="Times New Roman" w:cs="Times New Roman"/>
          <w:b/>
          <w:bCs/>
          <w:sz w:val="24"/>
          <w:szCs w:val="24"/>
        </w:rPr>
      </w:pPr>
      <w:r w:rsidRPr="00A04CC2">
        <w:rPr>
          <w:rFonts w:ascii="Times New Roman" w:hAnsi="Times New Roman" w:cs="Times New Roman"/>
          <w:b/>
          <w:bCs/>
          <w:sz w:val="24"/>
          <w:szCs w:val="24"/>
        </w:rPr>
        <w:t>Key Presenter: Dr. Paul Scarbrough</w:t>
      </w:r>
    </w:p>
    <w:p w14:paraId="1BA58EA7" w14:textId="77777777" w:rsidR="009E2EBF" w:rsidRDefault="009E2EBF" w:rsidP="009E2EBF">
      <w:pPr>
        <w:adjustRightInd w:val="0"/>
        <w:snapToGrid w:val="0"/>
        <w:spacing w:after="0" w:line="240" w:lineRule="atLeast"/>
        <w:jc w:val="both"/>
        <w:rPr>
          <w:rFonts w:ascii="Times New Roman" w:eastAsia="Times New Roman" w:hAnsi="Times New Roman" w:cs="Times New Roman"/>
          <w:color w:val="000000"/>
          <w:sz w:val="24"/>
          <w:szCs w:val="24"/>
        </w:rPr>
      </w:pPr>
      <w:r w:rsidRPr="00A8010B">
        <w:rPr>
          <w:rFonts w:ascii="Times New Roman" w:eastAsia="Times New Roman" w:hAnsi="Times New Roman" w:cs="Times New Roman"/>
          <w:b/>
          <w:bCs/>
          <w:i/>
          <w:iCs/>
          <w:color w:val="000000"/>
          <w:sz w:val="24"/>
          <w:szCs w:val="24"/>
        </w:rPr>
        <w:t>Affiliation and Profile</w:t>
      </w:r>
      <w:r w:rsidRPr="00A8010B">
        <w:rPr>
          <w:rFonts w:ascii="Times New Roman" w:eastAsia="Times New Roman" w:hAnsi="Times New Roman" w:cs="Times New Roman"/>
          <w:i/>
          <w:iCs/>
          <w:color w:val="000000"/>
          <w:sz w:val="24"/>
          <w:szCs w:val="24"/>
        </w:rPr>
        <w:t>:</w:t>
      </w:r>
      <w:r w:rsidRPr="00A8010B">
        <w:rPr>
          <w:rFonts w:ascii="Times New Roman" w:eastAsia="Times New Roman" w:hAnsi="Times New Roman" w:cs="Times New Roman"/>
          <w:color w:val="000000"/>
          <w:sz w:val="24"/>
          <w:szCs w:val="24"/>
        </w:rPr>
        <w:t> Professor of Accounting, Brock University, Canada</w:t>
      </w:r>
      <w:r>
        <w:rPr>
          <w:rFonts w:ascii="Times New Roman" w:eastAsia="Times New Roman" w:hAnsi="Times New Roman" w:cs="Times New Roman"/>
          <w:color w:val="000000"/>
          <w:sz w:val="24"/>
          <w:szCs w:val="24"/>
        </w:rPr>
        <w:t>,</w:t>
      </w:r>
      <w:r w:rsidRPr="00A8010B">
        <w:rPr>
          <w:rFonts w:ascii="Times New Roman" w:eastAsia="Times New Roman" w:hAnsi="Times New Roman" w:cs="Times New Roman"/>
          <w:color w:val="000000"/>
          <w:sz w:val="24"/>
          <w:szCs w:val="24"/>
        </w:rPr>
        <w:t xml:space="preserve"> and an Affiliated Professor at Linnaeus University (Sweden).</w:t>
      </w:r>
    </w:p>
    <w:p w14:paraId="015589C1" w14:textId="70DE4FBA" w:rsidR="009E2EBF" w:rsidRPr="00A8010B" w:rsidRDefault="009E2EBF" w:rsidP="009E2EBF">
      <w:pPr>
        <w:adjustRightInd w:val="0"/>
        <w:snapToGrid w:val="0"/>
        <w:spacing w:after="0" w:line="240" w:lineRule="atLeast"/>
        <w:jc w:val="both"/>
        <w:rPr>
          <w:rFonts w:ascii="Times New Roman" w:hAnsi="Times New Roman" w:cs="Times New Roman"/>
          <w:color w:val="000000"/>
          <w:sz w:val="24"/>
          <w:szCs w:val="24"/>
        </w:rPr>
      </w:pPr>
      <w:r w:rsidRPr="00A8010B">
        <w:rPr>
          <w:rFonts w:ascii="Times New Roman" w:eastAsia="Times New Roman" w:hAnsi="Times New Roman" w:cs="Times New Roman"/>
          <w:color w:val="000000"/>
          <w:sz w:val="24"/>
          <w:szCs w:val="24"/>
        </w:rPr>
        <w:br/>
      </w:r>
      <w:r w:rsidRPr="00A8010B">
        <w:rPr>
          <w:rFonts w:ascii="Times New Roman" w:eastAsia="Times New Roman" w:hAnsi="Times New Roman" w:cs="Times New Roman"/>
          <w:b/>
          <w:bCs/>
          <w:i/>
          <w:iCs/>
          <w:color w:val="000000"/>
          <w:sz w:val="24"/>
          <w:szCs w:val="24"/>
        </w:rPr>
        <w:t>Research Focus</w:t>
      </w:r>
      <w:r w:rsidRPr="00A8010B">
        <w:rPr>
          <w:rFonts w:ascii="Times New Roman" w:eastAsia="Times New Roman" w:hAnsi="Times New Roman" w:cs="Times New Roman"/>
          <w:i/>
          <w:iCs/>
          <w:color w:val="000000"/>
          <w:sz w:val="24"/>
          <w:szCs w:val="24"/>
        </w:rPr>
        <w:t>:</w:t>
      </w:r>
      <w:r w:rsidRPr="00A8010B">
        <w:rPr>
          <w:rFonts w:ascii="Times New Roman" w:eastAsia="Times New Roman" w:hAnsi="Times New Roman" w:cs="Times New Roman"/>
          <w:color w:val="000000"/>
          <w:sz w:val="24"/>
          <w:szCs w:val="24"/>
        </w:rPr>
        <w:t xml:space="preserve"> The historical and philosophical foundations of business practices, with a particular emphasis on the interplay between academic norms and practical relevance. His paper “Mind the Gap” provides the genealogical framework underpinning this session. His research examines how culture and production systems shape management control, cost reduction, and lean practices, with publications in the </w:t>
      </w:r>
      <w:r w:rsidRPr="00A8010B">
        <w:rPr>
          <w:rFonts w:ascii="Times New Roman" w:eastAsia="Times New Roman" w:hAnsi="Times New Roman" w:cs="Times New Roman"/>
          <w:i/>
          <w:iCs/>
          <w:color w:val="000000"/>
          <w:sz w:val="24"/>
          <w:szCs w:val="24"/>
        </w:rPr>
        <w:t>Journal of Business Research</w:t>
      </w:r>
      <w:r w:rsidRPr="00A8010B">
        <w:rPr>
          <w:rFonts w:ascii="Times New Roman" w:eastAsia="Times New Roman" w:hAnsi="Times New Roman" w:cs="Times New Roman"/>
          <w:color w:val="000000"/>
          <w:sz w:val="24"/>
          <w:szCs w:val="24"/>
        </w:rPr>
        <w:t xml:space="preserve">, </w:t>
      </w:r>
      <w:r w:rsidRPr="00A8010B">
        <w:rPr>
          <w:rFonts w:ascii="Times New Roman" w:eastAsia="Times New Roman" w:hAnsi="Times New Roman" w:cs="Times New Roman"/>
          <w:i/>
          <w:iCs/>
          <w:color w:val="000000"/>
          <w:sz w:val="24"/>
          <w:szCs w:val="24"/>
        </w:rPr>
        <w:t>Journal of Business Ethics</w:t>
      </w:r>
      <w:r w:rsidRPr="00A8010B">
        <w:rPr>
          <w:rFonts w:ascii="Times New Roman" w:eastAsia="Times New Roman" w:hAnsi="Times New Roman" w:cs="Times New Roman"/>
          <w:color w:val="000000"/>
          <w:sz w:val="24"/>
          <w:szCs w:val="24"/>
        </w:rPr>
        <w:t xml:space="preserve">, and the </w:t>
      </w:r>
      <w:r w:rsidRPr="00A8010B">
        <w:rPr>
          <w:rFonts w:ascii="Times New Roman" w:eastAsia="Times New Roman" w:hAnsi="Times New Roman" w:cs="Times New Roman"/>
          <w:i/>
          <w:iCs/>
          <w:color w:val="000000"/>
          <w:sz w:val="24"/>
          <w:szCs w:val="24"/>
        </w:rPr>
        <w:t>Asia-Pacific Management Accounting Journal</w:t>
      </w:r>
      <w:r w:rsidRPr="00A8010B">
        <w:rPr>
          <w:rFonts w:ascii="Times New Roman" w:eastAsia="Times New Roman" w:hAnsi="Times New Roman" w:cs="Times New Roman"/>
          <w:color w:val="000000"/>
          <w:sz w:val="24"/>
          <w:szCs w:val="24"/>
        </w:rPr>
        <w:t>. He has also co-authored two books on Japanese and integrated cost management. Recent projects include practice-theory studies of collaborative/lean contexts and sustainability in product development. He holds a Ph.D. in Accounting from Virginia Tech.</w:t>
      </w:r>
      <w:r>
        <w:rPr>
          <w:rFonts w:ascii="Times New Roman" w:hAnsi="Times New Roman" w:cs="Times New Roman" w:hint="eastAsia"/>
          <w:color w:val="000000"/>
          <w:sz w:val="24"/>
          <w:szCs w:val="24"/>
        </w:rPr>
        <w:t xml:space="preserve"> </w:t>
      </w:r>
      <w:r w:rsidRPr="00A8010B">
        <w:rPr>
          <w:rFonts w:ascii="Times New Roman" w:eastAsia="Times New Roman" w:hAnsi="Times New Roman" w:cs="Times New Roman"/>
          <w:color w:val="000000"/>
          <w:sz w:val="24"/>
          <w:szCs w:val="24"/>
        </w:rPr>
        <w:t>Across appointments in Canada, the United States, Sweden, and Japan, Scarbrough has served as Department Chair and IT Director, and is a Board Director of Value Analysis Canada and Senior Director of the Asia-Pacific Management Accounting Association. He sits on several editorial boards and has delivered invited talks and keynotes for academic and practitioner audiences, including CPA Ontario and Value Analysis Canada. His collaborative work has been supported by public and industry partners, including a multi-year grant from Trafikverket (the Swedish Transport Administration). In 2023</w:t>
      </w:r>
      <w:r>
        <w:rPr>
          <w:rFonts w:ascii="Times New Roman" w:eastAsia="Times New Roman" w:hAnsi="Times New Roman" w:cs="Times New Roman"/>
          <w:color w:val="000000"/>
          <w:sz w:val="24"/>
          <w:szCs w:val="24"/>
        </w:rPr>
        <w:t>,</w:t>
      </w:r>
      <w:r w:rsidRPr="00A8010B">
        <w:rPr>
          <w:rFonts w:ascii="Times New Roman" w:eastAsia="Times New Roman" w:hAnsi="Times New Roman" w:cs="Times New Roman"/>
          <w:color w:val="000000"/>
          <w:sz w:val="24"/>
          <w:szCs w:val="24"/>
        </w:rPr>
        <w:t xml:space="preserve"> he was named Beta Gamma Sigma Professor of the Year.</w:t>
      </w:r>
      <w:r>
        <w:rPr>
          <w:rFonts w:ascii="Times New Roman" w:hAnsi="Times New Roman" w:cs="Times New Roman"/>
          <w:color w:val="000000"/>
          <w:sz w:val="24"/>
          <w:szCs w:val="24"/>
        </w:rPr>
        <w:br/>
      </w:r>
    </w:p>
    <w:p w14:paraId="76CA3858" w14:textId="77777777" w:rsidR="009E2EBF" w:rsidRDefault="009E2EBF" w:rsidP="009E2EBF">
      <w:pPr>
        <w:adjustRightInd w:val="0"/>
        <w:snapToGrid w:val="0"/>
        <w:spacing w:after="0" w:line="240" w:lineRule="atLeast"/>
        <w:rPr>
          <w:rFonts w:ascii="Times New Roman" w:hAnsi="Times New Roman" w:cs="Times New Roman"/>
          <w:b/>
          <w:bCs/>
          <w:sz w:val="24"/>
          <w:szCs w:val="24"/>
        </w:rPr>
      </w:pPr>
      <w:r w:rsidRPr="00A04CC2">
        <w:rPr>
          <w:rFonts w:ascii="Times New Roman" w:hAnsi="Times New Roman" w:cs="Times New Roman"/>
          <w:b/>
          <w:bCs/>
          <w:sz w:val="24"/>
          <w:szCs w:val="24"/>
        </w:rPr>
        <w:t>Panelist: Dr. Robert C. Rickards</w:t>
      </w:r>
    </w:p>
    <w:p w14:paraId="2FC08721" w14:textId="77777777" w:rsidR="009E2EBF" w:rsidRDefault="009E2EBF" w:rsidP="009E2EBF">
      <w:pPr>
        <w:adjustRightInd w:val="0"/>
        <w:snapToGrid w:val="0"/>
        <w:spacing w:after="0" w:line="240" w:lineRule="atLeast"/>
        <w:jc w:val="both"/>
        <w:rPr>
          <w:rFonts w:ascii="Times New Roman" w:hAnsi="Times New Roman" w:cs="Times New Roman"/>
          <w:sz w:val="24"/>
          <w:szCs w:val="24"/>
        </w:rPr>
      </w:pPr>
      <w:r w:rsidRPr="00D5071A">
        <w:rPr>
          <w:rFonts w:ascii="Times New Roman" w:hAnsi="Times New Roman" w:cs="Times New Roman"/>
          <w:sz w:val="24"/>
          <w:szCs w:val="24"/>
        </w:rPr>
        <w:br/>
      </w:r>
      <w:r w:rsidRPr="00A04CC2">
        <w:rPr>
          <w:rFonts w:ascii="Times New Roman" w:hAnsi="Times New Roman" w:cs="Times New Roman"/>
          <w:b/>
          <w:bCs/>
          <w:sz w:val="24"/>
          <w:szCs w:val="24"/>
        </w:rPr>
        <w:t>Affiliation and Profile</w:t>
      </w:r>
      <w:r w:rsidRPr="00D5071A">
        <w:rPr>
          <w:rFonts w:ascii="Times New Roman" w:hAnsi="Times New Roman" w:cs="Times New Roman"/>
          <w:sz w:val="24"/>
          <w:szCs w:val="24"/>
        </w:rPr>
        <w:t xml:space="preserve">: Dr. Robert C. Rickards is </w:t>
      </w:r>
      <w:r>
        <w:rPr>
          <w:rFonts w:ascii="Times New Roman" w:hAnsi="Times New Roman" w:cs="Times New Roman"/>
          <w:sz w:val="24"/>
          <w:szCs w:val="24"/>
        </w:rPr>
        <w:t xml:space="preserve">a </w:t>
      </w:r>
      <w:r w:rsidRPr="00D5071A">
        <w:rPr>
          <w:rFonts w:ascii="Times New Roman" w:hAnsi="Times New Roman" w:cs="Times New Roman"/>
          <w:sz w:val="24"/>
          <w:szCs w:val="24"/>
        </w:rPr>
        <w:t xml:space="preserve">Research Professor at the German Police University, Münster, Germany, where he teaches research methods and statistics to doctoral students. He has worked </w:t>
      </w:r>
      <w:r>
        <w:rPr>
          <w:rFonts w:ascii="Times New Roman" w:hAnsi="Times New Roman" w:cs="Times New Roman"/>
          <w:sz w:val="24"/>
          <w:szCs w:val="24"/>
        </w:rPr>
        <w:t>in both the private sector as a controller and financial analyst at</w:t>
      </w:r>
      <w:r w:rsidRPr="00D5071A">
        <w:rPr>
          <w:rFonts w:ascii="Times New Roman" w:hAnsi="Times New Roman" w:cs="Times New Roman"/>
          <w:sz w:val="24"/>
          <w:szCs w:val="24"/>
        </w:rPr>
        <w:t xml:space="preserve"> Ford Motor Company’s World Headquarters, and in the public sector as </w:t>
      </w:r>
      <w:r>
        <w:rPr>
          <w:rFonts w:ascii="Times New Roman" w:hAnsi="Times New Roman" w:cs="Times New Roman"/>
          <w:sz w:val="24"/>
          <w:szCs w:val="24"/>
        </w:rPr>
        <w:t>Director of Finance and Economic Development</w:t>
      </w:r>
      <w:r w:rsidRPr="00D5071A">
        <w:rPr>
          <w:rFonts w:ascii="Times New Roman" w:hAnsi="Times New Roman" w:cs="Times New Roman"/>
          <w:sz w:val="24"/>
          <w:szCs w:val="24"/>
        </w:rPr>
        <w:t xml:space="preserve"> for the Sault </w:t>
      </w:r>
      <w:proofErr w:type="spellStart"/>
      <w:r w:rsidRPr="00D5071A">
        <w:rPr>
          <w:rFonts w:ascii="Times New Roman" w:hAnsi="Times New Roman" w:cs="Times New Roman"/>
          <w:sz w:val="24"/>
          <w:szCs w:val="24"/>
        </w:rPr>
        <w:t>Ste.</w:t>
      </w:r>
      <w:proofErr w:type="spellEnd"/>
      <w:r w:rsidRPr="00D5071A">
        <w:rPr>
          <w:rFonts w:ascii="Times New Roman" w:hAnsi="Times New Roman" w:cs="Times New Roman"/>
          <w:sz w:val="24"/>
          <w:szCs w:val="24"/>
        </w:rPr>
        <w:t xml:space="preserve"> Marie Tribe of Chippewa Indians. He </w:t>
      </w:r>
      <w:r>
        <w:rPr>
          <w:rFonts w:ascii="Times New Roman" w:hAnsi="Times New Roman" w:cs="Times New Roman"/>
          <w:sz w:val="24"/>
          <w:szCs w:val="24"/>
        </w:rPr>
        <w:t>has also</w:t>
      </w:r>
      <w:r w:rsidRPr="00D5071A">
        <w:rPr>
          <w:rFonts w:ascii="Times New Roman" w:hAnsi="Times New Roman" w:cs="Times New Roman"/>
          <w:sz w:val="24"/>
          <w:szCs w:val="24"/>
        </w:rPr>
        <w:t xml:space="preserve"> served as a consultant for USAID and the World Bank in Poland and Ukraine. Dr. Rickards earned his Ph.D. from the University of Michigan and subsequently has taught at leading American and German universities. In recent years</w:t>
      </w:r>
      <w:r>
        <w:rPr>
          <w:rFonts w:ascii="Times New Roman" w:hAnsi="Times New Roman" w:cs="Times New Roman"/>
          <w:sz w:val="24"/>
          <w:szCs w:val="24"/>
        </w:rPr>
        <w:t>,</w:t>
      </w:r>
      <w:r w:rsidRPr="00D5071A">
        <w:rPr>
          <w:rFonts w:ascii="Times New Roman" w:hAnsi="Times New Roman" w:cs="Times New Roman"/>
          <w:sz w:val="24"/>
          <w:szCs w:val="24"/>
        </w:rPr>
        <w:t xml:space="preserve"> he has held visiting professorships in Hungary, Italy, Japan, and Poland.</w:t>
      </w:r>
    </w:p>
    <w:p w14:paraId="49926B1C" w14:textId="46E08E51" w:rsidR="009E2EBF" w:rsidRPr="00D5071A" w:rsidRDefault="009E2EBF" w:rsidP="009E2EBF">
      <w:pPr>
        <w:adjustRightInd w:val="0"/>
        <w:snapToGrid w:val="0"/>
        <w:spacing w:after="0" w:line="240" w:lineRule="atLeast"/>
        <w:jc w:val="both"/>
        <w:rPr>
          <w:rFonts w:ascii="Times New Roman" w:hAnsi="Times New Roman" w:cs="Times New Roman"/>
          <w:sz w:val="24"/>
          <w:szCs w:val="24"/>
        </w:rPr>
      </w:pPr>
      <w:r w:rsidRPr="00D5071A">
        <w:rPr>
          <w:rFonts w:ascii="Times New Roman" w:hAnsi="Times New Roman" w:cs="Times New Roman"/>
          <w:sz w:val="24"/>
          <w:szCs w:val="24"/>
        </w:rPr>
        <w:br/>
      </w:r>
      <w:r w:rsidRPr="00A04CC2">
        <w:rPr>
          <w:rFonts w:ascii="Times New Roman" w:hAnsi="Times New Roman" w:cs="Times New Roman"/>
          <w:b/>
          <w:bCs/>
          <w:sz w:val="24"/>
          <w:szCs w:val="24"/>
        </w:rPr>
        <w:t>Research Focus:</w:t>
      </w:r>
      <w:r w:rsidRPr="00D5071A">
        <w:rPr>
          <w:rFonts w:ascii="Times New Roman" w:hAnsi="Times New Roman" w:cs="Times New Roman"/>
          <w:sz w:val="24"/>
          <w:szCs w:val="24"/>
        </w:rPr>
        <w:t xml:space="preserve"> Dr. Rickards’s recent publications deal with ESG, performance information usage in public organizations, </w:t>
      </w:r>
      <w:r>
        <w:rPr>
          <w:rFonts w:ascii="Times New Roman" w:hAnsi="Times New Roman" w:cs="Times New Roman"/>
          <w:sz w:val="24"/>
          <w:szCs w:val="24"/>
        </w:rPr>
        <w:t>and the adoption of management accounting techniques</w:t>
      </w:r>
      <w:r w:rsidRPr="00D5071A">
        <w:rPr>
          <w:rFonts w:ascii="Times New Roman" w:hAnsi="Times New Roman" w:cs="Times New Roman"/>
          <w:sz w:val="24"/>
          <w:szCs w:val="24"/>
        </w:rPr>
        <w:t xml:space="preserve"> and tools in developing economies. He has authored texts on budgeting, cost accounting, and performance </w:t>
      </w:r>
      <w:r w:rsidRPr="00A8010B">
        <w:rPr>
          <w:rFonts w:ascii="Times New Roman" w:hAnsi="Times New Roman" w:cs="Times New Roman"/>
          <w:sz w:val="24"/>
          <w:szCs w:val="24"/>
        </w:rPr>
        <w:t xml:space="preserve">information, as well as </w:t>
      </w:r>
      <w:r w:rsidRPr="00D5071A">
        <w:rPr>
          <w:rFonts w:ascii="Times New Roman" w:hAnsi="Times New Roman" w:cs="Times New Roman"/>
          <w:sz w:val="24"/>
          <w:szCs w:val="24"/>
        </w:rPr>
        <w:t xml:space="preserve">books on socio-medical controlling and modernization of municipal administration; twenty government-sponsored research reports; numerous articles in scholarly journals; and contributed chapters to two dozen edited books, </w:t>
      </w:r>
      <w:r w:rsidRPr="007B4C22">
        <w:rPr>
          <w:rFonts w:ascii="Times New Roman" w:hAnsi="Times New Roman" w:cs="Times New Roman"/>
          <w:sz w:val="24"/>
          <w:szCs w:val="24"/>
        </w:rPr>
        <w:t xml:space="preserve">including </w:t>
      </w:r>
      <w:r w:rsidRPr="007B4C22">
        <w:rPr>
          <w:rFonts w:ascii="Times New Roman" w:hAnsi="Times New Roman" w:cs="Times New Roman"/>
          <w:i/>
          <w:iCs/>
          <w:sz w:val="24"/>
          <w:szCs w:val="24"/>
        </w:rPr>
        <w:t>Management Accounting in China and Southeast Asia:  Empirical Studies on Current Practices</w:t>
      </w:r>
      <w:r w:rsidRPr="007B4C22">
        <w:rPr>
          <w:rFonts w:ascii="Times New Roman" w:hAnsi="Times New Roman" w:cs="Times New Roman"/>
          <w:sz w:val="24"/>
          <w:szCs w:val="24"/>
        </w:rPr>
        <w:t xml:space="preserve">. Dr. Rickards has long emphasized the need to bridge research and practice in institutional </w:t>
      </w:r>
      <w:r w:rsidRPr="00D5071A">
        <w:rPr>
          <w:rFonts w:ascii="Times New Roman" w:hAnsi="Times New Roman" w:cs="Times New Roman"/>
          <w:sz w:val="24"/>
          <w:szCs w:val="24"/>
        </w:rPr>
        <w:t>contexts. His insights highlight how gap-driven scholarship often fails to support real-world problem-solving.</w:t>
      </w:r>
    </w:p>
    <w:p w14:paraId="1123DB48" w14:textId="77777777" w:rsidR="009E2EBF" w:rsidRPr="00A04CC2" w:rsidRDefault="009E2EBF" w:rsidP="009E2EBF">
      <w:pPr>
        <w:adjustRightInd w:val="0"/>
        <w:snapToGrid w:val="0"/>
        <w:spacing w:after="0" w:line="240" w:lineRule="atLeast"/>
        <w:rPr>
          <w:rFonts w:ascii="Times New Roman" w:hAnsi="Times New Roman" w:cs="Times New Roman"/>
          <w:b/>
          <w:bCs/>
          <w:sz w:val="24"/>
          <w:szCs w:val="24"/>
        </w:rPr>
      </w:pPr>
    </w:p>
    <w:p w14:paraId="27A00A63" w14:textId="77777777" w:rsidR="009E2EBF" w:rsidRDefault="009E2EBF" w:rsidP="009E2EBF">
      <w:pPr>
        <w:adjustRightInd w:val="0"/>
        <w:snapToGrid w:val="0"/>
        <w:spacing w:after="0" w:line="240" w:lineRule="atLeast"/>
        <w:rPr>
          <w:rFonts w:ascii="Times New Roman" w:hAnsi="Times New Roman" w:cs="Times New Roman"/>
          <w:b/>
          <w:bCs/>
          <w:sz w:val="24"/>
          <w:szCs w:val="24"/>
        </w:rPr>
      </w:pPr>
      <w:r w:rsidRPr="00A04CC2">
        <w:rPr>
          <w:rFonts w:ascii="Times New Roman" w:hAnsi="Times New Roman" w:cs="Times New Roman"/>
          <w:b/>
          <w:bCs/>
          <w:sz w:val="24"/>
          <w:szCs w:val="24"/>
        </w:rPr>
        <w:t>Panelist: Dr. Yutaka Kato</w:t>
      </w:r>
    </w:p>
    <w:p w14:paraId="6BEE5EFA" w14:textId="77777777" w:rsidR="009E2EBF" w:rsidRPr="00A04CC2" w:rsidRDefault="009E2EBF" w:rsidP="009E2EBF">
      <w:pPr>
        <w:adjustRightInd w:val="0"/>
        <w:snapToGrid w:val="0"/>
        <w:spacing w:after="0" w:line="240" w:lineRule="atLeast"/>
        <w:rPr>
          <w:rFonts w:ascii="Times New Roman" w:hAnsi="Times New Roman" w:cs="Times New Roman"/>
          <w:b/>
          <w:bCs/>
          <w:sz w:val="24"/>
          <w:szCs w:val="24"/>
        </w:rPr>
      </w:pPr>
    </w:p>
    <w:p w14:paraId="50849B6F" w14:textId="77777777" w:rsidR="009E2EBF" w:rsidRDefault="009E2EBF" w:rsidP="009E2EBF">
      <w:pPr>
        <w:adjustRightInd w:val="0"/>
        <w:snapToGrid w:val="0"/>
        <w:spacing w:after="0" w:line="240" w:lineRule="atLeast"/>
        <w:jc w:val="both"/>
        <w:rPr>
          <w:rFonts w:ascii="Times New Roman" w:hAnsi="Times New Roman" w:cs="Times New Roman"/>
          <w:sz w:val="24"/>
          <w:szCs w:val="24"/>
        </w:rPr>
      </w:pPr>
      <w:r w:rsidRPr="00A04CC2">
        <w:rPr>
          <w:rFonts w:ascii="Times New Roman" w:hAnsi="Times New Roman" w:cs="Times New Roman"/>
          <w:b/>
          <w:bCs/>
          <w:sz w:val="24"/>
          <w:szCs w:val="24"/>
        </w:rPr>
        <w:t xml:space="preserve">Affiliation and </w:t>
      </w:r>
      <w:r w:rsidRPr="007B4C22">
        <w:rPr>
          <w:rFonts w:ascii="Times New Roman" w:hAnsi="Times New Roman" w:cs="Times New Roman"/>
          <w:b/>
          <w:bCs/>
          <w:sz w:val="24"/>
          <w:szCs w:val="24"/>
        </w:rPr>
        <w:t>Profile</w:t>
      </w:r>
      <w:r w:rsidRPr="007B4C22">
        <w:rPr>
          <w:rFonts w:ascii="Times New Roman" w:hAnsi="Times New Roman" w:cs="Times New Roman"/>
          <w:sz w:val="24"/>
          <w:szCs w:val="24"/>
        </w:rPr>
        <w:t xml:space="preserve">: Professor,  Graduate School of Business, Nagoya University of Commerce and Business, Japan;  Emeritus </w:t>
      </w:r>
      <w:r w:rsidRPr="00D5071A">
        <w:rPr>
          <w:rFonts w:ascii="Times New Roman" w:hAnsi="Times New Roman" w:cs="Times New Roman"/>
          <w:sz w:val="24"/>
          <w:szCs w:val="24"/>
        </w:rPr>
        <w:t>Professor, Kobe University, Japan</w:t>
      </w:r>
    </w:p>
    <w:p w14:paraId="41BB3867" w14:textId="32BE7B15" w:rsidR="009E2EBF" w:rsidRPr="00D5071A" w:rsidRDefault="009E2EBF" w:rsidP="009E2EBF">
      <w:pPr>
        <w:adjustRightInd w:val="0"/>
        <w:snapToGrid w:val="0"/>
        <w:spacing w:after="0" w:line="240" w:lineRule="atLeast"/>
        <w:jc w:val="both"/>
        <w:rPr>
          <w:rFonts w:ascii="Times New Roman" w:hAnsi="Times New Roman" w:cs="Times New Roman"/>
          <w:sz w:val="24"/>
          <w:szCs w:val="24"/>
        </w:rPr>
      </w:pPr>
      <w:r w:rsidRPr="00D5071A">
        <w:rPr>
          <w:rFonts w:ascii="Times New Roman" w:hAnsi="Times New Roman" w:cs="Times New Roman"/>
          <w:sz w:val="24"/>
          <w:szCs w:val="24"/>
        </w:rPr>
        <w:lastRenderedPageBreak/>
        <w:br/>
      </w:r>
      <w:r w:rsidRPr="00A04CC2">
        <w:rPr>
          <w:rFonts w:ascii="Times New Roman" w:hAnsi="Times New Roman" w:cs="Times New Roman"/>
          <w:b/>
          <w:bCs/>
          <w:sz w:val="24"/>
          <w:szCs w:val="24"/>
        </w:rPr>
        <w:t>Research Focus:</w:t>
      </w:r>
      <w:r w:rsidRPr="00D5071A">
        <w:rPr>
          <w:rFonts w:ascii="Times New Roman" w:hAnsi="Times New Roman" w:cs="Times New Roman"/>
          <w:sz w:val="24"/>
          <w:szCs w:val="24"/>
        </w:rPr>
        <w:t xml:space="preserve"> Management accounting, with a particular emphasis on integrating accounting practices into business systems to inform long-term profitability and corporate performance. His research exemplifies relevance-driven inquiry. He has conducted management accounting research on target costing, JIT production systems, and total quality management. His current research interests include management accounting education and collaboration between researchers and business people.</w:t>
      </w:r>
    </w:p>
    <w:p w14:paraId="466FA959" w14:textId="77777777" w:rsidR="009E2EBF" w:rsidRPr="00D5071A" w:rsidRDefault="009E2EBF" w:rsidP="009E2EBF">
      <w:pPr>
        <w:adjustRightInd w:val="0"/>
        <w:snapToGrid w:val="0"/>
        <w:spacing w:after="0" w:line="240" w:lineRule="atLeast"/>
        <w:rPr>
          <w:rFonts w:ascii="Times New Roman" w:hAnsi="Times New Roman" w:cs="Times New Roman"/>
          <w:sz w:val="24"/>
          <w:szCs w:val="24"/>
        </w:rPr>
      </w:pPr>
    </w:p>
    <w:p w14:paraId="44C0A4AE" w14:textId="77777777" w:rsidR="009E2EBF" w:rsidRDefault="009E2EBF" w:rsidP="009E2EBF">
      <w:pPr>
        <w:adjustRightInd w:val="0"/>
        <w:snapToGrid w:val="0"/>
        <w:spacing w:after="0" w:line="240" w:lineRule="atLeast"/>
        <w:rPr>
          <w:rFonts w:ascii="Times New Roman" w:hAnsi="Times New Roman" w:cs="Times New Roman"/>
          <w:b/>
          <w:bCs/>
          <w:sz w:val="24"/>
          <w:szCs w:val="24"/>
        </w:rPr>
      </w:pPr>
      <w:r w:rsidRPr="00A04CC2">
        <w:rPr>
          <w:rFonts w:ascii="Times New Roman" w:hAnsi="Times New Roman" w:cs="Times New Roman"/>
          <w:b/>
          <w:bCs/>
          <w:sz w:val="24"/>
          <w:szCs w:val="24"/>
        </w:rPr>
        <w:t xml:space="preserve">Session Coordinator: Dr. Susumu Ueno </w:t>
      </w:r>
    </w:p>
    <w:p w14:paraId="706B6AAB" w14:textId="77777777" w:rsidR="009E2EBF" w:rsidRPr="00A04CC2" w:rsidRDefault="009E2EBF" w:rsidP="009E2EBF">
      <w:pPr>
        <w:adjustRightInd w:val="0"/>
        <w:snapToGrid w:val="0"/>
        <w:spacing w:after="0" w:line="240" w:lineRule="atLeast"/>
        <w:rPr>
          <w:rFonts w:ascii="Times New Roman" w:hAnsi="Times New Roman" w:cs="Times New Roman"/>
          <w:b/>
          <w:bCs/>
          <w:sz w:val="24"/>
          <w:szCs w:val="24"/>
        </w:rPr>
      </w:pPr>
    </w:p>
    <w:p w14:paraId="7FE2CA87" w14:textId="77777777" w:rsidR="009E2EBF" w:rsidRDefault="009E2EBF" w:rsidP="009E2EBF">
      <w:pPr>
        <w:adjustRightInd w:val="0"/>
        <w:snapToGrid w:val="0"/>
        <w:spacing w:after="0" w:line="240" w:lineRule="atLeast"/>
        <w:jc w:val="both"/>
        <w:rPr>
          <w:rFonts w:ascii="Times New Roman" w:hAnsi="Times New Roman" w:cs="Times New Roman"/>
          <w:sz w:val="24"/>
          <w:szCs w:val="24"/>
        </w:rPr>
      </w:pPr>
      <w:r w:rsidRPr="00A04CC2">
        <w:rPr>
          <w:rFonts w:ascii="Times New Roman" w:hAnsi="Times New Roman" w:cs="Times New Roman"/>
          <w:b/>
          <w:bCs/>
          <w:sz w:val="24"/>
          <w:szCs w:val="24"/>
        </w:rPr>
        <w:t>Affiliation and Profile:</w:t>
      </w:r>
      <w:r w:rsidRPr="00D5071A">
        <w:rPr>
          <w:rFonts w:ascii="Times New Roman" w:hAnsi="Times New Roman" w:cs="Times New Roman"/>
          <w:sz w:val="24"/>
          <w:szCs w:val="24"/>
        </w:rPr>
        <w:t xml:space="preserve"> Professor Emeritus at Konan University, Japan, and Chairperson of the Asia-Pacific Management Accounting Association (APMAA). He served as the  Editor-in-Chief of The Journal of Management Accounting, Japan (2014–2017). </w:t>
      </w:r>
    </w:p>
    <w:p w14:paraId="2D7A8FE3" w14:textId="21A2DC1B" w:rsidR="009E2EBF" w:rsidRPr="00D5071A" w:rsidRDefault="009E2EBF" w:rsidP="009E2EBF">
      <w:pPr>
        <w:adjustRightInd w:val="0"/>
        <w:snapToGrid w:val="0"/>
        <w:spacing w:after="0" w:line="240" w:lineRule="atLeast"/>
        <w:jc w:val="both"/>
        <w:rPr>
          <w:rFonts w:ascii="Times New Roman" w:hAnsi="Times New Roman" w:cs="Times New Roman"/>
          <w:sz w:val="24"/>
          <w:szCs w:val="24"/>
        </w:rPr>
      </w:pPr>
      <w:r w:rsidRPr="00D5071A">
        <w:rPr>
          <w:rFonts w:ascii="Times New Roman" w:hAnsi="Times New Roman" w:cs="Times New Roman"/>
          <w:sz w:val="24"/>
          <w:szCs w:val="24"/>
        </w:rPr>
        <w:br/>
      </w:r>
      <w:r w:rsidRPr="00A04CC2">
        <w:rPr>
          <w:rFonts w:ascii="Times New Roman" w:hAnsi="Times New Roman" w:cs="Times New Roman"/>
          <w:b/>
          <w:bCs/>
          <w:sz w:val="24"/>
          <w:szCs w:val="24"/>
        </w:rPr>
        <w:t>Research Focus:</w:t>
      </w:r>
      <w:r w:rsidRPr="00D5071A">
        <w:rPr>
          <w:rFonts w:ascii="Times New Roman" w:hAnsi="Times New Roman" w:cs="Times New Roman"/>
          <w:sz w:val="24"/>
          <w:szCs w:val="24"/>
        </w:rPr>
        <w:t xml:space="preserve"> Dr. Ueno’s research focuses on cross-cultural management and cost accounting, with a particular emphasis on comparing Japan and the U.S. He has authored, edited, and translated numerous works, including Budget Control Practices among U.S. and Japanese Companies: A Cross-</w:t>
      </w:r>
      <w:r w:rsidRPr="007B4C22">
        <w:rPr>
          <w:rFonts w:ascii="Times New Roman" w:hAnsi="Times New Roman" w:cs="Times New Roman"/>
          <w:sz w:val="24"/>
          <w:szCs w:val="24"/>
        </w:rPr>
        <w:t xml:space="preserve">Cultural Approach,  the </w:t>
      </w:r>
      <w:r w:rsidRPr="00D5071A">
        <w:rPr>
          <w:rFonts w:ascii="Times New Roman" w:hAnsi="Times New Roman" w:cs="Times New Roman"/>
          <w:sz w:val="24"/>
          <w:szCs w:val="24"/>
        </w:rPr>
        <w:t xml:space="preserve">Japanese textbook </w:t>
      </w:r>
      <w:r w:rsidRPr="007B4C22">
        <w:rPr>
          <w:rFonts w:ascii="Times New Roman" w:hAnsi="Times New Roman" w:cs="Times New Roman"/>
          <w:i/>
          <w:iCs/>
          <w:sz w:val="24"/>
          <w:szCs w:val="24"/>
        </w:rPr>
        <w:t>Management Accounting: The Quest for Value</w:t>
      </w:r>
      <w:r w:rsidRPr="00D5071A">
        <w:rPr>
          <w:rFonts w:ascii="Times New Roman" w:hAnsi="Times New Roman" w:cs="Times New Roman"/>
          <w:sz w:val="24"/>
          <w:szCs w:val="24"/>
        </w:rPr>
        <w:t xml:space="preserve">, and contributed to volumes such as </w:t>
      </w:r>
      <w:r w:rsidRPr="007B4C22">
        <w:rPr>
          <w:rFonts w:ascii="Times New Roman" w:hAnsi="Times New Roman" w:cs="Times New Roman"/>
          <w:i/>
          <w:iCs/>
          <w:sz w:val="24"/>
          <w:szCs w:val="24"/>
        </w:rPr>
        <w:t>Japanese Cost Management</w:t>
      </w:r>
      <w:r w:rsidRPr="00D5071A">
        <w:rPr>
          <w:rFonts w:ascii="Times New Roman" w:hAnsi="Times New Roman" w:cs="Times New Roman"/>
          <w:sz w:val="24"/>
          <w:szCs w:val="24"/>
        </w:rPr>
        <w:t xml:space="preserve"> and </w:t>
      </w:r>
      <w:r w:rsidRPr="007B4C22">
        <w:rPr>
          <w:rFonts w:ascii="Times New Roman" w:hAnsi="Times New Roman" w:cs="Times New Roman"/>
          <w:i/>
          <w:iCs/>
          <w:sz w:val="24"/>
          <w:szCs w:val="24"/>
        </w:rPr>
        <w:t>The Routledge Handbook of Accounting in Asia</w:t>
      </w:r>
      <w:r w:rsidRPr="00D5071A">
        <w:rPr>
          <w:rFonts w:ascii="Times New Roman" w:hAnsi="Times New Roman" w:cs="Times New Roman"/>
          <w:sz w:val="24"/>
          <w:szCs w:val="24"/>
        </w:rPr>
        <w:t>. His articles appear in leading journals, and as a frequent lecturer, he offers insights on both traditional Japanese practices and contemporary issues like globalization and IT in management accounting.</w:t>
      </w:r>
    </w:p>
    <w:p w14:paraId="1456404B" w14:textId="77777777" w:rsidR="00FC7CAE" w:rsidRDefault="00FC7CAE" w:rsidP="00D01771"/>
    <w:p w14:paraId="5B31BF0E" w14:textId="77777777" w:rsidR="009E2EBF" w:rsidRDefault="009E2EBF" w:rsidP="00D01771"/>
    <w:p w14:paraId="007BEA28" w14:textId="77777777" w:rsidR="009E2EBF" w:rsidRDefault="009E2EBF" w:rsidP="00D01771"/>
    <w:p w14:paraId="2E2C8774" w14:textId="77777777" w:rsidR="009E2EBF" w:rsidRDefault="009E2EBF" w:rsidP="00D01771"/>
    <w:p w14:paraId="24F834FF" w14:textId="77777777" w:rsidR="009E2EBF" w:rsidRDefault="009E2EBF" w:rsidP="00D01771"/>
    <w:p w14:paraId="64B5E167" w14:textId="77777777" w:rsidR="009E2EBF" w:rsidRDefault="009E2EBF" w:rsidP="00D01771"/>
    <w:p w14:paraId="2ED17DA3" w14:textId="77777777" w:rsidR="009E2EBF" w:rsidRDefault="009E2EBF" w:rsidP="00D01771"/>
    <w:p w14:paraId="38CA9616" w14:textId="77777777" w:rsidR="009E2EBF" w:rsidRDefault="009E2EBF" w:rsidP="00D01771"/>
    <w:p w14:paraId="1E43B492" w14:textId="77777777" w:rsidR="009E2EBF" w:rsidRDefault="009E2EBF" w:rsidP="00D01771"/>
    <w:p w14:paraId="34CC4A67" w14:textId="77777777" w:rsidR="009E2EBF" w:rsidRDefault="009E2EBF" w:rsidP="00D01771"/>
    <w:p w14:paraId="3315C7D0" w14:textId="77777777" w:rsidR="009E2EBF" w:rsidRDefault="009E2EBF" w:rsidP="00D01771"/>
    <w:p w14:paraId="51F31C63" w14:textId="77777777" w:rsidR="009E2EBF" w:rsidRDefault="009E2EBF" w:rsidP="00D01771"/>
    <w:p w14:paraId="1E9D1EB2" w14:textId="77777777" w:rsidR="009E2EBF" w:rsidRDefault="009E2EBF" w:rsidP="00D01771"/>
    <w:p w14:paraId="66EC3F4A" w14:textId="77777777" w:rsidR="009E2EBF" w:rsidRDefault="009E2EBF" w:rsidP="00D01771"/>
    <w:p w14:paraId="42954341" w14:textId="3AB298F4" w:rsidR="007373F6" w:rsidRDefault="00000000">
      <w:pPr>
        <w:pStyle w:val="Heading1"/>
      </w:pPr>
      <w:bookmarkStart w:id="36" w:name="_Toc211808131"/>
      <w:r>
        <w:lastRenderedPageBreak/>
        <w:t>ACADEMIC PAPER SESSIONS’ FULL-</w:t>
      </w:r>
      <w:r w:rsidR="00896211">
        <w:t>LENGTH PAPERS</w:t>
      </w:r>
      <w:r>
        <w:t xml:space="preserve"> AND EXECUTIVE SUMMARIES</w:t>
      </w:r>
      <w:bookmarkEnd w:id="36"/>
    </w:p>
    <w:p w14:paraId="4226982B" w14:textId="77777777" w:rsidR="007373F6" w:rsidRDefault="00000000">
      <w:pPr>
        <w:pStyle w:val="Heading1"/>
      </w:pPr>
      <w:bookmarkStart w:id="37" w:name="_heading=h.n2vbefyl4b9u" w:colFirst="0" w:colLast="0"/>
      <w:bookmarkStart w:id="38" w:name="_Toc211808132"/>
      <w:bookmarkEnd w:id="37"/>
      <w:r>
        <w:t>Paper ID 1</w:t>
      </w:r>
      <w:bookmarkEnd w:id="38"/>
      <w:r>
        <w:t xml:space="preserve"> </w:t>
      </w:r>
    </w:p>
    <w:p w14:paraId="5DA88029" w14:textId="77777777" w:rsidR="007373F6" w:rsidRDefault="00000000">
      <w:pPr>
        <w:pStyle w:val="Heading2"/>
      </w:pPr>
      <w:bookmarkStart w:id="39" w:name="_Toc211808133"/>
      <w:r>
        <w:t>THE ROLE OF STRATEGIC MANAGEMENT ACCOUNTING IN MSME BUSINESS DECISION MAKING: A STUDY IN EAST JAVA, INDONESIA</w:t>
      </w:r>
      <w:bookmarkEnd w:id="39"/>
    </w:p>
    <w:p w14:paraId="3C6DF153" w14:textId="77777777" w:rsidR="005C2D72" w:rsidRPr="00CA3E0F" w:rsidRDefault="005C2D72" w:rsidP="005C2D72">
      <w:pPr>
        <w:shd w:val="clear" w:color="auto" w:fill="FFFFFF"/>
        <w:spacing w:after="0" w:line="240" w:lineRule="auto"/>
        <w:jc w:val="center"/>
        <w:rPr>
          <w:rFonts w:ascii="Times New Roman" w:eastAsia="Times New Roman" w:hAnsi="Times New Roman" w:cs="Times New Roman"/>
          <w:sz w:val="24"/>
          <w:szCs w:val="24"/>
        </w:rPr>
      </w:pPr>
      <w:r w:rsidRPr="00CA3E0F">
        <w:rPr>
          <w:rFonts w:ascii="Times New Roman" w:eastAsia="Times New Roman" w:hAnsi="Times New Roman" w:cs="Times New Roman"/>
          <w:b/>
          <w:sz w:val="24"/>
          <w:szCs w:val="24"/>
        </w:rPr>
        <w:t>Moh. Halim</w:t>
      </w:r>
      <w:r w:rsidRPr="00CA3E0F">
        <w:rPr>
          <w:rFonts w:ascii="Times New Roman" w:eastAsia="Times New Roman" w:hAnsi="Times New Roman" w:cs="Times New Roman"/>
          <w:b/>
          <w:sz w:val="24"/>
          <w:szCs w:val="24"/>
          <w:vertAlign w:val="superscript"/>
        </w:rPr>
        <w:t>*</w:t>
      </w:r>
      <w:r w:rsidRPr="00CA3E0F">
        <w:rPr>
          <w:rFonts w:ascii="Times New Roman" w:eastAsia="Times New Roman" w:hAnsi="Times New Roman" w:cs="Times New Roman"/>
          <w:b/>
          <w:sz w:val="24"/>
          <w:szCs w:val="24"/>
        </w:rPr>
        <w:t xml:space="preserve">, </w:t>
      </w:r>
      <w:r w:rsidRPr="00CA3E0F">
        <w:rPr>
          <w:rFonts w:ascii="Times New Roman" w:eastAsia="Times New Roman" w:hAnsi="Times New Roman" w:cs="Times New Roman"/>
          <w:sz w:val="24"/>
          <w:szCs w:val="24"/>
        </w:rPr>
        <w:t>Department of Accounting, Faculty of Economics and Business, Universitas Muhammadiyah Jember, East Java, Indonesia</w:t>
      </w:r>
      <w:r w:rsidRPr="00CA3E0F">
        <w:rPr>
          <w:rFonts w:ascii="Times New Roman" w:eastAsia="Times New Roman" w:hAnsi="Times New Roman" w:cs="Times New Roman"/>
          <w:b/>
          <w:sz w:val="24"/>
          <w:szCs w:val="24"/>
        </w:rPr>
        <w:t xml:space="preserve"> </w:t>
      </w:r>
      <w:r w:rsidRPr="00CA3E0F">
        <w:rPr>
          <w:rFonts w:ascii="Times New Roman" w:eastAsia="Times New Roman" w:hAnsi="Times New Roman" w:cs="Times New Roman"/>
          <w:sz w:val="24"/>
          <w:szCs w:val="24"/>
        </w:rPr>
        <w:t>(</w:t>
      </w:r>
      <w:hyperlink r:id="rId31">
        <w:r w:rsidRPr="00CA3E0F">
          <w:rPr>
            <w:rFonts w:ascii="Times New Roman" w:eastAsia="Times New Roman" w:hAnsi="Times New Roman" w:cs="Times New Roman"/>
            <w:sz w:val="24"/>
            <w:szCs w:val="24"/>
          </w:rPr>
          <w:t>halim@unmuhjember.ac.id</w:t>
        </w:r>
      </w:hyperlink>
      <w:r w:rsidRPr="00CA3E0F">
        <w:rPr>
          <w:rFonts w:ascii="Times New Roman" w:eastAsia="Times New Roman" w:hAnsi="Times New Roman" w:cs="Times New Roman"/>
          <w:sz w:val="24"/>
          <w:szCs w:val="24"/>
        </w:rPr>
        <w:t>)</w:t>
      </w:r>
    </w:p>
    <w:p w14:paraId="60CFC5DE" w14:textId="77777777" w:rsidR="005C2D72" w:rsidRPr="00CA3E0F" w:rsidRDefault="005C2D72" w:rsidP="005C2D72">
      <w:pPr>
        <w:shd w:val="clear" w:color="auto" w:fill="FFFFFF"/>
        <w:spacing w:after="0" w:line="240" w:lineRule="auto"/>
        <w:jc w:val="center"/>
        <w:rPr>
          <w:rFonts w:ascii="Times New Roman" w:eastAsia="Times New Roman" w:hAnsi="Times New Roman" w:cs="Times New Roman"/>
          <w:b/>
          <w:sz w:val="24"/>
          <w:szCs w:val="24"/>
        </w:rPr>
      </w:pPr>
    </w:p>
    <w:p w14:paraId="1DE6CD89" w14:textId="77777777" w:rsidR="005C2D72" w:rsidRPr="00CA3E0F" w:rsidRDefault="005C2D72" w:rsidP="005C2D72">
      <w:pPr>
        <w:shd w:val="clear" w:color="auto" w:fill="FFFFFF"/>
        <w:spacing w:after="0" w:line="240" w:lineRule="auto"/>
        <w:jc w:val="center"/>
        <w:rPr>
          <w:rFonts w:ascii="Times New Roman" w:eastAsia="Times New Roman" w:hAnsi="Times New Roman" w:cs="Times New Roman"/>
          <w:sz w:val="24"/>
          <w:szCs w:val="24"/>
        </w:rPr>
      </w:pPr>
      <w:proofErr w:type="spellStart"/>
      <w:r w:rsidRPr="00CA3E0F">
        <w:rPr>
          <w:rFonts w:ascii="Times New Roman" w:eastAsia="Times New Roman" w:hAnsi="Times New Roman" w:cs="Times New Roman"/>
          <w:b/>
          <w:sz w:val="24"/>
          <w:szCs w:val="24"/>
        </w:rPr>
        <w:t>Grahita</w:t>
      </w:r>
      <w:proofErr w:type="spellEnd"/>
      <w:r w:rsidRPr="00CA3E0F">
        <w:rPr>
          <w:rFonts w:ascii="Times New Roman" w:eastAsia="Times New Roman" w:hAnsi="Times New Roman" w:cs="Times New Roman"/>
          <w:b/>
          <w:sz w:val="24"/>
          <w:szCs w:val="24"/>
        </w:rPr>
        <w:t xml:space="preserve"> Candrarin, </w:t>
      </w:r>
      <w:r w:rsidRPr="00CA3E0F">
        <w:rPr>
          <w:rFonts w:ascii="Times New Roman" w:eastAsia="Times New Roman" w:hAnsi="Times New Roman" w:cs="Times New Roman"/>
          <w:bCs/>
          <w:sz w:val="24"/>
          <w:szCs w:val="24"/>
        </w:rPr>
        <w:t>University of Merdeka Malang, Indonesia</w:t>
      </w:r>
      <w:r w:rsidRPr="00CA3E0F">
        <w:rPr>
          <w:rFonts w:ascii="Times New Roman" w:eastAsia="Times New Roman" w:hAnsi="Times New Roman" w:cs="Times New Roman"/>
          <w:sz w:val="24"/>
          <w:szCs w:val="24"/>
        </w:rPr>
        <w:t xml:space="preserve"> (</w:t>
      </w:r>
      <w:hyperlink r:id="rId32">
        <w:r w:rsidRPr="00CA3E0F">
          <w:rPr>
            <w:rFonts w:ascii="Times New Roman" w:eastAsia="Times New Roman" w:hAnsi="Times New Roman" w:cs="Times New Roman"/>
            <w:sz w:val="24"/>
            <w:szCs w:val="24"/>
          </w:rPr>
          <w:t>grahitac@unmer.ac.id</w:t>
        </w:r>
      </w:hyperlink>
      <w:r w:rsidRPr="00CA3E0F">
        <w:rPr>
          <w:rFonts w:ascii="Times New Roman" w:eastAsia="Times New Roman" w:hAnsi="Times New Roman" w:cs="Times New Roman"/>
          <w:sz w:val="24"/>
          <w:szCs w:val="24"/>
        </w:rPr>
        <w:t>)</w:t>
      </w:r>
    </w:p>
    <w:p w14:paraId="3A67CC39" w14:textId="77777777" w:rsidR="005C2D72" w:rsidRPr="00CA3E0F" w:rsidRDefault="005C2D72" w:rsidP="005C2D72">
      <w:pPr>
        <w:shd w:val="clear" w:color="auto" w:fill="FFFFFF"/>
        <w:spacing w:after="0" w:line="240" w:lineRule="auto"/>
        <w:jc w:val="center"/>
        <w:rPr>
          <w:rFonts w:ascii="Times New Roman" w:eastAsia="Times New Roman" w:hAnsi="Times New Roman" w:cs="Times New Roman"/>
          <w:b/>
          <w:sz w:val="24"/>
          <w:szCs w:val="24"/>
        </w:rPr>
      </w:pPr>
    </w:p>
    <w:p w14:paraId="3B127D2D" w14:textId="77777777" w:rsidR="005C2D72" w:rsidRPr="00CA3E0F" w:rsidRDefault="005C2D72" w:rsidP="005C2D72">
      <w:pPr>
        <w:shd w:val="clear" w:color="auto" w:fill="FFFFFF"/>
        <w:spacing w:after="0" w:line="240" w:lineRule="auto"/>
        <w:jc w:val="center"/>
        <w:rPr>
          <w:rFonts w:ascii="Times New Roman" w:eastAsia="Times New Roman" w:hAnsi="Times New Roman" w:cs="Times New Roman"/>
          <w:sz w:val="24"/>
          <w:szCs w:val="24"/>
        </w:rPr>
      </w:pPr>
      <w:r w:rsidRPr="00CA3E0F">
        <w:rPr>
          <w:rFonts w:ascii="Times New Roman" w:eastAsia="Times New Roman" w:hAnsi="Times New Roman" w:cs="Times New Roman"/>
          <w:b/>
          <w:sz w:val="24"/>
          <w:szCs w:val="24"/>
        </w:rPr>
        <w:t xml:space="preserve">Maxian Sumtaky, </w:t>
      </w:r>
      <w:r w:rsidRPr="00CA3E0F">
        <w:rPr>
          <w:rFonts w:ascii="Times New Roman" w:eastAsia="Times New Roman" w:hAnsi="Times New Roman" w:cs="Times New Roman"/>
          <w:bCs/>
          <w:sz w:val="24"/>
          <w:szCs w:val="24"/>
        </w:rPr>
        <w:t xml:space="preserve">University of Merdeka Malang, Indonesia </w:t>
      </w:r>
      <w:r w:rsidRPr="00CA3E0F">
        <w:rPr>
          <w:rFonts w:ascii="Times New Roman" w:eastAsia="Times New Roman" w:hAnsi="Times New Roman" w:cs="Times New Roman"/>
          <w:sz w:val="24"/>
          <w:szCs w:val="24"/>
        </w:rPr>
        <w:t>(</w:t>
      </w:r>
      <w:hyperlink r:id="rId33">
        <w:r w:rsidRPr="00CA3E0F">
          <w:rPr>
            <w:rFonts w:ascii="Times New Roman" w:eastAsia="Times New Roman" w:hAnsi="Times New Roman" w:cs="Times New Roman"/>
            <w:sz w:val="24"/>
            <w:szCs w:val="24"/>
          </w:rPr>
          <w:t>sumtaky958@gmail.com</w:t>
        </w:r>
      </w:hyperlink>
      <w:r w:rsidRPr="00CA3E0F">
        <w:rPr>
          <w:rFonts w:ascii="Times New Roman" w:eastAsia="Times New Roman" w:hAnsi="Times New Roman" w:cs="Times New Roman"/>
          <w:sz w:val="24"/>
          <w:szCs w:val="24"/>
        </w:rPr>
        <w:t>)</w:t>
      </w:r>
    </w:p>
    <w:p w14:paraId="4F58F25A" w14:textId="77777777" w:rsidR="005C2D72" w:rsidRPr="00CA3E0F" w:rsidRDefault="005C2D72" w:rsidP="005C2D72">
      <w:pPr>
        <w:shd w:val="clear" w:color="auto" w:fill="FFFFFF"/>
        <w:spacing w:after="0" w:line="240" w:lineRule="auto"/>
        <w:jc w:val="center"/>
        <w:rPr>
          <w:rFonts w:ascii="Times New Roman" w:eastAsia="Times New Roman" w:hAnsi="Times New Roman" w:cs="Times New Roman"/>
          <w:b/>
          <w:sz w:val="24"/>
          <w:szCs w:val="24"/>
        </w:rPr>
      </w:pPr>
    </w:p>
    <w:p w14:paraId="225639B8" w14:textId="4B511E4D" w:rsidR="005C2D72" w:rsidRPr="00CA3E0F" w:rsidRDefault="00C40407" w:rsidP="005C2D72">
      <w:pPr>
        <w:shd w:val="clear" w:color="auto" w:fill="FFFFFF"/>
        <w:spacing w:after="0" w:line="240" w:lineRule="auto"/>
        <w:jc w:val="center"/>
        <w:rPr>
          <w:rFonts w:ascii="Times New Roman" w:eastAsia="Times New Roman" w:hAnsi="Times New Roman" w:cs="Times New Roman"/>
          <w:sz w:val="24"/>
          <w:szCs w:val="24"/>
        </w:rPr>
      </w:pPr>
      <w:r w:rsidRPr="00CA3E0F">
        <w:rPr>
          <w:rFonts w:ascii="Times New Roman" w:eastAsia="Times New Roman" w:hAnsi="Times New Roman" w:cs="Times New Roman"/>
          <w:b/>
          <w:sz w:val="24"/>
          <w:szCs w:val="24"/>
        </w:rPr>
        <w:t xml:space="preserve">Roro </w:t>
      </w:r>
      <w:r w:rsidR="005C2D72" w:rsidRPr="00CA3E0F">
        <w:rPr>
          <w:rFonts w:ascii="Times New Roman" w:eastAsia="Times New Roman" w:hAnsi="Times New Roman" w:cs="Times New Roman"/>
          <w:b/>
          <w:sz w:val="24"/>
          <w:szCs w:val="24"/>
        </w:rPr>
        <w:t xml:space="preserve">Bella Ayu Wandani Prasetio Putri, </w:t>
      </w:r>
      <w:r w:rsidR="005C2D72" w:rsidRPr="00CA3E0F">
        <w:rPr>
          <w:rFonts w:ascii="Times New Roman" w:eastAsia="Times New Roman" w:hAnsi="Times New Roman" w:cs="Times New Roman"/>
          <w:sz w:val="24"/>
          <w:szCs w:val="24"/>
        </w:rPr>
        <w:t>University of Merdeka Malang, Indonesia (</w:t>
      </w:r>
      <w:hyperlink r:id="rId34">
        <w:r w:rsidR="005C2D72" w:rsidRPr="00CA3E0F">
          <w:rPr>
            <w:rFonts w:ascii="Times New Roman" w:eastAsia="Times New Roman" w:hAnsi="Times New Roman" w:cs="Times New Roman"/>
            <w:sz w:val="24"/>
            <w:szCs w:val="24"/>
          </w:rPr>
          <w:t>sumtaky958@gmail.com</w:t>
        </w:r>
      </w:hyperlink>
      <w:r w:rsidR="005C2D72" w:rsidRPr="00CA3E0F">
        <w:rPr>
          <w:rFonts w:ascii="Times New Roman" w:eastAsia="Times New Roman" w:hAnsi="Times New Roman" w:cs="Times New Roman"/>
          <w:sz w:val="24"/>
          <w:szCs w:val="24"/>
        </w:rPr>
        <w:t>)</w:t>
      </w:r>
    </w:p>
    <w:p w14:paraId="68D4B81F" w14:textId="77777777" w:rsidR="007373F6" w:rsidRDefault="007373F6" w:rsidP="005C2D72"/>
    <w:p w14:paraId="43A86736" w14:textId="77777777" w:rsidR="007373F6" w:rsidRPr="005C2D72" w:rsidRDefault="00000000">
      <w:pPr>
        <w:jc w:val="center"/>
        <w:rPr>
          <w:rFonts w:ascii="Times New Roman" w:hAnsi="Times New Roman" w:cs="Times New Roman"/>
          <w:b/>
        </w:rPr>
      </w:pPr>
      <w:r w:rsidRPr="005C2D72">
        <w:rPr>
          <w:rFonts w:ascii="Times New Roman" w:hAnsi="Times New Roman" w:cs="Times New Roman"/>
          <w:b/>
        </w:rPr>
        <w:t>ABSTRACT</w:t>
      </w:r>
    </w:p>
    <w:p w14:paraId="2E8C5650" w14:textId="77777777" w:rsidR="007373F6" w:rsidRDefault="00000000">
      <w:pPr>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The objective of this study is to examine the impact of strategic management accounting techniques on MSME business decision-making in East Java, Indonesia. The specific techniques to be </w:t>
      </w:r>
      <w:proofErr w:type="spellStart"/>
      <w:r>
        <w:rPr>
          <w:rFonts w:ascii="Times New Roman" w:eastAsia="Times New Roman" w:hAnsi="Times New Roman" w:cs="Times New Roman"/>
          <w:color w:val="000000"/>
          <w:sz w:val="24"/>
          <w:szCs w:val="24"/>
          <w:highlight w:val="white"/>
        </w:rPr>
        <w:t>analyzed</w:t>
      </w:r>
      <w:proofErr w:type="spellEnd"/>
      <w:r>
        <w:rPr>
          <w:rFonts w:ascii="Times New Roman" w:eastAsia="Times New Roman" w:hAnsi="Times New Roman" w:cs="Times New Roman"/>
          <w:color w:val="000000"/>
          <w:sz w:val="24"/>
          <w:szCs w:val="24"/>
          <w:highlight w:val="white"/>
        </w:rPr>
        <w:t xml:space="preserve"> include costing, planning, control and performance measurement, strategic decision-making, competitor accounting, and customer accounting. This study uses a descriptive quantitative approach with a sample of 366 MSME actors/owners who have been operating for at least 1 year in East Java. Data were collected through questionnaires (January–April 2025) and </w:t>
      </w:r>
      <w:proofErr w:type="spellStart"/>
      <w:r>
        <w:rPr>
          <w:rFonts w:ascii="Times New Roman" w:eastAsia="Times New Roman" w:hAnsi="Times New Roman" w:cs="Times New Roman"/>
          <w:color w:val="000000"/>
          <w:sz w:val="24"/>
          <w:szCs w:val="24"/>
          <w:highlight w:val="white"/>
        </w:rPr>
        <w:t>analyzed</w:t>
      </w:r>
      <w:proofErr w:type="spellEnd"/>
      <w:r>
        <w:rPr>
          <w:rFonts w:ascii="Times New Roman" w:eastAsia="Times New Roman" w:hAnsi="Times New Roman" w:cs="Times New Roman"/>
          <w:color w:val="000000"/>
          <w:sz w:val="24"/>
          <w:szCs w:val="24"/>
          <w:highlight w:val="white"/>
        </w:rPr>
        <w:t xml:space="preserve"> using multiple linear regression. The findings of the study suggest that four variables exert a substantial influence: costing; planning, control, and performance measurement; competitor accounting; and customer accounting. Nevertheless, strategic decision-making is not a salient factor. The regression model has high predictive power (R²=0.960), explaining 96% of the variation in business decisions. The contribution of this study fills the research gap by mapping the relative influence of strategic management accounting techniques on MSMEs, which were previously mostly studied in large companies. The study also validates the inconsistency of findings related to customer accounting and integrates external variables (competitor &amp; customer accounting) with internal ones in a comprehensive model. The novelty of the study lies in the combination of strategic decision-making with external variables in one model framework for the context of Indonesian MSMEs, which has never been done before. These findings provide practical recommendations for MSMEs and the government to improve the quality of business decisions through optimizing strategic management accounting techniques.</w:t>
      </w:r>
    </w:p>
    <w:p w14:paraId="58D810C7" w14:textId="77777777" w:rsidR="007373F6" w:rsidRDefault="007373F6">
      <w:pPr>
        <w:jc w:val="both"/>
        <w:rPr>
          <w:rFonts w:ascii="Times New Roman" w:eastAsia="Times New Roman" w:hAnsi="Times New Roman" w:cs="Times New Roman"/>
          <w:b/>
          <w:i/>
          <w:sz w:val="24"/>
          <w:szCs w:val="24"/>
          <w:highlight w:val="white"/>
        </w:rPr>
      </w:pPr>
    </w:p>
    <w:p w14:paraId="74089AB3" w14:textId="77777777" w:rsidR="007373F6" w:rsidRDefault="00000000">
      <w:pPr>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b/>
          <w:i/>
          <w:color w:val="000000"/>
          <w:sz w:val="24"/>
          <w:szCs w:val="24"/>
          <w:highlight w:val="white"/>
        </w:rPr>
        <w:t xml:space="preserve">Keywords: </w:t>
      </w:r>
      <w:r>
        <w:rPr>
          <w:rFonts w:ascii="Times New Roman" w:eastAsia="Times New Roman" w:hAnsi="Times New Roman" w:cs="Times New Roman"/>
          <w:i/>
          <w:color w:val="000000"/>
          <w:sz w:val="24"/>
          <w:szCs w:val="24"/>
          <w:highlight w:val="white"/>
        </w:rPr>
        <w:t xml:space="preserve">Strategic Management Accounting, Competitor &amp; Customer Accounting. Costing, Planning &amp; Control, Business Decision Making </w:t>
      </w:r>
    </w:p>
    <w:p w14:paraId="0923C143" w14:textId="77777777" w:rsidR="007373F6" w:rsidRDefault="007373F6" w:rsidP="00991C05">
      <w:pPr>
        <w:rPr>
          <w:highlight w:val="white"/>
        </w:rPr>
      </w:pPr>
    </w:p>
    <w:p w14:paraId="3BB9E11C" w14:textId="77777777" w:rsidR="007373F6" w:rsidRDefault="007373F6">
      <w:pPr>
        <w:jc w:val="both"/>
      </w:pPr>
    </w:p>
    <w:p w14:paraId="777DB45E" w14:textId="77777777" w:rsidR="00991C05" w:rsidRDefault="00991C05">
      <w:pPr>
        <w:jc w:val="both"/>
      </w:pPr>
    </w:p>
    <w:p w14:paraId="64FDCABB" w14:textId="77777777" w:rsidR="007373F6" w:rsidRPr="00896211" w:rsidRDefault="00000000" w:rsidP="00856618">
      <w:pPr>
        <w:numPr>
          <w:ilvl w:val="0"/>
          <w:numId w:val="13"/>
        </w:numPr>
        <w:spacing w:after="200" w:line="240" w:lineRule="auto"/>
        <w:ind w:left="284"/>
        <w:jc w:val="center"/>
        <w:rPr>
          <w:rFonts w:ascii="Times New Roman" w:hAnsi="Times New Roman" w:cs="Times New Roman"/>
          <w:b/>
          <w:bCs/>
          <w:sz w:val="24"/>
          <w:szCs w:val="24"/>
        </w:rPr>
      </w:pPr>
      <w:r w:rsidRPr="00896211">
        <w:rPr>
          <w:rFonts w:ascii="Times New Roman" w:hAnsi="Times New Roman" w:cs="Times New Roman"/>
          <w:b/>
          <w:bCs/>
          <w:sz w:val="24"/>
          <w:szCs w:val="24"/>
        </w:rPr>
        <w:lastRenderedPageBreak/>
        <w:t>INTRODUCTION</w:t>
      </w:r>
    </w:p>
    <w:p w14:paraId="775766C9"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proliferation of MSMEs in East Java Province, which has reached 1.5 million units, underscores the pivotal role of this sector in the regional economy, particularly in terms of job creation and its contribution to GRDP (Halim et al., 2024). Nevertheless, numerous MSME actors continue to encounter impediments in making strategic business decisions due to the paucity of accounting information and managerial capabilities (Trevisan &amp; Mouritsen, 2023). The integration of cost, competitor, and customer data through strategic management accounting has been demonstrated to enhance the quality of decisions made by large companies. Several motivating elements have been suggested as motivations for firms to embrace strategic management accounting. These features include its capacity to evaluate competitive information, decision-making tools, management facilitation, and cost control across the product lifecycle. The major motivations for firms to embrace strategic management accounting include the progress of strategic management accounting through the use of artificial intelligence (AI) and big data analysis, as well as the enhancement of corporate performance (Trevisan &amp; Mouritsen, 2023).</w:t>
      </w:r>
    </w:p>
    <w:p w14:paraId="6F0F1AB6"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study aligns with the Theory of Reasoned Action (TRA) (Fishbein &amp; Ajzen, 1975). The application of strategic management accounting (e.g., budgeting, SWOT analysis, performance measurement) has been demonstrated to improve the quality of business decisions. Consequently, MSMEs with a positive attitude toward strategic management accounting tend to utilize it in their business practices. The perception among MSMEs of support from business partners, MSME associations, or local governments for the implementation of strategic management accounting is a crucial factor in the adoption of this practice. When MSMEs possess a strong intention to utilize strategic management accounting, there is a tendency for them to integrate it into the business decision-making process, including aspects such as investment selection, cost efficiency, and marketing strategy.</w:t>
      </w:r>
    </w:p>
    <w:p w14:paraId="3180B553"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selection of East Java Province as the primary research location was predicated on the province's diverse MSME characteristics, encompassing the food, craft, and service sectors, in addition to substantial local government policy support. According to the East Java Provincial Government report (2025), MSMEs in this region contribute more than 60% of GRDP and employ millions of local workers. This diversity provides an ideal context for examining the role of strategic management accounting in various types of MSMEs, as well as more specific policy implications.</w:t>
      </w:r>
    </w:p>
    <w:p w14:paraId="31B8F8B6"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According to research (Bao et al., 2023; Chen et al., 2023; Hanif et al., 2023; Lyu et al., 2023; Sun, 2023), costing, planning, control, and performance measurement, strategic decision-making, competitor accounting, and customer accounting all have an impact on corporate decision making. (Bao et al., 2023) describes costing as part of a management accounting system enhanced by business intelligence, providing accurate information on product and operational costs. This helps managers set prices, identify areas for improvement, and design cost efficiencies. (Chen et al., 2023) linked performance planning and control with environmental accounting systems and strategic planning based on ecosystem data. In a managerial context, this system allows companies to evaluate performance based on long-term goals and the external environment. (Hanif et al., 2023) highlighted that environmental management accounting practices and green transformational leadership influence strategic decision-making. However, in the context of MSMEs, although important, this approach requires innovation and competency support which is often limited. (Lyu et al., 2023) explained that competitor accounting is described through an efficiency-based measurement and auditing approach. Providing a framework for assessing how organizations utilize resources compared to competitors. (Sun, 2023) highlighted the integration of management and financial accounting through big data analytics, including customer data management to assess long-</w:t>
      </w:r>
      <w:r>
        <w:rPr>
          <w:rFonts w:ascii="Times New Roman" w:eastAsia="Times New Roman" w:hAnsi="Times New Roman" w:cs="Times New Roman"/>
          <w:sz w:val="24"/>
          <w:szCs w:val="24"/>
        </w:rPr>
        <w:lastRenderedPageBreak/>
        <w:t xml:space="preserve">term profitability and loyalty. However, there is a study gap from (Grover et al., 2023), which reveal opposing results that customer accounting does not </w:t>
      </w:r>
      <w:proofErr w:type="spellStart"/>
      <w:r>
        <w:rPr>
          <w:rFonts w:ascii="Times New Roman" w:eastAsia="Times New Roman" w:hAnsi="Times New Roman" w:cs="Times New Roman"/>
          <w:sz w:val="24"/>
          <w:szCs w:val="24"/>
        </w:rPr>
        <w:t>effect</w:t>
      </w:r>
      <w:proofErr w:type="spellEnd"/>
      <w:r>
        <w:rPr>
          <w:rFonts w:ascii="Times New Roman" w:eastAsia="Times New Roman" w:hAnsi="Times New Roman" w:cs="Times New Roman"/>
          <w:sz w:val="24"/>
          <w:szCs w:val="24"/>
        </w:rPr>
        <w:t xml:space="preserve"> company decision making. In addition, most previous studies have been conducted on large companies or certain sectors, so the context of MSMEs in Indonesia, especially in East Java, has not been mapped much. Furthermore, there has been no research comparing the relative role of each strategic management accounting technique in a comprehensive model in the local MSME environment.</w:t>
      </w:r>
    </w:p>
    <w:p w14:paraId="202A2381"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phenomenon of this study lies in its comprehensive examination of all six strategic management accounting techniques in East Java MSMEs, a feat that has not been previously accomplished. Additionally, it addresses the inconsistency in findings regarding customer accounting variables, offering a comprehensive and nuanced understanding of the subject. The contribution of this study is threefold: (1) it provides a comprehensive map of the relative influence of each strategic management accounting technique on MSME business decision making; (2) it offers policy recommendations for local governments and MSME actors in implementing strategic management accounting techniques; and (3) it addresses the empirical gap in the context of MSMEs in Indonesia. The novelty of this study lies in the application of strategic decision-making with external variables (competitor and customer accounting) in one model framework, which has never been combined in previous studies of Indonesian MSMEs. The purpose of this study is to look at the influence of several business decision-making elements on MSME operations in East Java Province. These aspects are costing procedures (X1), planning, control, and performance assessment (X2), strategic decision-making (X3), competition accounting (X4), and customer accounting (X5). The study will look at the simultaneous influence of these elements on MSME company decision-making processes (Y).</w:t>
      </w:r>
    </w:p>
    <w:p w14:paraId="0BA0C6FC" w14:textId="77777777" w:rsidR="007373F6" w:rsidRDefault="007373F6">
      <w:pPr>
        <w:spacing w:after="0" w:line="240" w:lineRule="auto"/>
        <w:ind w:firstLine="357"/>
        <w:jc w:val="both"/>
        <w:rPr>
          <w:rFonts w:ascii="Times New Roman" w:eastAsia="Times New Roman" w:hAnsi="Times New Roman" w:cs="Times New Roman"/>
          <w:sz w:val="24"/>
          <w:szCs w:val="24"/>
        </w:rPr>
      </w:pPr>
    </w:p>
    <w:p w14:paraId="31FE7116" w14:textId="77777777" w:rsidR="007373F6" w:rsidRDefault="00000000" w:rsidP="00856618">
      <w:pPr>
        <w:numPr>
          <w:ilvl w:val="0"/>
          <w:numId w:val="13"/>
        </w:numPr>
        <w:spacing w:after="200" w:line="240" w:lineRule="auto"/>
        <w:ind w:firstLine="284"/>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LITERATUR REVIEW AND HYPOTHESIS DEVELOPMENT</w:t>
      </w:r>
    </w:p>
    <w:p w14:paraId="09453409"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Theory of Reasoned Action (TRA) is a theory from psychology that has been used to study human action. According to research done on social psychology, an individual's intention to carry out a given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has proven to be very important in putting it into action (Fishbein &amp; Ajzen, 1975). TRA posits that beliefs have the capacity to influence attitudes and social norms, thereby effecting a transformation in the form of </w:t>
      </w: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desires, whether guided or simply occurring in an individual's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This theory underscores the pivotal role of an individual's "intention" in determining the occurrence of a particular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(Ivens, 2023).</w:t>
      </w:r>
    </w:p>
    <w:p w14:paraId="3EE9E4FB"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Strategic Management Accounting is a niche management accounting practice that aims to utilize accounting information to assist management in making long-term strategic decisions. Strategic management accounting therefore encompasses not only internal financial performance measurements, but also consideration of external drivers, e.g., competitors, customers, and industry trends. Strategic Management Accounting has a significant role to play, albeit it is not normally overtly practiced by the majority of MSMEs. Strategic Management Accounting provides data on current profits and costs, along with data on market trends, customer needs, and competitors' standing. This enables small- and medium-sized enterprises (SMEs) to establish a direction for the business that is conducive to growth, instead of mere existence (Liu et al., 2023).</w:t>
      </w:r>
    </w:p>
    <w:p w14:paraId="2E02555D"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costing discipline, also known as cost determination, has been established to be a central area of decision-making in the context of MSMEs (small and medium-scale enterprises). Costing practice aids MSMEs in determining the true cost of producing goods or services. As a result, MSMEs are able to set selling prices that cover costs and generate profit. By doing accurate costing, MSMEs are able to determine the profit margin per item. Costing forms the foundation for preparing realistic business plans and financial budgets. Costing is a method of determining what areas of production are characterized by wastefulness or inefficiency so that </w:t>
      </w:r>
      <w:r>
        <w:rPr>
          <w:rFonts w:ascii="Times New Roman" w:eastAsia="Times New Roman" w:hAnsi="Times New Roman" w:cs="Times New Roman"/>
          <w:sz w:val="24"/>
          <w:szCs w:val="24"/>
        </w:rPr>
        <w:lastRenderedPageBreak/>
        <w:t>it becomes possible to implement decisions that are improvement-oriented (Peebles et al., 2023).</w:t>
      </w:r>
    </w:p>
    <w:p w14:paraId="2A91A502"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Planning refers to the activity of establishing business objectives and laying out the measures or strategies to be required in order to achieve them. Planning, as it is used in the business world, is concerned with the establishment of goals, or "targets," and with the subsequent establishment of the strategy and resources necessary to accomplish them. Formal implementation of a plan facilitates the setting of priorities on objectives, optimal allocation of resources, and reduction of risks to MSMEs. Control is the process of verifying, comparing actual performance with plans and taking corrective measures if there is any discrepancy. The objective of control is to ensure continued performance of business activities as per directions set. Wherever there is any discrepancy, e.g., high cost or unsold level of sales, MSMEs can implement corrective measures with timely action. Performance measurement can be defined as the process through which the degree of MSME achievement of goals in certain areas, such as finance, production, and marketing is measured (Chang et al., 2023).</w:t>
      </w:r>
    </w:p>
    <w:p w14:paraId="3073F77F"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Strategic decision-making can be defined as the process of making major decisions that have a direct impact on the future path and lifespan of a firm. Strategic decisions regarding the business's course, such as the selection of market, determination of the product, and determination of the place of business, have a massive influence on the future of the business. Strategic decisions that are made by MSMEs have been discovered to enhance their ability to adapt to changes in technology, competition, and the market. MSMEs typically have limited resources such as time, </w:t>
      </w:r>
      <w:proofErr w:type="spellStart"/>
      <w:r>
        <w:rPr>
          <w:rFonts w:ascii="Times New Roman" w:eastAsia="Times New Roman" w:hAnsi="Times New Roman" w:cs="Times New Roman"/>
          <w:sz w:val="24"/>
          <w:szCs w:val="24"/>
        </w:rPr>
        <w:t>labor</w:t>
      </w:r>
      <w:proofErr w:type="spellEnd"/>
      <w:r>
        <w:rPr>
          <w:rFonts w:ascii="Times New Roman" w:eastAsia="Times New Roman" w:hAnsi="Times New Roman" w:cs="Times New Roman"/>
          <w:sz w:val="24"/>
          <w:szCs w:val="24"/>
        </w:rPr>
        <w:t>, and capital. Consequently, strategic decisions help to determine that these resources are directed to the most essential objectives. The strategic decisions taken have a great impact on how MSMEs position themselves. Such decisions involve the establishment of whether to compete on the basis of low prices, superior quality, or superior service (Rieg et al., 2023).</w:t>
      </w:r>
    </w:p>
    <w:p w14:paraId="6BEA9EB2"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Competitor Accounting is the process of collecting, </w:t>
      </w:r>
      <w:proofErr w:type="spellStart"/>
      <w:r>
        <w:rPr>
          <w:rFonts w:ascii="Times New Roman" w:eastAsia="Times New Roman" w:hAnsi="Times New Roman" w:cs="Times New Roman"/>
          <w:sz w:val="24"/>
          <w:szCs w:val="24"/>
        </w:rPr>
        <w:t>analyzing</w:t>
      </w:r>
      <w:proofErr w:type="spellEnd"/>
      <w:r>
        <w:rPr>
          <w:rFonts w:ascii="Times New Roman" w:eastAsia="Times New Roman" w:hAnsi="Times New Roman" w:cs="Times New Roman"/>
          <w:sz w:val="24"/>
          <w:szCs w:val="24"/>
        </w:rPr>
        <w:t xml:space="preserve">, and utilizing financial information and competitor strategy to inform business decision-making. SMEs can make decisions about pricing based on competitiveness by </w:t>
      </w:r>
      <w:proofErr w:type="spellStart"/>
      <w:r>
        <w:rPr>
          <w:rFonts w:ascii="Times New Roman" w:eastAsia="Times New Roman" w:hAnsi="Times New Roman" w:cs="Times New Roman"/>
          <w:sz w:val="24"/>
          <w:szCs w:val="24"/>
        </w:rPr>
        <w:t>analyzing</w:t>
      </w:r>
      <w:proofErr w:type="spellEnd"/>
      <w:r>
        <w:rPr>
          <w:rFonts w:ascii="Times New Roman" w:eastAsia="Times New Roman" w:hAnsi="Times New Roman" w:cs="Times New Roman"/>
          <w:sz w:val="24"/>
          <w:szCs w:val="24"/>
        </w:rPr>
        <w:t xml:space="preserve"> competitors' selling prices, production costs, and margins. SMEs can compete on price, add value, or compete in the premium segment. Competitor accounting discloses competitors' cost efficiency, products, promotions, and profitability. Competitor accounting assists SMEs in making the right decision concerning areas to improve, imitate, or eschew (</w:t>
      </w:r>
      <w:proofErr w:type="spellStart"/>
      <w:r>
        <w:rPr>
          <w:rFonts w:ascii="Times New Roman" w:eastAsia="Times New Roman" w:hAnsi="Times New Roman" w:cs="Times New Roman"/>
          <w:sz w:val="24"/>
          <w:szCs w:val="24"/>
        </w:rPr>
        <w:t>Faccioli</w:t>
      </w:r>
      <w:proofErr w:type="spellEnd"/>
      <w:r>
        <w:rPr>
          <w:rFonts w:ascii="Times New Roman" w:eastAsia="Times New Roman" w:hAnsi="Times New Roman" w:cs="Times New Roman"/>
          <w:sz w:val="24"/>
          <w:szCs w:val="24"/>
        </w:rPr>
        <w:t xml:space="preserve"> et al., 2023).</w:t>
      </w:r>
    </w:p>
    <w:p w14:paraId="22D71185"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Customer Accounting is defined as the consolidation, analysis, and application of customer-related financial information, such as customer worth, customer expense, and customer profitability. By utilizing customer accounting, one is able to see the customers responsible for contributing significantly towards the SME's revenue generation and profitability. Customer accounting entails capturing the cost of acquiring a customer (Customer Acquisition Cost) and the worth of a customer in their lifetime (Customer Lifetime Value). For SMEs, retaining current customers would generally be cheaper than acquiring new ones since it is a low-cost strategy (Yang et al., 2023).</w:t>
      </w:r>
    </w:p>
    <w:p w14:paraId="2FC7E2B9" w14:textId="77777777" w:rsidR="007373F6" w:rsidRDefault="007373F6">
      <w:pPr>
        <w:spacing w:after="0" w:line="240" w:lineRule="auto"/>
        <w:jc w:val="both"/>
        <w:rPr>
          <w:rFonts w:ascii="Times New Roman" w:eastAsia="Times New Roman" w:hAnsi="Times New Roman" w:cs="Times New Roman"/>
          <w:b/>
          <w:sz w:val="24"/>
          <w:szCs w:val="24"/>
        </w:rPr>
      </w:pPr>
    </w:p>
    <w:p w14:paraId="2251B105" w14:textId="6FA2ABA8" w:rsidR="007373F6" w:rsidRDefault="006503DF">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2.1 The Influence of Costing on MSME Business Decision Making</w:t>
      </w:r>
    </w:p>
    <w:p w14:paraId="3300D02E"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Costing helps identify the largest cost components in the production or operational process. With this information, MSME actors can decide to reduce waste, replace raw materials, or change work processes to be more efficient (Peebles et al., 2023). Research conducted by (Bigdeli </w:t>
      </w:r>
      <w:proofErr w:type="spellStart"/>
      <w:r>
        <w:rPr>
          <w:rFonts w:ascii="Times New Roman" w:eastAsia="Times New Roman" w:hAnsi="Times New Roman" w:cs="Times New Roman"/>
          <w:sz w:val="24"/>
          <w:szCs w:val="24"/>
        </w:rPr>
        <w:t>Nalbandan</w:t>
      </w:r>
      <w:proofErr w:type="spellEnd"/>
      <w:r>
        <w:rPr>
          <w:rFonts w:ascii="Times New Roman" w:eastAsia="Times New Roman" w:hAnsi="Times New Roman" w:cs="Times New Roman"/>
          <w:sz w:val="24"/>
          <w:szCs w:val="24"/>
        </w:rPr>
        <w:t xml:space="preserve"> et al., 2023; </w:t>
      </w:r>
      <w:proofErr w:type="spellStart"/>
      <w:r>
        <w:rPr>
          <w:rFonts w:ascii="Times New Roman" w:eastAsia="Times New Roman" w:hAnsi="Times New Roman" w:cs="Times New Roman"/>
          <w:sz w:val="24"/>
          <w:szCs w:val="24"/>
        </w:rPr>
        <w:t>Jemine</w:t>
      </w:r>
      <w:proofErr w:type="spellEnd"/>
      <w:r>
        <w:rPr>
          <w:rFonts w:ascii="Times New Roman" w:eastAsia="Times New Roman" w:hAnsi="Times New Roman" w:cs="Times New Roman"/>
          <w:sz w:val="24"/>
          <w:szCs w:val="24"/>
        </w:rPr>
        <w:t xml:space="preserve"> et al., 2023; Pashkevich et al., 2023; Zhai et al., 2023; Zhang et al., 2023) states that Costing has a significant effect on business decision-making. Consequently, the following hypothesis is proposed by researchers in this study:</w:t>
      </w:r>
    </w:p>
    <w:p w14:paraId="413F3380" w14:textId="77777777" w:rsidR="007373F6" w:rsidRDefault="00000000" w:rsidP="00CA3E0F">
      <w:pPr>
        <w:spacing w:after="0" w:line="240" w:lineRule="auto"/>
        <w:ind w:firstLine="357"/>
        <w:jc w:val="both"/>
        <w:rPr>
          <w:rFonts w:ascii="Times New Roman" w:eastAsia="Times New Roman" w:hAnsi="Times New Roman" w:cs="Times New Roman"/>
          <w:sz w:val="24"/>
          <w:szCs w:val="24"/>
        </w:rPr>
      </w:pPr>
      <w:r w:rsidRPr="00CA3E0F">
        <w:rPr>
          <w:rFonts w:ascii="Times New Roman" w:eastAsia="Times New Roman" w:hAnsi="Times New Roman" w:cs="Times New Roman"/>
          <w:b/>
          <w:bCs/>
          <w:sz w:val="24"/>
          <w:szCs w:val="24"/>
        </w:rPr>
        <w:t>H</w:t>
      </w:r>
      <w:r w:rsidRPr="00CA3E0F">
        <w:rPr>
          <w:rFonts w:ascii="Times New Roman" w:eastAsia="Times New Roman" w:hAnsi="Times New Roman" w:cs="Times New Roman"/>
          <w:b/>
          <w:bCs/>
          <w:sz w:val="24"/>
          <w:szCs w:val="24"/>
          <w:vertAlign w:val="subscript"/>
        </w:rPr>
        <w:t>1</w:t>
      </w:r>
      <w:r>
        <w:rPr>
          <w:rFonts w:ascii="Times New Roman" w:eastAsia="Times New Roman" w:hAnsi="Times New Roman" w:cs="Times New Roman"/>
          <w:sz w:val="24"/>
          <w:szCs w:val="24"/>
        </w:rPr>
        <w:t>: Costing affects MSME business decision-making in East Java Province</w:t>
      </w:r>
    </w:p>
    <w:p w14:paraId="30A79795" w14:textId="77777777" w:rsidR="007373F6" w:rsidRDefault="007373F6">
      <w:pPr>
        <w:spacing w:after="0" w:line="240" w:lineRule="auto"/>
        <w:jc w:val="both"/>
        <w:rPr>
          <w:rFonts w:ascii="Times New Roman" w:eastAsia="Times New Roman" w:hAnsi="Times New Roman" w:cs="Times New Roman"/>
          <w:b/>
          <w:sz w:val="24"/>
          <w:szCs w:val="24"/>
        </w:rPr>
      </w:pPr>
    </w:p>
    <w:p w14:paraId="286F000E" w14:textId="21625749" w:rsidR="007373F6" w:rsidRDefault="006503DF">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2.2 The Influence of Planning, Control &amp; Performance Measurement on MSME Business Decision Making</w:t>
      </w:r>
    </w:p>
    <w:p w14:paraId="4561D328"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Planning helps business actors decide how to allocate funds, time, and </w:t>
      </w:r>
      <w:proofErr w:type="spellStart"/>
      <w:r>
        <w:rPr>
          <w:rFonts w:ascii="Times New Roman" w:eastAsia="Times New Roman" w:hAnsi="Times New Roman" w:cs="Times New Roman"/>
          <w:sz w:val="24"/>
          <w:szCs w:val="24"/>
        </w:rPr>
        <w:t>labor</w:t>
      </w:r>
      <w:proofErr w:type="spellEnd"/>
      <w:r>
        <w:rPr>
          <w:rFonts w:ascii="Times New Roman" w:eastAsia="Times New Roman" w:hAnsi="Times New Roman" w:cs="Times New Roman"/>
          <w:sz w:val="24"/>
          <w:szCs w:val="24"/>
        </w:rPr>
        <w:t xml:space="preserve"> to achieve targets. With a control system, MSMEs can evaluate whether activities are running according to target or deviating. MSMEs can set targets and assess who or what is responsible for good or bad performance (Chang et al., 2023). Research conducted by (Cheung, 2023; Ewing et al., 2023; Sandesh et al., 2023) states that Planning, control &amp; performance measurement have a significant effect on business decision making. Consequently, the following hypothesis is proposed by researchers in this study:</w:t>
      </w:r>
    </w:p>
    <w:p w14:paraId="54EE769A" w14:textId="77777777" w:rsidR="007373F6" w:rsidRDefault="00000000" w:rsidP="00CA3E0F">
      <w:pPr>
        <w:spacing w:after="0" w:line="240" w:lineRule="auto"/>
        <w:ind w:firstLine="357"/>
        <w:jc w:val="both"/>
        <w:rPr>
          <w:rFonts w:ascii="Times New Roman" w:eastAsia="Times New Roman" w:hAnsi="Times New Roman" w:cs="Times New Roman"/>
          <w:sz w:val="24"/>
          <w:szCs w:val="24"/>
        </w:rPr>
      </w:pPr>
      <w:r w:rsidRPr="00CA3E0F">
        <w:rPr>
          <w:rFonts w:ascii="Times New Roman" w:eastAsia="Times New Roman" w:hAnsi="Times New Roman" w:cs="Times New Roman"/>
          <w:b/>
          <w:bCs/>
          <w:sz w:val="24"/>
          <w:szCs w:val="24"/>
        </w:rPr>
        <w:t>H</w:t>
      </w:r>
      <w:r w:rsidRPr="00CA3E0F">
        <w:rPr>
          <w:rFonts w:ascii="Times New Roman" w:eastAsia="Times New Roman" w:hAnsi="Times New Roman" w:cs="Times New Roman"/>
          <w:b/>
          <w:bCs/>
          <w:sz w:val="24"/>
          <w:szCs w:val="24"/>
          <w:vertAlign w:val="subscript"/>
        </w:rPr>
        <w:t>2</w:t>
      </w:r>
      <w:r>
        <w:rPr>
          <w:rFonts w:ascii="Times New Roman" w:eastAsia="Times New Roman" w:hAnsi="Times New Roman" w:cs="Times New Roman"/>
          <w:sz w:val="24"/>
          <w:szCs w:val="24"/>
        </w:rPr>
        <w:t>: Planning, control &amp; performance measurement have a significant effect on MSME business decision making in East Java Province</w:t>
      </w:r>
    </w:p>
    <w:p w14:paraId="5B48E050" w14:textId="77777777" w:rsidR="007373F6" w:rsidRDefault="007373F6">
      <w:pPr>
        <w:spacing w:after="0" w:line="240" w:lineRule="auto"/>
        <w:jc w:val="both"/>
        <w:rPr>
          <w:rFonts w:ascii="Times New Roman" w:eastAsia="Times New Roman" w:hAnsi="Times New Roman" w:cs="Times New Roman"/>
          <w:b/>
          <w:sz w:val="24"/>
          <w:szCs w:val="24"/>
        </w:rPr>
      </w:pPr>
    </w:p>
    <w:p w14:paraId="15D24C42" w14:textId="0CD72CF6" w:rsidR="007373F6" w:rsidRDefault="006503DF">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2.3 The Influence of Strategic Decision-Making on MSME Business Decision-Making</w:t>
      </w:r>
    </w:p>
    <w:p w14:paraId="3FC448BB"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MSMEs, which usually have limited resources, need strategic decisions to prioritize investment in the most promising areas, rather than spreading them in many directions without results. Strategic decisions take into account long-term trends, changes in consumer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or new threats. This makes MSMEs more adaptive to change rather than just reactive (Rieg et al., 2023). Research conducted by (Chang et al., 2023; Liu et al., 2023; Peebles et al., 2023; Rieg et al., 2023; Trevisan &amp; Mouritsen, 2023) states that Strategic decision-making has a significant effect on business decision-making. Consequently, the following hypothesis is proposed by researchers in this study:</w:t>
      </w:r>
    </w:p>
    <w:p w14:paraId="68271615" w14:textId="77777777" w:rsidR="007373F6" w:rsidRDefault="00000000" w:rsidP="00CA3E0F">
      <w:pPr>
        <w:spacing w:after="0" w:line="240" w:lineRule="auto"/>
        <w:ind w:firstLine="357"/>
        <w:jc w:val="both"/>
        <w:rPr>
          <w:rFonts w:ascii="Times New Roman" w:eastAsia="Times New Roman" w:hAnsi="Times New Roman" w:cs="Times New Roman"/>
          <w:b/>
          <w:sz w:val="24"/>
          <w:szCs w:val="24"/>
        </w:rPr>
      </w:pPr>
      <w:r w:rsidRPr="00CA3E0F">
        <w:rPr>
          <w:rFonts w:ascii="Times New Roman" w:eastAsia="Times New Roman" w:hAnsi="Times New Roman" w:cs="Times New Roman"/>
          <w:b/>
          <w:bCs/>
          <w:sz w:val="24"/>
          <w:szCs w:val="24"/>
        </w:rPr>
        <w:t>H</w:t>
      </w:r>
      <w:r w:rsidRPr="00CA3E0F">
        <w:rPr>
          <w:rFonts w:ascii="Times New Roman" w:eastAsia="Times New Roman" w:hAnsi="Times New Roman" w:cs="Times New Roman"/>
          <w:b/>
          <w:bCs/>
          <w:sz w:val="24"/>
          <w:szCs w:val="24"/>
          <w:vertAlign w:val="subscript"/>
        </w:rPr>
        <w:t>3</w:t>
      </w:r>
      <w:r>
        <w:rPr>
          <w:rFonts w:ascii="Times New Roman" w:eastAsia="Times New Roman" w:hAnsi="Times New Roman" w:cs="Times New Roman"/>
          <w:sz w:val="24"/>
          <w:szCs w:val="24"/>
        </w:rPr>
        <w:t>: Strategic decision-making has a significant effect on MSME business decision-making in East Java Province</w:t>
      </w:r>
    </w:p>
    <w:p w14:paraId="3E870FE7" w14:textId="77777777" w:rsidR="007373F6" w:rsidRDefault="007373F6">
      <w:pPr>
        <w:spacing w:after="0" w:line="240" w:lineRule="auto"/>
        <w:jc w:val="both"/>
        <w:rPr>
          <w:rFonts w:ascii="Times New Roman" w:eastAsia="Times New Roman" w:hAnsi="Times New Roman" w:cs="Times New Roman"/>
          <w:b/>
          <w:sz w:val="24"/>
          <w:szCs w:val="24"/>
        </w:rPr>
      </w:pPr>
    </w:p>
    <w:p w14:paraId="5E79D673" w14:textId="13BFA1F1" w:rsidR="007373F6" w:rsidRDefault="006503DF">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2.4 The Influence of Competitor Accounting on MSME Business Decision Making</w:t>
      </w:r>
    </w:p>
    <w:p w14:paraId="0324E933"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Competitor Accounting helps MSMEs make sharper, data-based decisions that are responsive to competitive dynamics. Without this, MSMEs are at risk of making inappropriate decisions and losing to more adaptive competitors (</w:t>
      </w:r>
      <w:proofErr w:type="spellStart"/>
      <w:r>
        <w:rPr>
          <w:rFonts w:ascii="Times New Roman" w:eastAsia="Times New Roman" w:hAnsi="Times New Roman" w:cs="Times New Roman"/>
          <w:sz w:val="24"/>
          <w:szCs w:val="24"/>
        </w:rPr>
        <w:t>Faccioli</w:t>
      </w:r>
      <w:proofErr w:type="spellEnd"/>
      <w:r>
        <w:rPr>
          <w:rFonts w:ascii="Times New Roman" w:eastAsia="Times New Roman" w:hAnsi="Times New Roman" w:cs="Times New Roman"/>
          <w:sz w:val="24"/>
          <w:szCs w:val="24"/>
        </w:rPr>
        <w:t xml:space="preserve"> et al., 2023). Research conducted by (Bao et al., 2023; Chen et al., 2023; </w:t>
      </w:r>
      <w:proofErr w:type="spellStart"/>
      <w:r>
        <w:rPr>
          <w:rFonts w:ascii="Times New Roman" w:eastAsia="Times New Roman" w:hAnsi="Times New Roman" w:cs="Times New Roman"/>
          <w:sz w:val="24"/>
          <w:szCs w:val="24"/>
        </w:rPr>
        <w:t>Faccioli</w:t>
      </w:r>
      <w:proofErr w:type="spellEnd"/>
      <w:r>
        <w:rPr>
          <w:rFonts w:ascii="Times New Roman" w:eastAsia="Times New Roman" w:hAnsi="Times New Roman" w:cs="Times New Roman"/>
          <w:sz w:val="24"/>
          <w:szCs w:val="24"/>
        </w:rPr>
        <w:t xml:space="preserve"> et al., 2023; Sun, 2023; Yang et al., 2023) states that Competitor Accounting has a significant influence on business decision making. Consequently, the following hypothesis is proposed by researchers in this study:</w:t>
      </w:r>
    </w:p>
    <w:p w14:paraId="3A1300D3" w14:textId="77777777" w:rsidR="007373F6" w:rsidRDefault="00000000" w:rsidP="00CA3E0F">
      <w:pPr>
        <w:spacing w:after="0" w:line="240" w:lineRule="auto"/>
        <w:ind w:firstLine="357"/>
        <w:jc w:val="both"/>
        <w:rPr>
          <w:rFonts w:ascii="Times New Roman" w:eastAsia="Times New Roman" w:hAnsi="Times New Roman" w:cs="Times New Roman"/>
          <w:sz w:val="24"/>
          <w:szCs w:val="24"/>
        </w:rPr>
      </w:pPr>
      <w:r w:rsidRPr="00CA3E0F">
        <w:rPr>
          <w:rFonts w:ascii="Times New Roman" w:eastAsia="Times New Roman" w:hAnsi="Times New Roman" w:cs="Times New Roman"/>
          <w:b/>
          <w:bCs/>
          <w:sz w:val="24"/>
          <w:szCs w:val="24"/>
        </w:rPr>
        <w:t>H</w:t>
      </w:r>
      <w:r w:rsidRPr="00CA3E0F">
        <w:rPr>
          <w:rFonts w:ascii="Times New Roman" w:eastAsia="Times New Roman" w:hAnsi="Times New Roman" w:cs="Times New Roman"/>
          <w:b/>
          <w:bCs/>
          <w:sz w:val="24"/>
          <w:szCs w:val="24"/>
          <w:vertAlign w:val="subscript"/>
        </w:rPr>
        <w:t>4</w:t>
      </w:r>
      <w:r>
        <w:rPr>
          <w:rFonts w:ascii="Times New Roman" w:eastAsia="Times New Roman" w:hAnsi="Times New Roman" w:cs="Times New Roman"/>
          <w:sz w:val="24"/>
          <w:szCs w:val="24"/>
        </w:rPr>
        <w:t>: Competitor Accounting has a significant influence on MSME business decision-making in East Java Province</w:t>
      </w:r>
    </w:p>
    <w:p w14:paraId="06137A72" w14:textId="77777777" w:rsidR="007373F6" w:rsidRDefault="007373F6">
      <w:pPr>
        <w:spacing w:after="0" w:line="240" w:lineRule="auto"/>
        <w:jc w:val="both"/>
        <w:rPr>
          <w:rFonts w:ascii="Times New Roman" w:eastAsia="Times New Roman" w:hAnsi="Times New Roman" w:cs="Times New Roman"/>
          <w:b/>
          <w:sz w:val="24"/>
          <w:szCs w:val="24"/>
        </w:rPr>
      </w:pPr>
    </w:p>
    <w:p w14:paraId="344D1F16" w14:textId="70A960AA" w:rsidR="007373F6" w:rsidRDefault="006503DF">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2.5 The Influence of Customer Accounting on MSME Business Decision Making</w:t>
      </w:r>
    </w:p>
    <w:p w14:paraId="0DAE6743"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Customer Accounting is an approach to measure, </w:t>
      </w:r>
      <w:proofErr w:type="spellStart"/>
      <w:r>
        <w:rPr>
          <w:rFonts w:ascii="Times New Roman" w:eastAsia="Times New Roman" w:hAnsi="Times New Roman" w:cs="Times New Roman"/>
          <w:sz w:val="24"/>
          <w:szCs w:val="24"/>
        </w:rPr>
        <w:t>analyze</w:t>
      </w:r>
      <w:proofErr w:type="spellEnd"/>
      <w:r>
        <w:rPr>
          <w:rFonts w:ascii="Times New Roman" w:eastAsia="Times New Roman" w:hAnsi="Times New Roman" w:cs="Times New Roman"/>
          <w:sz w:val="24"/>
          <w:szCs w:val="24"/>
        </w:rPr>
        <w:t>, and evaluate the financial contribution of customers or customer segments to a business. With customer accounting data, MSMEs can find out which customers or segments provide the greatest profit so that marketing, service, and promotion decisions can be more focused on these segments</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(Yang et al., 2023). Research conducted by (Grover et al., 2023; Hanif et al., 2023; Ivens, 2023; Lyu et al., 2023; Safavi Nia et al., 2023) states that Customer Accounting has a significant effect on business decision making. Consequently, the following hypothesis is proposed by researchers in this study:</w:t>
      </w:r>
    </w:p>
    <w:p w14:paraId="76BC27C3" w14:textId="77777777" w:rsidR="007373F6" w:rsidRDefault="00000000" w:rsidP="00CA3E0F">
      <w:pPr>
        <w:spacing w:after="0" w:line="240" w:lineRule="auto"/>
        <w:ind w:firstLine="357"/>
        <w:jc w:val="both"/>
        <w:rPr>
          <w:rFonts w:ascii="Times New Roman" w:eastAsia="Times New Roman" w:hAnsi="Times New Roman" w:cs="Times New Roman"/>
          <w:sz w:val="24"/>
          <w:szCs w:val="24"/>
        </w:rPr>
      </w:pPr>
      <w:r w:rsidRPr="00CA3E0F">
        <w:rPr>
          <w:rFonts w:ascii="Times New Roman" w:eastAsia="Times New Roman" w:hAnsi="Times New Roman" w:cs="Times New Roman"/>
          <w:b/>
          <w:bCs/>
          <w:sz w:val="24"/>
          <w:szCs w:val="24"/>
        </w:rPr>
        <w:t>H</w:t>
      </w:r>
      <w:r w:rsidRPr="00CA3E0F">
        <w:rPr>
          <w:rFonts w:ascii="Times New Roman" w:eastAsia="Times New Roman" w:hAnsi="Times New Roman" w:cs="Times New Roman"/>
          <w:b/>
          <w:bCs/>
          <w:sz w:val="24"/>
          <w:szCs w:val="24"/>
          <w:vertAlign w:val="subscript"/>
        </w:rPr>
        <w:t>5</w:t>
      </w:r>
      <w:r>
        <w:rPr>
          <w:rFonts w:ascii="Times New Roman" w:eastAsia="Times New Roman" w:hAnsi="Times New Roman" w:cs="Times New Roman"/>
          <w:sz w:val="24"/>
          <w:szCs w:val="24"/>
        </w:rPr>
        <w:t>: Customer Accounting has a significant effect on MSME business decision-making in East Java Province</w:t>
      </w:r>
    </w:p>
    <w:p w14:paraId="2B4E6D69" w14:textId="77777777" w:rsidR="007373F6" w:rsidRDefault="00000000">
      <w:pPr>
        <w:tabs>
          <w:tab w:val="left" w:pos="3240"/>
        </w:tabs>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p>
    <w:p w14:paraId="7AC81B80" w14:textId="77777777" w:rsidR="007373F6" w:rsidRDefault="007373F6">
      <w:pPr>
        <w:tabs>
          <w:tab w:val="left" w:pos="3240"/>
        </w:tabs>
        <w:spacing w:after="0" w:line="240" w:lineRule="auto"/>
        <w:jc w:val="both"/>
        <w:rPr>
          <w:rFonts w:ascii="Times New Roman" w:eastAsia="Times New Roman" w:hAnsi="Times New Roman" w:cs="Times New Roman"/>
          <w:b/>
          <w:sz w:val="24"/>
          <w:szCs w:val="24"/>
        </w:rPr>
      </w:pPr>
    </w:p>
    <w:p w14:paraId="27DA8B54" w14:textId="77777777" w:rsidR="00CA3E0F" w:rsidRDefault="00CA3E0F" w:rsidP="00CA3E0F">
      <w:pPr>
        <w:spacing w:after="0" w:line="240" w:lineRule="auto"/>
        <w:jc w:val="center"/>
        <w:rPr>
          <w:rFonts w:ascii="Times New Roman" w:eastAsia="Times New Roman" w:hAnsi="Times New Roman" w:cs="Times New Roman"/>
          <w:b/>
          <w:sz w:val="24"/>
          <w:szCs w:val="24"/>
        </w:rPr>
      </w:pPr>
    </w:p>
    <w:p w14:paraId="0DBBFAF2" w14:textId="77777777" w:rsidR="00CA3E0F" w:rsidRDefault="00CA3E0F" w:rsidP="00CA3E0F">
      <w:pPr>
        <w:spacing w:after="0" w:line="240" w:lineRule="auto"/>
        <w:jc w:val="center"/>
        <w:rPr>
          <w:rFonts w:ascii="Times New Roman" w:eastAsia="Times New Roman" w:hAnsi="Times New Roman" w:cs="Times New Roman"/>
          <w:b/>
          <w:sz w:val="24"/>
          <w:szCs w:val="24"/>
        </w:rPr>
      </w:pPr>
    </w:p>
    <w:p w14:paraId="59C0F015" w14:textId="77777777" w:rsidR="00CA3E0F" w:rsidRDefault="00CA3E0F" w:rsidP="00CA3E0F">
      <w:pPr>
        <w:spacing w:after="0" w:line="240" w:lineRule="auto"/>
        <w:jc w:val="center"/>
        <w:rPr>
          <w:rFonts w:ascii="Times New Roman" w:eastAsia="Times New Roman" w:hAnsi="Times New Roman" w:cs="Times New Roman"/>
          <w:b/>
          <w:sz w:val="24"/>
          <w:szCs w:val="24"/>
        </w:rPr>
      </w:pPr>
    </w:p>
    <w:p w14:paraId="46121094" w14:textId="7F96DD9E" w:rsidR="00CA3E0F" w:rsidRDefault="00CA3E0F" w:rsidP="00CA3E0F">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Figure 1. </w:t>
      </w:r>
      <w:r w:rsidRPr="00CA3E0F">
        <w:rPr>
          <w:rFonts w:ascii="Times New Roman" w:eastAsia="Times New Roman" w:hAnsi="Times New Roman" w:cs="Times New Roman"/>
          <w:bCs/>
          <w:sz w:val="24"/>
          <w:szCs w:val="24"/>
        </w:rPr>
        <w:t>Conceptual Framework</w:t>
      </w:r>
    </w:p>
    <w:p w14:paraId="69D3ECD7" w14:textId="77777777" w:rsidR="007373F6" w:rsidRDefault="007373F6">
      <w:pPr>
        <w:tabs>
          <w:tab w:val="left" w:pos="3240"/>
        </w:tabs>
        <w:spacing w:after="0" w:line="240" w:lineRule="auto"/>
        <w:jc w:val="both"/>
        <w:rPr>
          <w:rFonts w:ascii="Times New Roman" w:eastAsia="Times New Roman" w:hAnsi="Times New Roman" w:cs="Times New Roman"/>
          <w:b/>
          <w:sz w:val="24"/>
          <w:szCs w:val="24"/>
        </w:rPr>
      </w:pPr>
    </w:p>
    <w:p w14:paraId="0231F151" w14:textId="77777777" w:rsidR="007373F6" w:rsidRDefault="00000000">
      <w:pPr>
        <w:tabs>
          <w:tab w:val="left" w:pos="3240"/>
        </w:tabs>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noProof/>
          <w:sz w:val="24"/>
          <w:szCs w:val="24"/>
        </w:rPr>
        <mc:AlternateContent>
          <mc:Choice Requires="wpg">
            <w:drawing>
              <wp:inline distT="0" distB="0" distL="0" distR="0" wp14:anchorId="3A27E7F9" wp14:editId="27FB1B38">
                <wp:extent cx="5068800" cy="3934800"/>
                <wp:effectExtent l="0" t="0" r="0" b="0"/>
                <wp:docPr id="1931061958" name="Group 1931061958"/>
                <wp:cNvGraphicFramePr/>
                <a:graphic xmlns:a="http://schemas.openxmlformats.org/drawingml/2006/main">
                  <a:graphicData uri="http://schemas.microsoft.com/office/word/2010/wordprocessingGroup">
                    <wpg:wgp>
                      <wpg:cNvGrpSpPr/>
                      <wpg:grpSpPr>
                        <a:xfrm>
                          <a:off x="0" y="0"/>
                          <a:ext cx="5068800" cy="3934800"/>
                          <a:chOff x="2798875" y="1799875"/>
                          <a:chExt cx="5094250" cy="3960250"/>
                        </a:xfrm>
                      </wpg:grpSpPr>
                      <wpg:grpSp>
                        <wpg:cNvPr id="1234015303" name="Group 1234015303"/>
                        <wpg:cNvGrpSpPr/>
                        <wpg:grpSpPr>
                          <a:xfrm>
                            <a:off x="2811600" y="1812600"/>
                            <a:ext cx="5068800" cy="3934800"/>
                            <a:chOff x="0" y="0"/>
                            <a:chExt cx="5067300" cy="3933825"/>
                          </a:xfrm>
                        </wpg:grpSpPr>
                        <wps:wsp>
                          <wps:cNvPr id="1487739126" name="Rectangle 1487739126"/>
                          <wps:cNvSpPr/>
                          <wps:spPr>
                            <a:xfrm>
                              <a:off x="0" y="0"/>
                              <a:ext cx="5067300" cy="3933825"/>
                            </a:xfrm>
                            <a:prstGeom prst="rect">
                              <a:avLst/>
                            </a:prstGeom>
                            <a:noFill/>
                            <a:ln>
                              <a:noFill/>
                            </a:ln>
                          </wps:spPr>
                          <wps:txbx>
                            <w:txbxContent>
                              <w:p w14:paraId="734FFD9C" w14:textId="77777777" w:rsidR="007373F6" w:rsidRPr="00CA3E0F" w:rsidRDefault="007373F6">
                                <w:pPr>
                                  <w:spacing w:after="0" w:line="240" w:lineRule="auto"/>
                                  <w:textDirection w:val="btLr"/>
                                </w:pPr>
                              </w:p>
                            </w:txbxContent>
                          </wps:txbx>
                          <wps:bodyPr spcFirstLastPara="1" wrap="square" lIns="91425" tIns="91425" rIns="91425" bIns="91425" anchor="ctr" anchorCtr="0">
                            <a:noAutofit/>
                          </wps:bodyPr>
                        </wps:wsp>
                        <wps:wsp>
                          <wps:cNvPr id="1262635198" name="Oval 1262635198"/>
                          <wps:cNvSpPr/>
                          <wps:spPr>
                            <a:xfrm>
                              <a:off x="1600200" y="0"/>
                              <a:ext cx="1228725" cy="781050"/>
                            </a:xfrm>
                            <a:prstGeom prst="ellipse">
                              <a:avLst/>
                            </a:prstGeom>
                            <a:solidFill>
                              <a:srgbClr val="FFFFFF"/>
                            </a:solidFill>
                            <a:ln w="25400" cap="flat" cmpd="sng">
                              <a:solidFill>
                                <a:srgbClr val="000000"/>
                              </a:solidFill>
                              <a:prstDash val="solid"/>
                              <a:round/>
                              <a:headEnd type="none" w="sm" len="sm"/>
                              <a:tailEnd type="none" w="sm" len="sm"/>
                            </a:ln>
                          </wps:spPr>
                          <wps:txbx>
                            <w:txbxContent>
                              <w:p w14:paraId="37A0AF1B" w14:textId="77777777" w:rsidR="007373F6" w:rsidRPr="00CA3E0F" w:rsidRDefault="00000000">
                                <w:pPr>
                                  <w:spacing w:after="0" w:line="240" w:lineRule="auto"/>
                                  <w:jc w:val="center"/>
                                  <w:textDirection w:val="btLr"/>
                                </w:pPr>
                                <w:r w:rsidRPr="00CA3E0F">
                                  <w:rPr>
                                    <w:rFonts w:ascii="Times New Roman" w:eastAsia="Times New Roman" w:hAnsi="Times New Roman" w:cs="Times New Roman"/>
                                    <w:color w:val="000000"/>
                                  </w:rPr>
                                  <w:t>Costing (X1)</w:t>
                                </w:r>
                              </w:p>
                            </w:txbxContent>
                          </wps:txbx>
                          <wps:bodyPr spcFirstLastPara="1" wrap="square" lIns="91425" tIns="45700" rIns="91425" bIns="45700" anchor="ctr" anchorCtr="0">
                            <a:noAutofit/>
                          </wps:bodyPr>
                        </wps:wsp>
                        <wps:wsp>
                          <wps:cNvPr id="867126151" name="Oval 867126151"/>
                          <wps:cNvSpPr/>
                          <wps:spPr>
                            <a:xfrm>
                              <a:off x="0" y="495300"/>
                              <a:ext cx="1666875" cy="1047750"/>
                            </a:xfrm>
                            <a:prstGeom prst="ellipse">
                              <a:avLst/>
                            </a:prstGeom>
                            <a:solidFill>
                              <a:srgbClr val="FFFFFF"/>
                            </a:solidFill>
                            <a:ln w="25400" cap="flat" cmpd="sng">
                              <a:solidFill>
                                <a:srgbClr val="000000"/>
                              </a:solidFill>
                              <a:prstDash val="solid"/>
                              <a:round/>
                              <a:headEnd type="none" w="sm" len="sm"/>
                              <a:tailEnd type="none" w="sm" len="sm"/>
                            </a:ln>
                          </wps:spPr>
                          <wps:txbx>
                            <w:txbxContent>
                              <w:p w14:paraId="51782BEA" w14:textId="77777777" w:rsidR="007373F6" w:rsidRPr="00CA3E0F" w:rsidRDefault="00000000">
                                <w:pPr>
                                  <w:spacing w:after="0" w:line="240" w:lineRule="auto"/>
                                  <w:jc w:val="center"/>
                                  <w:textDirection w:val="btLr"/>
                                </w:pPr>
                                <w:r w:rsidRPr="00CA3E0F">
                                  <w:rPr>
                                    <w:rFonts w:ascii="Times New Roman" w:eastAsia="Times New Roman" w:hAnsi="Times New Roman" w:cs="Times New Roman"/>
                                    <w:color w:val="000000"/>
                                  </w:rPr>
                                  <w:t>Planning, control &amp; performance measurement (X2)</w:t>
                                </w:r>
                              </w:p>
                            </w:txbxContent>
                          </wps:txbx>
                          <wps:bodyPr spcFirstLastPara="1" wrap="square" lIns="91425" tIns="45700" rIns="91425" bIns="45700" anchor="ctr" anchorCtr="0">
                            <a:noAutofit/>
                          </wps:bodyPr>
                        </wps:wsp>
                        <wps:wsp>
                          <wps:cNvPr id="1412067882" name="Oval 1412067882"/>
                          <wps:cNvSpPr/>
                          <wps:spPr>
                            <a:xfrm>
                              <a:off x="0" y="1685925"/>
                              <a:ext cx="1524000" cy="895350"/>
                            </a:xfrm>
                            <a:prstGeom prst="ellipse">
                              <a:avLst/>
                            </a:prstGeom>
                            <a:solidFill>
                              <a:srgbClr val="FFFFFF"/>
                            </a:solidFill>
                            <a:ln w="25400" cap="flat" cmpd="sng">
                              <a:solidFill>
                                <a:srgbClr val="000000"/>
                              </a:solidFill>
                              <a:prstDash val="solid"/>
                              <a:round/>
                              <a:headEnd type="none" w="sm" len="sm"/>
                              <a:tailEnd type="none" w="sm" len="sm"/>
                            </a:ln>
                          </wps:spPr>
                          <wps:txbx>
                            <w:txbxContent>
                              <w:p w14:paraId="5FDC93CD" w14:textId="77777777" w:rsidR="007373F6" w:rsidRPr="00CA3E0F" w:rsidRDefault="00000000">
                                <w:pPr>
                                  <w:spacing w:after="0" w:line="240" w:lineRule="auto"/>
                                  <w:jc w:val="center"/>
                                  <w:textDirection w:val="btLr"/>
                                </w:pPr>
                                <w:r w:rsidRPr="00CA3E0F">
                                  <w:rPr>
                                    <w:rFonts w:ascii="Times New Roman" w:eastAsia="Times New Roman" w:hAnsi="Times New Roman" w:cs="Times New Roman"/>
                                    <w:color w:val="000000"/>
                                    <w:sz w:val="24"/>
                                  </w:rPr>
                                  <w:t>Strategic decision-making</w:t>
                                </w:r>
                                <w:r w:rsidRPr="00CA3E0F">
                                  <w:rPr>
                                    <w:rFonts w:ascii="Times New Roman" w:eastAsia="Times New Roman" w:hAnsi="Times New Roman" w:cs="Times New Roman"/>
                                    <w:color w:val="000000"/>
                                  </w:rPr>
                                  <w:t xml:space="preserve"> (X3)</w:t>
                                </w:r>
                              </w:p>
                            </w:txbxContent>
                          </wps:txbx>
                          <wps:bodyPr spcFirstLastPara="1" wrap="square" lIns="91425" tIns="45700" rIns="91425" bIns="45700" anchor="ctr" anchorCtr="0">
                            <a:noAutofit/>
                          </wps:bodyPr>
                        </wps:wsp>
                        <wps:wsp>
                          <wps:cNvPr id="531228917" name="Oval 531228917"/>
                          <wps:cNvSpPr/>
                          <wps:spPr>
                            <a:xfrm>
                              <a:off x="0" y="2752725"/>
                              <a:ext cx="1476375" cy="847725"/>
                            </a:xfrm>
                            <a:prstGeom prst="ellipse">
                              <a:avLst/>
                            </a:prstGeom>
                            <a:solidFill>
                              <a:srgbClr val="FFFFFF"/>
                            </a:solidFill>
                            <a:ln w="25400" cap="flat" cmpd="sng">
                              <a:solidFill>
                                <a:srgbClr val="000000"/>
                              </a:solidFill>
                              <a:prstDash val="solid"/>
                              <a:round/>
                              <a:headEnd type="none" w="sm" len="sm"/>
                              <a:tailEnd type="none" w="sm" len="sm"/>
                            </a:ln>
                          </wps:spPr>
                          <wps:txbx>
                            <w:txbxContent>
                              <w:p w14:paraId="3B5DA317" w14:textId="77777777" w:rsidR="007373F6" w:rsidRPr="00CA3E0F" w:rsidRDefault="00000000">
                                <w:pPr>
                                  <w:spacing w:after="0" w:line="240" w:lineRule="auto"/>
                                  <w:jc w:val="center"/>
                                  <w:textDirection w:val="btLr"/>
                                </w:pPr>
                                <w:r w:rsidRPr="00CA3E0F">
                                  <w:rPr>
                                    <w:rFonts w:ascii="Times New Roman" w:eastAsia="Times New Roman" w:hAnsi="Times New Roman" w:cs="Times New Roman"/>
                                    <w:color w:val="000000"/>
                                  </w:rPr>
                                  <w:t>Competitor accounting (X4)</w:t>
                                </w:r>
                              </w:p>
                            </w:txbxContent>
                          </wps:txbx>
                          <wps:bodyPr spcFirstLastPara="1" wrap="square" lIns="91425" tIns="45700" rIns="91425" bIns="45700" anchor="ctr" anchorCtr="0">
                            <a:noAutofit/>
                          </wps:bodyPr>
                        </wps:wsp>
                        <wps:wsp>
                          <wps:cNvPr id="711943407" name="Oval 711943407"/>
                          <wps:cNvSpPr/>
                          <wps:spPr>
                            <a:xfrm>
                              <a:off x="1590675" y="3086100"/>
                              <a:ext cx="1476375" cy="847725"/>
                            </a:xfrm>
                            <a:prstGeom prst="ellipse">
                              <a:avLst/>
                            </a:prstGeom>
                            <a:solidFill>
                              <a:srgbClr val="FFFFFF"/>
                            </a:solidFill>
                            <a:ln w="25400" cap="flat" cmpd="sng">
                              <a:solidFill>
                                <a:srgbClr val="000000"/>
                              </a:solidFill>
                              <a:prstDash val="solid"/>
                              <a:round/>
                              <a:headEnd type="none" w="sm" len="sm"/>
                              <a:tailEnd type="none" w="sm" len="sm"/>
                            </a:ln>
                          </wps:spPr>
                          <wps:txbx>
                            <w:txbxContent>
                              <w:p w14:paraId="32FC2B2D" w14:textId="77777777" w:rsidR="007373F6" w:rsidRPr="00CA3E0F" w:rsidRDefault="00000000">
                                <w:pPr>
                                  <w:spacing w:after="0" w:line="240" w:lineRule="auto"/>
                                  <w:jc w:val="center"/>
                                  <w:textDirection w:val="btLr"/>
                                </w:pPr>
                                <w:r w:rsidRPr="00CA3E0F">
                                  <w:rPr>
                                    <w:rFonts w:ascii="Times New Roman" w:eastAsia="Times New Roman" w:hAnsi="Times New Roman" w:cs="Times New Roman"/>
                                    <w:color w:val="000000"/>
                                  </w:rPr>
                                  <w:t>Customer accounting (X5)</w:t>
                                </w:r>
                              </w:p>
                            </w:txbxContent>
                          </wps:txbx>
                          <wps:bodyPr spcFirstLastPara="1" wrap="square" lIns="91425" tIns="45700" rIns="91425" bIns="45700" anchor="ctr" anchorCtr="0">
                            <a:noAutofit/>
                          </wps:bodyPr>
                        </wps:wsp>
                        <wps:wsp>
                          <wps:cNvPr id="789282381" name="Oval 789282381"/>
                          <wps:cNvSpPr/>
                          <wps:spPr>
                            <a:xfrm>
                              <a:off x="3543300" y="1685925"/>
                              <a:ext cx="1524000" cy="895350"/>
                            </a:xfrm>
                            <a:prstGeom prst="ellipse">
                              <a:avLst/>
                            </a:prstGeom>
                            <a:solidFill>
                              <a:srgbClr val="FFFFFF"/>
                            </a:solidFill>
                            <a:ln w="25400" cap="flat" cmpd="sng">
                              <a:solidFill>
                                <a:srgbClr val="000000"/>
                              </a:solidFill>
                              <a:prstDash val="solid"/>
                              <a:round/>
                              <a:headEnd type="none" w="sm" len="sm"/>
                              <a:tailEnd type="none" w="sm" len="sm"/>
                            </a:ln>
                          </wps:spPr>
                          <wps:txbx>
                            <w:txbxContent>
                              <w:p w14:paraId="237ED29A" w14:textId="77777777" w:rsidR="007373F6" w:rsidRPr="00CA3E0F" w:rsidRDefault="00000000">
                                <w:pPr>
                                  <w:spacing w:after="0" w:line="240" w:lineRule="auto"/>
                                  <w:jc w:val="center"/>
                                  <w:textDirection w:val="btLr"/>
                                </w:pPr>
                                <w:r w:rsidRPr="00CA3E0F">
                                  <w:rPr>
                                    <w:rFonts w:ascii="Times New Roman" w:eastAsia="Times New Roman" w:hAnsi="Times New Roman" w:cs="Times New Roman"/>
                                    <w:color w:val="000000"/>
                                  </w:rPr>
                                  <w:t>Business Decision Making (Y)</w:t>
                                </w:r>
                              </w:p>
                            </w:txbxContent>
                          </wps:txbx>
                          <wps:bodyPr spcFirstLastPara="1" wrap="square" lIns="91425" tIns="45700" rIns="91425" bIns="45700" anchor="ctr" anchorCtr="0">
                            <a:noAutofit/>
                          </wps:bodyPr>
                        </wps:wsp>
                        <wps:wsp>
                          <wps:cNvPr id="845134396" name="Straight Arrow Connector 845134396"/>
                          <wps:cNvCnPr/>
                          <wps:spPr>
                            <a:xfrm>
                              <a:off x="2257425" y="781050"/>
                              <a:ext cx="1285875" cy="1352550"/>
                            </a:xfrm>
                            <a:prstGeom prst="straightConnector1">
                              <a:avLst/>
                            </a:prstGeom>
                            <a:noFill/>
                            <a:ln w="25400" cap="flat" cmpd="sng">
                              <a:solidFill>
                                <a:srgbClr val="000000"/>
                              </a:solidFill>
                              <a:prstDash val="solid"/>
                              <a:round/>
                              <a:headEnd type="none" w="sm" len="sm"/>
                              <a:tailEnd type="triangle" w="med" len="med"/>
                            </a:ln>
                            <a:effectLst>
                              <a:outerShdw blurRad="40000" dist="20000" dir="5400000" rotWithShape="0">
                                <a:srgbClr val="000000">
                                  <a:alpha val="37647"/>
                                </a:srgbClr>
                              </a:outerShdw>
                            </a:effectLst>
                          </wps:spPr>
                          <wps:bodyPr/>
                        </wps:wsp>
                        <wps:wsp>
                          <wps:cNvPr id="1403581492" name="Straight Arrow Connector 1403581492"/>
                          <wps:cNvCnPr/>
                          <wps:spPr>
                            <a:xfrm>
                              <a:off x="1666875" y="1085850"/>
                              <a:ext cx="1876425" cy="1047750"/>
                            </a:xfrm>
                            <a:prstGeom prst="straightConnector1">
                              <a:avLst/>
                            </a:prstGeom>
                            <a:noFill/>
                            <a:ln w="25400" cap="flat" cmpd="sng">
                              <a:solidFill>
                                <a:srgbClr val="000000"/>
                              </a:solidFill>
                              <a:prstDash val="solid"/>
                              <a:round/>
                              <a:headEnd type="none" w="sm" len="sm"/>
                              <a:tailEnd type="triangle" w="med" len="med"/>
                            </a:ln>
                            <a:effectLst>
                              <a:outerShdw blurRad="40000" dist="20000" dir="5400000" rotWithShape="0">
                                <a:srgbClr val="000000">
                                  <a:alpha val="37647"/>
                                </a:srgbClr>
                              </a:outerShdw>
                            </a:effectLst>
                          </wps:spPr>
                          <wps:bodyPr/>
                        </wps:wsp>
                        <wps:wsp>
                          <wps:cNvPr id="386197217" name="Straight Arrow Connector 386197217"/>
                          <wps:cNvCnPr/>
                          <wps:spPr>
                            <a:xfrm>
                              <a:off x="1524000" y="2133600"/>
                              <a:ext cx="2019300" cy="0"/>
                            </a:xfrm>
                            <a:prstGeom prst="straightConnector1">
                              <a:avLst/>
                            </a:prstGeom>
                            <a:noFill/>
                            <a:ln w="25400" cap="flat" cmpd="sng">
                              <a:solidFill>
                                <a:srgbClr val="000000"/>
                              </a:solidFill>
                              <a:prstDash val="solid"/>
                              <a:round/>
                              <a:headEnd type="none" w="sm" len="sm"/>
                              <a:tailEnd type="triangle" w="med" len="med"/>
                            </a:ln>
                            <a:effectLst>
                              <a:outerShdw blurRad="40000" dist="20000" dir="5400000" rotWithShape="0">
                                <a:srgbClr val="000000">
                                  <a:alpha val="37647"/>
                                </a:srgbClr>
                              </a:outerShdw>
                            </a:effectLst>
                          </wps:spPr>
                          <wps:bodyPr/>
                        </wps:wsp>
                        <wps:wsp>
                          <wps:cNvPr id="1382169121" name="Straight Arrow Connector 1382169121"/>
                          <wps:cNvCnPr/>
                          <wps:spPr>
                            <a:xfrm rot="10800000" flipH="1">
                              <a:off x="1476375" y="2133600"/>
                              <a:ext cx="2066925" cy="952500"/>
                            </a:xfrm>
                            <a:prstGeom prst="straightConnector1">
                              <a:avLst/>
                            </a:prstGeom>
                            <a:noFill/>
                            <a:ln w="25400" cap="flat" cmpd="sng">
                              <a:solidFill>
                                <a:srgbClr val="000000"/>
                              </a:solidFill>
                              <a:prstDash val="solid"/>
                              <a:round/>
                              <a:headEnd type="none" w="sm" len="sm"/>
                              <a:tailEnd type="triangle" w="med" len="med"/>
                            </a:ln>
                            <a:effectLst>
                              <a:outerShdw blurRad="40000" dist="20000" dir="5400000" rotWithShape="0">
                                <a:srgbClr val="000000">
                                  <a:alpha val="37647"/>
                                </a:srgbClr>
                              </a:outerShdw>
                            </a:effectLst>
                          </wps:spPr>
                          <wps:bodyPr/>
                        </wps:wsp>
                        <wps:wsp>
                          <wps:cNvPr id="968980926" name="Straight Arrow Connector 968980926"/>
                          <wps:cNvCnPr/>
                          <wps:spPr>
                            <a:xfrm rot="10800000" flipH="1">
                              <a:off x="2409825" y="2133600"/>
                              <a:ext cx="1133475" cy="952500"/>
                            </a:xfrm>
                            <a:prstGeom prst="straightConnector1">
                              <a:avLst/>
                            </a:prstGeom>
                            <a:noFill/>
                            <a:ln w="25400" cap="flat" cmpd="sng">
                              <a:solidFill>
                                <a:srgbClr val="000000"/>
                              </a:solidFill>
                              <a:prstDash val="solid"/>
                              <a:round/>
                              <a:headEnd type="none" w="sm" len="sm"/>
                              <a:tailEnd type="triangle" w="med" len="med"/>
                            </a:ln>
                            <a:effectLst>
                              <a:outerShdw blurRad="40000" dist="20000" dir="5400000" rotWithShape="0">
                                <a:srgbClr val="000000">
                                  <a:alpha val="37647"/>
                                </a:srgbClr>
                              </a:outerShdw>
                            </a:effectLst>
                          </wps:spPr>
                          <wps:bodyPr/>
                        </wps:wsp>
                        <wps:wsp>
                          <wps:cNvPr id="1209566836" name="Rectangle 1209566836"/>
                          <wps:cNvSpPr/>
                          <wps:spPr>
                            <a:xfrm>
                              <a:off x="2724150" y="1085850"/>
                              <a:ext cx="447675" cy="238125"/>
                            </a:xfrm>
                            <a:prstGeom prst="rect">
                              <a:avLst/>
                            </a:prstGeom>
                            <a:noFill/>
                            <a:ln>
                              <a:noFill/>
                            </a:ln>
                          </wps:spPr>
                          <wps:txbx>
                            <w:txbxContent>
                              <w:p w14:paraId="76B8B195" w14:textId="77777777" w:rsidR="007373F6" w:rsidRPr="00CA3E0F" w:rsidRDefault="00000000">
                                <w:pPr>
                                  <w:spacing w:line="258" w:lineRule="auto"/>
                                  <w:jc w:val="center"/>
                                  <w:textDirection w:val="btLr"/>
                                </w:pPr>
                                <w:r w:rsidRPr="00CA3E0F">
                                  <w:rPr>
                                    <w:rFonts w:ascii="Times New Roman" w:eastAsia="Times New Roman" w:hAnsi="Times New Roman" w:cs="Times New Roman"/>
                                    <w:color w:val="000000"/>
                                    <w:sz w:val="20"/>
                                  </w:rPr>
                                  <w:t>H1</w:t>
                                </w:r>
                              </w:p>
                            </w:txbxContent>
                          </wps:txbx>
                          <wps:bodyPr spcFirstLastPara="1" wrap="square" lIns="91425" tIns="45700" rIns="91425" bIns="45700" anchor="ctr" anchorCtr="0">
                            <a:noAutofit/>
                          </wps:bodyPr>
                        </wps:wsp>
                        <wps:wsp>
                          <wps:cNvPr id="963617283" name="Rectangle 963617283"/>
                          <wps:cNvSpPr/>
                          <wps:spPr>
                            <a:xfrm>
                              <a:off x="2209800" y="1247775"/>
                              <a:ext cx="447675" cy="238125"/>
                            </a:xfrm>
                            <a:prstGeom prst="rect">
                              <a:avLst/>
                            </a:prstGeom>
                            <a:noFill/>
                            <a:ln>
                              <a:noFill/>
                            </a:ln>
                          </wps:spPr>
                          <wps:txbx>
                            <w:txbxContent>
                              <w:p w14:paraId="53008F1D" w14:textId="77777777" w:rsidR="007373F6" w:rsidRPr="00CA3E0F" w:rsidRDefault="00000000">
                                <w:pPr>
                                  <w:spacing w:line="258" w:lineRule="auto"/>
                                  <w:jc w:val="center"/>
                                  <w:textDirection w:val="btLr"/>
                                </w:pPr>
                                <w:r w:rsidRPr="00CA3E0F">
                                  <w:rPr>
                                    <w:rFonts w:ascii="Times New Roman" w:eastAsia="Times New Roman" w:hAnsi="Times New Roman" w:cs="Times New Roman"/>
                                    <w:color w:val="000000"/>
                                    <w:sz w:val="20"/>
                                  </w:rPr>
                                  <w:t>H2</w:t>
                                </w:r>
                              </w:p>
                            </w:txbxContent>
                          </wps:txbx>
                          <wps:bodyPr spcFirstLastPara="1" wrap="square" lIns="91425" tIns="45700" rIns="91425" bIns="45700" anchor="ctr" anchorCtr="0">
                            <a:noAutofit/>
                          </wps:bodyPr>
                        </wps:wsp>
                        <wps:wsp>
                          <wps:cNvPr id="2141185149" name="Rectangle 2141185149"/>
                          <wps:cNvSpPr/>
                          <wps:spPr>
                            <a:xfrm>
                              <a:off x="2209800" y="1914525"/>
                              <a:ext cx="447675" cy="238125"/>
                            </a:xfrm>
                            <a:prstGeom prst="rect">
                              <a:avLst/>
                            </a:prstGeom>
                            <a:noFill/>
                            <a:ln>
                              <a:noFill/>
                            </a:ln>
                          </wps:spPr>
                          <wps:txbx>
                            <w:txbxContent>
                              <w:p w14:paraId="46D4A280" w14:textId="77777777" w:rsidR="007373F6" w:rsidRPr="00CA3E0F" w:rsidRDefault="00000000">
                                <w:pPr>
                                  <w:spacing w:line="258" w:lineRule="auto"/>
                                  <w:jc w:val="center"/>
                                  <w:textDirection w:val="btLr"/>
                                </w:pPr>
                                <w:r w:rsidRPr="00CA3E0F">
                                  <w:rPr>
                                    <w:rFonts w:ascii="Times New Roman" w:eastAsia="Times New Roman" w:hAnsi="Times New Roman" w:cs="Times New Roman"/>
                                    <w:color w:val="000000"/>
                                    <w:sz w:val="20"/>
                                  </w:rPr>
                                  <w:t>H3</w:t>
                                </w:r>
                              </w:p>
                            </w:txbxContent>
                          </wps:txbx>
                          <wps:bodyPr spcFirstLastPara="1" wrap="square" lIns="91425" tIns="45700" rIns="91425" bIns="45700" anchor="ctr" anchorCtr="0">
                            <a:noAutofit/>
                          </wps:bodyPr>
                        </wps:wsp>
                        <wps:wsp>
                          <wps:cNvPr id="1240912455" name="Rectangle 1240912455"/>
                          <wps:cNvSpPr/>
                          <wps:spPr>
                            <a:xfrm>
                              <a:off x="2209800" y="2381250"/>
                              <a:ext cx="447675" cy="238125"/>
                            </a:xfrm>
                            <a:prstGeom prst="rect">
                              <a:avLst/>
                            </a:prstGeom>
                            <a:noFill/>
                            <a:ln>
                              <a:noFill/>
                            </a:ln>
                          </wps:spPr>
                          <wps:txbx>
                            <w:txbxContent>
                              <w:p w14:paraId="2CC4DD6D" w14:textId="77777777" w:rsidR="007373F6" w:rsidRPr="00CA3E0F" w:rsidRDefault="00000000">
                                <w:pPr>
                                  <w:spacing w:line="258" w:lineRule="auto"/>
                                  <w:jc w:val="center"/>
                                  <w:textDirection w:val="btLr"/>
                                </w:pPr>
                                <w:r w:rsidRPr="00CA3E0F">
                                  <w:rPr>
                                    <w:rFonts w:ascii="Times New Roman" w:eastAsia="Times New Roman" w:hAnsi="Times New Roman" w:cs="Times New Roman"/>
                                    <w:color w:val="000000"/>
                                    <w:sz w:val="20"/>
                                  </w:rPr>
                                  <w:t>H4</w:t>
                                </w:r>
                              </w:p>
                            </w:txbxContent>
                          </wps:txbx>
                          <wps:bodyPr spcFirstLastPara="1" wrap="square" lIns="91425" tIns="45700" rIns="91425" bIns="45700" anchor="ctr" anchorCtr="0">
                            <a:noAutofit/>
                          </wps:bodyPr>
                        </wps:wsp>
                        <wps:wsp>
                          <wps:cNvPr id="839027939" name="Rectangle 839027939"/>
                          <wps:cNvSpPr/>
                          <wps:spPr>
                            <a:xfrm>
                              <a:off x="2905125" y="2514600"/>
                              <a:ext cx="447675" cy="238125"/>
                            </a:xfrm>
                            <a:prstGeom prst="rect">
                              <a:avLst/>
                            </a:prstGeom>
                            <a:noFill/>
                            <a:ln>
                              <a:noFill/>
                            </a:ln>
                          </wps:spPr>
                          <wps:txbx>
                            <w:txbxContent>
                              <w:p w14:paraId="2904E287" w14:textId="77777777" w:rsidR="007373F6" w:rsidRPr="00CA3E0F" w:rsidRDefault="00000000">
                                <w:pPr>
                                  <w:spacing w:line="258" w:lineRule="auto"/>
                                  <w:jc w:val="center"/>
                                  <w:textDirection w:val="btLr"/>
                                </w:pPr>
                                <w:r w:rsidRPr="00CA3E0F">
                                  <w:rPr>
                                    <w:rFonts w:ascii="Times New Roman" w:eastAsia="Times New Roman" w:hAnsi="Times New Roman" w:cs="Times New Roman"/>
                                    <w:color w:val="000000"/>
                                    <w:sz w:val="20"/>
                                  </w:rPr>
                                  <w:t>H5</w:t>
                                </w:r>
                              </w:p>
                            </w:txbxContent>
                          </wps:txbx>
                          <wps:bodyPr spcFirstLastPara="1" wrap="square" lIns="91425" tIns="45700" rIns="91425" bIns="45700" anchor="ctr" anchorCtr="0">
                            <a:noAutofit/>
                          </wps:bodyPr>
                        </wps:wsp>
                      </wpg:grpSp>
                    </wpg:wgp>
                  </a:graphicData>
                </a:graphic>
              </wp:inline>
            </w:drawing>
          </mc:Choice>
          <mc:Fallback>
            <w:pict>
              <v:group w14:anchorId="3A27E7F9" id="Group 1931061958" o:spid="_x0000_s1026" style="width:399.1pt;height:309.85pt;mso-position-horizontal-relative:char;mso-position-vertical-relative:line" coordorigin="27988,17998" coordsize="50942,39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">
                <v:group id="Group 1234015303" o:spid="_x0000_s1027" style="position:absolute;left:28116;top:18126;width:50688;height:39348" coordsize="50673,3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">
                  <v:rect id="Rectangle 1487739126" o:spid="_x0000_s1028" style="position:absolute;width:50673;height:393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" filled="f" stroked="f">
                    <v:textbox inset="2.53958mm,2.53958mm,2.53958mm,2.53958mm">
                      <w:txbxContent>
                        <w:p w14:paraId="734FFD9C" w14:textId="77777777" w:rsidR="007373F6" w:rsidRPr="00CA3E0F" w:rsidRDefault="007373F6">
                          <w:pPr>
                            <w:spacing w:after="0" w:line="240" w:lineRule="auto"/>
                            <w:textDirection w:val="btLr"/>
                          </w:pPr>
                        </w:p>
                      </w:txbxContent>
                    </v:textbox>
                  </v:rect>
                  <v:oval id="Oval 1262635198" o:spid="_x0000_s1029" style="position:absolute;left:16002;width:12287;height:7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" strokeweight="2pt">
                    <v:stroke startarrowwidth="narrow" startarrowlength="short" endarrowwidth="narrow" endarrowlength="short"/>
                    <v:textbox inset="2.53958mm,1.2694mm,2.53958mm,1.2694mm">
                      <w:txbxContent>
                        <w:p w14:paraId="37A0AF1B" w14:textId="77777777" w:rsidR="007373F6" w:rsidRPr="00CA3E0F" w:rsidRDefault="00000000">
                          <w:pPr>
                            <w:spacing w:after="0" w:line="240" w:lineRule="auto"/>
                            <w:jc w:val="center"/>
                            <w:textDirection w:val="btLr"/>
                          </w:pPr>
                          <w:r w:rsidRPr="00CA3E0F">
                            <w:rPr>
                              <w:rFonts w:ascii="Times New Roman" w:eastAsia="Times New Roman" w:hAnsi="Times New Roman" w:cs="Times New Roman"/>
                              <w:color w:val="000000"/>
                            </w:rPr>
                            <w:t>Costing (X1)</w:t>
                          </w:r>
                        </w:p>
                      </w:txbxContent>
                    </v:textbox>
                  </v:oval>
                  <v:oval id="Oval 867126151" o:spid="_x0000_s1030" style="position:absolute;top:4953;width:16668;height:10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" strokeweight="2pt">
                    <v:stroke startarrowwidth="narrow" startarrowlength="short" endarrowwidth="narrow" endarrowlength="short"/>
                    <v:textbox inset="2.53958mm,1.2694mm,2.53958mm,1.2694mm">
                      <w:txbxContent>
                        <w:p w14:paraId="51782BEA" w14:textId="77777777" w:rsidR="007373F6" w:rsidRPr="00CA3E0F" w:rsidRDefault="00000000">
                          <w:pPr>
                            <w:spacing w:after="0" w:line="240" w:lineRule="auto"/>
                            <w:jc w:val="center"/>
                            <w:textDirection w:val="btLr"/>
                          </w:pPr>
                          <w:r w:rsidRPr="00CA3E0F">
                            <w:rPr>
                              <w:rFonts w:ascii="Times New Roman" w:eastAsia="Times New Roman" w:hAnsi="Times New Roman" w:cs="Times New Roman"/>
                              <w:color w:val="000000"/>
                            </w:rPr>
                            <w:t>Planning, control &amp; performance measurement (X2)</w:t>
                          </w:r>
                        </w:p>
                      </w:txbxContent>
                    </v:textbox>
                  </v:oval>
                  <v:oval id="Oval 1412067882" o:spid="_x0000_s1031" style="position:absolute;top:16859;width:15240;height:8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" strokeweight="2pt">
                    <v:stroke startarrowwidth="narrow" startarrowlength="short" endarrowwidth="narrow" endarrowlength="short"/>
                    <v:textbox inset="2.53958mm,1.2694mm,2.53958mm,1.2694mm">
                      <w:txbxContent>
                        <w:p w14:paraId="5FDC93CD" w14:textId="77777777" w:rsidR="007373F6" w:rsidRPr="00CA3E0F" w:rsidRDefault="00000000">
                          <w:pPr>
                            <w:spacing w:after="0" w:line="240" w:lineRule="auto"/>
                            <w:jc w:val="center"/>
                            <w:textDirection w:val="btLr"/>
                          </w:pPr>
                          <w:r w:rsidRPr="00CA3E0F">
                            <w:rPr>
                              <w:rFonts w:ascii="Times New Roman" w:eastAsia="Times New Roman" w:hAnsi="Times New Roman" w:cs="Times New Roman"/>
                              <w:color w:val="000000"/>
                              <w:sz w:val="24"/>
                            </w:rPr>
                            <w:t>Strategic decision-making</w:t>
                          </w:r>
                          <w:r w:rsidRPr="00CA3E0F">
                            <w:rPr>
                              <w:rFonts w:ascii="Times New Roman" w:eastAsia="Times New Roman" w:hAnsi="Times New Roman" w:cs="Times New Roman"/>
                              <w:color w:val="000000"/>
                            </w:rPr>
                            <w:t xml:space="preserve"> (X3)</w:t>
                          </w:r>
                        </w:p>
                      </w:txbxContent>
                    </v:textbox>
                  </v:oval>
                  <v:oval id="Oval 531228917" o:spid="_x0000_s1032" style="position:absolute;top:27527;width:14763;height:8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" strokeweight="2pt">
                    <v:stroke startarrowwidth="narrow" startarrowlength="short" endarrowwidth="narrow" endarrowlength="short"/>
                    <v:textbox inset="2.53958mm,1.2694mm,2.53958mm,1.2694mm">
                      <w:txbxContent>
                        <w:p w14:paraId="3B5DA317" w14:textId="77777777" w:rsidR="007373F6" w:rsidRPr="00CA3E0F" w:rsidRDefault="00000000">
                          <w:pPr>
                            <w:spacing w:after="0" w:line="240" w:lineRule="auto"/>
                            <w:jc w:val="center"/>
                            <w:textDirection w:val="btLr"/>
                          </w:pPr>
                          <w:r w:rsidRPr="00CA3E0F">
                            <w:rPr>
                              <w:rFonts w:ascii="Times New Roman" w:eastAsia="Times New Roman" w:hAnsi="Times New Roman" w:cs="Times New Roman"/>
                              <w:color w:val="000000"/>
                            </w:rPr>
                            <w:t>Competitor accounting (X4)</w:t>
                          </w:r>
                        </w:p>
                      </w:txbxContent>
                    </v:textbox>
                  </v:oval>
                  <v:oval id="Oval 711943407" o:spid="_x0000_s1033" style="position:absolute;left:15906;top:30861;width:14764;height:8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" strokeweight="2pt">
                    <v:stroke startarrowwidth="narrow" startarrowlength="short" endarrowwidth="narrow" endarrowlength="short"/>
                    <v:textbox inset="2.53958mm,1.2694mm,2.53958mm,1.2694mm">
                      <w:txbxContent>
                        <w:p w14:paraId="32FC2B2D" w14:textId="77777777" w:rsidR="007373F6" w:rsidRPr="00CA3E0F" w:rsidRDefault="00000000">
                          <w:pPr>
                            <w:spacing w:after="0" w:line="240" w:lineRule="auto"/>
                            <w:jc w:val="center"/>
                            <w:textDirection w:val="btLr"/>
                          </w:pPr>
                          <w:r w:rsidRPr="00CA3E0F">
                            <w:rPr>
                              <w:rFonts w:ascii="Times New Roman" w:eastAsia="Times New Roman" w:hAnsi="Times New Roman" w:cs="Times New Roman"/>
                              <w:color w:val="000000"/>
                            </w:rPr>
                            <w:t>Customer accounting (X5)</w:t>
                          </w:r>
                        </w:p>
                      </w:txbxContent>
                    </v:textbox>
                  </v:oval>
                  <v:oval id="Oval 789282381" o:spid="_x0000_s1034" style="position:absolute;left:35433;top:16859;width:15240;height:8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" strokeweight="2pt">
                    <v:stroke startarrowwidth="narrow" startarrowlength="short" endarrowwidth="narrow" endarrowlength="short"/>
                    <v:textbox inset="2.53958mm,1.2694mm,2.53958mm,1.2694mm">
                      <w:txbxContent>
                        <w:p w14:paraId="237ED29A" w14:textId="77777777" w:rsidR="007373F6" w:rsidRPr="00CA3E0F" w:rsidRDefault="00000000">
                          <w:pPr>
                            <w:spacing w:after="0" w:line="240" w:lineRule="auto"/>
                            <w:jc w:val="center"/>
                            <w:textDirection w:val="btLr"/>
                          </w:pPr>
                          <w:r w:rsidRPr="00CA3E0F">
                            <w:rPr>
                              <w:rFonts w:ascii="Times New Roman" w:eastAsia="Times New Roman" w:hAnsi="Times New Roman" w:cs="Times New Roman"/>
                              <w:color w:val="000000"/>
                            </w:rPr>
                            <w:t>Business Decision Making (Y)</w:t>
                          </w:r>
                        </w:p>
                      </w:txbxContent>
                    </v:textbox>
                  </v:oval>
                  <v:shapetype id="_x0000_t32" coordsize="21600,21600" o:spt="32" o:oned="t" path="m,l21600,21600e" filled="f">
                    <v:path arrowok="t" fillok="f" o:connecttype="none"/>
                    <o:lock v:ext="edit" shapetype="t"/>
                  </v:shapetype>
                  <v:shape id="Straight Arrow Connector 845134396" o:spid="_x0000_s1035" type="#_x0000_t32" style="position:absolute;left:22574;top:7810;width:12859;height:135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" strokeweight="2pt">
                    <v:stroke startarrowwidth="narrow" startarrowlength="short" endarrow="block"/>
                    <v:shadow on="t" color="black" opacity="24672f" origin=",.5" offset="0,.55556mm"/>
                  </v:shape>
                  <v:shape id="Straight Arrow Connector 1403581492" o:spid="_x0000_s1036" type="#_x0000_t32" style="position:absolute;left:16668;top:10858;width:18765;height:104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" strokeweight="2pt">
                    <v:stroke startarrowwidth="narrow" startarrowlength="short" endarrow="block"/>
                    <v:shadow on="t" color="black" opacity="24672f" origin=",.5" offset="0,.55556mm"/>
                  </v:shape>
                  <v:shape id="Straight Arrow Connector 386197217" o:spid="_x0000_s1037" type="#_x0000_t32" style="position:absolute;left:15240;top:21336;width:201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" strokeweight="2pt">
                    <v:stroke startarrowwidth="narrow" startarrowlength="short" endarrow="block"/>
                    <v:shadow on="t" color="black" opacity="24672f" origin=",.5" offset="0,.55556mm"/>
                  </v:shape>
                  <v:shape id="Straight Arrow Connector 1382169121" o:spid="_x0000_s1038" type="#_x0000_t32" style="position:absolute;left:14763;top:21336;width:20670;height:9525;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" strokeweight="2pt">
                    <v:stroke startarrowwidth="narrow" startarrowlength="short" endarrow="block"/>
                    <v:shadow on="t" color="black" opacity="24672f" origin=",.5" offset="0,.55556mm"/>
                  </v:shape>
                  <v:shape id="Straight Arrow Connector 968980926" o:spid="_x0000_s1039" type="#_x0000_t32" style="position:absolute;left:24098;top:21336;width:11335;height:9525;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" strokeweight="2pt">
                    <v:stroke startarrowwidth="narrow" startarrowlength="short" endarrow="block"/>
                    <v:shadow on="t" color="black" opacity="24672f" origin=",.5" offset="0,.55556mm"/>
                  </v:shape>
                  <v:rect id="Rectangle 1209566836" o:spid="_x0000_s1040" style="position:absolute;left:27241;top:10858;width:4477;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" filled="f" stroked="f">
                    <v:textbox inset="2.53958mm,1.2694mm,2.53958mm,1.2694mm">
                      <w:txbxContent>
                        <w:p w14:paraId="76B8B195" w14:textId="77777777" w:rsidR="007373F6" w:rsidRPr="00CA3E0F" w:rsidRDefault="00000000">
                          <w:pPr>
                            <w:spacing w:line="258" w:lineRule="auto"/>
                            <w:jc w:val="center"/>
                            <w:textDirection w:val="btLr"/>
                          </w:pPr>
                          <w:r w:rsidRPr="00CA3E0F">
                            <w:rPr>
                              <w:rFonts w:ascii="Times New Roman" w:eastAsia="Times New Roman" w:hAnsi="Times New Roman" w:cs="Times New Roman"/>
                              <w:color w:val="000000"/>
                              <w:sz w:val="20"/>
                            </w:rPr>
                            <w:t>H1</w:t>
                          </w:r>
                        </w:p>
                      </w:txbxContent>
                    </v:textbox>
                  </v:rect>
                  <v:rect id="Rectangle 963617283" o:spid="_x0000_s1041" style="position:absolute;left:22098;top:12477;width:4476;height:2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" filled="f" stroked="f">
                    <v:textbox inset="2.53958mm,1.2694mm,2.53958mm,1.2694mm">
                      <w:txbxContent>
                        <w:p w14:paraId="53008F1D" w14:textId="77777777" w:rsidR="007373F6" w:rsidRPr="00CA3E0F" w:rsidRDefault="00000000">
                          <w:pPr>
                            <w:spacing w:line="258" w:lineRule="auto"/>
                            <w:jc w:val="center"/>
                            <w:textDirection w:val="btLr"/>
                          </w:pPr>
                          <w:r w:rsidRPr="00CA3E0F">
                            <w:rPr>
                              <w:rFonts w:ascii="Times New Roman" w:eastAsia="Times New Roman" w:hAnsi="Times New Roman" w:cs="Times New Roman"/>
                              <w:color w:val="000000"/>
                              <w:sz w:val="20"/>
                            </w:rPr>
                            <w:t>H2</w:t>
                          </w:r>
                        </w:p>
                      </w:txbxContent>
                    </v:textbox>
                  </v:rect>
                  <v:rect id="Rectangle 2141185149" o:spid="_x0000_s1042" style="position:absolute;left:22098;top:19145;width:447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" filled="f" stroked="f">
                    <v:textbox inset="2.53958mm,1.2694mm,2.53958mm,1.2694mm">
                      <w:txbxContent>
                        <w:p w14:paraId="46D4A280" w14:textId="77777777" w:rsidR="007373F6" w:rsidRPr="00CA3E0F" w:rsidRDefault="00000000">
                          <w:pPr>
                            <w:spacing w:line="258" w:lineRule="auto"/>
                            <w:jc w:val="center"/>
                            <w:textDirection w:val="btLr"/>
                          </w:pPr>
                          <w:r w:rsidRPr="00CA3E0F">
                            <w:rPr>
                              <w:rFonts w:ascii="Times New Roman" w:eastAsia="Times New Roman" w:hAnsi="Times New Roman" w:cs="Times New Roman"/>
                              <w:color w:val="000000"/>
                              <w:sz w:val="20"/>
                            </w:rPr>
                            <w:t>H3</w:t>
                          </w:r>
                        </w:p>
                      </w:txbxContent>
                    </v:textbox>
                  </v:rect>
                  <v:rect id="Rectangle 1240912455" o:spid="_x0000_s1043" style="position:absolute;left:22098;top:23812;width:447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" filled="f" stroked="f">
                    <v:textbox inset="2.53958mm,1.2694mm,2.53958mm,1.2694mm">
                      <w:txbxContent>
                        <w:p w14:paraId="2CC4DD6D" w14:textId="77777777" w:rsidR="007373F6" w:rsidRPr="00CA3E0F" w:rsidRDefault="00000000">
                          <w:pPr>
                            <w:spacing w:line="258" w:lineRule="auto"/>
                            <w:jc w:val="center"/>
                            <w:textDirection w:val="btLr"/>
                          </w:pPr>
                          <w:r w:rsidRPr="00CA3E0F">
                            <w:rPr>
                              <w:rFonts w:ascii="Times New Roman" w:eastAsia="Times New Roman" w:hAnsi="Times New Roman" w:cs="Times New Roman"/>
                              <w:color w:val="000000"/>
                              <w:sz w:val="20"/>
                            </w:rPr>
                            <w:t>H4</w:t>
                          </w:r>
                        </w:p>
                      </w:txbxContent>
                    </v:textbox>
                  </v:rect>
                  <v:rect id="Rectangle 839027939" o:spid="_x0000_s1044" style="position:absolute;left:29051;top:25146;width:4477;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" filled="f" stroked="f">
                    <v:textbox inset="2.53958mm,1.2694mm,2.53958mm,1.2694mm">
                      <w:txbxContent>
                        <w:p w14:paraId="2904E287" w14:textId="77777777" w:rsidR="007373F6" w:rsidRPr="00CA3E0F" w:rsidRDefault="00000000">
                          <w:pPr>
                            <w:spacing w:line="258" w:lineRule="auto"/>
                            <w:jc w:val="center"/>
                            <w:textDirection w:val="btLr"/>
                          </w:pPr>
                          <w:r w:rsidRPr="00CA3E0F">
                            <w:rPr>
                              <w:rFonts w:ascii="Times New Roman" w:eastAsia="Times New Roman" w:hAnsi="Times New Roman" w:cs="Times New Roman"/>
                              <w:color w:val="000000"/>
                              <w:sz w:val="20"/>
                            </w:rPr>
                            <w:t>H5</w:t>
                          </w:r>
                        </w:p>
                      </w:txbxContent>
                    </v:textbox>
                  </v:rect>
                </v:group>
                <w10:anchorlock/>
              </v:group>
            </w:pict>
          </mc:Fallback>
        </mc:AlternateContent>
      </w:r>
    </w:p>
    <w:p w14:paraId="75354808" w14:textId="77777777" w:rsidR="007373F6" w:rsidRDefault="007373F6" w:rsidP="00CA3E0F">
      <w:pPr>
        <w:tabs>
          <w:tab w:val="left" w:pos="3240"/>
        </w:tabs>
        <w:spacing w:after="0" w:line="240" w:lineRule="auto"/>
        <w:rPr>
          <w:rFonts w:ascii="Times New Roman" w:eastAsia="Times New Roman" w:hAnsi="Times New Roman" w:cs="Times New Roman"/>
          <w:b/>
          <w:sz w:val="24"/>
          <w:szCs w:val="24"/>
        </w:rPr>
      </w:pPr>
    </w:p>
    <w:p w14:paraId="18195DBC" w14:textId="77777777" w:rsidR="007373F6" w:rsidRDefault="007373F6">
      <w:pPr>
        <w:tabs>
          <w:tab w:val="left" w:pos="3240"/>
        </w:tabs>
        <w:spacing w:after="0" w:line="240" w:lineRule="auto"/>
        <w:jc w:val="both"/>
        <w:rPr>
          <w:rFonts w:ascii="Times New Roman" w:eastAsia="Times New Roman" w:hAnsi="Times New Roman" w:cs="Times New Roman"/>
          <w:b/>
          <w:sz w:val="24"/>
          <w:szCs w:val="24"/>
        </w:rPr>
      </w:pPr>
    </w:p>
    <w:p w14:paraId="202DAE78" w14:textId="77777777" w:rsidR="007373F6" w:rsidRDefault="00000000" w:rsidP="00856618">
      <w:pPr>
        <w:numPr>
          <w:ilvl w:val="0"/>
          <w:numId w:val="13"/>
        </w:numPr>
        <w:spacing w:after="200" w:line="240" w:lineRule="auto"/>
        <w:ind w:left="284" w:hanging="284"/>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METHODOLOGY</w:t>
      </w:r>
    </w:p>
    <w:p w14:paraId="138AFBC7"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population of this study was comprised of MSME Actors/Owners in East Java Province. The sample is comprised of MSMEs that have been in operation for a minimum of one year. The distribution of the questionnaire commenced in January 2025 and concluded in April 2025, with a total of 600 questionnaires disseminated. The results of the questionnaire distribution revealed that 366 samples met the research criteria.</w:t>
      </w:r>
    </w:p>
    <w:p w14:paraId="55E9AE06" w14:textId="77777777" w:rsidR="007373F6" w:rsidRDefault="007373F6">
      <w:pPr>
        <w:spacing w:after="0" w:line="240" w:lineRule="auto"/>
        <w:jc w:val="both"/>
        <w:rPr>
          <w:rFonts w:ascii="Times New Roman" w:eastAsia="Times New Roman" w:hAnsi="Times New Roman" w:cs="Times New Roman"/>
          <w:b/>
          <w:sz w:val="24"/>
          <w:szCs w:val="24"/>
        </w:rPr>
      </w:pPr>
    </w:p>
    <w:p w14:paraId="00C606E2" w14:textId="77777777" w:rsidR="007373F6" w:rsidRDefault="00000000">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Table 1. </w:t>
      </w:r>
      <w:r w:rsidRPr="00CA3E0F">
        <w:rPr>
          <w:rFonts w:ascii="Times New Roman" w:eastAsia="Times New Roman" w:hAnsi="Times New Roman" w:cs="Times New Roman"/>
          <w:bCs/>
          <w:sz w:val="24"/>
          <w:szCs w:val="24"/>
        </w:rPr>
        <w:t>Questionnaire Distribution Results</w:t>
      </w:r>
    </w:p>
    <w:tbl>
      <w:tblPr>
        <w:tblStyle w:val="a2"/>
        <w:tblW w:w="5000" w:type="pct"/>
        <w:jc w:val="center"/>
        <w:tblBorders>
          <w:top w:val="single" w:sz="4" w:space="0" w:color="7F7F7F"/>
          <w:bottom w:val="single" w:sz="4" w:space="0" w:color="7F7F7F"/>
        </w:tblBorders>
        <w:tblLook w:val="04A0" w:firstRow="1" w:lastRow="0" w:firstColumn="1" w:lastColumn="0" w:noHBand="0" w:noVBand="1"/>
      </w:tblPr>
      <w:tblGrid>
        <w:gridCol w:w="4204"/>
        <w:gridCol w:w="2457"/>
        <w:gridCol w:w="2365"/>
      </w:tblGrid>
      <w:tr w:rsidR="007373F6" w14:paraId="6A707AC8" w14:textId="77777777" w:rsidTr="00CA3E0F">
        <w:trPr>
          <w:cnfStyle w:val="100000000000" w:firstRow="1" w:lastRow="0" w:firstColumn="0" w:lastColumn="0" w:oddVBand="0" w:evenVBand="0" w:oddHBand="0" w:evenHBand="0" w:firstRowFirstColumn="0" w:firstRowLastColumn="0" w:lastRowFirstColumn="0" w:lastRowLastColumn="0"/>
          <w:trHeight w:val="159"/>
          <w:jc w:val="center"/>
        </w:trPr>
        <w:tc>
          <w:tcPr>
            <w:cnfStyle w:val="001000000000" w:firstRow="0" w:lastRow="0" w:firstColumn="1" w:lastColumn="0" w:oddVBand="0" w:evenVBand="0" w:oddHBand="0" w:evenHBand="0" w:firstRowFirstColumn="0" w:firstRowLastColumn="0" w:lastRowFirstColumn="0" w:lastRowLastColumn="0"/>
            <w:tcW w:w="2329" w:type="pct"/>
            <w:vMerge w:val="restart"/>
          </w:tcPr>
          <w:p w14:paraId="4802B264" w14:textId="77777777" w:rsidR="007373F6"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Information</w:t>
            </w:r>
          </w:p>
        </w:tc>
        <w:tc>
          <w:tcPr>
            <w:tcW w:w="2671" w:type="pct"/>
            <w:gridSpan w:val="2"/>
          </w:tcPr>
          <w:p w14:paraId="2A827934" w14:textId="77777777" w:rsidR="007373F6" w:rsidRDefault="0000000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Response</w:t>
            </w:r>
          </w:p>
        </w:tc>
      </w:tr>
      <w:tr w:rsidR="007373F6" w14:paraId="3F809A0C" w14:textId="77777777" w:rsidTr="00CA3E0F">
        <w:trPr>
          <w:cnfStyle w:val="000000100000" w:firstRow="0" w:lastRow="0" w:firstColumn="0" w:lastColumn="0" w:oddVBand="0" w:evenVBand="0" w:oddHBand="1" w:evenHBand="0" w:firstRowFirstColumn="0" w:firstRowLastColumn="0" w:lastRowFirstColumn="0" w:lastRowLastColumn="0"/>
          <w:trHeight w:val="84"/>
          <w:jc w:val="center"/>
        </w:trPr>
        <w:tc>
          <w:tcPr>
            <w:cnfStyle w:val="001000000000" w:firstRow="0" w:lastRow="0" w:firstColumn="1" w:lastColumn="0" w:oddVBand="0" w:evenVBand="0" w:oddHBand="0" w:evenHBand="0" w:firstRowFirstColumn="0" w:firstRowLastColumn="0" w:lastRowFirstColumn="0" w:lastRowLastColumn="0"/>
            <w:tcW w:w="2329" w:type="pct"/>
            <w:vMerge/>
          </w:tcPr>
          <w:p w14:paraId="78234204"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1361" w:type="pct"/>
          </w:tcPr>
          <w:p w14:paraId="7BA87ADA" w14:textId="77777777" w:rsidR="007373F6" w:rsidRDefault="000000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b/>
                <w:sz w:val="24"/>
                <w:szCs w:val="24"/>
              </w:rPr>
              <w:t>Frequency</w:t>
            </w:r>
          </w:p>
        </w:tc>
        <w:tc>
          <w:tcPr>
            <w:tcW w:w="1310" w:type="pct"/>
          </w:tcPr>
          <w:p w14:paraId="097DF083" w14:textId="77777777" w:rsidR="007373F6" w:rsidRDefault="000000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r>
      <w:tr w:rsidR="007373F6" w14:paraId="305657E6" w14:textId="77777777" w:rsidTr="00CA3E0F">
        <w:trPr>
          <w:trHeight w:val="159"/>
          <w:jc w:val="center"/>
        </w:trPr>
        <w:tc>
          <w:tcPr>
            <w:cnfStyle w:val="001000000000" w:firstRow="0" w:lastRow="0" w:firstColumn="1" w:lastColumn="0" w:oddVBand="0" w:evenVBand="0" w:oddHBand="0" w:evenHBand="0" w:firstRowFirstColumn="0" w:firstRowLastColumn="0" w:lastRowFirstColumn="0" w:lastRowLastColumn="0"/>
            <w:tcW w:w="2329" w:type="pct"/>
          </w:tcPr>
          <w:p w14:paraId="43A28AA3"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Sent</w:t>
            </w:r>
          </w:p>
        </w:tc>
        <w:tc>
          <w:tcPr>
            <w:tcW w:w="1361" w:type="pct"/>
          </w:tcPr>
          <w:p w14:paraId="4DAD659B" w14:textId="77777777" w:rsidR="007373F6"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600</w:t>
            </w:r>
          </w:p>
        </w:tc>
        <w:tc>
          <w:tcPr>
            <w:tcW w:w="1310" w:type="pct"/>
          </w:tcPr>
          <w:p w14:paraId="101FD5B6" w14:textId="77777777" w:rsidR="007373F6"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r>
      <w:tr w:rsidR="007373F6" w14:paraId="45AC0361" w14:textId="77777777" w:rsidTr="00CA3E0F">
        <w:trPr>
          <w:cnfStyle w:val="000000100000" w:firstRow="0" w:lastRow="0" w:firstColumn="0" w:lastColumn="0" w:oddVBand="0" w:evenVBand="0" w:oddHBand="1" w:evenHBand="0" w:firstRowFirstColumn="0" w:firstRowLastColumn="0" w:lastRowFirstColumn="0" w:lastRowLastColumn="0"/>
          <w:trHeight w:val="150"/>
          <w:jc w:val="center"/>
        </w:trPr>
        <w:tc>
          <w:tcPr>
            <w:cnfStyle w:val="001000000000" w:firstRow="0" w:lastRow="0" w:firstColumn="1" w:lastColumn="0" w:oddVBand="0" w:evenVBand="0" w:oddHBand="0" w:evenHBand="0" w:firstRowFirstColumn="0" w:firstRowLastColumn="0" w:lastRowFirstColumn="0" w:lastRowLastColumn="0"/>
            <w:tcW w:w="2329" w:type="pct"/>
          </w:tcPr>
          <w:p w14:paraId="7B76CF8B"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Received</w:t>
            </w:r>
          </w:p>
        </w:tc>
        <w:tc>
          <w:tcPr>
            <w:tcW w:w="1361" w:type="pct"/>
          </w:tcPr>
          <w:p w14:paraId="18050228" w14:textId="77777777" w:rsidR="007373F6" w:rsidRDefault="000000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423</w:t>
            </w:r>
          </w:p>
        </w:tc>
        <w:tc>
          <w:tcPr>
            <w:tcW w:w="1310" w:type="pct"/>
          </w:tcPr>
          <w:p w14:paraId="13307959" w14:textId="77777777" w:rsidR="007373F6" w:rsidRDefault="000000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70.5%</w:t>
            </w:r>
          </w:p>
        </w:tc>
      </w:tr>
      <w:tr w:rsidR="007373F6" w14:paraId="72FDB004" w14:textId="77777777" w:rsidTr="00CA3E0F">
        <w:trPr>
          <w:trHeight w:val="159"/>
          <w:jc w:val="center"/>
        </w:trPr>
        <w:tc>
          <w:tcPr>
            <w:cnfStyle w:val="001000000000" w:firstRow="0" w:lastRow="0" w:firstColumn="1" w:lastColumn="0" w:oddVBand="0" w:evenVBand="0" w:oddHBand="0" w:evenHBand="0" w:firstRowFirstColumn="0" w:firstRowLastColumn="0" w:lastRowFirstColumn="0" w:lastRowLastColumn="0"/>
            <w:tcW w:w="2329" w:type="pct"/>
          </w:tcPr>
          <w:p w14:paraId="730A74FB"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Un-appropriate respondent</w:t>
            </w:r>
          </w:p>
        </w:tc>
        <w:tc>
          <w:tcPr>
            <w:tcW w:w="1361" w:type="pct"/>
          </w:tcPr>
          <w:p w14:paraId="7336ABBB" w14:textId="77777777" w:rsidR="007373F6"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c>
          <w:tcPr>
            <w:tcW w:w="1310" w:type="pct"/>
          </w:tcPr>
          <w:p w14:paraId="13670A2A" w14:textId="77777777" w:rsidR="007373F6"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9,5%</w:t>
            </w:r>
          </w:p>
        </w:tc>
      </w:tr>
      <w:tr w:rsidR="007373F6" w14:paraId="47489F3D" w14:textId="77777777" w:rsidTr="00CA3E0F">
        <w:trPr>
          <w:cnfStyle w:val="000000100000" w:firstRow="0" w:lastRow="0" w:firstColumn="0" w:lastColumn="0" w:oddVBand="0" w:evenVBand="0" w:oddHBand="1" w:evenHBand="0" w:firstRowFirstColumn="0" w:firstRowLastColumn="0" w:lastRowFirstColumn="0" w:lastRowLastColumn="0"/>
          <w:trHeight w:val="150"/>
          <w:jc w:val="center"/>
        </w:trPr>
        <w:tc>
          <w:tcPr>
            <w:cnfStyle w:val="001000000000" w:firstRow="0" w:lastRow="0" w:firstColumn="1" w:lastColumn="0" w:oddVBand="0" w:evenVBand="0" w:oddHBand="0" w:evenHBand="0" w:firstRowFirstColumn="0" w:firstRowLastColumn="0" w:lastRowFirstColumn="0" w:lastRowLastColumn="0"/>
            <w:tcW w:w="2329" w:type="pct"/>
          </w:tcPr>
          <w:p w14:paraId="09568397"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Usable questionnaire</w:t>
            </w:r>
          </w:p>
        </w:tc>
        <w:tc>
          <w:tcPr>
            <w:tcW w:w="1361" w:type="pct"/>
          </w:tcPr>
          <w:p w14:paraId="5702EE54" w14:textId="77777777" w:rsidR="007373F6" w:rsidRDefault="000000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366</w:t>
            </w:r>
          </w:p>
        </w:tc>
        <w:tc>
          <w:tcPr>
            <w:tcW w:w="1310" w:type="pct"/>
          </w:tcPr>
          <w:p w14:paraId="267DE861" w14:textId="77777777" w:rsidR="007373F6" w:rsidRDefault="000000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61%</w:t>
            </w:r>
          </w:p>
        </w:tc>
      </w:tr>
    </w:tbl>
    <w:p w14:paraId="4811C45F"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Source: Data own research (2025)</w:t>
      </w:r>
    </w:p>
    <w:p w14:paraId="6CA748DA" w14:textId="77777777" w:rsidR="007373F6" w:rsidRDefault="007373F6">
      <w:pPr>
        <w:spacing w:after="0" w:line="240" w:lineRule="auto"/>
        <w:ind w:firstLine="720"/>
        <w:jc w:val="both"/>
        <w:rPr>
          <w:rFonts w:ascii="Times New Roman" w:eastAsia="Times New Roman" w:hAnsi="Times New Roman" w:cs="Times New Roman"/>
          <w:sz w:val="24"/>
          <w:szCs w:val="24"/>
        </w:rPr>
      </w:pPr>
    </w:p>
    <w:p w14:paraId="68A2B2F4"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Strategic management accounting is a field that utilizes a range of techniques, with a focus on the internal and external environment of the company. As stated in the research by (Cadez &amp; </w:t>
      </w:r>
      <w:proofErr w:type="spellStart"/>
      <w:r>
        <w:rPr>
          <w:rFonts w:ascii="Times New Roman" w:eastAsia="Times New Roman" w:hAnsi="Times New Roman" w:cs="Times New Roman"/>
          <w:sz w:val="24"/>
          <w:szCs w:val="24"/>
        </w:rPr>
        <w:t>Guilding</w:t>
      </w:r>
      <w:proofErr w:type="spellEnd"/>
      <w:r>
        <w:rPr>
          <w:rFonts w:ascii="Times New Roman" w:eastAsia="Times New Roman" w:hAnsi="Times New Roman" w:cs="Times New Roman"/>
          <w:sz w:val="24"/>
          <w:szCs w:val="24"/>
        </w:rPr>
        <w:t xml:space="preserve">, 2012), Costing (X1) can be measured using indicators such as Attribute Costing, Life-cycle Costing, Quality Costing, Target Costing, and Value Chain Costing. The planning, control, and performance measurement (X2) process can be evaluated using indicators, such as benchmarking, integration, and performance measurement. Strategic decision-making (X3) can be measured by indicators, namely Strategic Costing (strategic cost management), Strategic </w:t>
      </w:r>
      <w:r>
        <w:rPr>
          <w:rFonts w:ascii="Times New Roman" w:eastAsia="Times New Roman" w:hAnsi="Times New Roman" w:cs="Times New Roman"/>
          <w:sz w:val="24"/>
          <w:szCs w:val="24"/>
        </w:rPr>
        <w:lastRenderedPageBreak/>
        <w:t xml:space="preserve">Pricing, and Brand Valuation. Competitor accounting (X4), which can be measured by indicators such as competitor cost assessment, competitive position monitoring, and competitor performance appraisal. Customer accounting (X5) is a field that lends itself to measurement through the use of indicators. Such indicators include customer profitability analysis, lifetime customer profitability analysis, and valuation of customers as assets. The process of business decision-making is measured by several factors, including customer orientation, revenue projections, customer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customer loyalty, and strategic approach.</w:t>
      </w:r>
    </w:p>
    <w:p w14:paraId="44B819E0"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Multiple linear regression analysis is a methodological framework employed to assess the impact of two or more independent variables on a single dependent variable. The objective of this analysis is to ascertain whether there is a functional or causal relationship between the independent variables (X1, X2, X3, ..., </w:t>
      </w:r>
      <w:proofErr w:type="spellStart"/>
      <w:r>
        <w:rPr>
          <w:rFonts w:ascii="Times New Roman" w:eastAsia="Times New Roman" w:hAnsi="Times New Roman" w:cs="Times New Roman"/>
          <w:sz w:val="24"/>
          <w:szCs w:val="24"/>
        </w:rPr>
        <w:t>Xn</w:t>
      </w:r>
      <w:proofErr w:type="spellEnd"/>
      <w:r>
        <w:rPr>
          <w:rFonts w:ascii="Times New Roman" w:eastAsia="Times New Roman" w:hAnsi="Times New Roman" w:cs="Times New Roman"/>
          <w:sz w:val="24"/>
          <w:szCs w:val="24"/>
        </w:rPr>
        <w:t>) and one dependent variable (</w:t>
      </w:r>
      <w:proofErr w:type="spellStart"/>
      <w:r>
        <w:rPr>
          <w:rFonts w:ascii="Times New Roman" w:eastAsia="Times New Roman" w:hAnsi="Times New Roman" w:cs="Times New Roman"/>
          <w:sz w:val="24"/>
          <w:szCs w:val="24"/>
        </w:rPr>
        <w:t>Ghozali</w:t>
      </w:r>
      <w:proofErr w:type="spellEnd"/>
      <w:r>
        <w:rPr>
          <w:rFonts w:ascii="Times New Roman" w:eastAsia="Times New Roman" w:hAnsi="Times New Roman" w:cs="Times New Roman"/>
          <w:sz w:val="24"/>
          <w:szCs w:val="24"/>
        </w:rPr>
        <w:t>, 2021). This study uses multiple linear regression with SPSS 25 tools. The model used in this study is as follows:</w:t>
      </w:r>
    </w:p>
    <w:p w14:paraId="65C57B0B" w14:textId="77777777" w:rsidR="007373F6" w:rsidRDefault="007373F6">
      <w:pPr>
        <w:spacing w:after="0" w:line="240" w:lineRule="auto"/>
        <w:jc w:val="both"/>
        <w:rPr>
          <w:rFonts w:ascii="Times New Roman" w:eastAsia="Times New Roman" w:hAnsi="Times New Roman" w:cs="Times New Roman"/>
          <w:sz w:val="24"/>
          <w:szCs w:val="24"/>
        </w:rPr>
      </w:pPr>
    </w:p>
    <w:p w14:paraId="640E3893"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Y=α +βX1​+βX2​+βX3+ βX4+ βX5+ϵ…………………………………………(1)</w:t>
      </w:r>
    </w:p>
    <w:p w14:paraId="109D489B" w14:textId="77777777" w:rsidR="007373F6" w:rsidRDefault="007373F6">
      <w:pPr>
        <w:spacing w:after="0" w:line="240" w:lineRule="auto"/>
        <w:jc w:val="both"/>
        <w:rPr>
          <w:rFonts w:ascii="Times New Roman" w:eastAsia="Times New Roman" w:hAnsi="Times New Roman" w:cs="Times New Roman"/>
          <w:sz w:val="24"/>
          <w:szCs w:val="24"/>
        </w:rPr>
      </w:pPr>
    </w:p>
    <w:p w14:paraId="7CF716AE" w14:textId="77777777" w:rsidR="007373F6" w:rsidRDefault="007373F6">
      <w:pPr>
        <w:spacing w:after="0" w:line="240" w:lineRule="auto"/>
        <w:jc w:val="both"/>
        <w:rPr>
          <w:rFonts w:ascii="Times New Roman" w:eastAsia="Times New Roman" w:hAnsi="Times New Roman" w:cs="Times New Roman"/>
          <w:sz w:val="24"/>
          <w:szCs w:val="24"/>
        </w:rPr>
      </w:pPr>
    </w:p>
    <w:p w14:paraId="2E2E1024" w14:textId="77777777" w:rsidR="007373F6" w:rsidRDefault="00000000" w:rsidP="00856618">
      <w:pPr>
        <w:numPr>
          <w:ilvl w:val="0"/>
          <w:numId w:val="13"/>
        </w:numPr>
        <w:spacing w:after="200" w:line="240" w:lineRule="auto"/>
        <w:ind w:left="426" w:hanging="426"/>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FINDINGS AND DISCUSSION</w:t>
      </w:r>
    </w:p>
    <w:p w14:paraId="382E0387" w14:textId="1656D81C" w:rsidR="007373F6" w:rsidRDefault="006503DF">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4.1 Finding</w:t>
      </w:r>
    </w:p>
    <w:p w14:paraId="584A32B3" w14:textId="77777777" w:rsidR="007373F6" w:rsidRDefault="00000000">
      <w:pPr>
        <w:spacing w:after="0" w:line="240" w:lineRule="auto"/>
        <w:ind w:firstLine="357"/>
        <w:jc w:val="both"/>
        <w:rPr>
          <w:rFonts w:ascii="Times New Roman" w:eastAsia="Times New Roman" w:hAnsi="Times New Roman" w:cs="Times New Roman"/>
          <w:sz w:val="24"/>
          <w:szCs w:val="24"/>
        </w:rPr>
      </w:pPr>
      <w:bookmarkStart w:id="40" w:name="_heading=h.cxpp8ic28lnx" w:colFirst="0" w:colLast="0"/>
      <w:bookmarkEnd w:id="40"/>
      <w:r>
        <w:rPr>
          <w:rFonts w:ascii="Times New Roman" w:eastAsia="Times New Roman" w:hAnsi="Times New Roman" w:cs="Times New Roman"/>
          <w:sz w:val="24"/>
          <w:szCs w:val="24"/>
        </w:rPr>
        <w:t>As indicated by the findings presented in Table 2, it can be deduced that the MSME actors in East Java who are the subjects of the present study are at a stage of business growth. The majority of these actors have received secondary education and are of productive age. This finding indicates that these subjects are appropriate candidates for the study of the role of strategic management accounting in business decision making. However, the dearth of formal education can impede the effective application of strategic accounting concepts. Consequently, an educational approach or simplification of the concept is imperative to enhance its applicability to MSME actors.</w:t>
      </w:r>
    </w:p>
    <w:p w14:paraId="3187E302" w14:textId="77777777" w:rsidR="007373F6" w:rsidRDefault="007373F6">
      <w:pPr>
        <w:spacing w:after="0" w:line="240" w:lineRule="auto"/>
        <w:jc w:val="both"/>
        <w:rPr>
          <w:rFonts w:ascii="Times New Roman" w:eastAsia="Times New Roman" w:hAnsi="Times New Roman" w:cs="Times New Roman"/>
          <w:b/>
          <w:sz w:val="24"/>
          <w:szCs w:val="24"/>
        </w:rPr>
      </w:pPr>
    </w:p>
    <w:p w14:paraId="451C7F5F" w14:textId="77777777" w:rsidR="007373F6" w:rsidRDefault="00000000">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Table 2. </w:t>
      </w:r>
      <w:r w:rsidRPr="00CA3E0F">
        <w:rPr>
          <w:rFonts w:ascii="Times New Roman" w:eastAsia="Times New Roman" w:hAnsi="Times New Roman" w:cs="Times New Roman"/>
          <w:bCs/>
          <w:sz w:val="24"/>
          <w:szCs w:val="24"/>
        </w:rPr>
        <w:t>Respondent Characteristics</w:t>
      </w:r>
    </w:p>
    <w:tbl>
      <w:tblPr>
        <w:tblStyle w:val="a3"/>
        <w:tblW w:w="9026" w:type="dxa"/>
        <w:jc w:val="center"/>
        <w:tblBorders>
          <w:top w:val="single" w:sz="4" w:space="0" w:color="000000"/>
          <w:bottom w:val="single" w:sz="4" w:space="0" w:color="000000"/>
          <w:insideH w:val="single" w:sz="4" w:space="0" w:color="000000"/>
          <w:insideV w:val="single" w:sz="4" w:space="0" w:color="000000"/>
        </w:tblBorders>
        <w:tblLayout w:type="fixed"/>
        <w:tblLook w:val="0400" w:firstRow="0" w:lastRow="0" w:firstColumn="0" w:lastColumn="0" w:noHBand="0" w:noVBand="1"/>
      </w:tblPr>
      <w:tblGrid>
        <w:gridCol w:w="2650"/>
        <w:gridCol w:w="2758"/>
        <w:gridCol w:w="3618"/>
      </w:tblGrid>
      <w:tr w:rsidR="007373F6" w14:paraId="3388FF1D" w14:textId="77777777">
        <w:trPr>
          <w:jc w:val="center"/>
        </w:trPr>
        <w:tc>
          <w:tcPr>
            <w:tcW w:w="2650" w:type="dxa"/>
            <w:tcBorders>
              <w:top w:val="single" w:sz="4" w:space="0" w:color="000000"/>
              <w:left w:val="nil"/>
              <w:bottom w:val="single" w:sz="4" w:space="0" w:color="000000"/>
              <w:right w:val="nil"/>
            </w:tcBorders>
          </w:tcPr>
          <w:p w14:paraId="714F2977" w14:textId="77777777" w:rsidR="007373F6" w:rsidRDefault="00000000">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Category</w:t>
            </w:r>
          </w:p>
        </w:tc>
        <w:tc>
          <w:tcPr>
            <w:tcW w:w="2758" w:type="dxa"/>
            <w:tcBorders>
              <w:top w:val="single" w:sz="4" w:space="0" w:color="000000"/>
              <w:left w:val="nil"/>
              <w:bottom w:val="single" w:sz="4" w:space="0" w:color="000000"/>
              <w:right w:val="nil"/>
            </w:tcBorders>
            <w:vAlign w:val="center"/>
          </w:tcPr>
          <w:p w14:paraId="04F69ECA" w14:textId="77777777" w:rsidR="007373F6" w:rsidRDefault="00000000">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Value</w:t>
            </w:r>
          </w:p>
        </w:tc>
        <w:tc>
          <w:tcPr>
            <w:tcW w:w="3618" w:type="dxa"/>
            <w:tcBorders>
              <w:top w:val="single" w:sz="4" w:space="0" w:color="000000"/>
              <w:left w:val="nil"/>
              <w:bottom w:val="single" w:sz="4" w:space="0" w:color="000000"/>
              <w:right w:val="nil"/>
            </w:tcBorders>
            <w:vAlign w:val="center"/>
          </w:tcPr>
          <w:p w14:paraId="043655DF" w14:textId="77777777" w:rsidR="007373F6" w:rsidRDefault="00000000">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Percentage (%)</w:t>
            </w:r>
          </w:p>
        </w:tc>
      </w:tr>
      <w:tr w:rsidR="007373F6" w14:paraId="16F3F9E8" w14:textId="77777777">
        <w:trPr>
          <w:jc w:val="center"/>
        </w:trPr>
        <w:tc>
          <w:tcPr>
            <w:tcW w:w="2650" w:type="dxa"/>
            <w:tcBorders>
              <w:top w:val="nil"/>
              <w:left w:val="nil"/>
              <w:bottom w:val="nil"/>
              <w:right w:val="nil"/>
            </w:tcBorders>
          </w:tcPr>
          <w:p w14:paraId="29AFD0BB"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w:t>
            </w:r>
          </w:p>
        </w:tc>
        <w:tc>
          <w:tcPr>
            <w:tcW w:w="2758" w:type="dxa"/>
            <w:tcBorders>
              <w:top w:val="nil"/>
              <w:left w:val="nil"/>
              <w:bottom w:val="nil"/>
              <w:right w:val="nil"/>
            </w:tcBorders>
            <w:vAlign w:val="center"/>
          </w:tcPr>
          <w:p w14:paraId="58E75D90" w14:textId="77777777" w:rsidR="007373F6"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 – 30 years</w:t>
            </w:r>
          </w:p>
        </w:tc>
        <w:tc>
          <w:tcPr>
            <w:tcW w:w="3618" w:type="dxa"/>
            <w:tcBorders>
              <w:top w:val="single" w:sz="4" w:space="0" w:color="000000"/>
              <w:left w:val="nil"/>
              <w:bottom w:val="nil"/>
              <w:right w:val="nil"/>
            </w:tcBorders>
            <w:vAlign w:val="center"/>
          </w:tcPr>
          <w:p w14:paraId="3EFD5007" w14:textId="77777777" w:rsidR="007373F6"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38.2</w:t>
            </w:r>
          </w:p>
        </w:tc>
      </w:tr>
      <w:tr w:rsidR="007373F6" w14:paraId="6A696D1F" w14:textId="77777777">
        <w:trPr>
          <w:jc w:val="center"/>
        </w:trPr>
        <w:tc>
          <w:tcPr>
            <w:tcW w:w="2650" w:type="dxa"/>
            <w:tcBorders>
              <w:top w:val="nil"/>
              <w:left w:val="nil"/>
              <w:bottom w:val="nil"/>
              <w:right w:val="nil"/>
            </w:tcBorders>
          </w:tcPr>
          <w:p w14:paraId="28C6F932" w14:textId="77777777" w:rsidR="007373F6" w:rsidRDefault="007373F6">
            <w:pPr>
              <w:spacing w:after="0" w:line="240" w:lineRule="auto"/>
              <w:jc w:val="both"/>
              <w:rPr>
                <w:rFonts w:ascii="Times New Roman" w:eastAsia="Times New Roman" w:hAnsi="Times New Roman" w:cs="Times New Roman"/>
                <w:sz w:val="24"/>
                <w:szCs w:val="24"/>
              </w:rPr>
            </w:pPr>
          </w:p>
        </w:tc>
        <w:tc>
          <w:tcPr>
            <w:tcW w:w="2758" w:type="dxa"/>
            <w:tcBorders>
              <w:top w:val="nil"/>
              <w:left w:val="nil"/>
              <w:bottom w:val="nil"/>
              <w:right w:val="nil"/>
            </w:tcBorders>
            <w:vAlign w:val="center"/>
          </w:tcPr>
          <w:p w14:paraId="7452CAAD" w14:textId="77777777" w:rsidR="007373F6"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 – 40 years</w:t>
            </w:r>
          </w:p>
        </w:tc>
        <w:tc>
          <w:tcPr>
            <w:tcW w:w="3618" w:type="dxa"/>
            <w:tcBorders>
              <w:top w:val="nil"/>
              <w:left w:val="nil"/>
              <w:bottom w:val="nil"/>
              <w:right w:val="nil"/>
            </w:tcBorders>
            <w:vAlign w:val="center"/>
          </w:tcPr>
          <w:p w14:paraId="2736550C" w14:textId="77777777" w:rsidR="007373F6"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47.6</w:t>
            </w:r>
          </w:p>
        </w:tc>
      </w:tr>
      <w:tr w:rsidR="007373F6" w14:paraId="3B1C6FED" w14:textId="77777777">
        <w:trPr>
          <w:jc w:val="center"/>
        </w:trPr>
        <w:tc>
          <w:tcPr>
            <w:tcW w:w="2650" w:type="dxa"/>
            <w:tcBorders>
              <w:top w:val="nil"/>
              <w:left w:val="nil"/>
              <w:bottom w:val="single" w:sz="4" w:space="0" w:color="000000"/>
              <w:right w:val="nil"/>
            </w:tcBorders>
          </w:tcPr>
          <w:p w14:paraId="698C2E34" w14:textId="77777777" w:rsidR="007373F6" w:rsidRDefault="007373F6">
            <w:pPr>
              <w:spacing w:after="0" w:line="240" w:lineRule="auto"/>
              <w:jc w:val="both"/>
              <w:rPr>
                <w:rFonts w:ascii="Times New Roman" w:eastAsia="Times New Roman" w:hAnsi="Times New Roman" w:cs="Times New Roman"/>
                <w:sz w:val="24"/>
                <w:szCs w:val="24"/>
              </w:rPr>
            </w:pPr>
          </w:p>
        </w:tc>
        <w:tc>
          <w:tcPr>
            <w:tcW w:w="2758" w:type="dxa"/>
            <w:tcBorders>
              <w:top w:val="nil"/>
              <w:left w:val="nil"/>
              <w:bottom w:val="single" w:sz="4" w:space="0" w:color="000000"/>
              <w:right w:val="nil"/>
            </w:tcBorders>
            <w:vAlign w:val="center"/>
          </w:tcPr>
          <w:p w14:paraId="41D568F7" w14:textId="77777777" w:rsidR="007373F6"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 – 50 years</w:t>
            </w:r>
          </w:p>
        </w:tc>
        <w:tc>
          <w:tcPr>
            <w:tcW w:w="3618" w:type="dxa"/>
            <w:tcBorders>
              <w:top w:val="nil"/>
              <w:left w:val="nil"/>
              <w:bottom w:val="single" w:sz="4" w:space="0" w:color="000000"/>
              <w:right w:val="nil"/>
            </w:tcBorders>
            <w:vAlign w:val="center"/>
          </w:tcPr>
          <w:p w14:paraId="3328B109" w14:textId="77777777" w:rsidR="007373F6"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14.2</w:t>
            </w:r>
          </w:p>
        </w:tc>
      </w:tr>
      <w:tr w:rsidR="007373F6" w14:paraId="73EE71DA" w14:textId="77777777">
        <w:trPr>
          <w:jc w:val="center"/>
        </w:trPr>
        <w:tc>
          <w:tcPr>
            <w:tcW w:w="2650" w:type="dxa"/>
            <w:vMerge w:val="restart"/>
            <w:tcBorders>
              <w:top w:val="single" w:sz="4" w:space="0" w:color="000000"/>
              <w:left w:val="nil"/>
              <w:right w:val="nil"/>
            </w:tcBorders>
          </w:tcPr>
          <w:p w14:paraId="4CFE9FC7"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Gender</w:t>
            </w:r>
          </w:p>
        </w:tc>
        <w:tc>
          <w:tcPr>
            <w:tcW w:w="2758" w:type="dxa"/>
            <w:tcBorders>
              <w:top w:val="single" w:sz="4" w:space="0" w:color="000000"/>
              <w:left w:val="nil"/>
              <w:bottom w:val="nil"/>
              <w:right w:val="nil"/>
            </w:tcBorders>
            <w:vAlign w:val="center"/>
          </w:tcPr>
          <w:p w14:paraId="5F447679" w14:textId="77777777" w:rsidR="007373F6"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Male</w:t>
            </w:r>
          </w:p>
        </w:tc>
        <w:tc>
          <w:tcPr>
            <w:tcW w:w="3618" w:type="dxa"/>
            <w:tcBorders>
              <w:top w:val="single" w:sz="4" w:space="0" w:color="000000"/>
              <w:left w:val="nil"/>
              <w:bottom w:val="nil"/>
              <w:right w:val="nil"/>
            </w:tcBorders>
            <w:vAlign w:val="center"/>
          </w:tcPr>
          <w:p w14:paraId="6081F059" w14:textId="77777777" w:rsidR="007373F6"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54.3</w:t>
            </w:r>
          </w:p>
        </w:tc>
      </w:tr>
      <w:tr w:rsidR="007373F6" w14:paraId="62F5E57B" w14:textId="77777777">
        <w:trPr>
          <w:jc w:val="center"/>
        </w:trPr>
        <w:tc>
          <w:tcPr>
            <w:tcW w:w="2650" w:type="dxa"/>
            <w:vMerge/>
            <w:tcBorders>
              <w:top w:val="single" w:sz="4" w:space="0" w:color="000000"/>
              <w:left w:val="nil"/>
              <w:right w:val="nil"/>
            </w:tcBorders>
          </w:tcPr>
          <w:p w14:paraId="1D92AB23" w14:textId="77777777" w:rsidR="007373F6" w:rsidRDefault="007373F6">
            <w:pPr>
              <w:widowControl w:val="0"/>
              <w:pBdr>
                <w:top w:val="nil"/>
                <w:left w:val="nil"/>
                <w:bottom w:val="nil"/>
                <w:right w:val="nil"/>
                <w:between w:val="nil"/>
              </w:pBdr>
              <w:spacing w:after="0" w:line="276" w:lineRule="auto"/>
              <w:jc w:val="both"/>
              <w:rPr>
                <w:rFonts w:ascii="Times New Roman" w:eastAsia="Times New Roman" w:hAnsi="Times New Roman" w:cs="Times New Roman"/>
                <w:sz w:val="24"/>
                <w:szCs w:val="24"/>
              </w:rPr>
            </w:pPr>
          </w:p>
        </w:tc>
        <w:tc>
          <w:tcPr>
            <w:tcW w:w="2758" w:type="dxa"/>
            <w:tcBorders>
              <w:top w:val="nil"/>
              <w:left w:val="nil"/>
              <w:bottom w:val="single" w:sz="4" w:space="0" w:color="000000"/>
              <w:right w:val="nil"/>
            </w:tcBorders>
            <w:vAlign w:val="center"/>
          </w:tcPr>
          <w:p w14:paraId="1EBC29C5" w14:textId="77777777" w:rsidR="007373F6"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Female</w:t>
            </w:r>
          </w:p>
        </w:tc>
        <w:tc>
          <w:tcPr>
            <w:tcW w:w="3618" w:type="dxa"/>
            <w:tcBorders>
              <w:top w:val="nil"/>
              <w:left w:val="nil"/>
              <w:bottom w:val="single" w:sz="4" w:space="0" w:color="000000"/>
              <w:right w:val="nil"/>
            </w:tcBorders>
            <w:vAlign w:val="center"/>
          </w:tcPr>
          <w:p w14:paraId="339B2C0E" w14:textId="77777777" w:rsidR="007373F6"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45.7</w:t>
            </w:r>
          </w:p>
        </w:tc>
      </w:tr>
      <w:tr w:rsidR="007373F6" w14:paraId="2733B8B2" w14:textId="77777777">
        <w:trPr>
          <w:jc w:val="center"/>
        </w:trPr>
        <w:tc>
          <w:tcPr>
            <w:tcW w:w="2650" w:type="dxa"/>
            <w:vMerge w:val="restart"/>
            <w:tcBorders>
              <w:top w:val="single" w:sz="4" w:space="0" w:color="000000"/>
              <w:left w:val="nil"/>
              <w:right w:val="nil"/>
            </w:tcBorders>
          </w:tcPr>
          <w:p w14:paraId="0E719C11"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Education</w:t>
            </w:r>
          </w:p>
        </w:tc>
        <w:tc>
          <w:tcPr>
            <w:tcW w:w="2758" w:type="dxa"/>
            <w:tcBorders>
              <w:top w:val="single" w:sz="4" w:space="0" w:color="000000"/>
              <w:left w:val="nil"/>
              <w:bottom w:val="nil"/>
              <w:right w:val="nil"/>
            </w:tcBorders>
            <w:vAlign w:val="center"/>
          </w:tcPr>
          <w:p w14:paraId="377CFFBC" w14:textId="77777777" w:rsidR="007373F6"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High School</w:t>
            </w:r>
          </w:p>
        </w:tc>
        <w:tc>
          <w:tcPr>
            <w:tcW w:w="3618" w:type="dxa"/>
            <w:tcBorders>
              <w:top w:val="single" w:sz="4" w:space="0" w:color="000000"/>
              <w:left w:val="nil"/>
              <w:bottom w:val="nil"/>
              <w:right w:val="nil"/>
            </w:tcBorders>
            <w:vAlign w:val="center"/>
          </w:tcPr>
          <w:p w14:paraId="516B94AE" w14:textId="77777777" w:rsidR="007373F6"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62.8</w:t>
            </w:r>
          </w:p>
        </w:tc>
      </w:tr>
      <w:tr w:rsidR="007373F6" w14:paraId="71F9E4F2" w14:textId="77777777">
        <w:trPr>
          <w:jc w:val="center"/>
        </w:trPr>
        <w:tc>
          <w:tcPr>
            <w:tcW w:w="2650" w:type="dxa"/>
            <w:vMerge/>
            <w:tcBorders>
              <w:top w:val="single" w:sz="4" w:space="0" w:color="000000"/>
              <w:left w:val="nil"/>
              <w:right w:val="nil"/>
            </w:tcBorders>
          </w:tcPr>
          <w:p w14:paraId="06414435" w14:textId="77777777" w:rsidR="007373F6" w:rsidRDefault="007373F6">
            <w:pPr>
              <w:widowControl w:val="0"/>
              <w:pBdr>
                <w:top w:val="nil"/>
                <w:left w:val="nil"/>
                <w:bottom w:val="nil"/>
                <w:right w:val="nil"/>
                <w:between w:val="nil"/>
              </w:pBdr>
              <w:spacing w:after="0" w:line="276" w:lineRule="auto"/>
              <w:jc w:val="both"/>
              <w:rPr>
                <w:rFonts w:ascii="Times New Roman" w:eastAsia="Times New Roman" w:hAnsi="Times New Roman" w:cs="Times New Roman"/>
                <w:sz w:val="24"/>
                <w:szCs w:val="24"/>
              </w:rPr>
            </w:pPr>
          </w:p>
        </w:tc>
        <w:tc>
          <w:tcPr>
            <w:tcW w:w="2758" w:type="dxa"/>
            <w:tcBorders>
              <w:top w:val="nil"/>
              <w:left w:val="nil"/>
              <w:bottom w:val="single" w:sz="4" w:space="0" w:color="000000"/>
              <w:right w:val="nil"/>
            </w:tcBorders>
            <w:vAlign w:val="center"/>
          </w:tcPr>
          <w:p w14:paraId="10E259EF" w14:textId="77777777" w:rsidR="007373F6"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Bachelor</w:t>
            </w:r>
          </w:p>
        </w:tc>
        <w:tc>
          <w:tcPr>
            <w:tcW w:w="3618" w:type="dxa"/>
            <w:tcBorders>
              <w:top w:val="nil"/>
              <w:left w:val="nil"/>
              <w:bottom w:val="single" w:sz="4" w:space="0" w:color="000000"/>
              <w:right w:val="nil"/>
            </w:tcBorders>
            <w:vAlign w:val="center"/>
          </w:tcPr>
          <w:p w14:paraId="56A0CD89" w14:textId="77777777" w:rsidR="007373F6"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37.2</w:t>
            </w:r>
          </w:p>
        </w:tc>
      </w:tr>
      <w:tr w:rsidR="007373F6" w14:paraId="0878A4FB" w14:textId="77777777">
        <w:trPr>
          <w:jc w:val="center"/>
        </w:trPr>
        <w:tc>
          <w:tcPr>
            <w:tcW w:w="2650" w:type="dxa"/>
            <w:vMerge w:val="restart"/>
            <w:tcBorders>
              <w:left w:val="nil"/>
              <w:right w:val="nil"/>
            </w:tcBorders>
          </w:tcPr>
          <w:p w14:paraId="1AD11280"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Length of Business</w:t>
            </w:r>
          </w:p>
        </w:tc>
        <w:tc>
          <w:tcPr>
            <w:tcW w:w="2758" w:type="dxa"/>
            <w:tcBorders>
              <w:top w:val="nil"/>
              <w:left w:val="nil"/>
              <w:bottom w:val="nil"/>
              <w:right w:val="nil"/>
            </w:tcBorders>
            <w:vAlign w:val="center"/>
          </w:tcPr>
          <w:p w14:paraId="61BF7245" w14:textId="77777777" w:rsidR="007373F6"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 Years</w:t>
            </w:r>
          </w:p>
        </w:tc>
        <w:tc>
          <w:tcPr>
            <w:tcW w:w="3618" w:type="dxa"/>
            <w:tcBorders>
              <w:top w:val="nil"/>
              <w:left w:val="nil"/>
              <w:bottom w:val="nil"/>
              <w:right w:val="nil"/>
            </w:tcBorders>
            <w:vAlign w:val="center"/>
          </w:tcPr>
          <w:p w14:paraId="088F9CA2" w14:textId="77777777" w:rsidR="007373F6"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20.6</w:t>
            </w:r>
          </w:p>
        </w:tc>
      </w:tr>
      <w:tr w:rsidR="007373F6" w14:paraId="72F0C0A2" w14:textId="77777777">
        <w:trPr>
          <w:jc w:val="center"/>
        </w:trPr>
        <w:tc>
          <w:tcPr>
            <w:tcW w:w="2650" w:type="dxa"/>
            <w:vMerge/>
            <w:tcBorders>
              <w:left w:val="nil"/>
              <w:right w:val="nil"/>
            </w:tcBorders>
          </w:tcPr>
          <w:p w14:paraId="175DF885" w14:textId="77777777" w:rsidR="007373F6" w:rsidRDefault="007373F6">
            <w:pPr>
              <w:widowControl w:val="0"/>
              <w:pBdr>
                <w:top w:val="nil"/>
                <w:left w:val="nil"/>
                <w:bottom w:val="nil"/>
                <w:right w:val="nil"/>
                <w:between w:val="nil"/>
              </w:pBdr>
              <w:spacing w:after="0" w:line="276" w:lineRule="auto"/>
              <w:jc w:val="both"/>
              <w:rPr>
                <w:rFonts w:ascii="Times New Roman" w:eastAsia="Times New Roman" w:hAnsi="Times New Roman" w:cs="Times New Roman"/>
                <w:sz w:val="24"/>
                <w:szCs w:val="24"/>
              </w:rPr>
            </w:pPr>
          </w:p>
        </w:tc>
        <w:tc>
          <w:tcPr>
            <w:tcW w:w="2758" w:type="dxa"/>
            <w:tcBorders>
              <w:top w:val="nil"/>
              <w:left w:val="nil"/>
              <w:bottom w:val="nil"/>
              <w:right w:val="nil"/>
            </w:tcBorders>
            <w:vAlign w:val="center"/>
          </w:tcPr>
          <w:p w14:paraId="0B13B6CC" w14:textId="77777777" w:rsidR="007373F6"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 Years</w:t>
            </w:r>
          </w:p>
        </w:tc>
        <w:tc>
          <w:tcPr>
            <w:tcW w:w="3618" w:type="dxa"/>
            <w:tcBorders>
              <w:top w:val="nil"/>
              <w:left w:val="nil"/>
              <w:bottom w:val="nil"/>
              <w:right w:val="nil"/>
            </w:tcBorders>
            <w:vAlign w:val="center"/>
          </w:tcPr>
          <w:p w14:paraId="0E587798" w14:textId="77777777" w:rsidR="007373F6"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63.8</w:t>
            </w:r>
          </w:p>
        </w:tc>
      </w:tr>
      <w:tr w:rsidR="007373F6" w14:paraId="56EE16E4" w14:textId="77777777">
        <w:trPr>
          <w:jc w:val="center"/>
        </w:trPr>
        <w:tc>
          <w:tcPr>
            <w:tcW w:w="2650" w:type="dxa"/>
            <w:vMerge/>
            <w:tcBorders>
              <w:left w:val="nil"/>
              <w:right w:val="nil"/>
            </w:tcBorders>
          </w:tcPr>
          <w:p w14:paraId="191AEC75" w14:textId="77777777" w:rsidR="007373F6" w:rsidRDefault="007373F6">
            <w:pPr>
              <w:widowControl w:val="0"/>
              <w:pBdr>
                <w:top w:val="nil"/>
                <w:left w:val="nil"/>
                <w:bottom w:val="nil"/>
                <w:right w:val="nil"/>
                <w:between w:val="nil"/>
              </w:pBdr>
              <w:spacing w:after="0" w:line="276" w:lineRule="auto"/>
              <w:jc w:val="both"/>
              <w:rPr>
                <w:rFonts w:ascii="Times New Roman" w:eastAsia="Times New Roman" w:hAnsi="Times New Roman" w:cs="Times New Roman"/>
                <w:sz w:val="24"/>
                <w:szCs w:val="24"/>
              </w:rPr>
            </w:pPr>
          </w:p>
        </w:tc>
        <w:tc>
          <w:tcPr>
            <w:tcW w:w="2758" w:type="dxa"/>
            <w:tcBorders>
              <w:top w:val="nil"/>
              <w:left w:val="nil"/>
              <w:bottom w:val="single" w:sz="4" w:space="0" w:color="000000"/>
              <w:right w:val="nil"/>
            </w:tcBorders>
            <w:vAlign w:val="center"/>
          </w:tcPr>
          <w:p w14:paraId="38EE03AB" w14:textId="77777777" w:rsidR="007373F6" w:rsidRDefault="00000000">
            <w:pPr>
              <w:spacing w:after="0" w:line="240" w:lineRule="auto"/>
              <w:ind w:left="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&gt;5 Years</w:t>
            </w:r>
          </w:p>
        </w:tc>
        <w:tc>
          <w:tcPr>
            <w:tcW w:w="3618" w:type="dxa"/>
            <w:tcBorders>
              <w:top w:val="nil"/>
              <w:left w:val="nil"/>
              <w:bottom w:val="single" w:sz="4" w:space="0" w:color="000000"/>
              <w:right w:val="nil"/>
            </w:tcBorders>
            <w:vAlign w:val="center"/>
          </w:tcPr>
          <w:p w14:paraId="1E0F95AF" w14:textId="77777777" w:rsidR="007373F6"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15.6</w:t>
            </w:r>
          </w:p>
        </w:tc>
      </w:tr>
      <w:tr w:rsidR="007373F6" w14:paraId="39B1A1C8" w14:textId="77777777">
        <w:trPr>
          <w:jc w:val="center"/>
        </w:trPr>
        <w:tc>
          <w:tcPr>
            <w:tcW w:w="5408" w:type="dxa"/>
            <w:gridSpan w:val="2"/>
            <w:tcBorders>
              <w:left w:val="nil"/>
              <w:bottom w:val="single" w:sz="4" w:space="0" w:color="000000"/>
              <w:right w:val="nil"/>
            </w:tcBorders>
          </w:tcPr>
          <w:p w14:paraId="06F10B23" w14:textId="77777777" w:rsidR="007373F6" w:rsidRDefault="00000000">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Total</w:t>
            </w:r>
          </w:p>
        </w:tc>
        <w:tc>
          <w:tcPr>
            <w:tcW w:w="3618" w:type="dxa"/>
            <w:tcBorders>
              <w:top w:val="nil"/>
              <w:left w:val="nil"/>
              <w:bottom w:val="single" w:sz="4" w:space="0" w:color="000000"/>
              <w:right w:val="nil"/>
            </w:tcBorders>
            <w:vAlign w:val="center"/>
          </w:tcPr>
          <w:p w14:paraId="6844FD2D" w14:textId="77777777" w:rsidR="007373F6" w:rsidRDefault="00000000">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w:t>
            </w:r>
          </w:p>
        </w:tc>
      </w:tr>
    </w:tbl>
    <w:p w14:paraId="6E9847DA"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Source: Data own research (2025)</w:t>
      </w:r>
    </w:p>
    <w:p w14:paraId="630959FF" w14:textId="77777777" w:rsidR="007373F6" w:rsidRDefault="007373F6">
      <w:pPr>
        <w:tabs>
          <w:tab w:val="left" w:pos="2835"/>
        </w:tabs>
        <w:spacing w:after="0" w:line="240" w:lineRule="auto"/>
        <w:jc w:val="both"/>
        <w:rPr>
          <w:rFonts w:ascii="Times New Roman" w:eastAsia="Times New Roman" w:hAnsi="Times New Roman" w:cs="Times New Roman"/>
          <w:b/>
          <w:i/>
          <w:sz w:val="24"/>
          <w:szCs w:val="24"/>
        </w:rPr>
      </w:pPr>
    </w:p>
    <w:p w14:paraId="78CE89BD" w14:textId="77777777" w:rsidR="007373F6" w:rsidRDefault="00000000">
      <w:pPr>
        <w:tabs>
          <w:tab w:val="left" w:pos="2835"/>
        </w:tabs>
        <w:spacing w:after="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Descriptive Statistics </w:t>
      </w:r>
    </w:p>
    <w:p w14:paraId="26870C66"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next step after assessing the research data is to process the descriptive statistical data for the research variables. The outcomes of processing the descriptive statistical data of the study variables are displayed in Table 3:</w:t>
      </w:r>
    </w:p>
    <w:p w14:paraId="25F37EE5" w14:textId="77777777" w:rsidR="007373F6" w:rsidRDefault="007373F6">
      <w:pPr>
        <w:spacing w:after="0" w:line="240" w:lineRule="auto"/>
        <w:ind w:firstLine="357"/>
        <w:jc w:val="both"/>
        <w:rPr>
          <w:rFonts w:ascii="Times New Roman" w:eastAsia="Times New Roman" w:hAnsi="Times New Roman" w:cs="Times New Roman"/>
          <w:b/>
          <w:sz w:val="24"/>
          <w:szCs w:val="24"/>
        </w:rPr>
      </w:pPr>
    </w:p>
    <w:p w14:paraId="4A6FB2DD" w14:textId="77777777" w:rsidR="00CA3E0F" w:rsidRDefault="00CA3E0F">
      <w:pPr>
        <w:spacing w:after="0" w:line="240" w:lineRule="auto"/>
        <w:ind w:firstLine="357"/>
        <w:jc w:val="both"/>
        <w:rPr>
          <w:rFonts w:ascii="Times New Roman" w:eastAsia="Times New Roman" w:hAnsi="Times New Roman" w:cs="Times New Roman"/>
          <w:b/>
          <w:sz w:val="24"/>
          <w:szCs w:val="24"/>
        </w:rPr>
      </w:pPr>
    </w:p>
    <w:p w14:paraId="0957E8DE" w14:textId="77777777" w:rsidR="007373F6" w:rsidRDefault="00000000" w:rsidP="00CA3E0F">
      <w:pPr>
        <w:tabs>
          <w:tab w:val="left" w:pos="2835"/>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Table 3. </w:t>
      </w:r>
      <w:r w:rsidRPr="00CA3E0F">
        <w:rPr>
          <w:rFonts w:ascii="Times New Roman" w:eastAsia="Times New Roman" w:hAnsi="Times New Roman" w:cs="Times New Roman"/>
          <w:bCs/>
          <w:sz w:val="24"/>
          <w:szCs w:val="24"/>
        </w:rPr>
        <w:t>Descriptive Statistics</w:t>
      </w:r>
    </w:p>
    <w:tbl>
      <w:tblPr>
        <w:tblStyle w:val="a4"/>
        <w:tblW w:w="5000" w:type="pct"/>
        <w:tblBorders>
          <w:top w:val="single" w:sz="4" w:space="0" w:color="7F7F7F"/>
          <w:bottom w:val="single" w:sz="4" w:space="0" w:color="7F7F7F"/>
        </w:tblBorders>
        <w:tblLook w:val="04A0" w:firstRow="1" w:lastRow="0" w:firstColumn="1" w:lastColumn="0" w:noHBand="0" w:noVBand="1"/>
      </w:tblPr>
      <w:tblGrid>
        <w:gridCol w:w="2427"/>
        <w:gridCol w:w="883"/>
        <w:gridCol w:w="1302"/>
        <w:gridCol w:w="1161"/>
        <w:gridCol w:w="1500"/>
        <w:gridCol w:w="1753"/>
      </w:tblGrid>
      <w:tr w:rsidR="007373F6" w14:paraId="17DBCA72" w14:textId="77777777" w:rsidTr="00CA3E0F">
        <w:trPr>
          <w:cnfStyle w:val="100000000000" w:firstRow="1" w:lastRow="0" w:firstColumn="0" w:lastColumn="0" w:oddVBand="0" w:evenVBand="0" w:oddHBand="0"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1345" w:type="pct"/>
            <w:vAlign w:val="center"/>
          </w:tcPr>
          <w:p w14:paraId="0C8D3FAE"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Variable</w:t>
            </w:r>
          </w:p>
        </w:tc>
        <w:tc>
          <w:tcPr>
            <w:tcW w:w="489" w:type="pct"/>
            <w:vAlign w:val="center"/>
          </w:tcPr>
          <w:p w14:paraId="21D09E13" w14:textId="77777777" w:rsidR="007373F6" w:rsidRDefault="00000000">
            <w:pPr>
              <w:ind w:left="60" w:right="6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N</w:t>
            </w:r>
          </w:p>
        </w:tc>
        <w:tc>
          <w:tcPr>
            <w:tcW w:w="721" w:type="pct"/>
            <w:vAlign w:val="center"/>
          </w:tcPr>
          <w:p w14:paraId="5B4D0AA7" w14:textId="77777777" w:rsidR="007373F6" w:rsidRDefault="00000000">
            <w:pPr>
              <w:ind w:left="60" w:right="6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Min</w:t>
            </w:r>
          </w:p>
        </w:tc>
        <w:tc>
          <w:tcPr>
            <w:tcW w:w="643" w:type="pct"/>
            <w:vAlign w:val="center"/>
          </w:tcPr>
          <w:p w14:paraId="359E9B02" w14:textId="77777777" w:rsidR="007373F6" w:rsidRDefault="00000000">
            <w:pPr>
              <w:ind w:left="60" w:right="6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Max</w:t>
            </w:r>
          </w:p>
        </w:tc>
        <w:tc>
          <w:tcPr>
            <w:tcW w:w="831" w:type="pct"/>
            <w:vAlign w:val="center"/>
          </w:tcPr>
          <w:p w14:paraId="20AD7C9C" w14:textId="77777777" w:rsidR="007373F6" w:rsidRDefault="00000000">
            <w:pPr>
              <w:ind w:left="60" w:right="6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Mean</w:t>
            </w:r>
          </w:p>
        </w:tc>
        <w:tc>
          <w:tcPr>
            <w:tcW w:w="971" w:type="pct"/>
            <w:vAlign w:val="center"/>
          </w:tcPr>
          <w:p w14:paraId="3A924131" w14:textId="77777777" w:rsidR="007373F6" w:rsidRDefault="00000000">
            <w:pPr>
              <w:ind w:left="60" w:right="6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Std.Dev</w:t>
            </w:r>
            <w:proofErr w:type="spellEnd"/>
          </w:p>
        </w:tc>
      </w:tr>
      <w:tr w:rsidR="007373F6" w14:paraId="4E4EE92A" w14:textId="77777777" w:rsidTr="00CA3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45" w:type="pct"/>
            <w:vAlign w:val="center"/>
          </w:tcPr>
          <w:p w14:paraId="65F2427D"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Costing (X1)</w:t>
            </w:r>
          </w:p>
        </w:tc>
        <w:tc>
          <w:tcPr>
            <w:tcW w:w="489" w:type="pct"/>
            <w:vAlign w:val="center"/>
          </w:tcPr>
          <w:p w14:paraId="19EDB5C4" w14:textId="77777777" w:rsidR="007373F6" w:rsidRDefault="00000000">
            <w:pPr>
              <w:ind w:left="60" w:right="6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366</w:t>
            </w:r>
          </w:p>
        </w:tc>
        <w:tc>
          <w:tcPr>
            <w:tcW w:w="721" w:type="pct"/>
            <w:vAlign w:val="center"/>
          </w:tcPr>
          <w:p w14:paraId="4F62D973" w14:textId="77777777" w:rsidR="007373F6" w:rsidRDefault="00000000">
            <w:pPr>
              <w:ind w:left="60" w:right="6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69.00</w:t>
            </w:r>
          </w:p>
        </w:tc>
        <w:tc>
          <w:tcPr>
            <w:tcW w:w="643" w:type="pct"/>
            <w:vAlign w:val="center"/>
          </w:tcPr>
          <w:p w14:paraId="1E3CE1ED" w14:textId="77777777" w:rsidR="007373F6" w:rsidRDefault="00000000">
            <w:pPr>
              <w:ind w:left="60" w:right="6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121.00</w:t>
            </w:r>
          </w:p>
        </w:tc>
        <w:tc>
          <w:tcPr>
            <w:tcW w:w="831" w:type="pct"/>
            <w:vAlign w:val="center"/>
          </w:tcPr>
          <w:p w14:paraId="20B41013" w14:textId="77777777" w:rsidR="007373F6" w:rsidRDefault="00000000">
            <w:pPr>
              <w:ind w:left="60" w:right="6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100.3251</w:t>
            </w:r>
          </w:p>
        </w:tc>
        <w:tc>
          <w:tcPr>
            <w:tcW w:w="971" w:type="pct"/>
            <w:vAlign w:val="center"/>
          </w:tcPr>
          <w:p w14:paraId="36D96D9D" w14:textId="77777777" w:rsidR="007373F6" w:rsidRDefault="00000000">
            <w:pPr>
              <w:ind w:left="60" w:right="6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10.04951</w:t>
            </w:r>
          </w:p>
        </w:tc>
      </w:tr>
      <w:tr w:rsidR="007373F6" w14:paraId="12DF2AEF" w14:textId="77777777" w:rsidTr="00CA3E0F">
        <w:trPr>
          <w:trHeight w:val="300"/>
        </w:trPr>
        <w:tc>
          <w:tcPr>
            <w:cnfStyle w:val="001000000000" w:firstRow="0" w:lastRow="0" w:firstColumn="1" w:lastColumn="0" w:oddVBand="0" w:evenVBand="0" w:oddHBand="0" w:evenHBand="0" w:firstRowFirstColumn="0" w:firstRowLastColumn="0" w:lastRowFirstColumn="0" w:lastRowLastColumn="0"/>
            <w:tcW w:w="1345" w:type="pct"/>
            <w:vAlign w:val="center"/>
          </w:tcPr>
          <w:p w14:paraId="4453D4E3"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Planning, control &amp; performance measurement (X2)</w:t>
            </w:r>
          </w:p>
        </w:tc>
        <w:tc>
          <w:tcPr>
            <w:tcW w:w="489" w:type="pct"/>
            <w:vAlign w:val="center"/>
          </w:tcPr>
          <w:p w14:paraId="5F1AE021" w14:textId="77777777" w:rsidR="007373F6" w:rsidRDefault="00000000">
            <w:pPr>
              <w:ind w:left="60" w:right="6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366</w:t>
            </w:r>
          </w:p>
        </w:tc>
        <w:tc>
          <w:tcPr>
            <w:tcW w:w="721" w:type="pct"/>
            <w:vAlign w:val="center"/>
          </w:tcPr>
          <w:p w14:paraId="25153FC3" w14:textId="77777777" w:rsidR="007373F6" w:rsidRDefault="00000000">
            <w:pPr>
              <w:ind w:left="60" w:right="6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27.00</w:t>
            </w:r>
          </w:p>
        </w:tc>
        <w:tc>
          <w:tcPr>
            <w:tcW w:w="643" w:type="pct"/>
            <w:vAlign w:val="center"/>
          </w:tcPr>
          <w:p w14:paraId="3B3BD34A" w14:textId="77777777" w:rsidR="007373F6" w:rsidRDefault="00000000">
            <w:pPr>
              <w:ind w:left="60" w:right="6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50.00</w:t>
            </w:r>
          </w:p>
        </w:tc>
        <w:tc>
          <w:tcPr>
            <w:tcW w:w="831" w:type="pct"/>
            <w:vAlign w:val="center"/>
          </w:tcPr>
          <w:p w14:paraId="0125813F" w14:textId="77777777" w:rsidR="007373F6" w:rsidRDefault="00000000">
            <w:pPr>
              <w:ind w:left="60" w:right="6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39.8743</w:t>
            </w:r>
          </w:p>
        </w:tc>
        <w:tc>
          <w:tcPr>
            <w:tcW w:w="971" w:type="pct"/>
            <w:vAlign w:val="center"/>
          </w:tcPr>
          <w:p w14:paraId="16DC0CAE" w14:textId="77777777" w:rsidR="007373F6" w:rsidRDefault="00000000">
            <w:pPr>
              <w:ind w:left="60" w:right="6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4.91021</w:t>
            </w:r>
          </w:p>
        </w:tc>
      </w:tr>
      <w:tr w:rsidR="007373F6" w14:paraId="0EC3100B" w14:textId="77777777" w:rsidTr="00CA3E0F">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1345" w:type="pct"/>
            <w:vAlign w:val="center"/>
          </w:tcPr>
          <w:p w14:paraId="167EC8E3"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Strategic decision-making (X3)</w:t>
            </w:r>
          </w:p>
        </w:tc>
        <w:tc>
          <w:tcPr>
            <w:tcW w:w="489" w:type="pct"/>
            <w:vAlign w:val="center"/>
          </w:tcPr>
          <w:p w14:paraId="18ED752F" w14:textId="77777777" w:rsidR="007373F6" w:rsidRDefault="00000000">
            <w:pPr>
              <w:ind w:left="60" w:right="6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366</w:t>
            </w:r>
          </w:p>
        </w:tc>
        <w:tc>
          <w:tcPr>
            <w:tcW w:w="721" w:type="pct"/>
            <w:vAlign w:val="center"/>
          </w:tcPr>
          <w:p w14:paraId="68B55D8E" w14:textId="77777777" w:rsidR="007373F6" w:rsidRDefault="00000000">
            <w:pPr>
              <w:ind w:left="60" w:right="6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43.00</w:t>
            </w:r>
          </w:p>
        </w:tc>
        <w:tc>
          <w:tcPr>
            <w:tcW w:w="643" w:type="pct"/>
            <w:vAlign w:val="center"/>
          </w:tcPr>
          <w:p w14:paraId="10D3121A" w14:textId="77777777" w:rsidR="007373F6" w:rsidRDefault="00000000">
            <w:pPr>
              <w:ind w:left="60" w:right="6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72.00</w:t>
            </w:r>
          </w:p>
        </w:tc>
        <w:tc>
          <w:tcPr>
            <w:tcW w:w="831" w:type="pct"/>
            <w:vAlign w:val="center"/>
          </w:tcPr>
          <w:p w14:paraId="0C6A34D5" w14:textId="77777777" w:rsidR="007373F6" w:rsidRDefault="00000000">
            <w:pPr>
              <w:ind w:left="60" w:right="6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60.3033</w:t>
            </w:r>
          </w:p>
        </w:tc>
        <w:tc>
          <w:tcPr>
            <w:tcW w:w="971" w:type="pct"/>
            <w:vAlign w:val="center"/>
          </w:tcPr>
          <w:p w14:paraId="61798A7F" w14:textId="77777777" w:rsidR="007373F6" w:rsidRDefault="00000000">
            <w:pPr>
              <w:ind w:left="60" w:right="6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5.45601</w:t>
            </w:r>
          </w:p>
        </w:tc>
      </w:tr>
      <w:tr w:rsidR="007373F6" w14:paraId="07471646" w14:textId="77777777" w:rsidTr="00CA3E0F">
        <w:trPr>
          <w:trHeight w:val="300"/>
        </w:trPr>
        <w:tc>
          <w:tcPr>
            <w:cnfStyle w:val="001000000000" w:firstRow="0" w:lastRow="0" w:firstColumn="1" w:lastColumn="0" w:oddVBand="0" w:evenVBand="0" w:oddHBand="0" w:evenHBand="0" w:firstRowFirstColumn="0" w:firstRowLastColumn="0" w:lastRowFirstColumn="0" w:lastRowLastColumn="0"/>
            <w:tcW w:w="1345" w:type="pct"/>
            <w:vAlign w:val="center"/>
          </w:tcPr>
          <w:p w14:paraId="6C4B2AAB"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Competitor accounting (X4)</w:t>
            </w:r>
          </w:p>
        </w:tc>
        <w:tc>
          <w:tcPr>
            <w:tcW w:w="489" w:type="pct"/>
            <w:vAlign w:val="center"/>
          </w:tcPr>
          <w:p w14:paraId="1AB0D690" w14:textId="77777777" w:rsidR="007373F6" w:rsidRDefault="00000000">
            <w:pPr>
              <w:ind w:left="60" w:right="6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366</w:t>
            </w:r>
          </w:p>
        </w:tc>
        <w:tc>
          <w:tcPr>
            <w:tcW w:w="721" w:type="pct"/>
            <w:vAlign w:val="center"/>
          </w:tcPr>
          <w:p w14:paraId="0D241048" w14:textId="77777777" w:rsidR="007373F6" w:rsidRDefault="00000000">
            <w:pPr>
              <w:ind w:left="60" w:right="6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41.00</w:t>
            </w:r>
          </w:p>
        </w:tc>
        <w:tc>
          <w:tcPr>
            <w:tcW w:w="643" w:type="pct"/>
            <w:vAlign w:val="center"/>
          </w:tcPr>
          <w:p w14:paraId="3B9155F3" w14:textId="77777777" w:rsidR="007373F6" w:rsidRDefault="00000000">
            <w:pPr>
              <w:ind w:left="60" w:right="6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72.00</w:t>
            </w:r>
          </w:p>
        </w:tc>
        <w:tc>
          <w:tcPr>
            <w:tcW w:w="831" w:type="pct"/>
            <w:vAlign w:val="center"/>
          </w:tcPr>
          <w:p w14:paraId="519B232B" w14:textId="77777777" w:rsidR="007373F6" w:rsidRDefault="00000000">
            <w:pPr>
              <w:ind w:left="60" w:right="6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59.9727</w:t>
            </w:r>
          </w:p>
        </w:tc>
        <w:tc>
          <w:tcPr>
            <w:tcW w:w="971" w:type="pct"/>
            <w:vAlign w:val="center"/>
          </w:tcPr>
          <w:p w14:paraId="47A104EF" w14:textId="77777777" w:rsidR="007373F6" w:rsidRDefault="00000000">
            <w:pPr>
              <w:ind w:left="60" w:right="6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6.33315</w:t>
            </w:r>
          </w:p>
        </w:tc>
      </w:tr>
      <w:tr w:rsidR="007373F6" w14:paraId="5BD17C65" w14:textId="77777777" w:rsidTr="00CA3E0F">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1345" w:type="pct"/>
            <w:vAlign w:val="center"/>
          </w:tcPr>
          <w:p w14:paraId="4D2E3FEA"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Customer accounting (X5)</w:t>
            </w:r>
          </w:p>
        </w:tc>
        <w:tc>
          <w:tcPr>
            <w:tcW w:w="489" w:type="pct"/>
            <w:vAlign w:val="center"/>
          </w:tcPr>
          <w:p w14:paraId="0256CE9A" w14:textId="77777777" w:rsidR="007373F6" w:rsidRDefault="00000000">
            <w:pPr>
              <w:ind w:left="60" w:right="6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366</w:t>
            </w:r>
          </w:p>
        </w:tc>
        <w:tc>
          <w:tcPr>
            <w:tcW w:w="721" w:type="pct"/>
            <w:vAlign w:val="center"/>
          </w:tcPr>
          <w:p w14:paraId="57408E36" w14:textId="77777777" w:rsidR="007373F6" w:rsidRDefault="00000000">
            <w:pPr>
              <w:ind w:left="60" w:right="6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41.00</w:t>
            </w:r>
          </w:p>
        </w:tc>
        <w:tc>
          <w:tcPr>
            <w:tcW w:w="643" w:type="pct"/>
            <w:vAlign w:val="center"/>
          </w:tcPr>
          <w:p w14:paraId="629C8429" w14:textId="77777777" w:rsidR="007373F6" w:rsidRDefault="00000000">
            <w:pPr>
              <w:ind w:left="60" w:right="6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74.00</w:t>
            </w:r>
          </w:p>
        </w:tc>
        <w:tc>
          <w:tcPr>
            <w:tcW w:w="831" w:type="pct"/>
            <w:vAlign w:val="center"/>
          </w:tcPr>
          <w:p w14:paraId="298701DF" w14:textId="77777777" w:rsidR="007373F6" w:rsidRDefault="00000000">
            <w:pPr>
              <w:ind w:left="60" w:right="6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60.1667</w:t>
            </w:r>
          </w:p>
        </w:tc>
        <w:tc>
          <w:tcPr>
            <w:tcW w:w="971" w:type="pct"/>
            <w:vAlign w:val="center"/>
          </w:tcPr>
          <w:p w14:paraId="3B5F8DD8" w14:textId="77777777" w:rsidR="007373F6" w:rsidRDefault="00000000">
            <w:pPr>
              <w:ind w:left="60" w:right="6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6.42189</w:t>
            </w:r>
          </w:p>
        </w:tc>
      </w:tr>
      <w:tr w:rsidR="007373F6" w14:paraId="37A5D282" w14:textId="77777777" w:rsidTr="00CA3E0F">
        <w:trPr>
          <w:trHeight w:val="300"/>
        </w:trPr>
        <w:tc>
          <w:tcPr>
            <w:cnfStyle w:val="001000000000" w:firstRow="0" w:lastRow="0" w:firstColumn="1" w:lastColumn="0" w:oddVBand="0" w:evenVBand="0" w:oddHBand="0" w:evenHBand="0" w:firstRowFirstColumn="0" w:firstRowLastColumn="0" w:lastRowFirstColumn="0" w:lastRowLastColumn="0"/>
            <w:tcW w:w="1345" w:type="pct"/>
            <w:vAlign w:val="center"/>
          </w:tcPr>
          <w:p w14:paraId="0E9E223C"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Business Decision Making (Y)</w:t>
            </w:r>
          </w:p>
        </w:tc>
        <w:tc>
          <w:tcPr>
            <w:tcW w:w="489" w:type="pct"/>
            <w:vAlign w:val="center"/>
          </w:tcPr>
          <w:p w14:paraId="63940EB8" w14:textId="77777777" w:rsidR="007373F6" w:rsidRDefault="00000000">
            <w:pPr>
              <w:ind w:left="60" w:right="6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366</w:t>
            </w:r>
          </w:p>
        </w:tc>
        <w:tc>
          <w:tcPr>
            <w:tcW w:w="721" w:type="pct"/>
            <w:vAlign w:val="center"/>
          </w:tcPr>
          <w:p w14:paraId="42058827" w14:textId="77777777" w:rsidR="007373F6" w:rsidRDefault="00000000">
            <w:pPr>
              <w:ind w:left="60" w:right="6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26.00</w:t>
            </w:r>
          </w:p>
        </w:tc>
        <w:tc>
          <w:tcPr>
            <w:tcW w:w="643" w:type="pct"/>
            <w:vAlign w:val="center"/>
          </w:tcPr>
          <w:p w14:paraId="69451BCE" w14:textId="77777777" w:rsidR="007373F6" w:rsidRDefault="00000000">
            <w:pPr>
              <w:ind w:left="60" w:right="6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50.00</w:t>
            </w:r>
          </w:p>
        </w:tc>
        <w:tc>
          <w:tcPr>
            <w:tcW w:w="831" w:type="pct"/>
            <w:vAlign w:val="center"/>
          </w:tcPr>
          <w:p w14:paraId="1B488D4C" w14:textId="77777777" w:rsidR="007373F6" w:rsidRDefault="00000000">
            <w:pPr>
              <w:ind w:left="60" w:right="6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39.8333</w:t>
            </w:r>
          </w:p>
        </w:tc>
        <w:tc>
          <w:tcPr>
            <w:tcW w:w="971" w:type="pct"/>
            <w:vAlign w:val="center"/>
          </w:tcPr>
          <w:p w14:paraId="49615FD2" w14:textId="77777777" w:rsidR="007373F6" w:rsidRDefault="00000000">
            <w:pPr>
              <w:ind w:left="60" w:right="6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4.59924</w:t>
            </w:r>
          </w:p>
        </w:tc>
      </w:tr>
    </w:tbl>
    <w:p w14:paraId="6F89892F"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Source: Data own research (2025)</w:t>
      </w:r>
      <w:r>
        <w:rPr>
          <w:rFonts w:ascii="Times New Roman" w:eastAsia="Times New Roman" w:hAnsi="Times New Roman" w:cs="Times New Roman"/>
          <w:sz w:val="24"/>
          <w:szCs w:val="24"/>
        </w:rPr>
        <w:tab/>
      </w:r>
    </w:p>
    <w:p w14:paraId="0A60C69D" w14:textId="77777777" w:rsidR="007373F6" w:rsidRDefault="007373F6">
      <w:pPr>
        <w:tabs>
          <w:tab w:val="left" w:pos="2835"/>
        </w:tabs>
        <w:spacing w:after="0" w:line="240" w:lineRule="auto"/>
        <w:ind w:firstLine="720"/>
        <w:jc w:val="both"/>
        <w:rPr>
          <w:rFonts w:ascii="Times New Roman" w:eastAsia="Times New Roman" w:hAnsi="Times New Roman" w:cs="Times New Roman"/>
          <w:sz w:val="24"/>
          <w:szCs w:val="24"/>
        </w:rPr>
      </w:pPr>
    </w:p>
    <w:p w14:paraId="3DB0364C"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illustrated in Table 3, it can be deduced that the Costing Variable (X1) is the most salient aspect of the respondents' practices, yet also the most diverse. The mean average score for all management accounting variables (X1–X5) is relatively high, suggesting that MSMEs have effectively implemented these practices. The mean score for Business Decision Making (Y) is equivalent to the mean score for Planning &amp; Control (X2). This finding suggests that the quality of business decision making can be further enhanced and may be influenced by variations in the application of each component of management accounting.</w:t>
      </w:r>
    </w:p>
    <w:p w14:paraId="2C1FE378" w14:textId="77777777" w:rsidR="007373F6" w:rsidRDefault="007373F6">
      <w:pPr>
        <w:spacing w:after="0" w:line="240" w:lineRule="auto"/>
        <w:jc w:val="both"/>
        <w:rPr>
          <w:rFonts w:ascii="Times New Roman" w:eastAsia="Times New Roman" w:hAnsi="Times New Roman" w:cs="Times New Roman"/>
          <w:b/>
          <w:sz w:val="24"/>
          <w:szCs w:val="24"/>
        </w:rPr>
      </w:pPr>
    </w:p>
    <w:p w14:paraId="5E662E9C" w14:textId="77777777" w:rsidR="007373F6" w:rsidRDefault="00000000">
      <w:pPr>
        <w:spacing w:after="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Validity and Reliability Test </w:t>
      </w:r>
    </w:p>
    <w:p w14:paraId="11170379"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Validity and reliability testing involves the evaluation of questionnaire items to ascertain their validity and reliability.</w:t>
      </w:r>
    </w:p>
    <w:p w14:paraId="3AECE28B" w14:textId="77777777" w:rsidR="007373F6" w:rsidRDefault="00000000">
      <w:pPr>
        <w:tabs>
          <w:tab w:val="left" w:pos="2835"/>
          <w:tab w:val="left" w:pos="3270"/>
        </w:tabs>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p>
    <w:p w14:paraId="2CBBC112" w14:textId="77777777" w:rsidR="007373F6" w:rsidRDefault="00000000" w:rsidP="00CA3E0F">
      <w:pPr>
        <w:tabs>
          <w:tab w:val="left" w:pos="2835"/>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Table 4. </w:t>
      </w:r>
      <w:r w:rsidRPr="00CA3E0F">
        <w:rPr>
          <w:rFonts w:ascii="Times New Roman" w:eastAsia="Times New Roman" w:hAnsi="Times New Roman" w:cs="Times New Roman"/>
          <w:bCs/>
          <w:sz w:val="24"/>
          <w:szCs w:val="24"/>
        </w:rPr>
        <w:t>Validity and Reliability Test</w:t>
      </w:r>
    </w:p>
    <w:tbl>
      <w:tblPr>
        <w:tblStyle w:val="a5"/>
        <w:tblW w:w="5000" w:type="pct"/>
        <w:tblBorders>
          <w:top w:val="single" w:sz="4" w:space="0" w:color="7F7F7F"/>
          <w:bottom w:val="single" w:sz="4" w:space="0" w:color="7F7F7F"/>
        </w:tblBorders>
        <w:tblLook w:val="04A0" w:firstRow="1" w:lastRow="0" w:firstColumn="1" w:lastColumn="0" w:noHBand="0" w:noVBand="1"/>
      </w:tblPr>
      <w:tblGrid>
        <w:gridCol w:w="3272"/>
        <w:gridCol w:w="1215"/>
        <w:gridCol w:w="1626"/>
        <w:gridCol w:w="1404"/>
        <w:gridCol w:w="1509"/>
      </w:tblGrid>
      <w:tr w:rsidR="007373F6" w14:paraId="050713B5" w14:textId="77777777" w:rsidTr="00CA3E0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12" w:type="pct"/>
            <w:vAlign w:val="center"/>
          </w:tcPr>
          <w:p w14:paraId="39EA8976" w14:textId="74E08660"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Variab</w:t>
            </w:r>
            <w:r w:rsidR="00CA3E0F">
              <w:rPr>
                <w:rFonts w:ascii="Times New Roman" w:eastAsia="Times New Roman" w:hAnsi="Times New Roman" w:cs="Times New Roman"/>
                <w:sz w:val="24"/>
                <w:szCs w:val="24"/>
              </w:rPr>
              <w:t>le</w:t>
            </w:r>
          </w:p>
        </w:tc>
        <w:tc>
          <w:tcPr>
            <w:tcW w:w="673" w:type="pct"/>
            <w:vAlign w:val="center"/>
          </w:tcPr>
          <w:p w14:paraId="75A83700"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Item</w:t>
            </w:r>
          </w:p>
        </w:tc>
        <w:tc>
          <w:tcPr>
            <w:tcW w:w="901" w:type="pct"/>
            <w:vAlign w:val="center"/>
          </w:tcPr>
          <w:p w14:paraId="5152F19C"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Correlations</w:t>
            </w:r>
          </w:p>
        </w:tc>
        <w:tc>
          <w:tcPr>
            <w:tcW w:w="778" w:type="pct"/>
            <w:vAlign w:val="center"/>
          </w:tcPr>
          <w:p w14:paraId="760BDC30"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Sig. (2-tailed)</w:t>
            </w:r>
          </w:p>
        </w:tc>
        <w:tc>
          <w:tcPr>
            <w:tcW w:w="836" w:type="pct"/>
            <w:vAlign w:val="center"/>
          </w:tcPr>
          <w:p w14:paraId="400B1A91"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Cronbach's Alpha</w:t>
            </w:r>
          </w:p>
        </w:tc>
      </w:tr>
      <w:tr w:rsidR="007373F6" w14:paraId="12F25687"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restart"/>
            <w:vAlign w:val="center"/>
          </w:tcPr>
          <w:p w14:paraId="7B8BB0DC"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Costing (C) (X1)</w:t>
            </w:r>
          </w:p>
        </w:tc>
        <w:tc>
          <w:tcPr>
            <w:tcW w:w="673" w:type="pct"/>
            <w:vAlign w:val="center"/>
          </w:tcPr>
          <w:p w14:paraId="390CEB46"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C1.1</w:t>
            </w:r>
          </w:p>
        </w:tc>
        <w:tc>
          <w:tcPr>
            <w:tcW w:w="901" w:type="pct"/>
            <w:vAlign w:val="center"/>
          </w:tcPr>
          <w:p w14:paraId="3FAA9FF1"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0.632</w:t>
            </w:r>
          </w:p>
        </w:tc>
        <w:tc>
          <w:tcPr>
            <w:tcW w:w="778" w:type="pct"/>
            <w:vAlign w:val="center"/>
          </w:tcPr>
          <w:p w14:paraId="0FC6AD48"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restart"/>
            <w:vAlign w:val="center"/>
          </w:tcPr>
          <w:p w14:paraId="53F256A2"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0.746</w:t>
            </w:r>
          </w:p>
        </w:tc>
      </w:tr>
      <w:tr w:rsidR="007373F6" w14:paraId="48930670"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75EE2C11"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4D1D7CC4"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C1.2</w:t>
            </w:r>
          </w:p>
        </w:tc>
        <w:tc>
          <w:tcPr>
            <w:tcW w:w="901" w:type="pct"/>
            <w:vAlign w:val="center"/>
          </w:tcPr>
          <w:p w14:paraId="7F4836F4"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0.738</w:t>
            </w:r>
          </w:p>
        </w:tc>
        <w:tc>
          <w:tcPr>
            <w:tcW w:w="778" w:type="pct"/>
          </w:tcPr>
          <w:p w14:paraId="107120FC"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5F0B1E37"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30D4C384"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4B6AC417"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59F1722F"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C1.3</w:t>
            </w:r>
          </w:p>
        </w:tc>
        <w:tc>
          <w:tcPr>
            <w:tcW w:w="901" w:type="pct"/>
            <w:vAlign w:val="center"/>
          </w:tcPr>
          <w:p w14:paraId="1EB64806"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0.435</w:t>
            </w:r>
          </w:p>
        </w:tc>
        <w:tc>
          <w:tcPr>
            <w:tcW w:w="778" w:type="pct"/>
          </w:tcPr>
          <w:p w14:paraId="51F5C494"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5C8336A8"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3D26F19A"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6D5D7BC9"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3662D03F"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C1.4</w:t>
            </w:r>
          </w:p>
        </w:tc>
        <w:tc>
          <w:tcPr>
            <w:tcW w:w="901" w:type="pct"/>
            <w:vAlign w:val="center"/>
          </w:tcPr>
          <w:p w14:paraId="07DBCF0A"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0.550</w:t>
            </w:r>
          </w:p>
        </w:tc>
        <w:tc>
          <w:tcPr>
            <w:tcW w:w="778" w:type="pct"/>
          </w:tcPr>
          <w:p w14:paraId="16A2776B"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71CC13F7"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0FE3F756"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1A0F78FD"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5EA145CB"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C1.5</w:t>
            </w:r>
          </w:p>
        </w:tc>
        <w:tc>
          <w:tcPr>
            <w:tcW w:w="901" w:type="pct"/>
            <w:vAlign w:val="center"/>
          </w:tcPr>
          <w:p w14:paraId="6BFF6C50"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0.567</w:t>
            </w:r>
          </w:p>
        </w:tc>
        <w:tc>
          <w:tcPr>
            <w:tcW w:w="778" w:type="pct"/>
          </w:tcPr>
          <w:p w14:paraId="40EB24A9"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17EA3AF1"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33244DCA"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3794522B"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502110BD"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C1.6</w:t>
            </w:r>
          </w:p>
        </w:tc>
        <w:tc>
          <w:tcPr>
            <w:tcW w:w="901" w:type="pct"/>
            <w:vAlign w:val="center"/>
          </w:tcPr>
          <w:p w14:paraId="1F8C09B0"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0.544</w:t>
            </w:r>
          </w:p>
        </w:tc>
        <w:tc>
          <w:tcPr>
            <w:tcW w:w="778" w:type="pct"/>
          </w:tcPr>
          <w:p w14:paraId="5A5C7569"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28111A22"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140132ED"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12C90425"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44B0B70A"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C1.7</w:t>
            </w:r>
          </w:p>
        </w:tc>
        <w:tc>
          <w:tcPr>
            <w:tcW w:w="901" w:type="pct"/>
            <w:vAlign w:val="center"/>
          </w:tcPr>
          <w:p w14:paraId="4A6ACBEE"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0.632</w:t>
            </w:r>
          </w:p>
        </w:tc>
        <w:tc>
          <w:tcPr>
            <w:tcW w:w="778" w:type="pct"/>
          </w:tcPr>
          <w:p w14:paraId="7E1E465E"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6A7E8D57"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62969DB7"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0D0B6C4B"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0A462396"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C1.8</w:t>
            </w:r>
          </w:p>
        </w:tc>
        <w:tc>
          <w:tcPr>
            <w:tcW w:w="901" w:type="pct"/>
            <w:vAlign w:val="center"/>
          </w:tcPr>
          <w:p w14:paraId="3FCFD6A8"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0.586</w:t>
            </w:r>
          </w:p>
        </w:tc>
        <w:tc>
          <w:tcPr>
            <w:tcW w:w="778" w:type="pct"/>
          </w:tcPr>
          <w:p w14:paraId="236AC878"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52996A7A"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4E3ED2F7"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472D55B0"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313D2378"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C1.9</w:t>
            </w:r>
          </w:p>
        </w:tc>
        <w:tc>
          <w:tcPr>
            <w:tcW w:w="901" w:type="pct"/>
            <w:vAlign w:val="center"/>
          </w:tcPr>
          <w:p w14:paraId="118686F7"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0.721</w:t>
            </w:r>
          </w:p>
        </w:tc>
        <w:tc>
          <w:tcPr>
            <w:tcW w:w="778" w:type="pct"/>
          </w:tcPr>
          <w:p w14:paraId="70F4796F"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6DE39101"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41F0C314"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5B303475"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63594777"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C1.10</w:t>
            </w:r>
          </w:p>
        </w:tc>
        <w:tc>
          <w:tcPr>
            <w:tcW w:w="901" w:type="pct"/>
            <w:vAlign w:val="center"/>
          </w:tcPr>
          <w:p w14:paraId="73178DB3"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0.654</w:t>
            </w:r>
          </w:p>
        </w:tc>
        <w:tc>
          <w:tcPr>
            <w:tcW w:w="778" w:type="pct"/>
          </w:tcPr>
          <w:p w14:paraId="69A3F453"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51E10E5C"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5248E406"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4C78A012"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4AA1A928"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C1.11</w:t>
            </w:r>
          </w:p>
        </w:tc>
        <w:tc>
          <w:tcPr>
            <w:tcW w:w="901" w:type="pct"/>
            <w:vAlign w:val="center"/>
          </w:tcPr>
          <w:p w14:paraId="36E33C79"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0.594</w:t>
            </w:r>
          </w:p>
        </w:tc>
        <w:tc>
          <w:tcPr>
            <w:tcW w:w="778" w:type="pct"/>
          </w:tcPr>
          <w:p w14:paraId="4693B8BC"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2C22E8C7"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78D4681E"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516089D4"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7F946713"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C1.12</w:t>
            </w:r>
          </w:p>
        </w:tc>
        <w:tc>
          <w:tcPr>
            <w:tcW w:w="901" w:type="pct"/>
            <w:vAlign w:val="center"/>
          </w:tcPr>
          <w:p w14:paraId="7B4334AB"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0.580</w:t>
            </w:r>
          </w:p>
        </w:tc>
        <w:tc>
          <w:tcPr>
            <w:tcW w:w="778" w:type="pct"/>
          </w:tcPr>
          <w:p w14:paraId="5C486C32"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616B9F8A"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61FE7E03"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07AB31D3"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4DA326EC"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C1.13</w:t>
            </w:r>
          </w:p>
        </w:tc>
        <w:tc>
          <w:tcPr>
            <w:tcW w:w="901" w:type="pct"/>
            <w:vAlign w:val="center"/>
          </w:tcPr>
          <w:p w14:paraId="0718F937"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0.653</w:t>
            </w:r>
          </w:p>
        </w:tc>
        <w:tc>
          <w:tcPr>
            <w:tcW w:w="778" w:type="pct"/>
          </w:tcPr>
          <w:p w14:paraId="641D5F69"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55E23455"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0DD7DB37"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7B3530D2"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429EF288"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C1.14</w:t>
            </w:r>
          </w:p>
        </w:tc>
        <w:tc>
          <w:tcPr>
            <w:tcW w:w="901" w:type="pct"/>
            <w:vAlign w:val="center"/>
          </w:tcPr>
          <w:p w14:paraId="66CB2A30"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0.690</w:t>
            </w:r>
          </w:p>
        </w:tc>
        <w:tc>
          <w:tcPr>
            <w:tcW w:w="778" w:type="pct"/>
          </w:tcPr>
          <w:p w14:paraId="1B1E6B07"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78FC9B1F"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5CD929A0"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2D0196A3"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30FCB3E6"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C1.15</w:t>
            </w:r>
          </w:p>
        </w:tc>
        <w:tc>
          <w:tcPr>
            <w:tcW w:w="901" w:type="pct"/>
            <w:vAlign w:val="center"/>
          </w:tcPr>
          <w:p w14:paraId="698E395F"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0.483</w:t>
            </w:r>
          </w:p>
        </w:tc>
        <w:tc>
          <w:tcPr>
            <w:tcW w:w="778" w:type="pct"/>
          </w:tcPr>
          <w:p w14:paraId="103BE1E8"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64564670"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54C388FD"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121ED165"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4353C33E"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C1.16</w:t>
            </w:r>
          </w:p>
        </w:tc>
        <w:tc>
          <w:tcPr>
            <w:tcW w:w="901" w:type="pct"/>
            <w:vAlign w:val="center"/>
          </w:tcPr>
          <w:p w14:paraId="7F75FA29"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0.657</w:t>
            </w:r>
          </w:p>
        </w:tc>
        <w:tc>
          <w:tcPr>
            <w:tcW w:w="778" w:type="pct"/>
          </w:tcPr>
          <w:p w14:paraId="6C0AF286"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7B06F3CA"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22343E89"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6C6B2E72"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66E1B1C4"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C1.17</w:t>
            </w:r>
          </w:p>
        </w:tc>
        <w:tc>
          <w:tcPr>
            <w:tcW w:w="901" w:type="pct"/>
            <w:vAlign w:val="center"/>
          </w:tcPr>
          <w:p w14:paraId="7B6D8AD6"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0.380</w:t>
            </w:r>
          </w:p>
        </w:tc>
        <w:tc>
          <w:tcPr>
            <w:tcW w:w="778" w:type="pct"/>
          </w:tcPr>
          <w:p w14:paraId="34741D64"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0.001</w:t>
            </w:r>
          </w:p>
        </w:tc>
        <w:tc>
          <w:tcPr>
            <w:tcW w:w="836" w:type="pct"/>
            <w:vMerge/>
            <w:vAlign w:val="center"/>
          </w:tcPr>
          <w:p w14:paraId="659863A9"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45008810"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494FD613"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16D47B9C"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C1.18</w:t>
            </w:r>
          </w:p>
        </w:tc>
        <w:tc>
          <w:tcPr>
            <w:tcW w:w="901" w:type="pct"/>
            <w:vAlign w:val="center"/>
          </w:tcPr>
          <w:p w14:paraId="7096C7F1"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0.353</w:t>
            </w:r>
          </w:p>
        </w:tc>
        <w:tc>
          <w:tcPr>
            <w:tcW w:w="778" w:type="pct"/>
          </w:tcPr>
          <w:p w14:paraId="63815233"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0.003</w:t>
            </w:r>
          </w:p>
        </w:tc>
        <w:tc>
          <w:tcPr>
            <w:tcW w:w="836" w:type="pct"/>
            <w:vMerge/>
            <w:vAlign w:val="center"/>
          </w:tcPr>
          <w:p w14:paraId="733B4CDC"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7E9B4351"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40709645"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3A41A158"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C1.19</w:t>
            </w:r>
          </w:p>
        </w:tc>
        <w:tc>
          <w:tcPr>
            <w:tcW w:w="901" w:type="pct"/>
            <w:vAlign w:val="center"/>
          </w:tcPr>
          <w:p w14:paraId="02D7835D"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0.640</w:t>
            </w:r>
          </w:p>
        </w:tc>
        <w:tc>
          <w:tcPr>
            <w:tcW w:w="778" w:type="pct"/>
          </w:tcPr>
          <w:p w14:paraId="20D74AD3"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7E5E316E"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7DF5DB92"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25726C18"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31A99D53"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C1.20</w:t>
            </w:r>
          </w:p>
        </w:tc>
        <w:tc>
          <w:tcPr>
            <w:tcW w:w="901" w:type="pct"/>
            <w:vAlign w:val="center"/>
          </w:tcPr>
          <w:p w14:paraId="5305535D"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0.529</w:t>
            </w:r>
          </w:p>
        </w:tc>
        <w:tc>
          <w:tcPr>
            <w:tcW w:w="778" w:type="pct"/>
          </w:tcPr>
          <w:p w14:paraId="0E5C0B4D"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7C2A4DC1"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40BDA339"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5BF576FC"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72E280A1"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C1.21</w:t>
            </w:r>
          </w:p>
        </w:tc>
        <w:tc>
          <w:tcPr>
            <w:tcW w:w="901" w:type="pct"/>
            <w:vAlign w:val="center"/>
          </w:tcPr>
          <w:p w14:paraId="766D8D95"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0.535</w:t>
            </w:r>
          </w:p>
        </w:tc>
        <w:tc>
          <w:tcPr>
            <w:tcW w:w="778" w:type="pct"/>
          </w:tcPr>
          <w:p w14:paraId="63DD78F3"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4275EACD"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0188E2CD"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462B9900"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11995FEE"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C1.22</w:t>
            </w:r>
          </w:p>
        </w:tc>
        <w:tc>
          <w:tcPr>
            <w:tcW w:w="901" w:type="pct"/>
            <w:vAlign w:val="center"/>
          </w:tcPr>
          <w:p w14:paraId="4401F983"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0.634</w:t>
            </w:r>
          </w:p>
        </w:tc>
        <w:tc>
          <w:tcPr>
            <w:tcW w:w="778" w:type="pct"/>
          </w:tcPr>
          <w:p w14:paraId="1ACDFE71"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6BA70572"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3C6DE506"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7B7173AA"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4A6F2C81"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C1.23</w:t>
            </w:r>
          </w:p>
        </w:tc>
        <w:tc>
          <w:tcPr>
            <w:tcW w:w="901" w:type="pct"/>
            <w:vAlign w:val="center"/>
          </w:tcPr>
          <w:p w14:paraId="260B3DE3"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0.698</w:t>
            </w:r>
          </w:p>
        </w:tc>
        <w:tc>
          <w:tcPr>
            <w:tcW w:w="778" w:type="pct"/>
          </w:tcPr>
          <w:p w14:paraId="1851EBF5"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19D5DC37"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2F758846"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5EF7F61D"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69A995B1"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C1.24</w:t>
            </w:r>
          </w:p>
        </w:tc>
        <w:tc>
          <w:tcPr>
            <w:tcW w:w="901" w:type="pct"/>
            <w:vAlign w:val="center"/>
          </w:tcPr>
          <w:p w14:paraId="29E09B5E"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0.468</w:t>
            </w:r>
          </w:p>
        </w:tc>
        <w:tc>
          <w:tcPr>
            <w:tcW w:w="778" w:type="pct"/>
          </w:tcPr>
          <w:p w14:paraId="28B5267D"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48924BDF"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5F7851A5"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4AF9AC3D"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67516C96"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C1.25</w:t>
            </w:r>
          </w:p>
        </w:tc>
        <w:tc>
          <w:tcPr>
            <w:tcW w:w="901" w:type="pct"/>
            <w:vAlign w:val="center"/>
          </w:tcPr>
          <w:p w14:paraId="39BF9AD2"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0.325</w:t>
            </w:r>
          </w:p>
        </w:tc>
        <w:tc>
          <w:tcPr>
            <w:tcW w:w="778" w:type="pct"/>
          </w:tcPr>
          <w:p w14:paraId="06A34C73"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41B8894E"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1AF518BD"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restart"/>
            <w:vAlign w:val="center"/>
          </w:tcPr>
          <w:p w14:paraId="25E11EC1"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Planning, control &amp; performance measurement (PCP) (X2)</w:t>
            </w:r>
          </w:p>
        </w:tc>
        <w:tc>
          <w:tcPr>
            <w:tcW w:w="673" w:type="pct"/>
            <w:vAlign w:val="center"/>
          </w:tcPr>
          <w:p w14:paraId="48659699"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PCP2.1</w:t>
            </w:r>
          </w:p>
        </w:tc>
        <w:tc>
          <w:tcPr>
            <w:tcW w:w="901" w:type="pct"/>
            <w:vAlign w:val="center"/>
          </w:tcPr>
          <w:p w14:paraId="7C4F462B"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0.605</w:t>
            </w:r>
          </w:p>
        </w:tc>
        <w:tc>
          <w:tcPr>
            <w:tcW w:w="778" w:type="pct"/>
          </w:tcPr>
          <w:p w14:paraId="0843D09E"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restart"/>
            <w:vAlign w:val="center"/>
          </w:tcPr>
          <w:p w14:paraId="2CA6ED94"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0.759</w:t>
            </w:r>
          </w:p>
        </w:tc>
      </w:tr>
      <w:tr w:rsidR="007373F6" w14:paraId="7145573D"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47C2D98F"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1921270E"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PCP2.2</w:t>
            </w:r>
          </w:p>
        </w:tc>
        <w:tc>
          <w:tcPr>
            <w:tcW w:w="901" w:type="pct"/>
            <w:vAlign w:val="center"/>
          </w:tcPr>
          <w:p w14:paraId="27E41157"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0.687</w:t>
            </w:r>
          </w:p>
        </w:tc>
        <w:tc>
          <w:tcPr>
            <w:tcW w:w="778" w:type="pct"/>
          </w:tcPr>
          <w:p w14:paraId="7379F47E"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28A58754"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0D0B39B0"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0C30A212"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40C63706"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PCP2.3</w:t>
            </w:r>
          </w:p>
        </w:tc>
        <w:tc>
          <w:tcPr>
            <w:tcW w:w="901" w:type="pct"/>
            <w:vAlign w:val="center"/>
          </w:tcPr>
          <w:p w14:paraId="0F39BAA6"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0.642</w:t>
            </w:r>
          </w:p>
        </w:tc>
        <w:tc>
          <w:tcPr>
            <w:tcW w:w="778" w:type="pct"/>
          </w:tcPr>
          <w:p w14:paraId="34BA2123"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63960358"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59769C2C"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02B0CBF0"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538C761A"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PCP2.4</w:t>
            </w:r>
          </w:p>
        </w:tc>
        <w:tc>
          <w:tcPr>
            <w:tcW w:w="901" w:type="pct"/>
            <w:vAlign w:val="center"/>
          </w:tcPr>
          <w:p w14:paraId="4E9B9AF7"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0.774</w:t>
            </w:r>
          </w:p>
        </w:tc>
        <w:tc>
          <w:tcPr>
            <w:tcW w:w="778" w:type="pct"/>
          </w:tcPr>
          <w:p w14:paraId="4294C634"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608495E0"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4F2A4A84"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3652301B"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0A0C59C6"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PCP2.5</w:t>
            </w:r>
          </w:p>
        </w:tc>
        <w:tc>
          <w:tcPr>
            <w:tcW w:w="901" w:type="pct"/>
            <w:vAlign w:val="center"/>
          </w:tcPr>
          <w:p w14:paraId="16DCABDE"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0.628</w:t>
            </w:r>
          </w:p>
        </w:tc>
        <w:tc>
          <w:tcPr>
            <w:tcW w:w="778" w:type="pct"/>
          </w:tcPr>
          <w:p w14:paraId="2ABA1A33"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408BD2FF"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21971D43"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2479878A"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65518DF3"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PCP2.6</w:t>
            </w:r>
          </w:p>
        </w:tc>
        <w:tc>
          <w:tcPr>
            <w:tcW w:w="901" w:type="pct"/>
            <w:vAlign w:val="center"/>
          </w:tcPr>
          <w:p w14:paraId="04BF94CC"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0.621</w:t>
            </w:r>
          </w:p>
        </w:tc>
        <w:tc>
          <w:tcPr>
            <w:tcW w:w="778" w:type="pct"/>
          </w:tcPr>
          <w:p w14:paraId="44BC10B4"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7DD9A4E0"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5A02A28D"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3D4A5ECB"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69236836"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PCP2.7</w:t>
            </w:r>
          </w:p>
        </w:tc>
        <w:tc>
          <w:tcPr>
            <w:tcW w:w="901" w:type="pct"/>
            <w:vAlign w:val="center"/>
          </w:tcPr>
          <w:p w14:paraId="0E61D0FD"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0.634</w:t>
            </w:r>
          </w:p>
        </w:tc>
        <w:tc>
          <w:tcPr>
            <w:tcW w:w="778" w:type="pct"/>
          </w:tcPr>
          <w:p w14:paraId="599B2691"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30236C68"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55C5445E"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3222F415"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01FAA2F3"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PCP 2.8</w:t>
            </w:r>
          </w:p>
        </w:tc>
        <w:tc>
          <w:tcPr>
            <w:tcW w:w="901" w:type="pct"/>
            <w:vAlign w:val="center"/>
          </w:tcPr>
          <w:p w14:paraId="0749E52D"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0.697</w:t>
            </w:r>
          </w:p>
        </w:tc>
        <w:tc>
          <w:tcPr>
            <w:tcW w:w="778" w:type="pct"/>
          </w:tcPr>
          <w:p w14:paraId="38E998DC"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749A1284"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3F1CB4A3"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0BDCB214"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2CA85A45"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PCP2.9</w:t>
            </w:r>
          </w:p>
        </w:tc>
        <w:tc>
          <w:tcPr>
            <w:tcW w:w="901" w:type="pct"/>
            <w:vAlign w:val="center"/>
          </w:tcPr>
          <w:p w14:paraId="519BDAF6"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0.702</w:t>
            </w:r>
          </w:p>
        </w:tc>
        <w:tc>
          <w:tcPr>
            <w:tcW w:w="778" w:type="pct"/>
          </w:tcPr>
          <w:p w14:paraId="632BFDA9"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29AF249F"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52EB3590"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4B4AB8FD"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0CA7B1B5"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PCP2.10</w:t>
            </w:r>
          </w:p>
        </w:tc>
        <w:tc>
          <w:tcPr>
            <w:tcW w:w="901" w:type="pct"/>
            <w:vAlign w:val="center"/>
          </w:tcPr>
          <w:p w14:paraId="18592088"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0.562</w:t>
            </w:r>
          </w:p>
        </w:tc>
        <w:tc>
          <w:tcPr>
            <w:tcW w:w="778" w:type="pct"/>
          </w:tcPr>
          <w:p w14:paraId="2E41C897"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2CB911C3"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3DFE4B63"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restart"/>
            <w:vAlign w:val="center"/>
          </w:tcPr>
          <w:p w14:paraId="2472B958"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Strategic decision-making (</w:t>
            </w:r>
            <w:proofErr w:type="spellStart"/>
            <w:r>
              <w:rPr>
                <w:rFonts w:ascii="Times New Roman" w:eastAsia="Times New Roman" w:hAnsi="Times New Roman" w:cs="Times New Roman"/>
                <w:sz w:val="24"/>
                <w:szCs w:val="24"/>
              </w:rPr>
              <w:t>SDm</w:t>
            </w:r>
            <w:proofErr w:type="spellEnd"/>
            <w:r>
              <w:rPr>
                <w:rFonts w:ascii="Times New Roman" w:eastAsia="Times New Roman" w:hAnsi="Times New Roman" w:cs="Times New Roman"/>
                <w:sz w:val="24"/>
                <w:szCs w:val="24"/>
              </w:rPr>
              <w:t>) (X3)</w:t>
            </w:r>
          </w:p>
        </w:tc>
        <w:tc>
          <w:tcPr>
            <w:tcW w:w="673" w:type="pct"/>
            <w:vAlign w:val="center"/>
          </w:tcPr>
          <w:p w14:paraId="603D2B40"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SDm3.1</w:t>
            </w:r>
          </w:p>
        </w:tc>
        <w:tc>
          <w:tcPr>
            <w:tcW w:w="901" w:type="pct"/>
            <w:vAlign w:val="center"/>
          </w:tcPr>
          <w:p w14:paraId="25B11EA1"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0.309</w:t>
            </w:r>
          </w:p>
        </w:tc>
        <w:tc>
          <w:tcPr>
            <w:tcW w:w="778" w:type="pct"/>
          </w:tcPr>
          <w:p w14:paraId="16F0BAF1"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restart"/>
            <w:vAlign w:val="center"/>
          </w:tcPr>
          <w:p w14:paraId="2C4068B9"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0.735</w:t>
            </w:r>
          </w:p>
        </w:tc>
      </w:tr>
      <w:tr w:rsidR="007373F6" w14:paraId="33353607"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5F9EE80F"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6E397225"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SDm3.2</w:t>
            </w:r>
          </w:p>
        </w:tc>
        <w:tc>
          <w:tcPr>
            <w:tcW w:w="901" w:type="pct"/>
            <w:vAlign w:val="center"/>
          </w:tcPr>
          <w:p w14:paraId="2CDCE875"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0.322</w:t>
            </w:r>
          </w:p>
        </w:tc>
        <w:tc>
          <w:tcPr>
            <w:tcW w:w="778" w:type="pct"/>
          </w:tcPr>
          <w:p w14:paraId="31CEA373"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5F614F89"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3FF3905E"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1B667CAB"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45C96298"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SDm3.3</w:t>
            </w:r>
          </w:p>
        </w:tc>
        <w:tc>
          <w:tcPr>
            <w:tcW w:w="901" w:type="pct"/>
            <w:vAlign w:val="center"/>
          </w:tcPr>
          <w:p w14:paraId="59D83D14"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0.652</w:t>
            </w:r>
          </w:p>
        </w:tc>
        <w:tc>
          <w:tcPr>
            <w:tcW w:w="778" w:type="pct"/>
          </w:tcPr>
          <w:p w14:paraId="57AC1CA1"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00D329B4"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4ED76597"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7DF645E8"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6BE4BFD4"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SDm3.4</w:t>
            </w:r>
          </w:p>
        </w:tc>
        <w:tc>
          <w:tcPr>
            <w:tcW w:w="901" w:type="pct"/>
            <w:vAlign w:val="center"/>
          </w:tcPr>
          <w:p w14:paraId="41A00D3E"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0.556</w:t>
            </w:r>
          </w:p>
        </w:tc>
        <w:tc>
          <w:tcPr>
            <w:tcW w:w="778" w:type="pct"/>
          </w:tcPr>
          <w:p w14:paraId="3428ECA6"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210B7014"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5A9E1E9F"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38611FC8"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010D11E7"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SDm3.5</w:t>
            </w:r>
          </w:p>
        </w:tc>
        <w:tc>
          <w:tcPr>
            <w:tcW w:w="901" w:type="pct"/>
            <w:vAlign w:val="center"/>
          </w:tcPr>
          <w:p w14:paraId="6D748104"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0.571</w:t>
            </w:r>
          </w:p>
        </w:tc>
        <w:tc>
          <w:tcPr>
            <w:tcW w:w="778" w:type="pct"/>
          </w:tcPr>
          <w:p w14:paraId="298655D7"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2197E0F7"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5BADB72D"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7F09B11E"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31DCD9AA"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SDm3.6</w:t>
            </w:r>
          </w:p>
        </w:tc>
        <w:tc>
          <w:tcPr>
            <w:tcW w:w="901" w:type="pct"/>
            <w:vAlign w:val="center"/>
          </w:tcPr>
          <w:p w14:paraId="00971BB7"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0.588</w:t>
            </w:r>
          </w:p>
        </w:tc>
        <w:tc>
          <w:tcPr>
            <w:tcW w:w="778" w:type="pct"/>
          </w:tcPr>
          <w:p w14:paraId="400EDD80"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15543CD0"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7214753E"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32591B5B"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1F7B3C04"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SDm3.7</w:t>
            </w:r>
          </w:p>
        </w:tc>
        <w:tc>
          <w:tcPr>
            <w:tcW w:w="901" w:type="pct"/>
            <w:vAlign w:val="center"/>
          </w:tcPr>
          <w:p w14:paraId="55BA23A5"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0.648</w:t>
            </w:r>
          </w:p>
        </w:tc>
        <w:tc>
          <w:tcPr>
            <w:tcW w:w="778" w:type="pct"/>
          </w:tcPr>
          <w:p w14:paraId="60F641A3"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6240FC1B"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608CB79B"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15E2B8C6"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35D7311D"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SDm3.8</w:t>
            </w:r>
          </w:p>
        </w:tc>
        <w:tc>
          <w:tcPr>
            <w:tcW w:w="901" w:type="pct"/>
            <w:vAlign w:val="center"/>
          </w:tcPr>
          <w:p w14:paraId="1B83ED52"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0.425</w:t>
            </w:r>
          </w:p>
        </w:tc>
        <w:tc>
          <w:tcPr>
            <w:tcW w:w="778" w:type="pct"/>
          </w:tcPr>
          <w:p w14:paraId="2F3416B7"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7C583F98"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64CDCAE2"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116CAC39"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1117C44D"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SDm3.9</w:t>
            </w:r>
          </w:p>
        </w:tc>
        <w:tc>
          <w:tcPr>
            <w:tcW w:w="901" w:type="pct"/>
            <w:vAlign w:val="center"/>
          </w:tcPr>
          <w:p w14:paraId="57D27D49"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0.378</w:t>
            </w:r>
          </w:p>
        </w:tc>
        <w:tc>
          <w:tcPr>
            <w:tcW w:w="778" w:type="pct"/>
          </w:tcPr>
          <w:p w14:paraId="411D4604"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1B13E1E5"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36153505"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45ED1EE3"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34C6BBB0"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SDm3.10</w:t>
            </w:r>
          </w:p>
        </w:tc>
        <w:tc>
          <w:tcPr>
            <w:tcW w:w="901" w:type="pct"/>
            <w:vAlign w:val="center"/>
          </w:tcPr>
          <w:p w14:paraId="471B24E1"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0.675</w:t>
            </w:r>
          </w:p>
        </w:tc>
        <w:tc>
          <w:tcPr>
            <w:tcW w:w="778" w:type="pct"/>
          </w:tcPr>
          <w:p w14:paraId="7762B2B0"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206DF9CF"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5DD67D25"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669FCAD8"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1B35ABFE"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SDm3.11</w:t>
            </w:r>
          </w:p>
        </w:tc>
        <w:tc>
          <w:tcPr>
            <w:tcW w:w="901" w:type="pct"/>
            <w:vAlign w:val="center"/>
          </w:tcPr>
          <w:p w14:paraId="7513FBD9"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0.744</w:t>
            </w:r>
          </w:p>
        </w:tc>
        <w:tc>
          <w:tcPr>
            <w:tcW w:w="778" w:type="pct"/>
          </w:tcPr>
          <w:p w14:paraId="1AB1A61A"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2C3DE713"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5BACB680"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088BEBF5"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7AE7BE9D"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SDm3.12</w:t>
            </w:r>
          </w:p>
        </w:tc>
        <w:tc>
          <w:tcPr>
            <w:tcW w:w="901" w:type="pct"/>
            <w:vAlign w:val="center"/>
          </w:tcPr>
          <w:p w14:paraId="2788781C"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0.524</w:t>
            </w:r>
          </w:p>
        </w:tc>
        <w:tc>
          <w:tcPr>
            <w:tcW w:w="778" w:type="pct"/>
          </w:tcPr>
          <w:p w14:paraId="39749361"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4846B579"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3DFD6761"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0BE23AA6"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00F0A63C"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SDm3.13</w:t>
            </w:r>
          </w:p>
        </w:tc>
        <w:tc>
          <w:tcPr>
            <w:tcW w:w="901" w:type="pct"/>
            <w:vAlign w:val="center"/>
          </w:tcPr>
          <w:p w14:paraId="2B25FA8E"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0.617</w:t>
            </w:r>
          </w:p>
        </w:tc>
        <w:tc>
          <w:tcPr>
            <w:tcW w:w="778" w:type="pct"/>
          </w:tcPr>
          <w:p w14:paraId="6B09DA3F"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7406A539"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467F0AA9"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3D73CED4"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1ED265A6"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SDm3.14</w:t>
            </w:r>
          </w:p>
        </w:tc>
        <w:tc>
          <w:tcPr>
            <w:tcW w:w="901" w:type="pct"/>
            <w:vAlign w:val="center"/>
          </w:tcPr>
          <w:p w14:paraId="0892417D"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0.593</w:t>
            </w:r>
          </w:p>
        </w:tc>
        <w:tc>
          <w:tcPr>
            <w:tcW w:w="778" w:type="pct"/>
          </w:tcPr>
          <w:p w14:paraId="6DE70404"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529202B7"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1A464592"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12C8C99E"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3BEB6C2B"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SDm3.15</w:t>
            </w:r>
          </w:p>
        </w:tc>
        <w:tc>
          <w:tcPr>
            <w:tcW w:w="901" w:type="pct"/>
            <w:vAlign w:val="center"/>
          </w:tcPr>
          <w:p w14:paraId="51A1892F"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0.545</w:t>
            </w:r>
          </w:p>
        </w:tc>
        <w:tc>
          <w:tcPr>
            <w:tcW w:w="778" w:type="pct"/>
          </w:tcPr>
          <w:p w14:paraId="3D18A891"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76078A01"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24232B23"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restart"/>
            <w:vAlign w:val="center"/>
          </w:tcPr>
          <w:p w14:paraId="14E7B999"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Competitor accounting (CA) (X4)</w:t>
            </w:r>
          </w:p>
        </w:tc>
        <w:tc>
          <w:tcPr>
            <w:tcW w:w="673" w:type="pct"/>
            <w:vAlign w:val="center"/>
          </w:tcPr>
          <w:p w14:paraId="18C7E7F8"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CA4.1</w:t>
            </w:r>
          </w:p>
        </w:tc>
        <w:tc>
          <w:tcPr>
            <w:tcW w:w="901" w:type="pct"/>
            <w:vAlign w:val="center"/>
          </w:tcPr>
          <w:p w14:paraId="481AD036"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0.555</w:t>
            </w:r>
          </w:p>
        </w:tc>
        <w:tc>
          <w:tcPr>
            <w:tcW w:w="778" w:type="pct"/>
          </w:tcPr>
          <w:p w14:paraId="47B28D85"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restart"/>
            <w:vAlign w:val="center"/>
          </w:tcPr>
          <w:p w14:paraId="27EC025B"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0.745</w:t>
            </w:r>
          </w:p>
        </w:tc>
      </w:tr>
      <w:tr w:rsidR="007373F6" w14:paraId="21A26C75"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743A9B87"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076D84A1"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CA4.2</w:t>
            </w:r>
          </w:p>
        </w:tc>
        <w:tc>
          <w:tcPr>
            <w:tcW w:w="901" w:type="pct"/>
            <w:vAlign w:val="center"/>
          </w:tcPr>
          <w:p w14:paraId="0F85CE43"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0.632</w:t>
            </w:r>
          </w:p>
        </w:tc>
        <w:tc>
          <w:tcPr>
            <w:tcW w:w="778" w:type="pct"/>
          </w:tcPr>
          <w:p w14:paraId="1B46958B"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7DE3A79F"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0BC6185E"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6F279B58"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5D7F6CD0"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CA4.3</w:t>
            </w:r>
          </w:p>
        </w:tc>
        <w:tc>
          <w:tcPr>
            <w:tcW w:w="901" w:type="pct"/>
            <w:vAlign w:val="center"/>
          </w:tcPr>
          <w:p w14:paraId="7C7E4C7D"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0.599</w:t>
            </w:r>
          </w:p>
        </w:tc>
        <w:tc>
          <w:tcPr>
            <w:tcW w:w="778" w:type="pct"/>
          </w:tcPr>
          <w:p w14:paraId="14494AF4"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5ACD29B6"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0B77FC2E"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49A17B2E"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52FF73EB"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CA4.4</w:t>
            </w:r>
          </w:p>
        </w:tc>
        <w:tc>
          <w:tcPr>
            <w:tcW w:w="901" w:type="pct"/>
            <w:vAlign w:val="center"/>
          </w:tcPr>
          <w:p w14:paraId="2D0EE0E7"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0.777</w:t>
            </w:r>
          </w:p>
        </w:tc>
        <w:tc>
          <w:tcPr>
            <w:tcW w:w="778" w:type="pct"/>
          </w:tcPr>
          <w:p w14:paraId="2ED6D24A"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024E2898"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3F09F26A"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15122398"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73EC2F22"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CA4.5</w:t>
            </w:r>
          </w:p>
        </w:tc>
        <w:tc>
          <w:tcPr>
            <w:tcW w:w="901" w:type="pct"/>
            <w:vAlign w:val="center"/>
          </w:tcPr>
          <w:p w14:paraId="46D933C2"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0.661</w:t>
            </w:r>
          </w:p>
        </w:tc>
        <w:tc>
          <w:tcPr>
            <w:tcW w:w="778" w:type="pct"/>
          </w:tcPr>
          <w:p w14:paraId="15A37A36"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3B943033"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1DFA87F9"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7BA596D5"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1A9870C7"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CA4.6</w:t>
            </w:r>
          </w:p>
        </w:tc>
        <w:tc>
          <w:tcPr>
            <w:tcW w:w="901" w:type="pct"/>
            <w:vAlign w:val="center"/>
          </w:tcPr>
          <w:p w14:paraId="652B3E75"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0.628</w:t>
            </w:r>
          </w:p>
        </w:tc>
        <w:tc>
          <w:tcPr>
            <w:tcW w:w="778" w:type="pct"/>
          </w:tcPr>
          <w:p w14:paraId="4708093D"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1A5730DF"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7BF43516"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2F3F0E56"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2115B988"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CA4.7</w:t>
            </w:r>
          </w:p>
        </w:tc>
        <w:tc>
          <w:tcPr>
            <w:tcW w:w="901" w:type="pct"/>
            <w:vAlign w:val="center"/>
          </w:tcPr>
          <w:p w14:paraId="597B6A66"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0.555</w:t>
            </w:r>
          </w:p>
        </w:tc>
        <w:tc>
          <w:tcPr>
            <w:tcW w:w="778" w:type="pct"/>
          </w:tcPr>
          <w:p w14:paraId="6EADBCA5"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1A2AEDDF"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4E5CAD3F"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62A58C38"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04012AAC"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CA4.8</w:t>
            </w:r>
          </w:p>
        </w:tc>
        <w:tc>
          <w:tcPr>
            <w:tcW w:w="901" w:type="pct"/>
            <w:vAlign w:val="center"/>
          </w:tcPr>
          <w:p w14:paraId="3BCEB24C"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0.660</w:t>
            </w:r>
          </w:p>
        </w:tc>
        <w:tc>
          <w:tcPr>
            <w:tcW w:w="778" w:type="pct"/>
          </w:tcPr>
          <w:p w14:paraId="039ACEBA"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64F96320"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61FA2277"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546F35EF"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4974E8D1"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CA4.9</w:t>
            </w:r>
          </w:p>
        </w:tc>
        <w:tc>
          <w:tcPr>
            <w:tcW w:w="901" w:type="pct"/>
            <w:vAlign w:val="center"/>
          </w:tcPr>
          <w:p w14:paraId="25146F59"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0.715</w:t>
            </w:r>
          </w:p>
        </w:tc>
        <w:tc>
          <w:tcPr>
            <w:tcW w:w="778" w:type="pct"/>
          </w:tcPr>
          <w:p w14:paraId="1C005F82"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555CBE37"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7727EF1C"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54090AF1"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79F5A5F9"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CA4.10</w:t>
            </w:r>
          </w:p>
        </w:tc>
        <w:tc>
          <w:tcPr>
            <w:tcW w:w="901" w:type="pct"/>
            <w:vAlign w:val="center"/>
          </w:tcPr>
          <w:p w14:paraId="5FED4D46"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0.463</w:t>
            </w:r>
          </w:p>
        </w:tc>
        <w:tc>
          <w:tcPr>
            <w:tcW w:w="778" w:type="pct"/>
          </w:tcPr>
          <w:p w14:paraId="2DBA4E2C"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5F55BC5C"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7CC5557A"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520CEF45"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55440BB2"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CA4.11</w:t>
            </w:r>
          </w:p>
        </w:tc>
        <w:tc>
          <w:tcPr>
            <w:tcW w:w="901" w:type="pct"/>
            <w:vAlign w:val="center"/>
          </w:tcPr>
          <w:p w14:paraId="2E819F81"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0.669</w:t>
            </w:r>
          </w:p>
        </w:tc>
        <w:tc>
          <w:tcPr>
            <w:tcW w:w="778" w:type="pct"/>
          </w:tcPr>
          <w:p w14:paraId="3DD0EAA9"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12C72439"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091ED43E"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396D210E"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2A99FA1E"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CA4.12</w:t>
            </w:r>
          </w:p>
        </w:tc>
        <w:tc>
          <w:tcPr>
            <w:tcW w:w="901" w:type="pct"/>
            <w:vAlign w:val="center"/>
          </w:tcPr>
          <w:p w14:paraId="701D172E"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0.338</w:t>
            </w:r>
          </w:p>
        </w:tc>
        <w:tc>
          <w:tcPr>
            <w:tcW w:w="778" w:type="pct"/>
          </w:tcPr>
          <w:p w14:paraId="270F2817"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0B81AEE2"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792C4047"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7EC11494"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503F6B99"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CA4.13</w:t>
            </w:r>
          </w:p>
        </w:tc>
        <w:tc>
          <w:tcPr>
            <w:tcW w:w="901" w:type="pct"/>
            <w:vAlign w:val="center"/>
          </w:tcPr>
          <w:p w14:paraId="2C0FB3E9"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0.305</w:t>
            </w:r>
          </w:p>
        </w:tc>
        <w:tc>
          <w:tcPr>
            <w:tcW w:w="778" w:type="pct"/>
          </w:tcPr>
          <w:p w14:paraId="7175B7A0"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4C1267FD"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31D73D24"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31AAEF29"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05A5CC0B"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CA4.14</w:t>
            </w:r>
          </w:p>
        </w:tc>
        <w:tc>
          <w:tcPr>
            <w:tcW w:w="901" w:type="pct"/>
            <w:vAlign w:val="center"/>
          </w:tcPr>
          <w:p w14:paraId="449174CC"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0.647</w:t>
            </w:r>
          </w:p>
        </w:tc>
        <w:tc>
          <w:tcPr>
            <w:tcW w:w="778" w:type="pct"/>
          </w:tcPr>
          <w:p w14:paraId="1B3A95CC"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319164DD"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5C1D587A"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2951532A"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2FF037DE"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CA4.15</w:t>
            </w:r>
          </w:p>
        </w:tc>
        <w:tc>
          <w:tcPr>
            <w:tcW w:w="901" w:type="pct"/>
            <w:vAlign w:val="center"/>
          </w:tcPr>
          <w:p w14:paraId="2D9C0FAC"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0.544</w:t>
            </w:r>
          </w:p>
        </w:tc>
        <w:tc>
          <w:tcPr>
            <w:tcW w:w="778" w:type="pct"/>
          </w:tcPr>
          <w:p w14:paraId="57121306"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6B70A957"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1C849F57"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restart"/>
            <w:vAlign w:val="center"/>
          </w:tcPr>
          <w:p w14:paraId="6CD8337C" w14:textId="77777777" w:rsidR="007373F6"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Customer accounting (</w:t>
            </w:r>
            <w:proofErr w:type="spellStart"/>
            <w:r>
              <w:rPr>
                <w:rFonts w:ascii="Times New Roman" w:eastAsia="Times New Roman" w:hAnsi="Times New Roman" w:cs="Times New Roman"/>
                <w:sz w:val="24"/>
                <w:szCs w:val="24"/>
              </w:rPr>
              <w:t>CsA</w:t>
            </w:r>
            <w:proofErr w:type="spellEnd"/>
            <w:r>
              <w:rPr>
                <w:rFonts w:ascii="Times New Roman" w:eastAsia="Times New Roman" w:hAnsi="Times New Roman" w:cs="Times New Roman"/>
                <w:sz w:val="24"/>
                <w:szCs w:val="24"/>
              </w:rPr>
              <w:t>) (X5)</w:t>
            </w:r>
          </w:p>
        </w:tc>
        <w:tc>
          <w:tcPr>
            <w:tcW w:w="673" w:type="pct"/>
            <w:vAlign w:val="center"/>
          </w:tcPr>
          <w:p w14:paraId="3D3BFCDB"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CsA5.1</w:t>
            </w:r>
          </w:p>
        </w:tc>
        <w:tc>
          <w:tcPr>
            <w:tcW w:w="901" w:type="pct"/>
            <w:vAlign w:val="center"/>
          </w:tcPr>
          <w:p w14:paraId="41602B1C"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0.576</w:t>
            </w:r>
          </w:p>
        </w:tc>
        <w:tc>
          <w:tcPr>
            <w:tcW w:w="778" w:type="pct"/>
          </w:tcPr>
          <w:p w14:paraId="2162AAF0"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restart"/>
            <w:vAlign w:val="center"/>
          </w:tcPr>
          <w:p w14:paraId="614483E4"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0.750</w:t>
            </w:r>
          </w:p>
        </w:tc>
      </w:tr>
      <w:tr w:rsidR="007373F6" w14:paraId="6610F383"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26E19A75"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37EF49C7"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CsA5.2</w:t>
            </w:r>
          </w:p>
        </w:tc>
        <w:tc>
          <w:tcPr>
            <w:tcW w:w="901" w:type="pct"/>
            <w:vAlign w:val="center"/>
          </w:tcPr>
          <w:p w14:paraId="71EE37DF"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0.612</w:t>
            </w:r>
          </w:p>
        </w:tc>
        <w:tc>
          <w:tcPr>
            <w:tcW w:w="778" w:type="pct"/>
          </w:tcPr>
          <w:p w14:paraId="5AE26B62"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3B3E74BB"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5FD46510"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335AD0AB"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3E03EF10"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CsA5.3</w:t>
            </w:r>
          </w:p>
        </w:tc>
        <w:tc>
          <w:tcPr>
            <w:tcW w:w="901" w:type="pct"/>
            <w:vAlign w:val="center"/>
          </w:tcPr>
          <w:p w14:paraId="37F70278"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0.666</w:t>
            </w:r>
          </w:p>
        </w:tc>
        <w:tc>
          <w:tcPr>
            <w:tcW w:w="778" w:type="pct"/>
          </w:tcPr>
          <w:p w14:paraId="1A267E47"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51C7249C"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7366B202"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72360255"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1D0469D2"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CsA5.4</w:t>
            </w:r>
          </w:p>
        </w:tc>
        <w:tc>
          <w:tcPr>
            <w:tcW w:w="901" w:type="pct"/>
            <w:vAlign w:val="center"/>
          </w:tcPr>
          <w:p w14:paraId="4D5C6957"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0.467</w:t>
            </w:r>
          </w:p>
        </w:tc>
        <w:tc>
          <w:tcPr>
            <w:tcW w:w="778" w:type="pct"/>
          </w:tcPr>
          <w:p w14:paraId="6D421674"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1B6456E8"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6044E077"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45C7EB9D"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21A6CDAA"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CsA5.5</w:t>
            </w:r>
          </w:p>
        </w:tc>
        <w:tc>
          <w:tcPr>
            <w:tcW w:w="901" w:type="pct"/>
            <w:vAlign w:val="center"/>
          </w:tcPr>
          <w:p w14:paraId="172CAE41"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0.341</w:t>
            </w:r>
          </w:p>
        </w:tc>
        <w:tc>
          <w:tcPr>
            <w:tcW w:w="778" w:type="pct"/>
          </w:tcPr>
          <w:p w14:paraId="2825AFA2"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48CFA049"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2C1196D8"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4D642E2A"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174BE18B"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CsA5.6</w:t>
            </w:r>
          </w:p>
        </w:tc>
        <w:tc>
          <w:tcPr>
            <w:tcW w:w="901" w:type="pct"/>
            <w:vAlign w:val="center"/>
          </w:tcPr>
          <w:p w14:paraId="551854A2"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0.670</w:t>
            </w:r>
          </w:p>
        </w:tc>
        <w:tc>
          <w:tcPr>
            <w:tcW w:w="778" w:type="pct"/>
          </w:tcPr>
          <w:p w14:paraId="21739B1A"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6B11FC86"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55370C99"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39D4A12E"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2D382AD8"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CsA5.7</w:t>
            </w:r>
          </w:p>
        </w:tc>
        <w:tc>
          <w:tcPr>
            <w:tcW w:w="901" w:type="pct"/>
            <w:vAlign w:val="center"/>
          </w:tcPr>
          <w:p w14:paraId="5ED05EBC"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0.750</w:t>
            </w:r>
          </w:p>
        </w:tc>
        <w:tc>
          <w:tcPr>
            <w:tcW w:w="778" w:type="pct"/>
          </w:tcPr>
          <w:p w14:paraId="7ACF29F6"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7889B022"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0DB3095D"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3BEB3A5A"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4A2A5055"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CsA5.8</w:t>
            </w:r>
          </w:p>
        </w:tc>
        <w:tc>
          <w:tcPr>
            <w:tcW w:w="901" w:type="pct"/>
            <w:vAlign w:val="center"/>
          </w:tcPr>
          <w:p w14:paraId="5458AB36"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0.496</w:t>
            </w:r>
          </w:p>
        </w:tc>
        <w:tc>
          <w:tcPr>
            <w:tcW w:w="778" w:type="pct"/>
          </w:tcPr>
          <w:p w14:paraId="68AD2AC1"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564E1CC8"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13D0E90C"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287AED0F"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0EE51BBD"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CsA5.9</w:t>
            </w:r>
          </w:p>
        </w:tc>
        <w:tc>
          <w:tcPr>
            <w:tcW w:w="901" w:type="pct"/>
            <w:vAlign w:val="center"/>
          </w:tcPr>
          <w:p w14:paraId="0665D97C"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0.613</w:t>
            </w:r>
          </w:p>
        </w:tc>
        <w:tc>
          <w:tcPr>
            <w:tcW w:w="778" w:type="pct"/>
          </w:tcPr>
          <w:p w14:paraId="0C5529E4"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3A34BA03"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31F1826A"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508930AC"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3A1D22FB"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CsA5.10</w:t>
            </w:r>
          </w:p>
        </w:tc>
        <w:tc>
          <w:tcPr>
            <w:tcW w:w="901" w:type="pct"/>
            <w:vAlign w:val="center"/>
          </w:tcPr>
          <w:p w14:paraId="0AD3D1A0"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0.566</w:t>
            </w:r>
          </w:p>
        </w:tc>
        <w:tc>
          <w:tcPr>
            <w:tcW w:w="778" w:type="pct"/>
          </w:tcPr>
          <w:p w14:paraId="7B1DA3D0"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3B2267B6"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6B5C1890"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1924F96C"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3A8160B4"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CsA5.11</w:t>
            </w:r>
          </w:p>
        </w:tc>
        <w:tc>
          <w:tcPr>
            <w:tcW w:w="901" w:type="pct"/>
            <w:vAlign w:val="center"/>
          </w:tcPr>
          <w:p w14:paraId="1067A346"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0.585</w:t>
            </w:r>
          </w:p>
        </w:tc>
        <w:tc>
          <w:tcPr>
            <w:tcW w:w="778" w:type="pct"/>
          </w:tcPr>
          <w:p w14:paraId="72EF6BA6"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6601BA7C"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3D556DF6"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47272D45"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45008BB4"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CsA5.12</w:t>
            </w:r>
          </w:p>
        </w:tc>
        <w:tc>
          <w:tcPr>
            <w:tcW w:w="901" w:type="pct"/>
            <w:vAlign w:val="center"/>
          </w:tcPr>
          <w:p w14:paraId="40FC57D9"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0.654</w:t>
            </w:r>
          </w:p>
        </w:tc>
        <w:tc>
          <w:tcPr>
            <w:tcW w:w="778" w:type="pct"/>
          </w:tcPr>
          <w:p w14:paraId="2BC30968"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744CB1FF"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5BB9AE0C"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1168469E"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6869E37A"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CsA5.13</w:t>
            </w:r>
          </w:p>
        </w:tc>
        <w:tc>
          <w:tcPr>
            <w:tcW w:w="901" w:type="pct"/>
            <w:vAlign w:val="center"/>
          </w:tcPr>
          <w:p w14:paraId="4148B57C"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0.634</w:t>
            </w:r>
          </w:p>
        </w:tc>
        <w:tc>
          <w:tcPr>
            <w:tcW w:w="778" w:type="pct"/>
          </w:tcPr>
          <w:p w14:paraId="1D671AAF"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17776DBD"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30907868"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7D56D9A6"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07E8A69A"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CsA5.14</w:t>
            </w:r>
          </w:p>
        </w:tc>
        <w:tc>
          <w:tcPr>
            <w:tcW w:w="901" w:type="pct"/>
            <w:vAlign w:val="center"/>
          </w:tcPr>
          <w:p w14:paraId="034C07A3"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0.694</w:t>
            </w:r>
          </w:p>
        </w:tc>
        <w:tc>
          <w:tcPr>
            <w:tcW w:w="778" w:type="pct"/>
          </w:tcPr>
          <w:p w14:paraId="16CDB9B4"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6D59FECA"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0A37EF06"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3167EC59"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7AE2DF81"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CsA5.15</w:t>
            </w:r>
          </w:p>
        </w:tc>
        <w:tc>
          <w:tcPr>
            <w:tcW w:w="901" w:type="pct"/>
            <w:vAlign w:val="center"/>
          </w:tcPr>
          <w:p w14:paraId="6CA55B83"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0.625</w:t>
            </w:r>
          </w:p>
        </w:tc>
        <w:tc>
          <w:tcPr>
            <w:tcW w:w="778" w:type="pct"/>
          </w:tcPr>
          <w:p w14:paraId="1EB48FFA"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10042624"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5A8ABD91"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restart"/>
            <w:vAlign w:val="center"/>
          </w:tcPr>
          <w:p w14:paraId="1ED978A5"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Business Decision Making (BDM) (Y)</w:t>
            </w:r>
          </w:p>
        </w:tc>
        <w:tc>
          <w:tcPr>
            <w:tcW w:w="673" w:type="pct"/>
            <w:vAlign w:val="center"/>
          </w:tcPr>
          <w:p w14:paraId="17F62604"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BDM1</w:t>
            </w:r>
          </w:p>
        </w:tc>
        <w:tc>
          <w:tcPr>
            <w:tcW w:w="901" w:type="pct"/>
            <w:vAlign w:val="center"/>
          </w:tcPr>
          <w:p w14:paraId="591D1349"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0.722</w:t>
            </w:r>
          </w:p>
        </w:tc>
        <w:tc>
          <w:tcPr>
            <w:tcW w:w="778" w:type="pct"/>
          </w:tcPr>
          <w:p w14:paraId="4B79BB53"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restart"/>
            <w:vAlign w:val="center"/>
          </w:tcPr>
          <w:p w14:paraId="181436E5"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0.759</w:t>
            </w:r>
          </w:p>
        </w:tc>
      </w:tr>
      <w:tr w:rsidR="007373F6" w14:paraId="08785266"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17973D5E"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201A02E3"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BDM2</w:t>
            </w:r>
          </w:p>
        </w:tc>
        <w:tc>
          <w:tcPr>
            <w:tcW w:w="901" w:type="pct"/>
            <w:vAlign w:val="center"/>
          </w:tcPr>
          <w:p w14:paraId="20ED79BC"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0.785</w:t>
            </w:r>
          </w:p>
        </w:tc>
        <w:tc>
          <w:tcPr>
            <w:tcW w:w="778" w:type="pct"/>
          </w:tcPr>
          <w:p w14:paraId="5163EEC6"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01CBF4BB"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71F31963"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0AFDC9D5"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4534B262"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BDM3</w:t>
            </w:r>
          </w:p>
        </w:tc>
        <w:tc>
          <w:tcPr>
            <w:tcW w:w="901" w:type="pct"/>
            <w:vAlign w:val="center"/>
          </w:tcPr>
          <w:p w14:paraId="11AC2529"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0.531</w:t>
            </w:r>
          </w:p>
        </w:tc>
        <w:tc>
          <w:tcPr>
            <w:tcW w:w="778" w:type="pct"/>
          </w:tcPr>
          <w:p w14:paraId="141A5463"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5124202C"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477ADCD2"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1621F044"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2F0B1993"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BDM4</w:t>
            </w:r>
          </w:p>
        </w:tc>
        <w:tc>
          <w:tcPr>
            <w:tcW w:w="901" w:type="pct"/>
            <w:vAlign w:val="center"/>
          </w:tcPr>
          <w:p w14:paraId="57E0F112"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0.633</w:t>
            </w:r>
          </w:p>
        </w:tc>
        <w:tc>
          <w:tcPr>
            <w:tcW w:w="778" w:type="pct"/>
          </w:tcPr>
          <w:p w14:paraId="6B8D231E"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20891F1A"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10174426"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4F763CDB"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06096BDD"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BDM5</w:t>
            </w:r>
          </w:p>
        </w:tc>
        <w:tc>
          <w:tcPr>
            <w:tcW w:w="901" w:type="pct"/>
            <w:vAlign w:val="center"/>
          </w:tcPr>
          <w:p w14:paraId="327BA9A5"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0.567</w:t>
            </w:r>
          </w:p>
        </w:tc>
        <w:tc>
          <w:tcPr>
            <w:tcW w:w="778" w:type="pct"/>
          </w:tcPr>
          <w:p w14:paraId="4D27E6CC"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0ECE015F"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0C878ABB"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679E26D7"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3944F96C"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BDM6</w:t>
            </w:r>
          </w:p>
        </w:tc>
        <w:tc>
          <w:tcPr>
            <w:tcW w:w="901" w:type="pct"/>
            <w:vAlign w:val="center"/>
          </w:tcPr>
          <w:p w14:paraId="26216C9E"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0.609</w:t>
            </w:r>
          </w:p>
        </w:tc>
        <w:tc>
          <w:tcPr>
            <w:tcW w:w="778" w:type="pct"/>
          </w:tcPr>
          <w:p w14:paraId="6B50AEB4"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114B3045"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4058112F"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46E1DC3C"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61CABB64"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BDM7</w:t>
            </w:r>
          </w:p>
        </w:tc>
        <w:tc>
          <w:tcPr>
            <w:tcW w:w="901" w:type="pct"/>
            <w:vAlign w:val="center"/>
          </w:tcPr>
          <w:p w14:paraId="3983E41D"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0.637</w:t>
            </w:r>
          </w:p>
        </w:tc>
        <w:tc>
          <w:tcPr>
            <w:tcW w:w="778" w:type="pct"/>
          </w:tcPr>
          <w:p w14:paraId="13D2FEE2"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2088EF7B"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46390304"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0D980734"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1C59022D"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BDM8</w:t>
            </w:r>
          </w:p>
        </w:tc>
        <w:tc>
          <w:tcPr>
            <w:tcW w:w="901" w:type="pct"/>
            <w:vAlign w:val="center"/>
          </w:tcPr>
          <w:p w14:paraId="1DB5393D"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0.647</w:t>
            </w:r>
          </w:p>
        </w:tc>
        <w:tc>
          <w:tcPr>
            <w:tcW w:w="778" w:type="pct"/>
          </w:tcPr>
          <w:p w14:paraId="4C61982D"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5717C6F8"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7373F6" w14:paraId="0F9AFBCE" w14:textId="77777777" w:rsidTr="00CA3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14359203"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662F4398"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BDM9</w:t>
            </w:r>
          </w:p>
        </w:tc>
        <w:tc>
          <w:tcPr>
            <w:tcW w:w="901" w:type="pct"/>
            <w:vAlign w:val="center"/>
          </w:tcPr>
          <w:p w14:paraId="3E411B80"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0.715</w:t>
            </w:r>
          </w:p>
        </w:tc>
        <w:tc>
          <w:tcPr>
            <w:tcW w:w="778" w:type="pct"/>
          </w:tcPr>
          <w:p w14:paraId="62C8CBF3"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4C4509EF"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7373F6" w14:paraId="732228DE" w14:textId="77777777" w:rsidTr="00CA3E0F">
        <w:tc>
          <w:tcPr>
            <w:cnfStyle w:val="001000000000" w:firstRow="0" w:lastRow="0" w:firstColumn="1" w:lastColumn="0" w:oddVBand="0" w:evenVBand="0" w:oddHBand="0" w:evenHBand="0" w:firstRowFirstColumn="0" w:firstRowLastColumn="0" w:lastRowFirstColumn="0" w:lastRowLastColumn="0"/>
            <w:tcW w:w="1812" w:type="pct"/>
            <w:vMerge/>
            <w:vAlign w:val="center"/>
          </w:tcPr>
          <w:p w14:paraId="47BAC97B"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673" w:type="pct"/>
            <w:vAlign w:val="center"/>
          </w:tcPr>
          <w:p w14:paraId="63D03DA3"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BDM10</w:t>
            </w:r>
          </w:p>
        </w:tc>
        <w:tc>
          <w:tcPr>
            <w:tcW w:w="901" w:type="pct"/>
            <w:vAlign w:val="center"/>
          </w:tcPr>
          <w:p w14:paraId="46D97AC5"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0.615</w:t>
            </w:r>
          </w:p>
        </w:tc>
        <w:tc>
          <w:tcPr>
            <w:tcW w:w="778" w:type="pct"/>
          </w:tcPr>
          <w:p w14:paraId="2047A844"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c>
          <w:tcPr>
            <w:tcW w:w="836" w:type="pct"/>
            <w:vMerge/>
            <w:vAlign w:val="center"/>
          </w:tcPr>
          <w:p w14:paraId="780F043A" w14:textId="77777777" w:rsidR="007373F6" w:rsidRDefault="007373F6">
            <w:pPr>
              <w:widowControl w:val="0"/>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bl>
    <w:p w14:paraId="0086B9F9" w14:textId="77777777" w:rsidR="007373F6" w:rsidRDefault="00000000">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Source: Data own research (2025)</w:t>
      </w:r>
    </w:p>
    <w:p w14:paraId="4B993988" w14:textId="77777777" w:rsidR="007373F6" w:rsidRDefault="007373F6">
      <w:pPr>
        <w:spacing w:after="0" w:line="240" w:lineRule="auto"/>
        <w:jc w:val="both"/>
        <w:rPr>
          <w:rFonts w:ascii="Times New Roman" w:eastAsia="Times New Roman" w:hAnsi="Times New Roman" w:cs="Times New Roman"/>
          <w:b/>
          <w:sz w:val="24"/>
          <w:szCs w:val="24"/>
        </w:rPr>
      </w:pPr>
    </w:p>
    <w:p w14:paraId="5040F976" w14:textId="77777777" w:rsidR="007373F6" w:rsidRDefault="00000000">
      <w:pPr>
        <w:spacing w:after="200" w:line="240" w:lineRule="auto"/>
        <w:ind w:firstLine="357"/>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Pursuant to the findings of the validity and reliability tests (see Table 4), it has been demonstrated that the entirety of the research instrument items are statistically valid, exhibiting a correlation value greater than 0.30 and a significance of 0.000. While certain items exhibit correlations that approximate the minimum limit, they nevertheless satisfy the established criteria. The reliability test yielded Cronbach's Alpha values greater than 0.70 for all variables, thereby affirming the instrument's reliability and consistency in measuring the intended construct.</w:t>
      </w:r>
    </w:p>
    <w:p w14:paraId="67AF0E1D" w14:textId="77777777" w:rsidR="007373F6" w:rsidRDefault="00000000">
      <w:pPr>
        <w:spacing w:after="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Classical Assumption Test</w:t>
      </w:r>
    </w:p>
    <w:p w14:paraId="41BD5E1B" w14:textId="77777777" w:rsidR="007373F6" w:rsidRDefault="007373F6">
      <w:pPr>
        <w:spacing w:after="0" w:line="240" w:lineRule="auto"/>
        <w:jc w:val="both"/>
        <w:rPr>
          <w:rFonts w:ascii="Times New Roman" w:eastAsia="Times New Roman" w:hAnsi="Times New Roman" w:cs="Times New Roman"/>
          <w:b/>
          <w:sz w:val="24"/>
          <w:szCs w:val="24"/>
        </w:rPr>
      </w:pPr>
    </w:p>
    <w:p w14:paraId="18CFF70C" w14:textId="77777777" w:rsidR="007373F6" w:rsidRDefault="00000000">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Table 5. </w:t>
      </w:r>
      <w:r w:rsidRPr="00CA3E0F">
        <w:rPr>
          <w:rFonts w:ascii="Times New Roman" w:eastAsia="Times New Roman" w:hAnsi="Times New Roman" w:cs="Times New Roman"/>
          <w:bCs/>
          <w:sz w:val="24"/>
          <w:szCs w:val="24"/>
        </w:rPr>
        <w:t>Classical Assumption Test</w:t>
      </w:r>
    </w:p>
    <w:tbl>
      <w:tblPr>
        <w:tblStyle w:val="a6"/>
        <w:tblW w:w="5000" w:type="pct"/>
        <w:jc w:val="center"/>
        <w:tblBorders>
          <w:top w:val="single" w:sz="4" w:space="0" w:color="7F7F7F"/>
          <w:bottom w:val="single" w:sz="4" w:space="0" w:color="7F7F7F"/>
        </w:tblBorders>
        <w:tblLook w:val="04A0" w:firstRow="1" w:lastRow="0" w:firstColumn="1" w:lastColumn="0" w:noHBand="0" w:noVBand="1"/>
      </w:tblPr>
      <w:tblGrid>
        <w:gridCol w:w="4015"/>
        <w:gridCol w:w="1460"/>
        <w:gridCol w:w="888"/>
        <w:gridCol w:w="1686"/>
        <w:gridCol w:w="977"/>
      </w:tblGrid>
      <w:tr w:rsidR="007373F6" w14:paraId="46274163" w14:textId="77777777" w:rsidTr="00CA3E0F">
        <w:trPr>
          <w:cnfStyle w:val="100000000000" w:firstRow="1" w:lastRow="0" w:firstColumn="0" w:lastColumn="0" w:oddVBand="0" w:evenVBand="0" w:oddHBand="0"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2224" w:type="pct"/>
            <w:vAlign w:val="center"/>
          </w:tcPr>
          <w:p w14:paraId="7D45348A" w14:textId="1B8CBA4F"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Variab</w:t>
            </w:r>
            <w:r w:rsidR="00CA3E0F">
              <w:rPr>
                <w:rFonts w:ascii="Times New Roman" w:eastAsia="Times New Roman" w:hAnsi="Times New Roman" w:cs="Times New Roman"/>
                <w:sz w:val="24"/>
                <w:szCs w:val="24"/>
              </w:rPr>
              <w:t>le</w:t>
            </w:r>
          </w:p>
        </w:tc>
        <w:tc>
          <w:tcPr>
            <w:tcW w:w="809" w:type="pct"/>
            <w:vAlign w:val="center"/>
          </w:tcPr>
          <w:p w14:paraId="62FD8047"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Tolerance</w:t>
            </w:r>
          </w:p>
        </w:tc>
        <w:tc>
          <w:tcPr>
            <w:tcW w:w="492" w:type="pct"/>
            <w:vAlign w:val="center"/>
          </w:tcPr>
          <w:p w14:paraId="322EFE3C"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VIF</w:t>
            </w:r>
          </w:p>
        </w:tc>
        <w:tc>
          <w:tcPr>
            <w:tcW w:w="934" w:type="pct"/>
            <w:vAlign w:val="center"/>
          </w:tcPr>
          <w:p w14:paraId="4FDC007D"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Coefficient B</w:t>
            </w:r>
          </w:p>
        </w:tc>
        <w:tc>
          <w:tcPr>
            <w:tcW w:w="542" w:type="pct"/>
            <w:vAlign w:val="center"/>
          </w:tcPr>
          <w:p w14:paraId="460B9A32"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Sig.</w:t>
            </w:r>
          </w:p>
        </w:tc>
      </w:tr>
      <w:tr w:rsidR="007373F6" w14:paraId="6C9B20BA" w14:textId="77777777" w:rsidTr="00CA3E0F">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224" w:type="pct"/>
            <w:tcBorders>
              <w:bottom w:val="nil"/>
            </w:tcBorders>
            <w:vAlign w:val="center"/>
          </w:tcPr>
          <w:p w14:paraId="6B0448E8"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Costing (X1)</w:t>
            </w:r>
          </w:p>
        </w:tc>
        <w:tc>
          <w:tcPr>
            <w:tcW w:w="809" w:type="pct"/>
            <w:tcBorders>
              <w:bottom w:val="nil"/>
            </w:tcBorders>
          </w:tcPr>
          <w:p w14:paraId="1E6DD33C"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0.454</w:t>
            </w:r>
          </w:p>
        </w:tc>
        <w:tc>
          <w:tcPr>
            <w:tcW w:w="492" w:type="pct"/>
            <w:tcBorders>
              <w:bottom w:val="nil"/>
            </w:tcBorders>
          </w:tcPr>
          <w:p w14:paraId="764D6E73"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2.200</w:t>
            </w:r>
          </w:p>
        </w:tc>
        <w:tc>
          <w:tcPr>
            <w:tcW w:w="934" w:type="pct"/>
            <w:tcBorders>
              <w:bottom w:val="nil"/>
            </w:tcBorders>
          </w:tcPr>
          <w:p w14:paraId="139320D3"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-0.074</w:t>
            </w:r>
          </w:p>
        </w:tc>
        <w:tc>
          <w:tcPr>
            <w:tcW w:w="542" w:type="pct"/>
            <w:tcBorders>
              <w:bottom w:val="nil"/>
            </w:tcBorders>
          </w:tcPr>
          <w:p w14:paraId="0E5EF9A0"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0.098</w:t>
            </w:r>
          </w:p>
        </w:tc>
      </w:tr>
      <w:tr w:rsidR="007373F6" w14:paraId="06B29CCC" w14:textId="77777777" w:rsidTr="00CA3E0F">
        <w:trPr>
          <w:trHeight w:val="293"/>
          <w:jc w:val="center"/>
        </w:trPr>
        <w:tc>
          <w:tcPr>
            <w:cnfStyle w:val="001000000000" w:firstRow="0" w:lastRow="0" w:firstColumn="1" w:lastColumn="0" w:oddVBand="0" w:evenVBand="0" w:oddHBand="0" w:evenHBand="0" w:firstRowFirstColumn="0" w:firstRowLastColumn="0" w:lastRowFirstColumn="0" w:lastRowLastColumn="0"/>
            <w:tcW w:w="2224" w:type="pct"/>
            <w:tcBorders>
              <w:top w:val="nil"/>
              <w:bottom w:val="nil"/>
            </w:tcBorders>
            <w:vAlign w:val="center"/>
          </w:tcPr>
          <w:p w14:paraId="164362DA"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Planning, control &amp; performance measurement (X2)</w:t>
            </w:r>
          </w:p>
        </w:tc>
        <w:tc>
          <w:tcPr>
            <w:tcW w:w="809" w:type="pct"/>
            <w:tcBorders>
              <w:top w:val="nil"/>
              <w:bottom w:val="nil"/>
            </w:tcBorders>
          </w:tcPr>
          <w:p w14:paraId="32341299"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0.204</w:t>
            </w:r>
          </w:p>
        </w:tc>
        <w:tc>
          <w:tcPr>
            <w:tcW w:w="492" w:type="pct"/>
            <w:tcBorders>
              <w:top w:val="nil"/>
              <w:bottom w:val="nil"/>
            </w:tcBorders>
          </w:tcPr>
          <w:p w14:paraId="12BA436A"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4.934</w:t>
            </w:r>
          </w:p>
        </w:tc>
        <w:tc>
          <w:tcPr>
            <w:tcW w:w="934" w:type="pct"/>
            <w:tcBorders>
              <w:top w:val="nil"/>
              <w:bottom w:val="nil"/>
            </w:tcBorders>
          </w:tcPr>
          <w:p w14:paraId="0EB8E618"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0.014</w:t>
            </w:r>
          </w:p>
        </w:tc>
        <w:tc>
          <w:tcPr>
            <w:tcW w:w="542" w:type="pct"/>
            <w:tcBorders>
              <w:top w:val="nil"/>
              <w:bottom w:val="nil"/>
            </w:tcBorders>
          </w:tcPr>
          <w:p w14:paraId="665FDD1D"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0.751</w:t>
            </w:r>
          </w:p>
        </w:tc>
      </w:tr>
      <w:tr w:rsidR="007373F6" w14:paraId="5E85D982" w14:textId="77777777" w:rsidTr="00CA3E0F">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2224" w:type="pct"/>
            <w:tcBorders>
              <w:top w:val="nil"/>
              <w:bottom w:val="nil"/>
            </w:tcBorders>
            <w:vAlign w:val="center"/>
          </w:tcPr>
          <w:p w14:paraId="0D35E9DF"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Strategic decision-making (X3)</w:t>
            </w:r>
          </w:p>
        </w:tc>
        <w:tc>
          <w:tcPr>
            <w:tcW w:w="809" w:type="pct"/>
            <w:tcBorders>
              <w:top w:val="nil"/>
              <w:bottom w:val="nil"/>
            </w:tcBorders>
          </w:tcPr>
          <w:p w14:paraId="6859C67C"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0.200</w:t>
            </w:r>
          </w:p>
        </w:tc>
        <w:tc>
          <w:tcPr>
            <w:tcW w:w="492" w:type="pct"/>
            <w:tcBorders>
              <w:top w:val="nil"/>
              <w:bottom w:val="nil"/>
            </w:tcBorders>
          </w:tcPr>
          <w:p w14:paraId="57205EE8"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4.943</w:t>
            </w:r>
          </w:p>
        </w:tc>
        <w:tc>
          <w:tcPr>
            <w:tcW w:w="934" w:type="pct"/>
            <w:tcBorders>
              <w:top w:val="nil"/>
              <w:bottom w:val="nil"/>
            </w:tcBorders>
          </w:tcPr>
          <w:p w14:paraId="0FE5DEA6"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0.019</w:t>
            </w:r>
          </w:p>
        </w:tc>
        <w:tc>
          <w:tcPr>
            <w:tcW w:w="542" w:type="pct"/>
            <w:tcBorders>
              <w:top w:val="nil"/>
              <w:bottom w:val="nil"/>
            </w:tcBorders>
          </w:tcPr>
          <w:p w14:paraId="009B3D28"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0.620</w:t>
            </w:r>
          </w:p>
        </w:tc>
      </w:tr>
      <w:tr w:rsidR="007373F6" w14:paraId="6162BFCE" w14:textId="77777777" w:rsidTr="00CA3E0F">
        <w:trPr>
          <w:trHeight w:val="293"/>
          <w:jc w:val="center"/>
        </w:trPr>
        <w:tc>
          <w:tcPr>
            <w:cnfStyle w:val="001000000000" w:firstRow="0" w:lastRow="0" w:firstColumn="1" w:lastColumn="0" w:oddVBand="0" w:evenVBand="0" w:oddHBand="0" w:evenHBand="0" w:firstRowFirstColumn="0" w:firstRowLastColumn="0" w:lastRowFirstColumn="0" w:lastRowLastColumn="0"/>
            <w:tcW w:w="2224" w:type="pct"/>
            <w:tcBorders>
              <w:top w:val="nil"/>
              <w:bottom w:val="nil"/>
            </w:tcBorders>
            <w:vAlign w:val="center"/>
          </w:tcPr>
          <w:p w14:paraId="4FF62FFC"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Competitor accounting (X4)</w:t>
            </w:r>
          </w:p>
        </w:tc>
        <w:tc>
          <w:tcPr>
            <w:tcW w:w="809" w:type="pct"/>
            <w:tcBorders>
              <w:top w:val="nil"/>
              <w:bottom w:val="nil"/>
            </w:tcBorders>
          </w:tcPr>
          <w:p w14:paraId="329BC119"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0.144</w:t>
            </w:r>
          </w:p>
        </w:tc>
        <w:tc>
          <w:tcPr>
            <w:tcW w:w="492" w:type="pct"/>
            <w:tcBorders>
              <w:top w:val="nil"/>
              <w:bottom w:val="nil"/>
            </w:tcBorders>
          </w:tcPr>
          <w:p w14:paraId="1C4B9ACD"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2.552</w:t>
            </w:r>
          </w:p>
        </w:tc>
        <w:tc>
          <w:tcPr>
            <w:tcW w:w="934" w:type="pct"/>
            <w:tcBorders>
              <w:top w:val="nil"/>
              <w:bottom w:val="nil"/>
            </w:tcBorders>
          </w:tcPr>
          <w:p w14:paraId="1B7E5F3A"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0.065</w:t>
            </w:r>
          </w:p>
        </w:tc>
        <w:tc>
          <w:tcPr>
            <w:tcW w:w="542" w:type="pct"/>
            <w:tcBorders>
              <w:top w:val="nil"/>
              <w:bottom w:val="nil"/>
            </w:tcBorders>
          </w:tcPr>
          <w:p w14:paraId="5A17E2C0"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0.103</w:t>
            </w:r>
          </w:p>
        </w:tc>
      </w:tr>
      <w:tr w:rsidR="007373F6" w14:paraId="0C74E48E" w14:textId="77777777" w:rsidTr="00CA3E0F">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2224" w:type="pct"/>
            <w:tcBorders>
              <w:top w:val="nil"/>
              <w:bottom w:val="nil"/>
            </w:tcBorders>
            <w:vAlign w:val="center"/>
          </w:tcPr>
          <w:p w14:paraId="24653CCC"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Customer accounting (X5)</w:t>
            </w:r>
          </w:p>
        </w:tc>
        <w:tc>
          <w:tcPr>
            <w:tcW w:w="809" w:type="pct"/>
            <w:tcBorders>
              <w:top w:val="nil"/>
              <w:bottom w:val="nil"/>
            </w:tcBorders>
          </w:tcPr>
          <w:p w14:paraId="5ADA145B"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0.176</w:t>
            </w:r>
          </w:p>
        </w:tc>
        <w:tc>
          <w:tcPr>
            <w:tcW w:w="492" w:type="pct"/>
            <w:tcBorders>
              <w:top w:val="nil"/>
              <w:bottom w:val="nil"/>
            </w:tcBorders>
          </w:tcPr>
          <w:p w14:paraId="7B4BD460"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3.833</w:t>
            </w:r>
          </w:p>
        </w:tc>
        <w:tc>
          <w:tcPr>
            <w:tcW w:w="934" w:type="pct"/>
            <w:tcBorders>
              <w:top w:val="nil"/>
              <w:bottom w:val="nil"/>
            </w:tcBorders>
          </w:tcPr>
          <w:p w14:paraId="271F679B"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0.023</w:t>
            </w:r>
          </w:p>
        </w:tc>
        <w:tc>
          <w:tcPr>
            <w:tcW w:w="542" w:type="pct"/>
            <w:tcBorders>
              <w:top w:val="nil"/>
              <w:bottom w:val="nil"/>
            </w:tcBorders>
          </w:tcPr>
          <w:p w14:paraId="7AD65B2E"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0.513</w:t>
            </w:r>
          </w:p>
        </w:tc>
      </w:tr>
      <w:tr w:rsidR="007373F6" w14:paraId="21C640BB" w14:textId="77777777" w:rsidTr="00CA3E0F">
        <w:trPr>
          <w:trHeight w:val="156"/>
          <w:jc w:val="center"/>
        </w:trPr>
        <w:tc>
          <w:tcPr>
            <w:cnfStyle w:val="001000000000" w:firstRow="0" w:lastRow="0" w:firstColumn="1" w:lastColumn="0" w:oddVBand="0" w:evenVBand="0" w:oddHBand="0" w:evenHBand="0" w:firstRowFirstColumn="0" w:firstRowLastColumn="0" w:lastRowFirstColumn="0" w:lastRowLastColumn="0"/>
            <w:tcW w:w="2224" w:type="pct"/>
            <w:tcBorders>
              <w:top w:val="nil"/>
            </w:tcBorders>
            <w:vAlign w:val="center"/>
          </w:tcPr>
          <w:p w14:paraId="7B70E457"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Kolmogorov-Smirnov Test</w:t>
            </w:r>
          </w:p>
        </w:tc>
        <w:tc>
          <w:tcPr>
            <w:tcW w:w="809" w:type="pct"/>
            <w:tcBorders>
              <w:top w:val="nil"/>
            </w:tcBorders>
            <w:vAlign w:val="center"/>
          </w:tcPr>
          <w:p w14:paraId="34F4C5C2"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0.200</w:t>
            </w:r>
          </w:p>
        </w:tc>
        <w:tc>
          <w:tcPr>
            <w:tcW w:w="492" w:type="pct"/>
            <w:tcBorders>
              <w:top w:val="nil"/>
            </w:tcBorders>
            <w:vAlign w:val="center"/>
          </w:tcPr>
          <w:p w14:paraId="2D536989" w14:textId="77777777" w:rsidR="007373F6" w:rsidRDefault="007373F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934" w:type="pct"/>
            <w:tcBorders>
              <w:top w:val="nil"/>
            </w:tcBorders>
            <w:vAlign w:val="center"/>
          </w:tcPr>
          <w:p w14:paraId="7404803D" w14:textId="77777777" w:rsidR="007373F6" w:rsidRDefault="007373F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542" w:type="pct"/>
            <w:tcBorders>
              <w:top w:val="nil"/>
            </w:tcBorders>
            <w:vAlign w:val="center"/>
          </w:tcPr>
          <w:p w14:paraId="6BB88B56" w14:textId="77777777" w:rsidR="007373F6" w:rsidRDefault="007373F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bl>
    <w:p w14:paraId="4DADFB5B" w14:textId="77777777" w:rsidR="007373F6" w:rsidRDefault="00000000">
      <w:pPr>
        <w:tabs>
          <w:tab w:val="left" w:pos="2835"/>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Source: Data own research (2025)</w:t>
      </w:r>
    </w:p>
    <w:p w14:paraId="2690BF75" w14:textId="77777777" w:rsidR="007373F6" w:rsidRDefault="007373F6">
      <w:pPr>
        <w:spacing w:after="0" w:line="240" w:lineRule="auto"/>
        <w:jc w:val="both"/>
        <w:rPr>
          <w:rFonts w:ascii="Times New Roman" w:eastAsia="Times New Roman" w:hAnsi="Times New Roman" w:cs="Times New Roman"/>
          <w:b/>
          <w:sz w:val="24"/>
          <w:szCs w:val="24"/>
        </w:rPr>
      </w:pPr>
    </w:p>
    <w:p w14:paraId="1A0DA67A"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Pursuant to the findings enumerated in Table 5, an investigation was initiated to ascertain the viability of the regression model utilized. This inquiry involved the execution of a classical assumption test, a methodological procedure designed to evaluate the model's compatibility with the data set under consideration. The results of the multicollinearity test show that all independent variables have tolerance values larger than 0.10 and VIF values less than 10. This conclusion implies that multicollinearity is not an issue in this model because it meets the assumption of independent variables. The Kolmogorov-Smirnov test was used to determine normality, and the result was a significance level of 0.200 (&gt;0.05). We may infer that the residual data is regularly distributed, implying that the regression model </w:t>
      </w:r>
      <w:proofErr w:type="spellStart"/>
      <w:r>
        <w:rPr>
          <w:rFonts w:ascii="Times New Roman" w:eastAsia="Times New Roman" w:hAnsi="Times New Roman" w:cs="Times New Roman"/>
          <w:sz w:val="24"/>
          <w:szCs w:val="24"/>
        </w:rPr>
        <w:t>fulfills</w:t>
      </w:r>
      <w:proofErr w:type="spellEnd"/>
      <w:r>
        <w:rPr>
          <w:rFonts w:ascii="Times New Roman" w:eastAsia="Times New Roman" w:hAnsi="Times New Roman" w:cs="Times New Roman"/>
          <w:sz w:val="24"/>
          <w:szCs w:val="24"/>
        </w:rPr>
        <w:t xml:space="preserve"> the normality condition.</w:t>
      </w:r>
    </w:p>
    <w:p w14:paraId="18B847ED" w14:textId="77777777" w:rsidR="007373F6" w:rsidRDefault="007373F6">
      <w:pPr>
        <w:spacing w:after="0" w:line="240" w:lineRule="auto"/>
        <w:ind w:firstLine="357"/>
        <w:jc w:val="both"/>
        <w:rPr>
          <w:rFonts w:ascii="Times New Roman" w:eastAsia="Times New Roman" w:hAnsi="Times New Roman" w:cs="Times New Roman"/>
          <w:sz w:val="24"/>
          <w:szCs w:val="24"/>
        </w:rPr>
      </w:pPr>
    </w:p>
    <w:p w14:paraId="70AC0C03" w14:textId="77777777" w:rsidR="007373F6" w:rsidRDefault="00000000">
      <w:pPr>
        <w:spacing w:after="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Multiple Linear Regression Analysis</w:t>
      </w:r>
    </w:p>
    <w:p w14:paraId="1355C2C8"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Multiple linear regression is used to assess if the connection between independent factors and dependent variables is positive or negative. The multiple linear regression analysis yielded the following results:</w:t>
      </w:r>
    </w:p>
    <w:p w14:paraId="5C1E3784" w14:textId="77777777" w:rsidR="007373F6" w:rsidRDefault="007373F6">
      <w:pPr>
        <w:spacing w:after="0" w:line="240" w:lineRule="auto"/>
        <w:jc w:val="both"/>
        <w:rPr>
          <w:rFonts w:ascii="Times New Roman" w:eastAsia="Times New Roman" w:hAnsi="Times New Roman" w:cs="Times New Roman"/>
          <w:b/>
          <w:sz w:val="24"/>
          <w:szCs w:val="24"/>
        </w:rPr>
      </w:pPr>
    </w:p>
    <w:p w14:paraId="0E449A06" w14:textId="77777777" w:rsidR="007373F6" w:rsidRDefault="00000000" w:rsidP="00CA3E0F">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Table 6. </w:t>
      </w:r>
      <w:r w:rsidRPr="00CA3E0F">
        <w:rPr>
          <w:rFonts w:ascii="Times New Roman" w:eastAsia="Times New Roman" w:hAnsi="Times New Roman" w:cs="Times New Roman"/>
          <w:bCs/>
          <w:sz w:val="24"/>
          <w:szCs w:val="24"/>
        </w:rPr>
        <w:t>Multiple Linear Regression Analysis Result</w:t>
      </w:r>
    </w:p>
    <w:tbl>
      <w:tblPr>
        <w:tblStyle w:val="a7"/>
        <w:tblW w:w="5000" w:type="pct"/>
        <w:jc w:val="center"/>
        <w:tblBorders>
          <w:top w:val="single" w:sz="4" w:space="0" w:color="7F7F7F"/>
          <w:bottom w:val="single" w:sz="4" w:space="0" w:color="7F7F7F"/>
        </w:tblBorders>
        <w:tblLook w:val="04A0" w:firstRow="1" w:lastRow="0" w:firstColumn="1" w:lastColumn="0" w:noHBand="0" w:noVBand="1"/>
      </w:tblPr>
      <w:tblGrid>
        <w:gridCol w:w="2093"/>
        <w:gridCol w:w="1061"/>
        <w:gridCol w:w="1545"/>
        <w:gridCol w:w="1811"/>
        <w:gridCol w:w="1240"/>
        <w:gridCol w:w="1276"/>
      </w:tblGrid>
      <w:tr w:rsidR="007373F6" w14:paraId="1DBF648F" w14:textId="77777777" w:rsidTr="00CA3E0F">
        <w:trPr>
          <w:cnfStyle w:val="100000000000" w:firstRow="1" w:lastRow="0" w:firstColumn="0" w:lastColumn="0" w:oddVBand="0" w:evenVBand="0" w:oddHBand="0" w:evenHBand="0" w:firstRowFirstColumn="0" w:firstRowLastColumn="0" w:lastRowFirstColumn="0" w:lastRowLastColumn="0"/>
          <w:trHeight w:val="544"/>
          <w:jc w:val="center"/>
        </w:trPr>
        <w:tc>
          <w:tcPr>
            <w:cnfStyle w:val="001000000000" w:firstRow="0" w:lastRow="0" w:firstColumn="1" w:lastColumn="0" w:oddVBand="0" w:evenVBand="0" w:oddHBand="0" w:evenHBand="0" w:firstRowFirstColumn="0" w:firstRowLastColumn="0" w:lastRowFirstColumn="0" w:lastRowLastColumn="0"/>
            <w:tcW w:w="1159" w:type="pct"/>
            <w:vMerge w:val="restart"/>
            <w:vAlign w:val="center"/>
          </w:tcPr>
          <w:p w14:paraId="78D58E33" w14:textId="77777777" w:rsidR="007373F6" w:rsidRDefault="00000000">
            <w:pPr>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Variabel</w:t>
            </w:r>
            <w:proofErr w:type="spellEnd"/>
          </w:p>
        </w:tc>
        <w:tc>
          <w:tcPr>
            <w:tcW w:w="1444" w:type="pct"/>
            <w:gridSpan w:val="2"/>
            <w:vAlign w:val="center"/>
          </w:tcPr>
          <w:p w14:paraId="33BD394F"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Unstandardized Coefficients</w:t>
            </w:r>
          </w:p>
        </w:tc>
        <w:tc>
          <w:tcPr>
            <w:tcW w:w="1003" w:type="pct"/>
            <w:vMerge w:val="restart"/>
            <w:vAlign w:val="center"/>
          </w:tcPr>
          <w:p w14:paraId="7D4C4C0F"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Standardized Coefficients</w:t>
            </w:r>
          </w:p>
          <w:p w14:paraId="730EDCC6"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Beta</w:t>
            </w:r>
          </w:p>
        </w:tc>
        <w:tc>
          <w:tcPr>
            <w:tcW w:w="687" w:type="pct"/>
            <w:vMerge w:val="restart"/>
            <w:vAlign w:val="center"/>
          </w:tcPr>
          <w:p w14:paraId="1C38858D"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t</w:t>
            </w:r>
          </w:p>
        </w:tc>
        <w:tc>
          <w:tcPr>
            <w:tcW w:w="707" w:type="pct"/>
            <w:vMerge w:val="restart"/>
            <w:vAlign w:val="center"/>
          </w:tcPr>
          <w:p w14:paraId="3F68422C"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Sig.</w:t>
            </w:r>
          </w:p>
        </w:tc>
      </w:tr>
      <w:tr w:rsidR="007373F6" w14:paraId="7D0670F4" w14:textId="77777777" w:rsidTr="00CA3E0F">
        <w:trPr>
          <w:cnfStyle w:val="000000100000" w:firstRow="0" w:lastRow="0" w:firstColumn="0" w:lastColumn="0" w:oddVBand="0" w:evenVBand="0" w:oddHBand="1" w:evenHBand="0" w:firstRowFirstColumn="0" w:firstRowLastColumn="0" w:lastRowFirstColumn="0" w:lastRowLastColumn="0"/>
          <w:trHeight w:val="145"/>
          <w:jc w:val="center"/>
        </w:trPr>
        <w:tc>
          <w:tcPr>
            <w:cnfStyle w:val="001000000000" w:firstRow="0" w:lastRow="0" w:firstColumn="1" w:lastColumn="0" w:oddVBand="0" w:evenVBand="0" w:oddHBand="0" w:evenHBand="0" w:firstRowFirstColumn="0" w:firstRowLastColumn="0" w:lastRowFirstColumn="0" w:lastRowLastColumn="0"/>
            <w:tcW w:w="1159" w:type="pct"/>
            <w:vMerge/>
            <w:vAlign w:val="center"/>
          </w:tcPr>
          <w:p w14:paraId="52817BDE" w14:textId="77777777" w:rsidR="007373F6" w:rsidRDefault="007373F6">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588" w:type="pct"/>
            <w:vAlign w:val="center"/>
          </w:tcPr>
          <w:p w14:paraId="4C79DD26"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b/>
                <w:sz w:val="24"/>
                <w:szCs w:val="24"/>
              </w:rPr>
              <w:t>B</w:t>
            </w:r>
          </w:p>
        </w:tc>
        <w:tc>
          <w:tcPr>
            <w:tcW w:w="856" w:type="pct"/>
            <w:vAlign w:val="center"/>
          </w:tcPr>
          <w:p w14:paraId="7A25CB0D"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b/>
                <w:sz w:val="24"/>
                <w:szCs w:val="24"/>
              </w:rPr>
              <w:t>Std. Error</w:t>
            </w:r>
          </w:p>
        </w:tc>
        <w:tc>
          <w:tcPr>
            <w:tcW w:w="1003" w:type="pct"/>
            <w:vMerge/>
            <w:vAlign w:val="center"/>
          </w:tcPr>
          <w:p w14:paraId="16EBA02B"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p>
        </w:tc>
        <w:tc>
          <w:tcPr>
            <w:tcW w:w="687" w:type="pct"/>
            <w:vMerge/>
            <w:vAlign w:val="center"/>
          </w:tcPr>
          <w:p w14:paraId="686C6191"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p>
        </w:tc>
        <w:tc>
          <w:tcPr>
            <w:tcW w:w="707" w:type="pct"/>
            <w:vMerge/>
            <w:vAlign w:val="center"/>
          </w:tcPr>
          <w:p w14:paraId="20E7F09D" w14:textId="77777777" w:rsidR="007373F6" w:rsidRDefault="007373F6">
            <w:pPr>
              <w:widowControl w:val="0"/>
              <w:pBdr>
                <w:top w:val="nil"/>
                <w:left w:val="nil"/>
                <w:bottom w:val="nil"/>
                <w:right w:val="nil"/>
                <w:between w:val="nil"/>
              </w:pBd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p>
        </w:tc>
      </w:tr>
      <w:tr w:rsidR="007373F6" w14:paraId="10BA45E9" w14:textId="77777777" w:rsidTr="00CA3E0F">
        <w:trPr>
          <w:trHeight w:val="272"/>
          <w:jc w:val="center"/>
        </w:trPr>
        <w:tc>
          <w:tcPr>
            <w:cnfStyle w:val="001000000000" w:firstRow="0" w:lastRow="0" w:firstColumn="1" w:lastColumn="0" w:oddVBand="0" w:evenVBand="0" w:oddHBand="0" w:evenHBand="0" w:firstRowFirstColumn="0" w:firstRowLastColumn="0" w:lastRowFirstColumn="0" w:lastRowLastColumn="0"/>
            <w:tcW w:w="1159" w:type="pct"/>
            <w:vAlign w:val="center"/>
          </w:tcPr>
          <w:p w14:paraId="7B282A23"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(Constant)</w:t>
            </w:r>
          </w:p>
        </w:tc>
        <w:tc>
          <w:tcPr>
            <w:tcW w:w="588" w:type="pct"/>
            <w:vAlign w:val="center"/>
          </w:tcPr>
          <w:p w14:paraId="4EE57753"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1.500</w:t>
            </w:r>
          </w:p>
        </w:tc>
        <w:tc>
          <w:tcPr>
            <w:tcW w:w="856" w:type="pct"/>
            <w:vAlign w:val="center"/>
          </w:tcPr>
          <w:p w14:paraId="541F99AC"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sz w:val="24"/>
                <w:szCs w:val="24"/>
              </w:rPr>
              <w:t>.571</w:t>
            </w:r>
          </w:p>
        </w:tc>
        <w:tc>
          <w:tcPr>
            <w:tcW w:w="1003" w:type="pct"/>
            <w:vAlign w:val="center"/>
          </w:tcPr>
          <w:p w14:paraId="5B573240" w14:textId="77777777" w:rsidR="007373F6" w:rsidRDefault="007373F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p>
        </w:tc>
        <w:tc>
          <w:tcPr>
            <w:tcW w:w="687" w:type="pct"/>
            <w:vAlign w:val="center"/>
          </w:tcPr>
          <w:p w14:paraId="3B2FA821"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sz w:val="24"/>
                <w:szCs w:val="24"/>
              </w:rPr>
              <w:t>2.627</w:t>
            </w:r>
          </w:p>
        </w:tc>
        <w:tc>
          <w:tcPr>
            <w:tcW w:w="707" w:type="pct"/>
            <w:vAlign w:val="center"/>
          </w:tcPr>
          <w:p w14:paraId="2E51BC87"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sz w:val="24"/>
                <w:szCs w:val="24"/>
              </w:rPr>
              <w:t>.009</w:t>
            </w:r>
          </w:p>
        </w:tc>
      </w:tr>
      <w:tr w:rsidR="007373F6" w14:paraId="5214B1A0" w14:textId="77777777" w:rsidTr="00CA3E0F">
        <w:trPr>
          <w:cnfStyle w:val="000000100000" w:firstRow="0" w:lastRow="0" w:firstColumn="0" w:lastColumn="0" w:oddVBand="0" w:evenVBand="0" w:oddHBand="1" w:evenHBand="0" w:firstRowFirstColumn="0" w:firstRowLastColumn="0" w:lastRowFirstColumn="0" w:lastRowLastColumn="0"/>
          <w:trHeight w:val="272"/>
          <w:jc w:val="center"/>
        </w:trPr>
        <w:tc>
          <w:tcPr>
            <w:cnfStyle w:val="001000000000" w:firstRow="0" w:lastRow="0" w:firstColumn="1" w:lastColumn="0" w:oddVBand="0" w:evenVBand="0" w:oddHBand="0" w:evenHBand="0" w:firstRowFirstColumn="0" w:firstRowLastColumn="0" w:lastRowFirstColumn="0" w:lastRowLastColumn="0"/>
            <w:tcW w:w="1159" w:type="pct"/>
            <w:vAlign w:val="center"/>
          </w:tcPr>
          <w:p w14:paraId="5518BE54"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Costing (X1)</w:t>
            </w:r>
          </w:p>
        </w:tc>
        <w:tc>
          <w:tcPr>
            <w:tcW w:w="588" w:type="pct"/>
            <w:vAlign w:val="center"/>
          </w:tcPr>
          <w:p w14:paraId="314A8FAE"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sz w:val="24"/>
                <w:szCs w:val="24"/>
              </w:rPr>
              <w:t>.597</w:t>
            </w:r>
          </w:p>
        </w:tc>
        <w:tc>
          <w:tcPr>
            <w:tcW w:w="856" w:type="pct"/>
            <w:vAlign w:val="center"/>
          </w:tcPr>
          <w:p w14:paraId="1476E705"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sz w:val="24"/>
                <w:szCs w:val="24"/>
              </w:rPr>
              <w:t>.071</w:t>
            </w:r>
          </w:p>
        </w:tc>
        <w:tc>
          <w:tcPr>
            <w:tcW w:w="1003" w:type="pct"/>
            <w:vAlign w:val="center"/>
          </w:tcPr>
          <w:p w14:paraId="3089785E"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sz w:val="24"/>
                <w:szCs w:val="24"/>
              </w:rPr>
              <w:t>1.304</w:t>
            </w:r>
          </w:p>
        </w:tc>
        <w:tc>
          <w:tcPr>
            <w:tcW w:w="687" w:type="pct"/>
            <w:vAlign w:val="center"/>
          </w:tcPr>
          <w:p w14:paraId="24DB87EA"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sz w:val="24"/>
                <w:szCs w:val="24"/>
              </w:rPr>
              <w:t>8.366</w:t>
            </w:r>
          </w:p>
        </w:tc>
        <w:tc>
          <w:tcPr>
            <w:tcW w:w="707" w:type="pct"/>
            <w:vAlign w:val="center"/>
          </w:tcPr>
          <w:p w14:paraId="14F9E6B7"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sz w:val="24"/>
                <w:szCs w:val="24"/>
              </w:rPr>
              <w:t>.000</w:t>
            </w:r>
          </w:p>
        </w:tc>
      </w:tr>
      <w:tr w:rsidR="007373F6" w14:paraId="1A15B559" w14:textId="77777777" w:rsidTr="00CA3E0F">
        <w:trPr>
          <w:trHeight w:val="1377"/>
          <w:jc w:val="center"/>
        </w:trPr>
        <w:tc>
          <w:tcPr>
            <w:cnfStyle w:val="001000000000" w:firstRow="0" w:lastRow="0" w:firstColumn="1" w:lastColumn="0" w:oddVBand="0" w:evenVBand="0" w:oddHBand="0" w:evenHBand="0" w:firstRowFirstColumn="0" w:firstRowLastColumn="0" w:lastRowFirstColumn="0" w:lastRowLastColumn="0"/>
            <w:tcW w:w="1159" w:type="pct"/>
            <w:vAlign w:val="center"/>
          </w:tcPr>
          <w:p w14:paraId="7EEF3B56"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Planning, control &amp; performance measurement (X2)</w:t>
            </w:r>
          </w:p>
        </w:tc>
        <w:tc>
          <w:tcPr>
            <w:tcW w:w="588" w:type="pct"/>
            <w:vAlign w:val="center"/>
          </w:tcPr>
          <w:p w14:paraId="3AC447E1"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sz w:val="24"/>
                <w:szCs w:val="24"/>
              </w:rPr>
              <w:t>.263</w:t>
            </w:r>
          </w:p>
        </w:tc>
        <w:tc>
          <w:tcPr>
            <w:tcW w:w="856" w:type="pct"/>
            <w:vAlign w:val="center"/>
          </w:tcPr>
          <w:p w14:paraId="17066379"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sz w:val="24"/>
                <w:szCs w:val="24"/>
              </w:rPr>
              <w:t>.069</w:t>
            </w:r>
          </w:p>
        </w:tc>
        <w:tc>
          <w:tcPr>
            <w:tcW w:w="1003" w:type="pct"/>
            <w:vAlign w:val="center"/>
          </w:tcPr>
          <w:p w14:paraId="6B22DF8A"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sz w:val="24"/>
                <w:szCs w:val="24"/>
              </w:rPr>
              <w:t>.281</w:t>
            </w:r>
          </w:p>
        </w:tc>
        <w:tc>
          <w:tcPr>
            <w:tcW w:w="687" w:type="pct"/>
            <w:vAlign w:val="center"/>
          </w:tcPr>
          <w:p w14:paraId="33E68F05"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sz w:val="24"/>
                <w:szCs w:val="24"/>
              </w:rPr>
              <w:t>3.824</w:t>
            </w:r>
          </w:p>
        </w:tc>
        <w:tc>
          <w:tcPr>
            <w:tcW w:w="707" w:type="pct"/>
            <w:vAlign w:val="center"/>
          </w:tcPr>
          <w:p w14:paraId="2F097D39"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sz w:val="24"/>
                <w:szCs w:val="24"/>
              </w:rPr>
              <w:t>.000</w:t>
            </w:r>
          </w:p>
        </w:tc>
      </w:tr>
      <w:tr w:rsidR="007373F6" w14:paraId="3563EFAD" w14:textId="77777777" w:rsidTr="00CA3E0F">
        <w:trPr>
          <w:cnfStyle w:val="000000100000" w:firstRow="0" w:lastRow="0" w:firstColumn="0" w:lastColumn="0" w:oddVBand="0" w:evenVBand="0" w:oddHBand="1" w:evenHBand="0" w:firstRowFirstColumn="0" w:firstRowLastColumn="0" w:lastRowFirstColumn="0" w:lastRowLastColumn="0"/>
          <w:trHeight w:val="832"/>
          <w:jc w:val="center"/>
        </w:trPr>
        <w:tc>
          <w:tcPr>
            <w:cnfStyle w:val="001000000000" w:firstRow="0" w:lastRow="0" w:firstColumn="1" w:lastColumn="0" w:oddVBand="0" w:evenVBand="0" w:oddHBand="0" w:evenHBand="0" w:firstRowFirstColumn="0" w:firstRowLastColumn="0" w:lastRowFirstColumn="0" w:lastRowLastColumn="0"/>
            <w:tcW w:w="1159" w:type="pct"/>
            <w:vAlign w:val="center"/>
          </w:tcPr>
          <w:p w14:paraId="4DDACF4E"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Strategic decision-making (X3)</w:t>
            </w:r>
          </w:p>
        </w:tc>
        <w:tc>
          <w:tcPr>
            <w:tcW w:w="588" w:type="pct"/>
            <w:vAlign w:val="center"/>
          </w:tcPr>
          <w:p w14:paraId="5E4FB11C"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sz w:val="24"/>
                <w:szCs w:val="24"/>
              </w:rPr>
              <w:t>.029</w:t>
            </w:r>
          </w:p>
        </w:tc>
        <w:tc>
          <w:tcPr>
            <w:tcW w:w="856" w:type="pct"/>
            <w:vAlign w:val="center"/>
          </w:tcPr>
          <w:p w14:paraId="324A6DD8"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sz w:val="24"/>
                <w:szCs w:val="24"/>
              </w:rPr>
              <w:t>.063</w:t>
            </w:r>
          </w:p>
        </w:tc>
        <w:tc>
          <w:tcPr>
            <w:tcW w:w="1003" w:type="pct"/>
            <w:vAlign w:val="center"/>
          </w:tcPr>
          <w:p w14:paraId="6C64B5CF"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sz w:val="24"/>
                <w:szCs w:val="24"/>
              </w:rPr>
              <w:t>.035</w:t>
            </w:r>
          </w:p>
        </w:tc>
        <w:tc>
          <w:tcPr>
            <w:tcW w:w="687" w:type="pct"/>
            <w:vAlign w:val="center"/>
          </w:tcPr>
          <w:p w14:paraId="6E9FA4D5"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sz w:val="24"/>
                <w:szCs w:val="24"/>
              </w:rPr>
              <w:t>.470</w:t>
            </w:r>
          </w:p>
        </w:tc>
        <w:tc>
          <w:tcPr>
            <w:tcW w:w="707" w:type="pct"/>
            <w:vAlign w:val="center"/>
          </w:tcPr>
          <w:p w14:paraId="7D836919"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Pr>
                <w:rFonts w:ascii="Times New Roman" w:eastAsia="Times New Roman" w:hAnsi="Times New Roman" w:cs="Times New Roman"/>
                <w:sz w:val="24"/>
                <w:szCs w:val="24"/>
              </w:rPr>
              <w:t>.639</w:t>
            </w:r>
          </w:p>
        </w:tc>
      </w:tr>
      <w:tr w:rsidR="007373F6" w14:paraId="7077DADC" w14:textId="77777777" w:rsidTr="00CA3E0F">
        <w:trPr>
          <w:trHeight w:val="559"/>
          <w:jc w:val="center"/>
        </w:trPr>
        <w:tc>
          <w:tcPr>
            <w:cnfStyle w:val="001000000000" w:firstRow="0" w:lastRow="0" w:firstColumn="1" w:lastColumn="0" w:oddVBand="0" w:evenVBand="0" w:oddHBand="0" w:evenHBand="0" w:firstRowFirstColumn="0" w:firstRowLastColumn="0" w:lastRowFirstColumn="0" w:lastRowLastColumn="0"/>
            <w:tcW w:w="1159" w:type="pct"/>
            <w:vAlign w:val="center"/>
          </w:tcPr>
          <w:p w14:paraId="55EE829C"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Competitor accounting (X4)</w:t>
            </w:r>
          </w:p>
        </w:tc>
        <w:tc>
          <w:tcPr>
            <w:tcW w:w="588" w:type="pct"/>
            <w:vAlign w:val="center"/>
          </w:tcPr>
          <w:p w14:paraId="3A156E71"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.591</w:t>
            </w:r>
          </w:p>
        </w:tc>
        <w:tc>
          <w:tcPr>
            <w:tcW w:w="856" w:type="pct"/>
            <w:vAlign w:val="center"/>
          </w:tcPr>
          <w:p w14:paraId="633AC1BC" w14:textId="77777777" w:rsidR="007373F6" w:rsidRPr="00896211" w:rsidRDefault="00000000" w:rsidP="0089621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896211">
              <w:rPr>
                <w:rFonts w:ascii="Times New Roman" w:eastAsia="Times New Roman" w:hAnsi="Times New Roman" w:cs="Times New Roman"/>
                <w:sz w:val="24"/>
                <w:szCs w:val="24"/>
              </w:rPr>
              <w:t>.064</w:t>
            </w:r>
          </w:p>
        </w:tc>
        <w:tc>
          <w:tcPr>
            <w:tcW w:w="1003" w:type="pct"/>
            <w:vAlign w:val="center"/>
          </w:tcPr>
          <w:p w14:paraId="60273D95"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.814</w:t>
            </w:r>
          </w:p>
        </w:tc>
        <w:tc>
          <w:tcPr>
            <w:tcW w:w="687" w:type="pct"/>
            <w:vAlign w:val="center"/>
          </w:tcPr>
          <w:p w14:paraId="5C7279BC"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9.292</w:t>
            </w:r>
          </w:p>
        </w:tc>
        <w:tc>
          <w:tcPr>
            <w:tcW w:w="707" w:type="pct"/>
            <w:vAlign w:val="center"/>
          </w:tcPr>
          <w:p w14:paraId="2EB4FDC3"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w:t>
            </w:r>
          </w:p>
        </w:tc>
      </w:tr>
      <w:tr w:rsidR="007373F6" w14:paraId="62A0A86F" w14:textId="77777777" w:rsidTr="00CA3E0F">
        <w:trPr>
          <w:cnfStyle w:val="000000100000" w:firstRow="0" w:lastRow="0" w:firstColumn="0" w:lastColumn="0" w:oddVBand="0" w:evenVBand="0" w:oddHBand="1" w:evenHBand="0" w:firstRowFirstColumn="0" w:firstRowLastColumn="0" w:lastRowFirstColumn="0" w:lastRowLastColumn="0"/>
          <w:trHeight w:val="544"/>
          <w:jc w:val="center"/>
        </w:trPr>
        <w:tc>
          <w:tcPr>
            <w:cnfStyle w:val="001000000000" w:firstRow="0" w:lastRow="0" w:firstColumn="1" w:lastColumn="0" w:oddVBand="0" w:evenVBand="0" w:oddHBand="0" w:evenHBand="0" w:firstRowFirstColumn="0" w:firstRowLastColumn="0" w:lastRowFirstColumn="0" w:lastRowLastColumn="0"/>
            <w:tcW w:w="1159" w:type="pct"/>
            <w:vAlign w:val="center"/>
          </w:tcPr>
          <w:p w14:paraId="41140C87" w14:textId="77777777"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Customer accounting (X5)</w:t>
            </w:r>
          </w:p>
        </w:tc>
        <w:tc>
          <w:tcPr>
            <w:tcW w:w="588" w:type="pct"/>
            <w:vAlign w:val="center"/>
          </w:tcPr>
          <w:p w14:paraId="39317262"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1.238</w:t>
            </w:r>
          </w:p>
        </w:tc>
        <w:tc>
          <w:tcPr>
            <w:tcW w:w="856" w:type="pct"/>
            <w:vAlign w:val="center"/>
          </w:tcPr>
          <w:p w14:paraId="38FDDD30"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.057</w:t>
            </w:r>
          </w:p>
        </w:tc>
        <w:tc>
          <w:tcPr>
            <w:tcW w:w="1003" w:type="pct"/>
            <w:vAlign w:val="center"/>
          </w:tcPr>
          <w:p w14:paraId="7E1B4E21"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1.728</w:t>
            </w:r>
          </w:p>
        </w:tc>
        <w:tc>
          <w:tcPr>
            <w:tcW w:w="687" w:type="pct"/>
            <w:vAlign w:val="center"/>
          </w:tcPr>
          <w:p w14:paraId="78914411"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21.821</w:t>
            </w:r>
          </w:p>
        </w:tc>
        <w:tc>
          <w:tcPr>
            <w:tcW w:w="707" w:type="pct"/>
            <w:vAlign w:val="center"/>
          </w:tcPr>
          <w:p w14:paraId="77ED3895"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w:t>
            </w:r>
          </w:p>
        </w:tc>
      </w:tr>
      <w:tr w:rsidR="007373F6" w14:paraId="09B22B89" w14:textId="77777777" w:rsidTr="00CA3E0F">
        <w:trPr>
          <w:trHeight w:val="272"/>
          <w:jc w:val="center"/>
        </w:trPr>
        <w:tc>
          <w:tcPr>
            <w:cnfStyle w:val="001000000000" w:firstRow="0" w:lastRow="0" w:firstColumn="1" w:lastColumn="0" w:oddVBand="0" w:evenVBand="0" w:oddHBand="0" w:evenHBand="0" w:firstRowFirstColumn="0" w:firstRowLastColumn="0" w:lastRowFirstColumn="0" w:lastRowLastColumn="0"/>
            <w:tcW w:w="1159" w:type="pct"/>
            <w:vAlign w:val="center"/>
          </w:tcPr>
          <w:p w14:paraId="486A915A" w14:textId="77777777" w:rsidR="007373F6" w:rsidRDefault="00000000">
            <w:pPr>
              <w:jc w:val="both"/>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R</w:t>
            </w:r>
            <w:r>
              <w:rPr>
                <w:rFonts w:ascii="Times New Roman" w:eastAsia="Times New Roman" w:hAnsi="Times New Roman" w:cs="Times New Roman"/>
                <w:sz w:val="24"/>
                <w:szCs w:val="24"/>
                <w:vertAlign w:val="superscript"/>
              </w:rPr>
              <w:t>2</w:t>
            </w:r>
          </w:p>
        </w:tc>
        <w:tc>
          <w:tcPr>
            <w:tcW w:w="588" w:type="pct"/>
            <w:vAlign w:val="center"/>
          </w:tcPr>
          <w:p w14:paraId="3B56FA2B"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0.960</w:t>
            </w:r>
          </w:p>
        </w:tc>
        <w:tc>
          <w:tcPr>
            <w:tcW w:w="856" w:type="pct"/>
            <w:vAlign w:val="center"/>
          </w:tcPr>
          <w:p w14:paraId="12C8209C" w14:textId="77777777" w:rsidR="007373F6" w:rsidRDefault="007373F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p>
        </w:tc>
        <w:tc>
          <w:tcPr>
            <w:tcW w:w="1003" w:type="pct"/>
            <w:vAlign w:val="center"/>
          </w:tcPr>
          <w:p w14:paraId="2297C41C" w14:textId="77777777" w:rsidR="007373F6" w:rsidRDefault="007373F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p>
        </w:tc>
        <w:tc>
          <w:tcPr>
            <w:tcW w:w="687" w:type="pct"/>
            <w:vAlign w:val="center"/>
          </w:tcPr>
          <w:p w14:paraId="334B2BEE" w14:textId="77777777" w:rsidR="007373F6" w:rsidRDefault="007373F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p>
        </w:tc>
        <w:tc>
          <w:tcPr>
            <w:tcW w:w="707" w:type="pct"/>
            <w:vAlign w:val="center"/>
          </w:tcPr>
          <w:p w14:paraId="65E1276B" w14:textId="77777777" w:rsidR="007373F6" w:rsidRDefault="007373F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p>
        </w:tc>
      </w:tr>
    </w:tbl>
    <w:p w14:paraId="133CDD52" w14:textId="77777777" w:rsidR="007373F6" w:rsidRDefault="00000000">
      <w:pPr>
        <w:tabs>
          <w:tab w:val="left" w:pos="2835"/>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Source: Data own research (2025)</w:t>
      </w:r>
    </w:p>
    <w:p w14:paraId="21034F42" w14:textId="77777777" w:rsidR="007373F6" w:rsidRDefault="007373F6">
      <w:pPr>
        <w:spacing w:after="0" w:line="240" w:lineRule="auto"/>
        <w:ind w:firstLine="709"/>
        <w:jc w:val="both"/>
        <w:rPr>
          <w:rFonts w:ascii="Times New Roman" w:eastAsia="Times New Roman" w:hAnsi="Times New Roman" w:cs="Times New Roman"/>
          <w:sz w:val="24"/>
          <w:szCs w:val="24"/>
        </w:rPr>
      </w:pPr>
    </w:p>
    <w:p w14:paraId="170460DC" w14:textId="77777777" w:rsidR="007373F6" w:rsidRDefault="00000000">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Based on the results of multiple linear regression analysis, the variables Costing (X1), Planning, Control &amp; Performance Measurement (X2), Competitor Accounting (X4), and Customer Accounting (X5) are proven to have a positive and significant effect on Business Decision Making (Y). On the other hand, the Strategic Decision-Making variable (X3) does not show a significant effect. The regression model formed has very good predictive power, with an R² value of 0.960, which means that 96% of changes in business decision making can be explained by this model.</w:t>
      </w:r>
    </w:p>
    <w:p w14:paraId="1E048F25" w14:textId="77777777" w:rsidR="007373F6" w:rsidRDefault="007373F6">
      <w:pPr>
        <w:spacing w:after="0" w:line="240" w:lineRule="auto"/>
        <w:ind w:firstLine="720"/>
        <w:jc w:val="both"/>
        <w:rPr>
          <w:rFonts w:ascii="Times New Roman" w:eastAsia="Times New Roman" w:hAnsi="Times New Roman" w:cs="Times New Roman"/>
          <w:sz w:val="24"/>
          <w:szCs w:val="24"/>
        </w:rPr>
      </w:pPr>
    </w:p>
    <w:p w14:paraId="669141C4" w14:textId="77777777" w:rsidR="00CA3E0F" w:rsidRDefault="00CA3E0F">
      <w:pPr>
        <w:spacing w:after="0" w:line="240" w:lineRule="auto"/>
        <w:ind w:firstLine="720"/>
        <w:jc w:val="both"/>
        <w:rPr>
          <w:rFonts w:ascii="Times New Roman" w:eastAsia="Times New Roman" w:hAnsi="Times New Roman" w:cs="Times New Roman"/>
          <w:sz w:val="24"/>
          <w:szCs w:val="24"/>
        </w:rPr>
      </w:pPr>
    </w:p>
    <w:p w14:paraId="02EF951C" w14:textId="77777777" w:rsidR="00CA3E0F" w:rsidRDefault="00CA3E0F">
      <w:pPr>
        <w:spacing w:after="0" w:line="240" w:lineRule="auto"/>
        <w:ind w:firstLine="720"/>
        <w:jc w:val="both"/>
        <w:rPr>
          <w:rFonts w:ascii="Times New Roman" w:eastAsia="Times New Roman" w:hAnsi="Times New Roman" w:cs="Times New Roman"/>
          <w:sz w:val="24"/>
          <w:szCs w:val="24"/>
        </w:rPr>
      </w:pPr>
    </w:p>
    <w:p w14:paraId="4B2D6DF2" w14:textId="77777777" w:rsidR="00CA3E0F" w:rsidRDefault="00CA3E0F">
      <w:pPr>
        <w:spacing w:after="0" w:line="240" w:lineRule="auto"/>
        <w:ind w:firstLine="720"/>
        <w:jc w:val="both"/>
        <w:rPr>
          <w:rFonts w:ascii="Times New Roman" w:eastAsia="Times New Roman" w:hAnsi="Times New Roman" w:cs="Times New Roman"/>
          <w:sz w:val="24"/>
          <w:szCs w:val="24"/>
        </w:rPr>
      </w:pPr>
    </w:p>
    <w:p w14:paraId="2FF45343" w14:textId="77777777" w:rsidR="007373F6" w:rsidRPr="00896211" w:rsidRDefault="00000000" w:rsidP="00856618">
      <w:pPr>
        <w:pStyle w:val="ListParagraph"/>
        <w:numPr>
          <w:ilvl w:val="0"/>
          <w:numId w:val="13"/>
        </w:numPr>
        <w:spacing w:line="240" w:lineRule="auto"/>
        <w:jc w:val="center"/>
        <w:rPr>
          <w:rFonts w:ascii="Times New Roman" w:eastAsia="Times New Roman" w:hAnsi="Times New Roman" w:cs="Times New Roman"/>
          <w:b/>
          <w:sz w:val="24"/>
          <w:szCs w:val="24"/>
        </w:rPr>
      </w:pPr>
      <w:r w:rsidRPr="00896211">
        <w:rPr>
          <w:rFonts w:ascii="Times New Roman" w:eastAsia="Times New Roman" w:hAnsi="Times New Roman" w:cs="Times New Roman"/>
          <w:b/>
          <w:sz w:val="24"/>
          <w:szCs w:val="24"/>
        </w:rPr>
        <w:lastRenderedPageBreak/>
        <w:t>DISCUSSION</w:t>
      </w:r>
    </w:p>
    <w:p w14:paraId="4B2AFC7E" w14:textId="5D972910" w:rsidR="007373F6" w:rsidRDefault="000B03D5">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5.1 The Influence of Costing on MSME Business Decision Making</w:t>
      </w:r>
    </w:p>
    <w:p w14:paraId="4B254EBB"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findings of the multiple regression analysis on the t-test on the first hypothesis (H1) reveal that costs influence MSME company decision making at a significant level of 0.000. The regression coefficient indicates a positive influence, which means that the more effective the costing, the more MSME business decision-making will rise (H1 is accepted). With proper costing, MSMEs can set competitive selling prices without losing money. Costing helps identify waste in the production process. MSMEs can compare actual costs and planned costs to evaluate operational efficiency. Costing data is useful for </w:t>
      </w:r>
      <w:proofErr w:type="spellStart"/>
      <w:r>
        <w:rPr>
          <w:rFonts w:ascii="Times New Roman" w:eastAsia="Times New Roman" w:hAnsi="Times New Roman" w:cs="Times New Roman"/>
          <w:sz w:val="24"/>
          <w:szCs w:val="24"/>
        </w:rPr>
        <w:t>analyzing</w:t>
      </w:r>
      <w:proofErr w:type="spellEnd"/>
      <w:r>
        <w:rPr>
          <w:rFonts w:ascii="Times New Roman" w:eastAsia="Times New Roman" w:hAnsi="Times New Roman" w:cs="Times New Roman"/>
          <w:sz w:val="24"/>
          <w:szCs w:val="24"/>
        </w:rPr>
        <w:t xml:space="preserve"> the feasibility of expansion, purchasing new equipment, or product development.</w:t>
      </w:r>
    </w:p>
    <w:p w14:paraId="714A376B"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finding is in line with the Theory of Reasoned Action (Fishbein &amp; Ajzen, 1975), where SMEs' belief in the benefits of accurate costing forms a positive attitude towards its use in the decision-making process. If SMEs believe that cost information provides a competitive advantage, then they will tend to adopt and maintain this technique in their business practices. From the results of research conducted by (Chang et al., 2023; Liu et al., 2023; Peebles et al., 2023; Rieg et al., 2023; Trevisan &amp; Mouritsen, 2023), it is stated that costing affects MSME business decision making.</w:t>
      </w:r>
    </w:p>
    <w:p w14:paraId="473CFBC2" w14:textId="77777777" w:rsidR="007373F6" w:rsidRDefault="007373F6">
      <w:pPr>
        <w:spacing w:after="0" w:line="240" w:lineRule="auto"/>
        <w:jc w:val="both"/>
        <w:rPr>
          <w:rFonts w:ascii="Times New Roman" w:eastAsia="Times New Roman" w:hAnsi="Times New Roman" w:cs="Times New Roman"/>
          <w:b/>
          <w:sz w:val="24"/>
          <w:szCs w:val="24"/>
        </w:rPr>
      </w:pPr>
    </w:p>
    <w:p w14:paraId="09930CEF" w14:textId="5E8F2A0D" w:rsidR="007373F6" w:rsidRDefault="000B03D5">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5.2 The Influence of Planning, Control &amp; Performance Measurement on MSME Business Decision Making</w:t>
      </w:r>
    </w:p>
    <w:p w14:paraId="6963DCED"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findings of the multiple regression analysis using the t-test on the second hypothesis (H2) reveal that planning, control, and performance assessment influence MSME company decision making at a significant level of 0.000. The regression coefficient indicates a positive effect, implying that the better the planning, control, and performance assessment, the greater the growth in MSME business decision making. Planning directs business decisions to clear goals. Control keeps the business on the right track. Performance Measurement provides an objective basis for assessing and improving business decisions. MSMEs in East Java that consistently apply these three aspects will be more adaptive, efficient, and have the potential to grow faster than those that do not.</w:t>
      </w:r>
    </w:p>
    <w:p w14:paraId="371F6177" w14:textId="77777777" w:rsidR="007373F6" w:rsidRDefault="00000000">
      <w:pPr>
        <w:spacing w:after="20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Based on TRA theory, thorough planning, and performance control provide confidence to business actors that they have a clear and systematic direction, thus strengthening the intention and belief in making more measurable and accountable decisions. From the results of research conducted by (Bao et al., 2023; Chen et al., 2023; </w:t>
      </w:r>
      <w:proofErr w:type="spellStart"/>
      <w:r>
        <w:rPr>
          <w:rFonts w:ascii="Times New Roman" w:eastAsia="Times New Roman" w:hAnsi="Times New Roman" w:cs="Times New Roman"/>
          <w:sz w:val="24"/>
          <w:szCs w:val="24"/>
        </w:rPr>
        <w:t>Faccioli</w:t>
      </w:r>
      <w:proofErr w:type="spellEnd"/>
      <w:r>
        <w:rPr>
          <w:rFonts w:ascii="Times New Roman" w:eastAsia="Times New Roman" w:hAnsi="Times New Roman" w:cs="Times New Roman"/>
          <w:sz w:val="24"/>
          <w:szCs w:val="24"/>
        </w:rPr>
        <w:t xml:space="preserve"> et al., 2023; Sun, 2023; Yang et al., 2023), it is stated that control &amp; performance measurement affect MSME business decision making.</w:t>
      </w:r>
    </w:p>
    <w:p w14:paraId="49EAE540" w14:textId="54BF0469" w:rsidR="007373F6" w:rsidRDefault="000B03D5">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5.3 The Influence of Strategic Decision-Making on MSME Business Decision-Making</w:t>
      </w:r>
    </w:p>
    <w:p w14:paraId="5369ABFB" w14:textId="77777777" w:rsidR="007373F6" w:rsidRDefault="00000000" w:rsidP="00FC089A">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results of the multiple regression analysis on the t-test on the third hypothesis (H3) show that Strategic decision-making has no effect on MSME business decision making at a significance level of 0.639, implying that the better the Strategic decision-making, the less effect on MSME business decision making (H3 is rejected). Strategic Decision-Making does not have a major effect on MSME decision-making because the scale of the business is small, the focus is on survival, not strategic expansion, and the limitations of resources and managerial literacy. On the other hand, operational decision-making and tactical decision-making are much more dominant in influencing the direction of MSME business. </w:t>
      </w:r>
    </w:p>
    <w:p w14:paraId="17F78CF6" w14:textId="77777777" w:rsidR="007373F6" w:rsidRDefault="00000000" w:rsidP="00FC089A">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Although the theory states that strategic decisions are very important for the long-term sustainability of a business, the results of the study show that strategic decision-making does not have a significant effect on MSME business decision-making (sig. 0.639). This can be explained by the characteristics of MSMEs that focus more on daily operational decisions than long-term strategies, due to limited resources and managerial literacy. In the context of the </w:t>
      </w:r>
      <w:r>
        <w:rPr>
          <w:rFonts w:ascii="Times New Roman" w:eastAsia="Times New Roman" w:hAnsi="Times New Roman" w:cs="Times New Roman"/>
          <w:sz w:val="24"/>
          <w:szCs w:val="24"/>
        </w:rPr>
        <w:lastRenderedPageBreak/>
        <w:t xml:space="preserve">Theory of Reasoned Action, it can be concluded that the attitudes and subjective norms of MSME actors toward strategic decision-making are not strong enough to form a high intention to implement it. They may not see the direct benefits of strategic decisions, so they are not motivated to integrate them into their daily decision-making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This study is contrary to research conducted by (Grover et al., 2023; Hanif et al., 2023; Ivens, 2023; Lyu et al., 2023; Safavi Nia et al., 2023) which states that Strategic decision-making has an effect on MSME business decision-making.</w:t>
      </w:r>
    </w:p>
    <w:p w14:paraId="0EE76581" w14:textId="77777777" w:rsidR="007373F6" w:rsidRDefault="007373F6">
      <w:pPr>
        <w:spacing w:after="0" w:line="240" w:lineRule="auto"/>
        <w:jc w:val="both"/>
        <w:rPr>
          <w:rFonts w:ascii="Times New Roman" w:eastAsia="Times New Roman" w:hAnsi="Times New Roman" w:cs="Times New Roman"/>
          <w:b/>
          <w:sz w:val="24"/>
          <w:szCs w:val="24"/>
        </w:rPr>
      </w:pPr>
    </w:p>
    <w:p w14:paraId="5E2DB8D0" w14:textId="58C0CF38" w:rsidR="007373F6" w:rsidRDefault="000B03D5">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5.4 The Influence of Competitor Accounting on MSME Business Decision Making</w:t>
      </w:r>
    </w:p>
    <w:p w14:paraId="1B17F12F"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Multiple regression analysis using the t-test on the fourth hypothesis (H4) reveals that competition accounting effects MSME company decision making at a significant level of 0.000. The regression coefficient indicates a positive impact, implying that the better the competitor accounting, the more MSME business decisions would be made (H4 is accepted). Competitor Accounting has a significant influence on MSME business decision-making. Providing market insight that helps in pricing strategies, innovation, promotion, and operations. If implemented properly, Competitor Accounting makes MSMEs more adaptive and competitive in local and national markets. However, training support and access to market information are important factors so that MSMEs can utilize Competitor Accounting optimally.</w:t>
      </w:r>
    </w:p>
    <w:p w14:paraId="008C67F4"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context of TRA, when MSMEs know that competitors are successful because they use accurate market information, subjective norms from the social environment encourage them to adopt competitors' accounting practices to maintain competitiveness. From the results of research conducted by (De </w:t>
      </w:r>
      <w:proofErr w:type="spellStart"/>
      <w:r>
        <w:rPr>
          <w:rFonts w:ascii="Times New Roman" w:eastAsia="Times New Roman" w:hAnsi="Times New Roman" w:cs="Times New Roman"/>
          <w:sz w:val="24"/>
          <w:szCs w:val="24"/>
        </w:rPr>
        <w:t>Valck</w:t>
      </w:r>
      <w:proofErr w:type="spellEnd"/>
      <w:r>
        <w:rPr>
          <w:rFonts w:ascii="Times New Roman" w:eastAsia="Times New Roman" w:hAnsi="Times New Roman" w:cs="Times New Roman"/>
          <w:sz w:val="24"/>
          <w:szCs w:val="24"/>
        </w:rPr>
        <w:t xml:space="preserve"> et al., 2023; Dembélé et al., 2023; </w:t>
      </w:r>
      <w:proofErr w:type="spellStart"/>
      <w:r>
        <w:rPr>
          <w:rFonts w:ascii="Times New Roman" w:eastAsia="Times New Roman" w:hAnsi="Times New Roman" w:cs="Times New Roman"/>
          <w:sz w:val="24"/>
          <w:szCs w:val="24"/>
        </w:rPr>
        <w:t>Imjai</w:t>
      </w:r>
      <w:proofErr w:type="spellEnd"/>
      <w:r>
        <w:rPr>
          <w:rFonts w:ascii="Times New Roman" w:eastAsia="Times New Roman" w:hAnsi="Times New Roman" w:cs="Times New Roman"/>
          <w:sz w:val="24"/>
          <w:szCs w:val="24"/>
        </w:rPr>
        <w:t xml:space="preserve"> et al., 2023; </w:t>
      </w:r>
      <w:proofErr w:type="spellStart"/>
      <w:r>
        <w:rPr>
          <w:rFonts w:ascii="Times New Roman" w:eastAsia="Times New Roman" w:hAnsi="Times New Roman" w:cs="Times New Roman"/>
          <w:sz w:val="24"/>
          <w:szCs w:val="24"/>
        </w:rPr>
        <w:t>Juma’h</w:t>
      </w:r>
      <w:proofErr w:type="spellEnd"/>
      <w:r>
        <w:rPr>
          <w:rFonts w:ascii="Times New Roman" w:eastAsia="Times New Roman" w:hAnsi="Times New Roman" w:cs="Times New Roman"/>
          <w:sz w:val="24"/>
          <w:szCs w:val="24"/>
        </w:rPr>
        <w:t xml:space="preserve"> &amp; Li, 2023; Vardon et al., 2023), it is stated that competitor accounting influences MSME business decision making.</w:t>
      </w:r>
    </w:p>
    <w:p w14:paraId="257CA0E2" w14:textId="77777777" w:rsidR="007373F6" w:rsidRDefault="007373F6">
      <w:pPr>
        <w:spacing w:after="0" w:line="240" w:lineRule="auto"/>
        <w:jc w:val="both"/>
        <w:rPr>
          <w:rFonts w:ascii="Times New Roman" w:eastAsia="Times New Roman" w:hAnsi="Times New Roman" w:cs="Times New Roman"/>
          <w:b/>
          <w:sz w:val="24"/>
          <w:szCs w:val="24"/>
        </w:rPr>
      </w:pPr>
    </w:p>
    <w:p w14:paraId="3934BC25" w14:textId="1AEF5DE8" w:rsidR="007373F6" w:rsidRDefault="000B03D5" w:rsidP="000B03D5">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5.5 The Influence of Customer Accounting on MSME Business Decision Making</w:t>
      </w:r>
    </w:p>
    <w:p w14:paraId="3722A5B4"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findings of the multiple regression analysis on the t-test on the fifth hypothesis (H5) indicate that Customer Accounting effects MSME company decision making at a significant level of 0.000. The regression coefficient indicates a positive impact, implying that the better the Customer Accounting, the more MSME business decisions would be made (H5 accepted). Customer Accounting has a strong influence on MSME business decision-making. With customer accounting, MSMEs can focus more on customers who contribute the most to profits. This brings efficiency in marketing costs, increased customer loyalty, and more sustainable business growth. MSMEs that implement Customer Accounting will be better prepared to compete in an increasingly competitive market. </w:t>
      </w:r>
    </w:p>
    <w:p w14:paraId="473BCCD9"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supports the TRA principle that belief in the benefits of customer accounting (e.g. in increasing customer loyalty and value) drives MSMEs’ ​​intentions and decisions to manage customer data more systematically and based on numbers. From the results of research conducted by (Bigdeli </w:t>
      </w:r>
      <w:proofErr w:type="spellStart"/>
      <w:r>
        <w:rPr>
          <w:rFonts w:ascii="Times New Roman" w:eastAsia="Times New Roman" w:hAnsi="Times New Roman" w:cs="Times New Roman"/>
          <w:sz w:val="24"/>
          <w:szCs w:val="24"/>
        </w:rPr>
        <w:t>Nalbandan</w:t>
      </w:r>
      <w:proofErr w:type="spellEnd"/>
      <w:r>
        <w:rPr>
          <w:rFonts w:ascii="Times New Roman" w:eastAsia="Times New Roman" w:hAnsi="Times New Roman" w:cs="Times New Roman"/>
          <w:sz w:val="24"/>
          <w:szCs w:val="24"/>
        </w:rPr>
        <w:t xml:space="preserve"> et al., 2023; </w:t>
      </w:r>
      <w:proofErr w:type="spellStart"/>
      <w:r>
        <w:rPr>
          <w:rFonts w:ascii="Times New Roman" w:eastAsia="Times New Roman" w:hAnsi="Times New Roman" w:cs="Times New Roman"/>
          <w:sz w:val="24"/>
          <w:szCs w:val="24"/>
        </w:rPr>
        <w:t>Jemine</w:t>
      </w:r>
      <w:proofErr w:type="spellEnd"/>
      <w:r>
        <w:rPr>
          <w:rFonts w:ascii="Times New Roman" w:eastAsia="Times New Roman" w:hAnsi="Times New Roman" w:cs="Times New Roman"/>
          <w:sz w:val="24"/>
          <w:szCs w:val="24"/>
        </w:rPr>
        <w:t xml:space="preserve"> et al., 2023; Pashkevich et al., 2023; Zhai et al., 2023; Zhang et al., 2023), it is stated that Competitor accounting influences MSME business decision making.</w:t>
      </w:r>
    </w:p>
    <w:p w14:paraId="5C2E6E3B" w14:textId="77777777" w:rsidR="007373F6" w:rsidRDefault="007373F6">
      <w:pPr>
        <w:spacing w:after="0" w:line="240" w:lineRule="auto"/>
        <w:ind w:firstLine="720"/>
        <w:jc w:val="both"/>
        <w:rPr>
          <w:rFonts w:ascii="Times New Roman" w:eastAsia="Times New Roman" w:hAnsi="Times New Roman" w:cs="Times New Roman"/>
          <w:sz w:val="24"/>
          <w:szCs w:val="24"/>
        </w:rPr>
      </w:pPr>
    </w:p>
    <w:p w14:paraId="7C47BF9F" w14:textId="77777777" w:rsidR="007373F6" w:rsidRDefault="00000000" w:rsidP="00856618">
      <w:pPr>
        <w:numPr>
          <w:ilvl w:val="0"/>
          <w:numId w:val="13"/>
        </w:numPr>
        <w:spacing w:after="200" w:line="240" w:lineRule="auto"/>
        <w:ind w:left="284"/>
        <w:jc w:val="center"/>
      </w:pPr>
      <w:r>
        <w:rPr>
          <w:rFonts w:ascii="Times New Roman" w:eastAsia="Times New Roman" w:hAnsi="Times New Roman" w:cs="Times New Roman"/>
          <w:b/>
          <w:sz w:val="24"/>
          <w:szCs w:val="24"/>
        </w:rPr>
        <w:t>CONCLUSION</w:t>
      </w:r>
    </w:p>
    <w:p w14:paraId="678F3012"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study found that strategic management accounting approaches, such as costing, planning, control, performance measurement, competition accounting, and customer accounting, had a significant impact on the decision-making processes of MSMEs in East Java. However, the results of the study indicated that strategic decision-making did not demonstrate a significant effect, presumably because MSMEs prioritize short-term operational decisions due to limited resources and survival priorities. The regression model that was constructed </w:t>
      </w:r>
      <w:r>
        <w:rPr>
          <w:rFonts w:ascii="Times New Roman" w:eastAsia="Times New Roman" w:hAnsi="Times New Roman" w:cs="Times New Roman"/>
          <w:sz w:val="24"/>
          <w:szCs w:val="24"/>
        </w:rPr>
        <w:lastRenderedPageBreak/>
        <w:t>demonstrated remarkable predictive capabilities, with an R² value of 0.96, signifying that a substantial 96% of the observed variability in business decisions can be attributed to these variables.</w:t>
      </w:r>
    </w:p>
    <w:p w14:paraId="7B33FF5F" w14:textId="77777777" w:rsidR="007373F6" w:rsidRDefault="00000000" w:rsidP="00CA3E0F">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study's practical contribution is that MSMEs should maximize the use of Costing, Planning, Control and Performance measurement, Competitor accounting, and Customer accounting to improve the quality of decision making. The theoretical contribution of this study is twofold. First, it addresses the research gap by mapping the relative influence of strategic management accounting techniques on MSMEs. This is a significant contribution because the influence of management accounting techniques on MSMEs has been previously understudied, with the majority of research focusing on large companies. This study integrates external variables (competitor and customer accounting) with internal variables in one comprehensive model, thereby enriching the theoretical perspective in the field of strategic accounting. This study validates the inconsistency of previous findings related to customer accounting and provides a specific context for MSMEs in Indonesia.</w:t>
      </w:r>
    </w:p>
    <w:p w14:paraId="14D8E1BD" w14:textId="77777777" w:rsidR="007373F6" w:rsidRDefault="00000000">
      <w:pPr>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limitations of this study are as follows: the sample is limited to MSMEs in East Java; therefore, generalization to other regions must be done with caution. This study does not include other variables, such as cultural factors, access to technology, or levels of financial literacy that may affect the results. Further research is recommended, including the expansion of the geographical scope to other provinces in Indonesia to validate the findings. Additionally, a more in-depth investigation into the inhibiting factors for the implementation of strategic decision-making in MSMEs is advised. Furthermore, the role of technology, such as AI and big data, in improving the effectiveness of strategic management accounting in MSMEs should be explored. Further research could also include mediating variables such as financial literacy, digital capacity, or moderators such as government support, organizational culture, or environmental uncertainty that were not examined in this study.</w:t>
      </w:r>
    </w:p>
    <w:p w14:paraId="5F58DDCF" w14:textId="77777777" w:rsidR="007373F6" w:rsidRDefault="007373F6">
      <w:pPr>
        <w:tabs>
          <w:tab w:val="left" w:pos="6915"/>
        </w:tabs>
        <w:spacing w:after="0" w:line="240" w:lineRule="auto"/>
        <w:jc w:val="both"/>
        <w:rPr>
          <w:rFonts w:ascii="Times New Roman" w:eastAsia="Times New Roman" w:hAnsi="Times New Roman" w:cs="Times New Roman"/>
          <w:sz w:val="24"/>
          <w:szCs w:val="24"/>
        </w:rPr>
      </w:pPr>
    </w:p>
    <w:p w14:paraId="7480DA3F" w14:textId="77777777" w:rsidR="000B03D5" w:rsidRDefault="000B03D5">
      <w:pPr>
        <w:tabs>
          <w:tab w:val="left" w:pos="6915"/>
        </w:tabs>
        <w:spacing w:after="0" w:line="240" w:lineRule="auto"/>
        <w:jc w:val="both"/>
        <w:rPr>
          <w:rFonts w:ascii="Times New Roman" w:eastAsia="Times New Roman" w:hAnsi="Times New Roman" w:cs="Times New Roman"/>
          <w:sz w:val="24"/>
          <w:szCs w:val="24"/>
        </w:rPr>
      </w:pPr>
    </w:p>
    <w:p w14:paraId="6F423958" w14:textId="77777777" w:rsidR="007373F6" w:rsidRDefault="00000000">
      <w:pPr>
        <w:tabs>
          <w:tab w:val="left" w:pos="6915"/>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REFERENCES</w:t>
      </w:r>
    </w:p>
    <w:p w14:paraId="5A9EDB6E" w14:textId="77777777" w:rsidR="007373F6" w:rsidRDefault="007373F6">
      <w:pPr>
        <w:tabs>
          <w:tab w:val="left" w:pos="6915"/>
        </w:tabs>
        <w:spacing w:after="0" w:line="240" w:lineRule="auto"/>
        <w:jc w:val="both"/>
        <w:rPr>
          <w:rFonts w:ascii="Times New Roman" w:eastAsia="Times New Roman" w:hAnsi="Times New Roman" w:cs="Times New Roman"/>
          <w:b/>
          <w:sz w:val="24"/>
          <w:szCs w:val="24"/>
        </w:rPr>
      </w:pPr>
    </w:p>
    <w:p w14:paraId="1B54EB8C"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Bao, Z. K., Hashim, K. F., </w:t>
      </w:r>
      <w:proofErr w:type="spellStart"/>
      <w:r>
        <w:rPr>
          <w:rFonts w:ascii="Times New Roman" w:eastAsia="Times New Roman" w:hAnsi="Times New Roman" w:cs="Times New Roman"/>
          <w:sz w:val="24"/>
          <w:szCs w:val="24"/>
        </w:rPr>
        <w:t>Almagrabi</w:t>
      </w:r>
      <w:proofErr w:type="spellEnd"/>
      <w:r>
        <w:rPr>
          <w:rFonts w:ascii="Times New Roman" w:eastAsia="Times New Roman" w:hAnsi="Times New Roman" w:cs="Times New Roman"/>
          <w:sz w:val="24"/>
          <w:szCs w:val="24"/>
        </w:rPr>
        <w:t xml:space="preserve">, A. O., &amp; Hashim, H. binti. (2023). Business intelligence impact on management accounting development given the role of mediation decision type and environment. </w:t>
      </w:r>
      <w:r>
        <w:rPr>
          <w:rFonts w:ascii="Times New Roman" w:eastAsia="Times New Roman" w:hAnsi="Times New Roman" w:cs="Times New Roman"/>
          <w:i/>
          <w:sz w:val="24"/>
          <w:szCs w:val="24"/>
        </w:rPr>
        <w:t>Information Processing and Management</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60</w:t>
      </w:r>
      <w:r>
        <w:rPr>
          <w:rFonts w:ascii="Times New Roman" w:eastAsia="Times New Roman" w:hAnsi="Times New Roman" w:cs="Times New Roman"/>
          <w:sz w:val="24"/>
          <w:szCs w:val="24"/>
        </w:rPr>
        <w:t>(4). https://doi.org/10.1016/j.ipm.2023.103380</w:t>
      </w:r>
    </w:p>
    <w:p w14:paraId="23DD1282"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Bigdeli Nalbandan, R., Delavar, M., Abbasi, H., &amp; </w:t>
      </w:r>
      <w:proofErr w:type="spellStart"/>
      <w:r>
        <w:rPr>
          <w:rFonts w:ascii="Times New Roman" w:eastAsia="Times New Roman" w:hAnsi="Times New Roman" w:cs="Times New Roman"/>
          <w:sz w:val="24"/>
          <w:szCs w:val="24"/>
        </w:rPr>
        <w:t>Zaghiyan</w:t>
      </w:r>
      <w:proofErr w:type="spellEnd"/>
      <w:r>
        <w:rPr>
          <w:rFonts w:ascii="Times New Roman" w:eastAsia="Times New Roman" w:hAnsi="Times New Roman" w:cs="Times New Roman"/>
          <w:sz w:val="24"/>
          <w:szCs w:val="24"/>
        </w:rPr>
        <w:t xml:space="preserve">, M. R. (2023). Model-based water footprint accounting framework to evaluate new water management policies. </w:t>
      </w:r>
      <w:r>
        <w:rPr>
          <w:rFonts w:ascii="Times New Roman" w:eastAsia="Times New Roman" w:hAnsi="Times New Roman" w:cs="Times New Roman"/>
          <w:i/>
          <w:sz w:val="24"/>
          <w:szCs w:val="24"/>
        </w:rPr>
        <w:t>Journal of Cleaner Production</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382</w:t>
      </w:r>
      <w:r>
        <w:rPr>
          <w:rFonts w:ascii="Times New Roman" w:eastAsia="Times New Roman" w:hAnsi="Times New Roman" w:cs="Times New Roman"/>
          <w:sz w:val="24"/>
          <w:szCs w:val="24"/>
        </w:rPr>
        <w:t>. https://doi.org/10.1016/j.jclepro.2022.135220</w:t>
      </w:r>
    </w:p>
    <w:p w14:paraId="731BC4FD"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Cadez, S., &amp; </w:t>
      </w:r>
      <w:proofErr w:type="spellStart"/>
      <w:r>
        <w:rPr>
          <w:rFonts w:ascii="Times New Roman" w:eastAsia="Times New Roman" w:hAnsi="Times New Roman" w:cs="Times New Roman"/>
          <w:sz w:val="24"/>
          <w:szCs w:val="24"/>
        </w:rPr>
        <w:t>Guilding</w:t>
      </w:r>
      <w:proofErr w:type="spellEnd"/>
      <w:r>
        <w:rPr>
          <w:rFonts w:ascii="Times New Roman" w:eastAsia="Times New Roman" w:hAnsi="Times New Roman" w:cs="Times New Roman"/>
          <w:sz w:val="24"/>
          <w:szCs w:val="24"/>
        </w:rPr>
        <w:t xml:space="preserve">, C. (2012). Strategy, strategic management accounting and performance: a configurational analysis. </w:t>
      </w:r>
      <w:r>
        <w:rPr>
          <w:rFonts w:ascii="Times New Roman" w:eastAsia="Times New Roman" w:hAnsi="Times New Roman" w:cs="Times New Roman"/>
          <w:i/>
          <w:sz w:val="24"/>
          <w:szCs w:val="24"/>
        </w:rPr>
        <w:t>Industrial Management &amp; Data Systems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112</w:t>
      </w:r>
      <w:r>
        <w:rPr>
          <w:rFonts w:ascii="Times New Roman" w:eastAsia="Times New Roman" w:hAnsi="Times New Roman" w:cs="Times New Roman"/>
          <w:sz w:val="24"/>
          <w:szCs w:val="24"/>
        </w:rPr>
        <w:t>(3), 484–501. https://doi.org/https://doi.org/10.1108/02635571211210086</w:t>
      </w:r>
    </w:p>
    <w:p w14:paraId="0B610DDB"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Chang, K., </w:t>
      </w:r>
      <w:proofErr w:type="spellStart"/>
      <w:r>
        <w:rPr>
          <w:rFonts w:ascii="Times New Roman" w:eastAsia="Times New Roman" w:hAnsi="Times New Roman" w:cs="Times New Roman"/>
          <w:sz w:val="24"/>
          <w:szCs w:val="24"/>
        </w:rPr>
        <w:t>Lasyoud</w:t>
      </w:r>
      <w:proofErr w:type="spellEnd"/>
      <w:r>
        <w:rPr>
          <w:rFonts w:ascii="Times New Roman" w:eastAsia="Times New Roman" w:hAnsi="Times New Roman" w:cs="Times New Roman"/>
          <w:sz w:val="24"/>
          <w:szCs w:val="24"/>
        </w:rPr>
        <w:t xml:space="preserve">, A. A., &amp; Osman, D. (2023). Management accounting system: Insights from the decision making theories. </w:t>
      </w:r>
      <w:r>
        <w:rPr>
          <w:rFonts w:ascii="Times New Roman" w:eastAsia="Times New Roman" w:hAnsi="Times New Roman" w:cs="Times New Roman"/>
          <w:i/>
          <w:sz w:val="24"/>
          <w:szCs w:val="24"/>
        </w:rPr>
        <w:t>Social Sciences and Humanities Open</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8</w:t>
      </w:r>
      <w:r>
        <w:rPr>
          <w:rFonts w:ascii="Times New Roman" w:eastAsia="Times New Roman" w:hAnsi="Times New Roman" w:cs="Times New Roman"/>
          <w:sz w:val="24"/>
          <w:szCs w:val="24"/>
        </w:rPr>
        <w:t>(1). https://doi.org/10.1016/j.ssaho.2023.100529</w:t>
      </w:r>
    </w:p>
    <w:p w14:paraId="255D4C6C"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Chen, Y., Vardon, M., Keith, H., Van Dijk, A., &amp; Doran, B. (2023). Linking ecosystem accounting to environmental planning and management: Opportunities and barriers using a case study from the Australian Capital Territory. </w:t>
      </w:r>
      <w:r>
        <w:rPr>
          <w:rFonts w:ascii="Times New Roman" w:eastAsia="Times New Roman" w:hAnsi="Times New Roman" w:cs="Times New Roman"/>
          <w:i/>
          <w:sz w:val="24"/>
          <w:szCs w:val="24"/>
        </w:rPr>
        <w:t>Environmental Science and Policy</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142</w:t>
      </w:r>
      <w:r>
        <w:rPr>
          <w:rFonts w:ascii="Times New Roman" w:eastAsia="Times New Roman" w:hAnsi="Times New Roman" w:cs="Times New Roman"/>
          <w:sz w:val="24"/>
          <w:szCs w:val="24"/>
        </w:rPr>
        <w:t>. https://doi.org/10.1016/j.envsci.2023.02.014</w:t>
      </w:r>
    </w:p>
    <w:p w14:paraId="0749981D"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Cheung, H. (2023). Non-monetary double-entry carbon accounting method for entities in emission trading systems. </w:t>
      </w:r>
      <w:r>
        <w:rPr>
          <w:rFonts w:ascii="Times New Roman" w:eastAsia="Times New Roman" w:hAnsi="Times New Roman" w:cs="Times New Roman"/>
          <w:i/>
          <w:sz w:val="24"/>
          <w:szCs w:val="24"/>
        </w:rPr>
        <w:t>Journal of Cleaner Production</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422</w:t>
      </w:r>
      <w:r>
        <w:rPr>
          <w:rFonts w:ascii="Times New Roman" w:eastAsia="Times New Roman" w:hAnsi="Times New Roman" w:cs="Times New Roman"/>
          <w:sz w:val="24"/>
          <w:szCs w:val="24"/>
        </w:rPr>
        <w:t>. https://doi.org/10.1016/j.jclepro.2023.138475</w:t>
      </w:r>
    </w:p>
    <w:p w14:paraId="2D5D51F3"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 Valck, J., Jarvis, D., Coggan, A., Schirru, E., Pert, P., Graham, V., &amp; Newlands, M. (2023). </w:t>
      </w:r>
      <w:r>
        <w:rPr>
          <w:rFonts w:ascii="Times New Roman" w:eastAsia="Times New Roman" w:hAnsi="Times New Roman" w:cs="Times New Roman"/>
          <w:sz w:val="24"/>
          <w:szCs w:val="24"/>
        </w:rPr>
        <w:lastRenderedPageBreak/>
        <w:t xml:space="preserve">Valuing ecosystem services in complex coastal settings: An extended ecosystem accounting framework for improved decision-making. </w:t>
      </w:r>
      <w:r>
        <w:rPr>
          <w:rFonts w:ascii="Times New Roman" w:eastAsia="Times New Roman" w:hAnsi="Times New Roman" w:cs="Times New Roman"/>
          <w:i/>
          <w:sz w:val="24"/>
          <w:szCs w:val="24"/>
        </w:rPr>
        <w:t>Marine Policy</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155</w:t>
      </w:r>
      <w:r>
        <w:rPr>
          <w:rFonts w:ascii="Times New Roman" w:eastAsia="Times New Roman" w:hAnsi="Times New Roman" w:cs="Times New Roman"/>
          <w:sz w:val="24"/>
          <w:szCs w:val="24"/>
        </w:rPr>
        <w:t>. https://doi.org/10.1016/j.marpol.2023.105761</w:t>
      </w:r>
    </w:p>
    <w:p w14:paraId="701DA0B4"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Dembélé, M., Salvadore, E., Zwart, S., Ceperley, N., </w:t>
      </w:r>
      <w:proofErr w:type="spellStart"/>
      <w:r>
        <w:rPr>
          <w:rFonts w:ascii="Times New Roman" w:eastAsia="Times New Roman" w:hAnsi="Times New Roman" w:cs="Times New Roman"/>
          <w:sz w:val="24"/>
          <w:szCs w:val="24"/>
        </w:rPr>
        <w:t>Mariéthoz</w:t>
      </w:r>
      <w:proofErr w:type="spellEnd"/>
      <w:r>
        <w:rPr>
          <w:rFonts w:ascii="Times New Roman" w:eastAsia="Times New Roman" w:hAnsi="Times New Roman" w:cs="Times New Roman"/>
          <w:sz w:val="24"/>
          <w:szCs w:val="24"/>
        </w:rPr>
        <w:t xml:space="preserve">, G., &amp; </w:t>
      </w:r>
      <w:proofErr w:type="spellStart"/>
      <w:r>
        <w:rPr>
          <w:rFonts w:ascii="Times New Roman" w:eastAsia="Times New Roman" w:hAnsi="Times New Roman" w:cs="Times New Roman"/>
          <w:sz w:val="24"/>
          <w:szCs w:val="24"/>
        </w:rPr>
        <w:t>Schaefli</w:t>
      </w:r>
      <w:proofErr w:type="spellEnd"/>
      <w:r>
        <w:rPr>
          <w:rFonts w:ascii="Times New Roman" w:eastAsia="Times New Roman" w:hAnsi="Times New Roman" w:cs="Times New Roman"/>
          <w:sz w:val="24"/>
          <w:szCs w:val="24"/>
        </w:rPr>
        <w:t xml:space="preserve">, B. (2023). Water accounting under climate change in the transboundary Volta River Basin with a spatially calibrated hydrological model. </w:t>
      </w:r>
      <w:r>
        <w:rPr>
          <w:rFonts w:ascii="Times New Roman" w:eastAsia="Times New Roman" w:hAnsi="Times New Roman" w:cs="Times New Roman"/>
          <w:i/>
          <w:sz w:val="24"/>
          <w:szCs w:val="24"/>
        </w:rPr>
        <w:t>Journal of Hydrology</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626</w:t>
      </w:r>
      <w:r>
        <w:rPr>
          <w:rFonts w:ascii="Times New Roman" w:eastAsia="Times New Roman" w:hAnsi="Times New Roman" w:cs="Times New Roman"/>
          <w:sz w:val="24"/>
          <w:szCs w:val="24"/>
        </w:rPr>
        <w:t>. https://doi.org/10.1016/j.jhydrol.2023.130092</w:t>
      </w:r>
    </w:p>
    <w:p w14:paraId="3BAB19E5"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Ewing, S. R., Thomas, C. E., Butcher, N., Denman, B., Douglas, D. J. T., Anderson, D. I. K., Anderson, G. Q. A., Bray, J., Downing, S., Dugan, R., Etheridge, B., Hayward, W., Howie, F., </w:t>
      </w:r>
      <w:proofErr w:type="spellStart"/>
      <w:r>
        <w:rPr>
          <w:rFonts w:ascii="Times New Roman" w:eastAsia="Times New Roman" w:hAnsi="Times New Roman" w:cs="Times New Roman"/>
          <w:sz w:val="24"/>
          <w:szCs w:val="24"/>
        </w:rPr>
        <w:t>Roos</w:t>
      </w:r>
      <w:proofErr w:type="spellEnd"/>
      <w:r>
        <w:rPr>
          <w:rFonts w:ascii="Times New Roman" w:eastAsia="Times New Roman" w:hAnsi="Times New Roman" w:cs="Times New Roman"/>
          <w:sz w:val="24"/>
          <w:szCs w:val="24"/>
        </w:rPr>
        <w:t xml:space="preserve">, S., Thomas, M., Weston, J., Smart, J., &amp; Wilson, J. D. (2023). Illegal killing associated with gamebird management accounts for up to three-quarters of annual mortality in Hen Harriers Circus cyaneus. </w:t>
      </w:r>
      <w:r>
        <w:rPr>
          <w:rFonts w:ascii="Times New Roman" w:eastAsia="Times New Roman" w:hAnsi="Times New Roman" w:cs="Times New Roman"/>
          <w:i/>
          <w:sz w:val="24"/>
          <w:szCs w:val="24"/>
        </w:rPr>
        <w:t>Biological Conservation</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283</w:t>
      </w:r>
      <w:r>
        <w:rPr>
          <w:rFonts w:ascii="Times New Roman" w:eastAsia="Times New Roman" w:hAnsi="Times New Roman" w:cs="Times New Roman"/>
          <w:sz w:val="24"/>
          <w:szCs w:val="24"/>
        </w:rPr>
        <w:t>. https://doi.org/10.1016/j.biocon.2023.110072</w:t>
      </w:r>
    </w:p>
    <w:p w14:paraId="2E0D2D73"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Faccioli</w:t>
      </w:r>
      <w:proofErr w:type="spellEnd"/>
      <w:r>
        <w:rPr>
          <w:rFonts w:ascii="Times New Roman" w:eastAsia="Times New Roman" w:hAnsi="Times New Roman" w:cs="Times New Roman"/>
          <w:sz w:val="24"/>
          <w:szCs w:val="24"/>
        </w:rPr>
        <w:t xml:space="preserve">, M., Zonneveld, S., Tyler, C. R., &amp; Day, B. (2023). Does local Natural Capital Accounting deliver useful policy and management information? A case study of Dartmoor and Exmoor National Parks. </w:t>
      </w:r>
      <w:r>
        <w:rPr>
          <w:rFonts w:ascii="Times New Roman" w:eastAsia="Times New Roman" w:hAnsi="Times New Roman" w:cs="Times New Roman"/>
          <w:i/>
          <w:sz w:val="24"/>
          <w:szCs w:val="24"/>
        </w:rPr>
        <w:t>Journal of Environmental Management</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327</w:t>
      </w:r>
      <w:r>
        <w:rPr>
          <w:rFonts w:ascii="Times New Roman" w:eastAsia="Times New Roman" w:hAnsi="Times New Roman" w:cs="Times New Roman"/>
          <w:sz w:val="24"/>
          <w:szCs w:val="24"/>
        </w:rPr>
        <w:t>. https://doi.org/10.1016/j.jenvman.2022.116272</w:t>
      </w:r>
    </w:p>
    <w:p w14:paraId="4A9564A7"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Fishbein, M., &amp; Ajzen, I. (1975). </w:t>
      </w:r>
      <w:r>
        <w:rPr>
          <w:rFonts w:ascii="Times New Roman" w:eastAsia="Times New Roman" w:hAnsi="Times New Roman" w:cs="Times New Roman"/>
          <w:i/>
          <w:sz w:val="24"/>
          <w:szCs w:val="24"/>
        </w:rPr>
        <w:t xml:space="preserve">Belief, Attitude, Intention, and </w:t>
      </w:r>
      <w:proofErr w:type="spellStart"/>
      <w:r>
        <w:rPr>
          <w:rFonts w:ascii="Times New Roman" w:eastAsia="Times New Roman" w:hAnsi="Times New Roman" w:cs="Times New Roman"/>
          <w:i/>
          <w:sz w:val="24"/>
          <w:szCs w:val="24"/>
        </w:rPr>
        <w:t>Behavior</w:t>
      </w:r>
      <w:proofErr w:type="spellEnd"/>
      <w:r>
        <w:rPr>
          <w:rFonts w:ascii="Times New Roman" w:eastAsia="Times New Roman" w:hAnsi="Times New Roman" w:cs="Times New Roman"/>
          <w:i/>
          <w:sz w:val="24"/>
          <w:szCs w:val="24"/>
        </w:rPr>
        <w:t>: An Introduction to Theory and Research</w:t>
      </w:r>
      <w:r>
        <w:rPr>
          <w:rFonts w:ascii="Times New Roman" w:eastAsia="Times New Roman" w:hAnsi="Times New Roman" w:cs="Times New Roman"/>
          <w:sz w:val="24"/>
          <w:szCs w:val="24"/>
        </w:rPr>
        <w:t>. Addison-Wesley Publishing Company.</w:t>
      </w:r>
    </w:p>
    <w:p w14:paraId="60432645"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Ghozali</w:t>
      </w:r>
      <w:proofErr w:type="spellEnd"/>
      <w:r>
        <w:rPr>
          <w:rFonts w:ascii="Times New Roman" w:eastAsia="Times New Roman" w:hAnsi="Times New Roman" w:cs="Times New Roman"/>
          <w:sz w:val="24"/>
          <w:szCs w:val="24"/>
        </w:rPr>
        <w:t xml:space="preserve">, I. (2021). </w:t>
      </w:r>
      <w:proofErr w:type="spellStart"/>
      <w:r>
        <w:rPr>
          <w:rFonts w:ascii="Times New Roman" w:eastAsia="Times New Roman" w:hAnsi="Times New Roman" w:cs="Times New Roman"/>
          <w:i/>
          <w:sz w:val="24"/>
          <w:szCs w:val="24"/>
        </w:rPr>
        <w:t>Aplikasi</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Analisis</w:t>
      </w:r>
      <w:proofErr w:type="spellEnd"/>
      <w:r>
        <w:rPr>
          <w:rFonts w:ascii="Times New Roman" w:eastAsia="Times New Roman" w:hAnsi="Times New Roman" w:cs="Times New Roman"/>
          <w:i/>
          <w:sz w:val="24"/>
          <w:szCs w:val="24"/>
        </w:rPr>
        <w:t xml:space="preserve"> Multivariate </w:t>
      </w:r>
      <w:proofErr w:type="spellStart"/>
      <w:r>
        <w:rPr>
          <w:rFonts w:ascii="Times New Roman" w:eastAsia="Times New Roman" w:hAnsi="Times New Roman" w:cs="Times New Roman"/>
          <w:i/>
          <w:sz w:val="24"/>
          <w:szCs w:val="24"/>
        </w:rPr>
        <w:t>Dengan</w:t>
      </w:r>
      <w:proofErr w:type="spellEnd"/>
      <w:r>
        <w:rPr>
          <w:rFonts w:ascii="Times New Roman" w:eastAsia="Times New Roman" w:hAnsi="Times New Roman" w:cs="Times New Roman"/>
          <w:i/>
          <w:sz w:val="24"/>
          <w:szCs w:val="24"/>
        </w:rPr>
        <w:t xml:space="preserve"> Program IBM SPSS 26</w:t>
      </w:r>
      <w:r>
        <w:rPr>
          <w:rFonts w:ascii="Times New Roman" w:eastAsia="Times New Roman" w:hAnsi="Times New Roman" w:cs="Times New Roman"/>
          <w:sz w:val="24"/>
          <w:szCs w:val="24"/>
        </w:rPr>
        <w:t xml:space="preserve"> (Edisi 10). Badan </w:t>
      </w:r>
      <w:proofErr w:type="spellStart"/>
      <w:r>
        <w:rPr>
          <w:rFonts w:ascii="Times New Roman" w:eastAsia="Times New Roman" w:hAnsi="Times New Roman" w:cs="Times New Roman"/>
          <w:sz w:val="24"/>
          <w:szCs w:val="24"/>
        </w:rPr>
        <w:t>Penerbit</w:t>
      </w:r>
      <w:proofErr w:type="spellEnd"/>
      <w:r>
        <w:rPr>
          <w:rFonts w:ascii="Times New Roman" w:eastAsia="Times New Roman" w:hAnsi="Times New Roman" w:cs="Times New Roman"/>
          <w:sz w:val="24"/>
          <w:szCs w:val="24"/>
        </w:rPr>
        <w:t xml:space="preserve"> Universitas </w:t>
      </w:r>
      <w:proofErr w:type="spellStart"/>
      <w:r>
        <w:rPr>
          <w:rFonts w:ascii="Times New Roman" w:eastAsia="Times New Roman" w:hAnsi="Times New Roman" w:cs="Times New Roman"/>
          <w:sz w:val="24"/>
          <w:szCs w:val="24"/>
        </w:rPr>
        <w:t>Diponegoro</w:t>
      </w:r>
      <w:proofErr w:type="spellEnd"/>
      <w:r>
        <w:rPr>
          <w:rFonts w:ascii="Times New Roman" w:eastAsia="Times New Roman" w:hAnsi="Times New Roman" w:cs="Times New Roman"/>
          <w:sz w:val="24"/>
          <w:szCs w:val="24"/>
        </w:rPr>
        <w:t>.</w:t>
      </w:r>
    </w:p>
    <w:p w14:paraId="0B200979"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Grover, I., O’Reilly-</w:t>
      </w:r>
      <w:proofErr w:type="spellStart"/>
      <w:r>
        <w:rPr>
          <w:rFonts w:ascii="Times New Roman" w:eastAsia="Times New Roman" w:hAnsi="Times New Roman" w:cs="Times New Roman"/>
          <w:sz w:val="24"/>
          <w:szCs w:val="24"/>
        </w:rPr>
        <w:t>Wapstra</w:t>
      </w:r>
      <w:proofErr w:type="spellEnd"/>
      <w:r>
        <w:rPr>
          <w:rFonts w:ascii="Times New Roman" w:eastAsia="Times New Roman" w:hAnsi="Times New Roman" w:cs="Times New Roman"/>
          <w:sz w:val="24"/>
          <w:szCs w:val="24"/>
        </w:rPr>
        <w:t xml:space="preserve">, J., Suitor, S., &amp; Hatton MacDonald, D. (2023). Not seeing the accounts for the forest: A systematic literature review of ecosystem accounting for forest resource management purposes. In </w:t>
      </w:r>
      <w:r>
        <w:rPr>
          <w:rFonts w:ascii="Times New Roman" w:eastAsia="Times New Roman" w:hAnsi="Times New Roman" w:cs="Times New Roman"/>
          <w:i/>
          <w:sz w:val="24"/>
          <w:szCs w:val="24"/>
        </w:rPr>
        <w:t>Ecological Economics</w:t>
      </w:r>
      <w:r>
        <w:rPr>
          <w:rFonts w:ascii="Times New Roman" w:eastAsia="Times New Roman" w:hAnsi="Times New Roman" w:cs="Times New Roman"/>
          <w:sz w:val="24"/>
          <w:szCs w:val="24"/>
        </w:rPr>
        <w:t xml:space="preserve"> (Vol. 212). https://doi.org/10.1016/j.ecolecon.2023.107922</w:t>
      </w:r>
    </w:p>
    <w:p w14:paraId="671829B7"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Halim, M., Chandrarin, G., &amp; </w:t>
      </w:r>
      <w:proofErr w:type="spellStart"/>
      <w:r>
        <w:rPr>
          <w:rFonts w:ascii="Times New Roman" w:eastAsia="Times New Roman" w:hAnsi="Times New Roman" w:cs="Times New Roman"/>
          <w:sz w:val="24"/>
          <w:szCs w:val="24"/>
        </w:rPr>
        <w:t>Sumtaky</w:t>
      </w:r>
      <w:proofErr w:type="spellEnd"/>
      <w:r>
        <w:rPr>
          <w:rFonts w:ascii="Times New Roman" w:eastAsia="Times New Roman" w:hAnsi="Times New Roman" w:cs="Times New Roman"/>
          <w:sz w:val="24"/>
          <w:szCs w:val="24"/>
        </w:rPr>
        <w:t xml:space="preserve">, M. (2024). The Role of Islamic Social Reporting in Mediating The Board of Directors and Market Performance. </w:t>
      </w:r>
      <w:r>
        <w:rPr>
          <w:rFonts w:ascii="Times New Roman" w:eastAsia="Times New Roman" w:hAnsi="Times New Roman" w:cs="Times New Roman"/>
          <w:i/>
          <w:sz w:val="24"/>
          <w:szCs w:val="24"/>
        </w:rPr>
        <w:t>Financial and Credit Activity: Problems of Theory and Practice</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6</w:t>
      </w:r>
      <w:r>
        <w:rPr>
          <w:rFonts w:ascii="Times New Roman" w:eastAsia="Times New Roman" w:hAnsi="Times New Roman" w:cs="Times New Roman"/>
          <w:sz w:val="24"/>
          <w:szCs w:val="24"/>
        </w:rPr>
        <w:t>(59), 590–602. https://doi.org/10.55643/fcaptp.6.59.2024.4573</w:t>
      </w:r>
    </w:p>
    <w:p w14:paraId="25054B9E"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Hanif, S., Ahmed, A., &amp; Younas, N. (2023). Examining the impact of Environmental Management Accounting practices and green transformational leadership on corporate environmental performance; the mediating role of green process innovation. </w:t>
      </w:r>
      <w:r>
        <w:rPr>
          <w:rFonts w:ascii="Times New Roman" w:eastAsia="Times New Roman" w:hAnsi="Times New Roman" w:cs="Times New Roman"/>
          <w:i/>
          <w:sz w:val="24"/>
          <w:szCs w:val="24"/>
        </w:rPr>
        <w:t>Journal of Cleaner Production</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414</w:t>
      </w:r>
      <w:r>
        <w:rPr>
          <w:rFonts w:ascii="Times New Roman" w:eastAsia="Times New Roman" w:hAnsi="Times New Roman" w:cs="Times New Roman"/>
          <w:sz w:val="24"/>
          <w:szCs w:val="24"/>
        </w:rPr>
        <w:t>. https://doi.org/10.1016/j.jclepro.2023.137584</w:t>
      </w:r>
    </w:p>
    <w:p w14:paraId="5732A2B8"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Imjai</w:t>
      </w:r>
      <w:proofErr w:type="spellEnd"/>
      <w:r>
        <w:rPr>
          <w:rFonts w:ascii="Times New Roman" w:eastAsia="Times New Roman" w:hAnsi="Times New Roman" w:cs="Times New Roman"/>
          <w:sz w:val="24"/>
          <w:szCs w:val="24"/>
        </w:rPr>
        <w:t xml:space="preserve">, N., </w:t>
      </w:r>
      <w:proofErr w:type="spellStart"/>
      <w:r>
        <w:rPr>
          <w:rFonts w:ascii="Times New Roman" w:eastAsia="Times New Roman" w:hAnsi="Times New Roman" w:cs="Times New Roman"/>
          <w:sz w:val="24"/>
          <w:szCs w:val="24"/>
        </w:rPr>
        <w:t>Aujirapongpan</w:t>
      </w:r>
      <w:proofErr w:type="spellEnd"/>
      <w:r>
        <w:rPr>
          <w:rFonts w:ascii="Times New Roman" w:eastAsia="Times New Roman" w:hAnsi="Times New Roman" w:cs="Times New Roman"/>
          <w:sz w:val="24"/>
          <w:szCs w:val="24"/>
        </w:rPr>
        <w:t xml:space="preserve">, S., &amp; Mahadi, N. (2023). The interplay of digital and management accounting competency to competitive performance in the open innovation era: A case of Thai </w:t>
      </w:r>
      <w:proofErr w:type="spellStart"/>
      <w:r>
        <w:rPr>
          <w:rFonts w:ascii="Times New Roman" w:eastAsia="Times New Roman" w:hAnsi="Times New Roman" w:cs="Times New Roman"/>
          <w:sz w:val="24"/>
          <w:szCs w:val="24"/>
        </w:rPr>
        <w:t>micropreneurs</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Journal of Open Innovation: Technology, Market, and Complexity</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9</w:t>
      </w:r>
      <w:r>
        <w:rPr>
          <w:rFonts w:ascii="Times New Roman" w:eastAsia="Times New Roman" w:hAnsi="Times New Roman" w:cs="Times New Roman"/>
          <w:sz w:val="24"/>
          <w:szCs w:val="24"/>
        </w:rPr>
        <w:t>(4). https://doi.org/10.1016/j.joitmc.2023.100167</w:t>
      </w:r>
    </w:p>
    <w:p w14:paraId="4C996122"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Ivens, B. S. (2023). Gender issues in key account management research: A systematic literature review and avenues for future research. </w:t>
      </w:r>
      <w:r>
        <w:rPr>
          <w:rFonts w:ascii="Times New Roman" w:eastAsia="Times New Roman" w:hAnsi="Times New Roman" w:cs="Times New Roman"/>
          <w:i/>
          <w:sz w:val="24"/>
          <w:szCs w:val="24"/>
        </w:rPr>
        <w:t>Industrial Marketing Management</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111</w:t>
      </w:r>
      <w:r>
        <w:rPr>
          <w:rFonts w:ascii="Times New Roman" w:eastAsia="Times New Roman" w:hAnsi="Times New Roman" w:cs="Times New Roman"/>
          <w:sz w:val="24"/>
          <w:szCs w:val="24"/>
        </w:rPr>
        <w:t>. https://doi.org/10.1016/j.indmarman.2023.03.009</w:t>
      </w:r>
    </w:p>
    <w:p w14:paraId="33302B98"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Jemine</w:t>
      </w:r>
      <w:proofErr w:type="spellEnd"/>
      <w:r>
        <w:rPr>
          <w:rFonts w:ascii="Times New Roman" w:eastAsia="Times New Roman" w:hAnsi="Times New Roman" w:cs="Times New Roman"/>
          <w:sz w:val="24"/>
          <w:szCs w:val="24"/>
        </w:rPr>
        <w:t xml:space="preserve">, G., </w:t>
      </w:r>
      <w:proofErr w:type="spellStart"/>
      <w:r>
        <w:rPr>
          <w:rFonts w:ascii="Times New Roman" w:eastAsia="Times New Roman" w:hAnsi="Times New Roman" w:cs="Times New Roman"/>
          <w:sz w:val="24"/>
          <w:szCs w:val="24"/>
        </w:rPr>
        <w:t>Puyou</w:t>
      </w:r>
      <w:proofErr w:type="spellEnd"/>
      <w:r>
        <w:rPr>
          <w:rFonts w:ascii="Times New Roman" w:eastAsia="Times New Roman" w:hAnsi="Times New Roman" w:cs="Times New Roman"/>
          <w:sz w:val="24"/>
          <w:szCs w:val="24"/>
        </w:rPr>
        <w:t xml:space="preserve">, F. R., &amp; Dubois, C. (2023). The diffusion of management fashions as software in an intermediated market: The case of continuous accounting. </w:t>
      </w:r>
      <w:r>
        <w:rPr>
          <w:rFonts w:ascii="Times New Roman" w:eastAsia="Times New Roman" w:hAnsi="Times New Roman" w:cs="Times New Roman"/>
          <w:i/>
          <w:sz w:val="24"/>
          <w:szCs w:val="24"/>
        </w:rPr>
        <w:t>Management Accounting Research</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61</w:t>
      </w:r>
      <w:r>
        <w:rPr>
          <w:rFonts w:ascii="Times New Roman" w:eastAsia="Times New Roman" w:hAnsi="Times New Roman" w:cs="Times New Roman"/>
          <w:sz w:val="24"/>
          <w:szCs w:val="24"/>
        </w:rPr>
        <w:t>. https://doi.org/10.1016/j.mar.2023.100852</w:t>
      </w:r>
    </w:p>
    <w:p w14:paraId="5A0542AE"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Juma’h</w:t>
      </w:r>
      <w:proofErr w:type="spellEnd"/>
      <w:r>
        <w:rPr>
          <w:rFonts w:ascii="Times New Roman" w:eastAsia="Times New Roman" w:hAnsi="Times New Roman" w:cs="Times New Roman"/>
          <w:sz w:val="24"/>
          <w:szCs w:val="24"/>
        </w:rPr>
        <w:t xml:space="preserve">, A. H., &amp; Li, Y. (2023). The effects of auditors’ knowledge, professional </w:t>
      </w:r>
      <w:proofErr w:type="spellStart"/>
      <w:r>
        <w:rPr>
          <w:rFonts w:ascii="Times New Roman" w:eastAsia="Times New Roman" w:hAnsi="Times New Roman" w:cs="Times New Roman"/>
          <w:sz w:val="24"/>
          <w:szCs w:val="24"/>
        </w:rPr>
        <w:t>skepticism</w:t>
      </w:r>
      <w:proofErr w:type="spellEnd"/>
      <w:r>
        <w:rPr>
          <w:rFonts w:ascii="Times New Roman" w:eastAsia="Times New Roman" w:hAnsi="Times New Roman" w:cs="Times New Roman"/>
          <w:sz w:val="24"/>
          <w:szCs w:val="24"/>
        </w:rPr>
        <w:t xml:space="preserve">, and perceived adequacy of accounting standards on their intention to use blockchain. </w:t>
      </w:r>
      <w:r>
        <w:rPr>
          <w:rFonts w:ascii="Times New Roman" w:eastAsia="Times New Roman" w:hAnsi="Times New Roman" w:cs="Times New Roman"/>
          <w:i/>
          <w:sz w:val="24"/>
          <w:szCs w:val="24"/>
        </w:rPr>
        <w:t>International Journal of Accounting Information Systems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51</w:t>
      </w:r>
      <w:r>
        <w:rPr>
          <w:rFonts w:ascii="Times New Roman" w:eastAsia="Times New Roman" w:hAnsi="Times New Roman" w:cs="Times New Roman"/>
          <w:sz w:val="24"/>
          <w:szCs w:val="24"/>
        </w:rPr>
        <w:t>. https://doi.org/10.1016/j.accinf.2023.100650</w:t>
      </w:r>
    </w:p>
    <w:p w14:paraId="16DBEC99"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Liu, J., Kua, H. W., Wang, C. H., Tong, Y. W., Zhang, J., &amp; Peng, Y. (2023). Extended exergy accounting theory to design waste-to-energy management system under uncertainty. </w:t>
      </w:r>
      <w:r>
        <w:rPr>
          <w:rFonts w:ascii="Times New Roman" w:eastAsia="Times New Roman" w:hAnsi="Times New Roman" w:cs="Times New Roman"/>
          <w:i/>
          <w:sz w:val="24"/>
          <w:szCs w:val="24"/>
        </w:rPr>
        <w:t>Energy</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278</w:t>
      </w:r>
      <w:r>
        <w:rPr>
          <w:rFonts w:ascii="Times New Roman" w:eastAsia="Times New Roman" w:hAnsi="Times New Roman" w:cs="Times New Roman"/>
          <w:sz w:val="24"/>
          <w:szCs w:val="24"/>
        </w:rPr>
        <w:t>. https://doi.org/10.1016/j.energy.2023.127924</w:t>
      </w:r>
    </w:p>
    <w:p w14:paraId="0E1065D4"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Lyu, F., Zhang, H., Dang, C., &amp; Gong, X. (2023). A novel framework for water accounting and auditing for efficient management of industrial water use. </w:t>
      </w:r>
      <w:r>
        <w:rPr>
          <w:rFonts w:ascii="Times New Roman" w:eastAsia="Times New Roman" w:hAnsi="Times New Roman" w:cs="Times New Roman"/>
          <w:i/>
          <w:sz w:val="24"/>
          <w:szCs w:val="24"/>
        </w:rPr>
        <w:t>Journal of Cleaner Production</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395</w:t>
      </w:r>
      <w:r>
        <w:rPr>
          <w:rFonts w:ascii="Times New Roman" w:eastAsia="Times New Roman" w:hAnsi="Times New Roman" w:cs="Times New Roman"/>
          <w:sz w:val="24"/>
          <w:szCs w:val="24"/>
        </w:rPr>
        <w:t>. https://doi.org/10.1016/j.jclepro.2023.136458</w:t>
      </w:r>
    </w:p>
    <w:p w14:paraId="261F2AFE"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Pashkevich, N., von Schéele, F., &amp; </w:t>
      </w:r>
      <w:proofErr w:type="spellStart"/>
      <w:r>
        <w:rPr>
          <w:rFonts w:ascii="Times New Roman" w:eastAsia="Times New Roman" w:hAnsi="Times New Roman" w:cs="Times New Roman"/>
          <w:sz w:val="24"/>
          <w:szCs w:val="24"/>
        </w:rPr>
        <w:t>Haftor</w:t>
      </w:r>
      <w:proofErr w:type="spellEnd"/>
      <w:r>
        <w:rPr>
          <w:rFonts w:ascii="Times New Roman" w:eastAsia="Times New Roman" w:hAnsi="Times New Roman" w:cs="Times New Roman"/>
          <w:sz w:val="24"/>
          <w:szCs w:val="24"/>
        </w:rPr>
        <w:t xml:space="preserve">, D. M. (2023). Accounting for cognitive time in activity-based costing: A technology for the management of digital economy. </w:t>
      </w:r>
      <w:r>
        <w:rPr>
          <w:rFonts w:ascii="Times New Roman" w:eastAsia="Times New Roman" w:hAnsi="Times New Roman" w:cs="Times New Roman"/>
          <w:i/>
          <w:sz w:val="24"/>
          <w:szCs w:val="24"/>
        </w:rPr>
        <w:t>Technological Forecasting and Social Change</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186</w:t>
      </w:r>
      <w:r>
        <w:rPr>
          <w:rFonts w:ascii="Times New Roman" w:eastAsia="Times New Roman" w:hAnsi="Times New Roman" w:cs="Times New Roman"/>
          <w:sz w:val="24"/>
          <w:szCs w:val="24"/>
        </w:rPr>
        <w:t>. https://doi.org/10.1016/j.techfore.2022.122176</w:t>
      </w:r>
    </w:p>
    <w:p w14:paraId="14C115DD"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sidRPr="00CA3E0F">
        <w:rPr>
          <w:rFonts w:ascii="Times New Roman" w:eastAsia="Times New Roman" w:hAnsi="Times New Roman" w:cs="Times New Roman"/>
          <w:sz w:val="24"/>
          <w:szCs w:val="24"/>
          <w:lang w:val="de-DE"/>
        </w:rPr>
        <w:t xml:space="preserve">Peebles, L. A., Akamefula, R. A., Kraeutler, M. J., &amp; Mulcahey, M. K. (2023). </w:t>
      </w:r>
      <w:r>
        <w:rPr>
          <w:rFonts w:ascii="Times New Roman" w:eastAsia="Times New Roman" w:hAnsi="Times New Roman" w:cs="Times New Roman"/>
          <w:sz w:val="24"/>
          <w:szCs w:val="24"/>
        </w:rPr>
        <w:t xml:space="preserve">Management of Acromioclavicular Joint Injuries: A Historic Account. In </w:t>
      </w:r>
      <w:r>
        <w:rPr>
          <w:rFonts w:ascii="Times New Roman" w:eastAsia="Times New Roman" w:hAnsi="Times New Roman" w:cs="Times New Roman"/>
          <w:i/>
          <w:sz w:val="24"/>
          <w:szCs w:val="24"/>
        </w:rPr>
        <w:t>Clinics in Sports Medicine</w:t>
      </w:r>
      <w:r>
        <w:rPr>
          <w:rFonts w:ascii="Times New Roman" w:eastAsia="Times New Roman" w:hAnsi="Times New Roman" w:cs="Times New Roman"/>
          <w:sz w:val="24"/>
          <w:szCs w:val="24"/>
        </w:rPr>
        <w:t xml:space="preserve"> (Vol. 42, Issue 4). https://doi.org/10.1016/j.csm.2023.05.001</w:t>
      </w:r>
    </w:p>
    <w:p w14:paraId="4E706C9E"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sidRPr="00CA3E0F">
        <w:rPr>
          <w:rFonts w:ascii="Times New Roman" w:eastAsia="Times New Roman" w:hAnsi="Times New Roman" w:cs="Times New Roman"/>
          <w:sz w:val="24"/>
          <w:szCs w:val="24"/>
          <w:lang w:val="de-DE"/>
        </w:rPr>
        <w:t xml:space="preserve">Rieg, R., Ulrich, P. S., &amp; Finckh, C. (2023). </w:t>
      </w:r>
      <w:r>
        <w:rPr>
          <w:rFonts w:ascii="Times New Roman" w:eastAsia="Times New Roman" w:hAnsi="Times New Roman" w:cs="Times New Roman"/>
          <w:sz w:val="24"/>
          <w:szCs w:val="24"/>
        </w:rPr>
        <w:t xml:space="preserve">Use of Online MIS in Management Accounting - Initial Results from an Empirical Study. </w:t>
      </w:r>
      <w:r>
        <w:rPr>
          <w:rFonts w:ascii="Times New Roman" w:eastAsia="Times New Roman" w:hAnsi="Times New Roman" w:cs="Times New Roman"/>
          <w:i/>
          <w:sz w:val="24"/>
          <w:szCs w:val="24"/>
        </w:rPr>
        <w:t>Procedia Computer Science</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225</w:t>
      </w:r>
      <w:r>
        <w:rPr>
          <w:rFonts w:ascii="Times New Roman" w:eastAsia="Times New Roman" w:hAnsi="Times New Roman" w:cs="Times New Roman"/>
          <w:sz w:val="24"/>
          <w:szCs w:val="24"/>
        </w:rPr>
        <w:t>. https://doi.org/10.1016/j.procs.2023.10.271</w:t>
      </w:r>
    </w:p>
    <w:p w14:paraId="4A03BF1E"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Safavi Nia, A. H., Soltani, J., </w:t>
      </w:r>
      <w:proofErr w:type="spellStart"/>
      <w:r>
        <w:rPr>
          <w:rFonts w:ascii="Times New Roman" w:eastAsia="Times New Roman" w:hAnsi="Times New Roman" w:cs="Times New Roman"/>
          <w:sz w:val="24"/>
          <w:szCs w:val="24"/>
        </w:rPr>
        <w:t>Hashemy</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Shahdany</w:t>
      </w:r>
      <w:proofErr w:type="spellEnd"/>
      <w:r>
        <w:rPr>
          <w:rFonts w:ascii="Times New Roman" w:eastAsia="Times New Roman" w:hAnsi="Times New Roman" w:cs="Times New Roman"/>
          <w:sz w:val="24"/>
          <w:szCs w:val="24"/>
        </w:rPr>
        <w:t xml:space="preserve">, S. M., &amp; Guan, G. (2023). Modifying physical supply and use tables (PSUTs) in the system of environmental-economic accounting (SEEA) for off-farm irrigation water management. </w:t>
      </w:r>
      <w:r>
        <w:rPr>
          <w:rFonts w:ascii="Times New Roman" w:eastAsia="Times New Roman" w:hAnsi="Times New Roman" w:cs="Times New Roman"/>
          <w:i/>
          <w:sz w:val="24"/>
          <w:szCs w:val="24"/>
        </w:rPr>
        <w:t>Computers and Electronics in Agriculture</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215</w:t>
      </w:r>
      <w:r>
        <w:rPr>
          <w:rFonts w:ascii="Times New Roman" w:eastAsia="Times New Roman" w:hAnsi="Times New Roman" w:cs="Times New Roman"/>
          <w:sz w:val="24"/>
          <w:szCs w:val="24"/>
        </w:rPr>
        <w:t>. https://doi.org/10.1016/j.compag.2023.108430</w:t>
      </w:r>
    </w:p>
    <w:p w14:paraId="0CC7B3F3"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sidRPr="00CA3E0F">
        <w:rPr>
          <w:rFonts w:ascii="Times New Roman" w:eastAsia="Times New Roman" w:hAnsi="Times New Roman" w:cs="Times New Roman"/>
          <w:sz w:val="24"/>
          <w:szCs w:val="24"/>
          <w:lang w:val="de-DE"/>
        </w:rPr>
        <w:t xml:space="preserve">Sandesh, S. P., Sreejesh, S., &amp; Paul, J. (2023). </w:t>
      </w:r>
      <w:r>
        <w:rPr>
          <w:rFonts w:ascii="Times New Roman" w:eastAsia="Times New Roman" w:hAnsi="Times New Roman" w:cs="Times New Roman"/>
          <w:sz w:val="24"/>
          <w:szCs w:val="24"/>
        </w:rPr>
        <w:t xml:space="preserve">Key account management in B2B marketing: A systematic literature review and research agenda. </w:t>
      </w:r>
      <w:r>
        <w:rPr>
          <w:rFonts w:ascii="Times New Roman" w:eastAsia="Times New Roman" w:hAnsi="Times New Roman" w:cs="Times New Roman"/>
          <w:i/>
          <w:sz w:val="24"/>
          <w:szCs w:val="24"/>
        </w:rPr>
        <w:t>Journal of Business Research</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156</w:t>
      </w:r>
      <w:r>
        <w:rPr>
          <w:rFonts w:ascii="Times New Roman" w:eastAsia="Times New Roman" w:hAnsi="Times New Roman" w:cs="Times New Roman"/>
          <w:sz w:val="24"/>
          <w:szCs w:val="24"/>
        </w:rPr>
        <w:t>. https://doi.org/10.1016/j.jbusres.2022.113541</w:t>
      </w:r>
    </w:p>
    <w:p w14:paraId="644F20C8" w14:textId="77777777" w:rsidR="007373F6" w:rsidRPr="00CA3E0F" w:rsidRDefault="00000000" w:rsidP="00FC089A">
      <w:pPr>
        <w:widowControl w:val="0"/>
        <w:spacing w:after="0" w:line="240" w:lineRule="auto"/>
        <w:ind w:left="426" w:hanging="426"/>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rPr>
        <w:t xml:space="preserve">Sun, H. (2023). Construction of integration path of management accounting and financial accounting based on big data analysis. </w:t>
      </w:r>
      <w:r w:rsidRPr="00CA3E0F">
        <w:rPr>
          <w:rFonts w:ascii="Times New Roman" w:eastAsia="Times New Roman" w:hAnsi="Times New Roman" w:cs="Times New Roman"/>
          <w:i/>
          <w:sz w:val="24"/>
          <w:szCs w:val="24"/>
          <w:lang w:val="de-DE"/>
        </w:rPr>
        <w:t>Optik</w:t>
      </w:r>
      <w:r w:rsidRPr="00CA3E0F">
        <w:rPr>
          <w:rFonts w:ascii="Times New Roman" w:eastAsia="Times New Roman" w:hAnsi="Times New Roman" w:cs="Times New Roman"/>
          <w:sz w:val="24"/>
          <w:szCs w:val="24"/>
          <w:lang w:val="de-DE"/>
        </w:rPr>
        <w:t xml:space="preserve">, </w:t>
      </w:r>
      <w:r w:rsidRPr="00CA3E0F">
        <w:rPr>
          <w:rFonts w:ascii="Times New Roman" w:eastAsia="Times New Roman" w:hAnsi="Times New Roman" w:cs="Times New Roman"/>
          <w:i/>
          <w:sz w:val="24"/>
          <w:szCs w:val="24"/>
          <w:lang w:val="de-DE"/>
        </w:rPr>
        <w:t>272</w:t>
      </w:r>
      <w:r w:rsidRPr="00CA3E0F">
        <w:rPr>
          <w:rFonts w:ascii="Times New Roman" w:eastAsia="Times New Roman" w:hAnsi="Times New Roman" w:cs="Times New Roman"/>
          <w:sz w:val="24"/>
          <w:szCs w:val="24"/>
          <w:lang w:val="de-DE"/>
        </w:rPr>
        <w:t>. https://doi.org/10.1016/j.ijleo.2022.170321</w:t>
      </w:r>
    </w:p>
    <w:p w14:paraId="4AA978A4"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sidRPr="00CA3E0F">
        <w:rPr>
          <w:rFonts w:ascii="Times New Roman" w:eastAsia="Times New Roman" w:hAnsi="Times New Roman" w:cs="Times New Roman"/>
          <w:sz w:val="24"/>
          <w:szCs w:val="24"/>
          <w:lang w:val="de-DE"/>
        </w:rPr>
        <w:t xml:space="preserve">Trevisan, P., &amp; Mouritsen, J. (2023). </w:t>
      </w:r>
      <w:r>
        <w:rPr>
          <w:rFonts w:ascii="Times New Roman" w:eastAsia="Times New Roman" w:hAnsi="Times New Roman" w:cs="Times New Roman"/>
          <w:sz w:val="24"/>
          <w:szCs w:val="24"/>
        </w:rPr>
        <w:t xml:space="preserve">Compromises and Compromising: Management Accounting and Decision-making in a Creative Organisation. </w:t>
      </w:r>
      <w:r>
        <w:rPr>
          <w:rFonts w:ascii="Times New Roman" w:eastAsia="Times New Roman" w:hAnsi="Times New Roman" w:cs="Times New Roman"/>
          <w:i/>
          <w:sz w:val="24"/>
          <w:szCs w:val="24"/>
        </w:rPr>
        <w:t>Management Accounting Research</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60</w:t>
      </w:r>
      <w:r>
        <w:rPr>
          <w:rFonts w:ascii="Times New Roman" w:eastAsia="Times New Roman" w:hAnsi="Times New Roman" w:cs="Times New Roman"/>
          <w:sz w:val="24"/>
          <w:szCs w:val="24"/>
        </w:rPr>
        <w:t>, 100839. https://doi.org/https://doi.org/10.1016/j.mar.2023.100839</w:t>
      </w:r>
    </w:p>
    <w:p w14:paraId="6285F934"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Vardon, M., Chen, Y., van Dijk, A., Keith, H., Burnett, P., &amp; Lindenmayer, D. (2023). Conservation of the critically endangered Box-gum grassy woodlands with ecosystem accounting in Australia. </w:t>
      </w:r>
      <w:r>
        <w:rPr>
          <w:rFonts w:ascii="Times New Roman" w:eastAsia="Times New Roman" w:hAnsi="Times New Roman" w:cs="Times New Roman"/>
          <w:i/>
          <w:sz w:val="24"/>
          <w:szCs w:val="24"/>
        </w:rPr>
        <w:t>Biological Conservation</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284</w:t>
      </w:r>
      <w:r>
        <w:rPr>
          <w:rFonts w:ascii="Times New Roman" w:eastAsia="Times New Roman" w:hAnsi="Times New Roman" w:cs="Times New Roman"/>
          <w:sz w:val="24"/>
          <w:szCs w:val="24"/>
        </w:rPr>
        <w:t>. https://doi.org/10.1016/j.biocon.2023.110129</w:t>
      </w:r>
    </w:p>
    <w:p w14:paraId="48B6209F"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Yang, W., Zhang, Z., Wu, Y., Sun, T., Liu, H., &amp; Zhao, Y. (2023). Ecosystem-based fishery management that accounts for trade-offs between fishing and enhancement stocking: A case study of </w:t>
      </w:r>
      <w:proofErr w:type="spellStart"/>
      <w:r>
        <w:rPr>
          <w:rFonts w:ascii="Times New Roman" w:eastAsia="Times New Roman" w:hAnsi="Times New Roman" w:cs="Times New Roman"/>
          <w:sz w:val="24"/>
          <w:szCs w:val="24"/>
        </w:rPr>
        <w:t>Juehua</w:t>
      </w:r>
      <w:proofErr w:type="spellEnd"/>
      <w:r>
        <w:rPr>
          <w:rFonts w:ascii="Times New Roman" w:eastAsia="Times New Roman" w:hAnsi="Times New Roman" w:cs="Times New Roman"/>
          <w:sz w:val="24"/>
          <w:szCs w:val="24"/>
        </w:rPr>
        <w:t xml:space="preserve"> Island in the Bohai Sea. </w:t>
      </w:r>
      <w:r>
        <w:rPr>
          <w:rFonts w:ascii="Times New Roman" w:eastAsia="Times New Roman" w:hAnsi="Times New Roman" w:cs="Times New Roman"/>
          <w:i/>
          <w:sz w:val="24"/>
          <w:szCs w:val="24"/>
        </w:rPr>
        <w:t>Ecological Indicators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156</w:t>
      </w:r>
      <w:r>
        <w:rPr>
          <w:rFonts w:ascii="Times New Roman" w:eastAsia="Times New Roman" w:hAnsi="Times New Roman" w:cs="Times New Roman"/>
          <w:sz w:val="24"/>
          <w:szCs w:val="24"/>
        </w:rPr>
        <w:t>. https://doi.org/10.1016/j.ecolind.2023.111081</w:t>
      </w:r>
    </w:p>
    <w:p w14:paraId="0E0E60B6" w14:textId="77777777" w:rsidR="007373F6" w:rsidRDefault="00000000" w:rsidP="00FC089A">
      <w:pPr>
        <w:widowControl w:val="0"/>
        <w:spacing w:after="0" w:line="24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Zhai, Y., Liu, F., Hu, Y., Wang, L., Lu, X., Yu, Z., Liu, H., &amp; Zhang, R. (2023). Regional CO2 accounting and market layout of incinerator fly ash management in China. </w:t>
      </w:r>
      <w:r>
        <w:rPr>
          <w:rFonts w:ascii="Times New Roman" w:eastAsia="Times New Roman" w:hAnsi="Times New Roman" w:cs="Times New Roman"/>
          <w:i/>
          <w:sz w:val="24"/>
          <w:szCs w:val="24"/>
        </w:rPr>
        <w:t>Science of the Total Environment</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881</w:t>
      </w:r>
      <w:r>
        <w:rPr>
          <w:rFonts w:ascii="Times New Roman" w:eastAsia="Times New Roman" w:hAnsi="Times New Roman" w:cs="Times New Roman"/>
          <w:sz w:val="24"/>
          <w:szCs w:val="24"/>
        </w:rPr>
        <w:t>. https://doi.org/10.1016/j.scitotenv.2023.163336</w:t>
      </w:r>
    </w:p>
    <w:p w14:paraId="58A0DDA3" w14:textId="77777777" w:rsidR="007373F6" w:rsidRDefault="00000000" w:rsidP="00FC089A">
      <w:pPr>
        <w:spacing w:after="0" w:line="240" w:lineRule="auto"/>
        <w:ind w:left="426" w:hanging="426"/>
        <w:jc w:val="both"/>
        <w:rPr>
          <w:rFonts w:ascii="Times New Roman" w:eastAsia="Times New Roman" w:hAnsi="Times New Roman" w:cs="Times New Roman"/>
          <w:i/>
          <w:color w:val="000000"/>
          <w:sz w:val="24"/>
          <w:szCs w:val="24"/>
          <w:highlight w:val="white"/>
        </w:rPr>
        <w:sectPr w:rsidR="007373F6">
          <w:headerReference w:type="default" r:id="rId35"/>
          <w:footerReference w:type="default" r:id="rId36"/>
          <w:footerReference w:type="first" r:id="rId37"/>
          <w:pgSz w:w="11906" w:h="16838"/>
          <w:pgMar w:top="1440" w:right="1440" w:bottom="1440" w:left="1440" w:header="708" w:footer="708" w:gutter="0"/>
          <w:pgNumType w:start="1"/>
          <w:cols w:space="720"/>
        </w:sectPr>
      </w:pPr>
      <w:r w:rsidRPr="00CA3E0F">
        <w:rPr>
          <w:rFonts w:ascii="Times New Roman" w:eastAsia="Times New Roman" w:hAnsi="Times New Roman" w:cs="Times New Roman"/>
          <w:sz w:val="24"/>
          <w:szCs w:val="24"/>
          <w:lang w:val="de-DE"/>
        </w:rPr>
        <w:t xml:space="preserve">Zhang, L., Gu, W., Byon, Y. J., &amp; Lee, J. (2023). </w:t>
      </w:r>
      <w:r>
        <w:rPr>
          <w:rFonts w:ascii="Times New Roman" w:eastAsia="Times New Roman" w:hAnsi="Times New Roman" w:cs="Times New Roman"/>
          <w:sz w:val="24"/>
          <w:szCs w:val="24"/>
        </w:rPr>
        <w:t xml:space="preserve">Condition-based pavement management systems accounting for model uncertainty and facility heterogeneity with belief updates. </w:t>
      </w:r>
      <w:r>
        <w:rPr>
          <w:rFonts w:ascii="Times New Roman" w:eastAsia="Times New Roman" w:hAnsi="Times New Roman" w:cs="Times New Roman"/>
          <w:i/>
          <w:sz w:val="24"/>
          <w:szCs w:val="24"/>
        </w:rPr>
        <w:t>Transportation Research Part C: Emerging Technologies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148</w:t>
      </w:r>
      <w:r>
        <w:rPr>
          <w:rFonts w:ascii="Times New Roman" w:eastAsia="Times New Roman" w:hAnsi="Times New Roman" w:cs="Times New Roman"/>
          <w:sz w:val="24"/>
          <w:szCs w:val="24"/>
        </w:rPr>
        <w:t>. https://doi.org/10.1016/j.trc.2023.104054</w:t>
      </w:r>
    </w:p>
    <w:p w14:paraId="2E63A6E9" w14:textId="77777777" w:rsidR="007373F6" w:rsidRDefault="00000000">
      <w:pPr>
        <w:pStyle w:val="Heading1"/>
      </w:pPr>
      <w:bookmarkStart w:id="42" w:name="_Toc211808134"/>
      <w:r>
        <w:lastRenderedPageBreak/>
        <w:t>Paper ID 3</w:t>
      </w:r>
      <w:bookmarkEnd w:id="42"/>
    </w:p>
    <w:p w14:paraId="4006F350" w14:textId="77777777" w:rsidR="007373F6" w:rsidRDefault="00000000">
      <w:pPr>
        <w:pStyle w:val="Heading2"/>
      </w:pPr>
      <w:bookmarkStart w:id="43" w:name="_Toc211808135"/>
      <w:r>
        <w:t>THE EFFECT OF IFRS ADOPTION ON FOREIGN INVESTMENT IN</w:t>
      </w:r>
      <w:bookmarkEnd w:id="43"/>
    </w:p>
    <w:p w14:paraId="65B12684" w14:textId="77777777" w:rsidR="007373F6" w:rsidRDefault="00000000">
      <w:pPr>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THE JAPANESE EQUITY MARKET</w:t>
      </w:r>
    </w:p>
    <w:p w14:paraId="581F89B7" w14:textId="77777777" w:rsidR="007373F6" w:rsidRDefault="007373F6">
      <w:pPr>
        <w:spacing w:after="0" w:line="240" w:lineRule="auto"/>
        <w:jc w:val="center"/>
        <w:rPr>
          <w:rFonts w:ascii="Times New Roman" w:eastAsia="Times New Roman" w:hAnsi="Times New Roman" w:cs="Times New Roman"/>
          <w:b/>
          <w:sz w:val="26"/>
          <w:szCs w:val="26"/>
        </w:rPr>
      </w:pPr>
    </w:p>
    <w:p w14:paraId="4CF323AC" w14:textId="77777777" w:rsidR="007373F6" w:rsidRPr="00CA3E0F" w:rsidRDefault="00000000">
      <w:pPr>
        <w:shd w:val="clear" w:color="auto" w:fill="FFFFFF"/>
        <w:jc w:val="center"/>
        <w:rPr>
          <w:rFonts w:ascii="Times New Roman" w:eastAsia="Times New Roman" w:hAnsi="Times New Roman" w:cs="Times New Roman"/>
          <w:sz w:val="24"/>
          <w:szCs w:val="24"/>
        </w:rPr>
      </w:pPr>
      <w:r w:rsidRPr="00CA3E0F">
        <w:rPr>
          <w:rFonts w:ascii="Times New Roman" w:eastAsia="Times New Roman" w:hAnsi="Times New Roman" w:cs="Times New Roman"/>
          <w:b/>
          <w:sz w:val="24"/>
          <w:szCs w:val="24"/>
        </w:rPr>
        <w:t>Yoshitaka Kubota</w:t>
      </w:r>
      <w:r w:rsidRPr="00CA3E0F">
        <w:rPr>
          <w:rFonts w:ascii="Times New Roman" w:eastAsia="Times New Roman" w:hAnsi="Times New Roman" w:cs="Times New Roman"/>
          <w:sz w:val="24"/>
          <w:szCs w:val="24"/>
        </w:rPr>
        <w:t>, Graduate School of Business Administration, Keio University, Japan (</w:t>
      </w:r>
      <w:hyperlink r:id="rId38">
        <w:r w:rsidR="007373F6" w:rsidRPr="00CA3E0F">
          <w:rPr>
            <w:rFonts w:ascii="Times New Roman" w:eastAsia="Times New Roman" w:hAnsi="Times New Roman" w:cs="Times New Roman"/>
            <w:sz w:val="24"/>
            <w:szCs w:val="24"/>
          </w:rPr>
          <w:t>yoshitaka.kubota531@keio.jp</w:t>
        </w:r>
      </w:hyperlink>
      <w:r w:rsidRPr="00CA3E0F">
        <w:rPr>
          <w:rFonts w:ascii="Times New Roman" w:eastAsia="Times New Roman" w:hAnsi="Times New Roman" w:cs="Times New Roman"/>
          <w:sz w:val="24"/>
          <w:szCs w:val="24"/>
        </w:rPr>
        <w:t>)</w:t>
      </w:r>
    </w:p>
    <w:p w14:paraId="26AC506F" w14:textId="77777777" w:rsidR="007373F6" w:rsidRPr="00CA3E0F" w:rsidRDefault="00000000">
      <w:pPr>
        <w:spacing w:after="0" w:line="240" w:lineRule="auto"/>
        <w:jc w:val="center"/>
        <w:rPr>
          <w:rFonts w:ascii="Times New Roman" w:eastAsia="Times New Roman" w:hAnsi="Times New Roman" w:cs="Times New Roman"/>
          <w:sz w:val="24"/>
          <w:szCs w:val="24"/>
        </w:rPr>
      </w:pPr>
      <w:r w:rsidRPr="00CA3E0F">
        <w:rPr>
          <w:rFonts w:ascii="Times New Roman" w:eastAsia="Times New Roman" w:hAnsi="Times New Roman" w:cs="Times New Roman"/>
          <w:b/>
          <w:sz w:val="24"/>
          <w:szCs w:val="24"/>
        </w:rPr>
        <w:t>Fumiko Takeda*</w:t>
      </w:r>
      <w:r w:rsidRPr="00CA3E0F">
        <w:rPr>
          <w:rFonts w:ascii="Times New Roman" w:eastAsia="Times New Roman" w:hAnsi="Times New Roman" w:cs="Times New Roman"/>
          <w:sz w:val="24"/>
          <w:szCs w:val="24"/>
        </w:rPr>
        <w:t>, Graduate School of Business Administration, Keio University, Japan (</w:t>
      </w:r>
      <w:hyperlink r:id="rId39">
        <w:r w:rsidR="007373F6" w:rsidRPr="00CA3E0F">
          <w:rPr>
            <w:rFonts w:ascii="Times New Roman" w:eastAsia="Times New Roman" w:hAnsi="Times New Roman" w:cs="Times New Roman"/>
            <w:sz w:val="24"/>
            <w:szCs w:val="24"/>
          </w:rPr>
          <w:t>ftakeda@kbs.keio.ac.jp</w:t>
        </w:r>
      </w:hyperlink>
      <w:r w:rsidRPr="00CA3E0F">
        <w:rPr>
          <w:rFonts w:ascii="Times New Roman" w:eastAsia="Times New Roman" w:hAnsi="Times New Roman" w:cs="Times New Roman"/>
          <w:sz w:val="24"/>
          <w:szCs w:val="24"/>
        </w:rPr>
        <w:t>)</w:t>
      </w:r>
      <w:r w:rsidRPr="00CA3E0F">
        <w:rPr>
          <w:sz w:val="24"/>
          <w:szCs w:val="24"/>
        </w:rPr>
        <w:t xml:space="preserve"> </w:t>
      </w:r>
    </w:p>
    <w:p w14:paraId="3B9668B9" w14:textId="77777777" w:rsidR="007373F6" w:rsidRDefault="007373F6">
      <w:pPr>
        <w:jc w:val="center"/>
      </w:pPr>
    </w:p>
    <w:p w14:paraId="143C561B" w14:textId="77777777" w:rsidR="007373F6"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ABSTRACT</w:t>
      </w:r>
    </w:p>
    <w:p w14:paraId="69BFF591"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study investigates the effects International Financial Reporting Standards (IFRS) adoption on foreign investment in the Japanese equity market. Previous studies find that a positive relationship between IFRS adoption and foreign investment is either observed or becomes more pronounced when a country meets specific conditions, such as a strong regulatory environment or credible improvements in uniformity following IFRS adoption. This study provides evidence for Japan by re-examining the effects of voluntary IFRS adoption on the foreign shareholding ratio of Japanese companies for 2010-2023 by controlling for the impacts of reduced cross-shareholdings and increased share buybacks, which are likely to cancel out room for foreign shareholders. We employ the difference-in-differences (DID) approach to compare the set of voluntary IFRS adopters to non-adopters from 2010 to 2023. Our sample consists of 168 listed firms that applied IFRS to their financial statements by fiscal year 2022. We selected non-adopters using propensity score matching (PSM) to avoid potential endogeneity. Unlike the previous study that report no significant relationship in Japan, our approach shows an increase in foreign shareholder ratios after IFRS adoption when controlling for cross-shareholdings and share buybacks. This study contributes to the literature on the effects of IFRS adoption on foreign equity investment in two ways. First, it provides evidence that Japan, which underwent a governance system transition along with IFRS adoption. Second, the results indicate the importance of controlling for confounding factors in the context of multiple institutional changes. </w:t>
      </w:r>
    </w:p>
    <w:p w14:paraId="043C9884" w14:textId="77777777" w:rsidR="007373F6" w:rsidRDefault="007373F6">
      <w:pPr>
        <w:spacing w:after="0" w:line="240" w:lineRule="auto"/>
        <w:jc w:val="both"/>
        <w:rPr>
          <w:rFonts w:ascii="Times New Roman" w:eastAsia="Times New Roman" w:hAnsi="Times New Roman" w:cs="Times New Roman"/>
          <w:sz w:val="24"/>
          <w:szCs w:val="24"/>
        </w:rPr>
      </w:pPr>
    </w:p>
    <w:p w14:paraId="23B3B574" w14:textId="2A89AF3E" w:rsidR="007373F6" w:rsidRDefault="00000000">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Keywords: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IFRS; </w:t>
      </w:r>
      <w:r w:rsidR="00CA3E0F">
        <w:rPr>
          <w:rFonts w:ascii="Times New Roman" w:eastAsia="Times New Roman" w:hAnsi="Times New Roman" w:cs="Times New Roman"/>
          <w:i/>
          <w:sz w:val="24"/>
          <w:szCs w:val="24"/>
        </w:rPr>
        <w:t xml:space="preserve">Foreign Shareholders; Cross-Shareholding; Share Buyback; Corporate Governance </w:t>
      </w:r>
    </w:p>
    <w:p w14:paraId="4044F124" w14:textId="77777777" w:rsidR="007373F6" w:rsidRDefault="007373F6">
      <w:pPr>
        <w:jc w:val="both"/>
        <w:rPr>
          <w:highlight w:val="yellow"/>
        </w:rPr>
      </w:pPr>
    </w:p>
    <w:p w14:paraId="2FE3CF4A" w14:textId="77777777" w:rsidR="007373F6" w:rsidRDefault="00000000">
      <w:pPr>
        <w:spacing w:after="20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1. INTRODUCTION</w:t>
      </w:r>
      <w:r>
        <w:rPr>
          <w:color w:val="000000"/>
          <w:vertAlign w:val="superscript"/>
        </w:rPr>
        <w:footnoteReference w:id="1"/>
      </w:r>
    </w:p>
    <w:p w14:paraId="51942239"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Since its mandatory adoption in the European Union (EU) in 2005, International Financial Reporting Standards (IFRS) have been widely used in many countries. IFRS aims to enhance </w:t>
      </w:r>
      <w:r>
        <w:rPr>
          <w:rFonts w:ascii="Times New Roman" w:eastAsia="Times New Roman" w:hAnsi="Times New Roman" w:cs="Times New Roman"/>
          <w:color w:val="000000"/>
          <w:sz w:val="24"/>
          <w:szCs w:val="24"/>
        </w:rPr>
        <w:lastRenderedPageBreak/>
        <w:t xml:space="preserve">the comparability of firms’ financial statements in different countries and reduce international investors’ information acquisition and processing costs, thereby leading to more significant cross-border investments. In 2010, Japan allowed listed companies to adopt IFRS voluntarily. According to the Japan Exchange Group (2025a), 287 companies have adopted IFRS as of June 2025 and 8 made plans to do so. Although IFRS adopters account for less than 10% of all firms listed on the Tokyo Stock Exchange, their market capitalization accounts for approximately half that of all firms, suggesting that large companies tend to adopt IFRS. </w:t>
      </w:r>
    </w:p>
    <w:p w14:paraId="3AF1C477"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Cross-border capital investment consists of foreign direct investment (FDI) and foreign portfolio investments (FPI). Compared to FPI, FDI is a long-term investment often involving management control, and is influenced by factors, such as market conditions, resource availability, efficiency, strategic assets, and institutional infrastructure, including transparent governance and effective legal systems (Dunning, 1998, 2006). Because accounting standards are part of the institutional infrastructure, IFRS adoption is expected to promote both FDI and FPI by enhancing the comparability of financial statements across nations and reducing information asymmetry between local and foreign investors. This argument is supported theoretically by Easley and O’Hara (2004), who present a model demonstrating that detailed accounting information reduces a company’s cost of capital.</w:t>
      </w:r>
    </w:p>
    <w:p w14:paraId="680AE850"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However, previous studies indicate that the quality of accounting information is determined not only by reporting standards, but also by market forces and institutional factors (Ball et al., 2000, 2003; Ball and Shivakumar, 2005; </w:t>
      </w:r>
      <w:proofErr w:type="spellStart"/>
      <w:r>
        <w:rPr>
          <w:rFonts w:ascii="Times New Roman" w:eastAsia="Times New Roman" w:hAnsi="Times New Roman" w:cs="Times New Roman"/>
          <w:color w:val="000000"/>
          <w:sz w:val="24"/>
          <w:szCs w:val="24"/>
        </w:rPr>
        <w:t>Leuz</w:t>
      </w:r>
      <w:proofErr w:type="spellEnd"/>
      <w:r>
        <w:rPr>
          <w:rFonts w:ascii="Times New Roman" w:eastAsia="Times New Roman" w:hAnsi="Times New Roman" w:cs="Times New Roman"/>
          <w:color w:val="000000"/>
          <w:sz w:val="24"/>
          <w:szCs w:val="24"/>
        </w:rPr>
        <w:t xml:space="preserve"> et al., 2003). Consistent with this perspective, several studies find that the positive relationship between IFRS adoption and foreign investment either exists or becomes more pronounced when a country meets specific conditions, such as a strong regulatory environment, significant pre-convergence differences in accounting systems, or credible improvements in uniformity following IFRS adoption (Chen et al., 2014; </w:t>
      </w:r>
      <w:proofErr w:type="spellStart"/>
      <w:r>
        <w:rPr>
          <w:rFonts w:ascii="Times New Roman" w:eastAsia="Times New Roman" w:hAnsi="Times New Roman" w:cs="Times New Roman"/>
          <w:color w:val="000000"/>
          <w:sz w:val="24"/>
          <w:szCs w:val="24"/>
        </w:rPr>
        <w:t>DeFond</w:t>
      </w:r>
      <w:proofErr w:type="spellEnd"/>
      <w:r>
        <w:rPr>
          <w:rFonts w:ascii="Times New Roman" w:eastAsia="Times New Roman" w:hAnsi="Times New Roman" w:cs="Times New Roman"/>
          <w:color w:val="000000"/>
          <w:sz w:val="24"/>
          <w:szCs w:val="24"/>
        </w:rPr>
        <w:t xml:space="preserve"> et al., 2011; Shima and Gordon, 2011).</w:t>
      </w:r>
    </w:p>
    <w:p w14:paraId="057F3229"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Accordingly, single-country and regional studies yielded mixed results (</w:t>
      </w:r>
      <w:proofErr w:type="spellStart"/>
      <w:r>
        <w:rPr>
          <w:rFonts w:ascii="Times New Roman" w:eastAsia="Times New Roman" w:hAnsi="Times New Roman" w:cs="Times New Roman"/>
          <w:color w:val="000000"/>
          <w:sz w:val="24"/>
          <w:szCs w:val="24"/>
        </w:rPr>
        <w:t>DeFond</w:t>
      </w:r>
      <w:proofErr w:type="spellEnd"/>
      <w:r>
        <w:rPr>
          <w:rFonts w:ascii="Times New Roman" w:eastAsia="Times New Roman" w:hAnsi="Times New Roman" w:cs="Times New Roman"/>
          <w:color w:val="000000"/>
          <w:sz w:val="24"/>
          <w:szCs w:val="24"/>
        </w:rPr>
        <w:t xml:space="preserve"> et al., 2019; Hamberg et al., 2013; Hsu et al., 2015; Kim et al., 2019; Nnadi and </w:t>
      </w:r>
      <w:proofErr w:type="spellStart"/>
      <w:r>
        <w:rPr>
          <w:rFonts w:ascii="Times New Roman" w:eastAsia="Times New Roman" w:hAnsi="Times New Roman" w:cs="Times New Roman"/>
          <w:color w:val="000000"/>
          <w:sz w:val="24"/>
          <w:szCs w:val="24"/>
        </w:rPr>
        <w:t>Soobaroyen</w:t>
      </w:r>
      <w:proofErr w:type="spellEnd"/>
      <w:r>
        <w:rPr>
          <w:rFonts w:ascii="Times New Roman" w:eastAsia="Times New Roman" w:hAnsi="Times New Roman" w:cs="Times New Roman"/>
          <w:color w:val="000000"/>
          <w:sz w:val="24"/>
          <w:szCs w:val="24"/>
        </w:rPr>
        <w:t>, 2015). While a positive relationship between IFRS adoption and foreign investment exists in Sweden and Taiwan (Hamberg et al., 2013; Hsu et al., 2015), a negative association exists in China and several African countries because of their weak institutional infrastructure (</w:t>
      </w:r>
      <w:proofErr w:type="spellStart"/>
      <w:r>
        <w:rPr>
          <w:rFonts w:ascii="Times New Roman" w:eastAsia="Times New Roman" w:hAnsi="Times New Roman" w:cs="Times New Roman"/>
          <w:color w:val="000000"/>
          <w:sz w:val="24"/>
          <w:szCs w:val="24"/>
        </w:rPr>
        <w:t>DeFond</w:t>
      </w:r>
      <w:proofErr w:type="spellEnd"/>
      <w:r>
        <w:rPr>
          <w:rFonts w:ascii="Times New Roman" w:eastAsia="Times New Roman" w:hAnsi="Times New Roman" w:cs="Times New Roman"/>
          <w:color w:val="000000"/>
          <w:sz w:val="24"/>
          <w:szCs w:val="24"/>
        </w:rPr>
        <w:t xml:space="preserve"> et al., 2019; Nnadi and </w:t>
      </w:r>
      <w:proofErr w:type="spellStart"/>
      <w:r>
        <w:rPr>
          <w:rFonts w:ascii="Times New Roman" w:eastAsia="Times New Roman" w:hAnsi="Times New Roman" w:cs="Times New Roman"/>
          <w:color w:val="000000"/>
          <w:sz w:val="24"/>
          <w:szCs w:val="24"/>
        </w:rPr>
        <w:t>Soobaroyen</w:t>
      </w:r>
      <w:proofErr w:type="spellEnd"/>
      <w:r>
        <w:rPr>
          <w:rFonts w:ascii="Times New Roman" w:eastAsia="Times New Roman" w:hAnsi="Times New Roman" w:cs="Times New Roman"/>
          <w:color w:val="000000"/>
          <w:sz w:val="24"/>
          <w:szCs w:val="24"/>
        </w:rPr>
        <w:t>, 2015).</w:t>
      </w:r>
    </w:p>
    <w:p w14:paraId="7BB4145A"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Japan is classified as a code-law (or civil-law) country (Ball et al., 2000; La Porta et al., 1998). Compared with common-law countries, code-law countries generally offer weaker legal protection to investors and less robust enforcement mechanisms. These characteristics suggest that Japan’s institutional infrastructure may not be sufficiently robust. Consistent with this perspective, Kim et al. (2019) report that the voluntary IFRS adoption did not significantly alter the foreign shareholder ratio in Japanese companies between 2010 and 2018. Furthermore, other studies find that voluntary IFRS adoption by 2018 led to an increase in discretionary accruals in Japan, indicating earnings management (Kim et al., 2024; </w:t>
      </w:r>
      <w:proofErr w:type="spellStart"/>
      <w:r>
        <w:rPr>
          <w:rFonts w:ascii="Times New Roman" w:eastAsia="Times New Roman" w:hAnsi="Times New Roman" w:cs="Times New Roman"/>
          <w:color w:val="000000"/>
          <w:sz w:val="24"/>
          <w:szCs w:val="24"/>
        </w:rPr>
        <w:t>Tohara</w:t>
      </w:r>
      <w:proofErr w:type="spellEnd"/>
      <w:r>
        <w:rPr>
          <w:rFonts w:ascii="Times New Roman" w:eastAsia="Times New Roman" w:hAnsi="Times New Roman" w:cs="Times New Roman"/>
          <w:color w:val="000000"/>
          <w:sz w:val="24"/>
          <w:szCs w:val="24"/>
        </w:rPr>
        <w:t xml:space="preserve">, 2024). While some studies suggest that IFRS adopters in Japan experienced an increase in mergers and acquisitions (M&amp;As) and intangible assets, these increases are attributed to firms taking advantage of the differences in goodwill amortization between IFRS and the Japanese Generally Accepted Accounting Principles (JGAAP) (Amano, 2020; </w:t>
      </w:r>
      <w:proofErr w:type="spellStart"/>
      <w:r>
        <w:rPr>
          <w:rFonts w:ascii="Times New Roman" w:eastAsia="Times New Roman" w:hAnsi="Times New Roman" w:cs="Times New Roman"/>
          <w:color w:val="000000"/>
          <w:sz w:val="24"/>
          <w:szCs w:val="24"/>
        </w:rPr>
        <w:t>Kashiwazaki</w:t>
      </w:r>
      <w:proofErr w:type="spellEnd"/>
      <w:r>
        <w:rPr>
          <w:rFonts w:ascii="Times New Roman" w:eastAsia="Times New Roman" w:hAnsi="Times New Roman" w:cs="Times New Roman"/>
          <w:color w:val="000000"/>
          <w:sz w:val="24"/>
          <w:szCs w:val="24"/>
        </w:rPr>
        <w:t xml:space="preserve"> et al., 2019).</w:t>
      </w:r>
      <w:r>
        <w:rPr>
          <w:color w:val="000000"/>
          <w:vertAlign w:val="superscript"/>
        </w:rPr>
        <w:footnoteReference w:id="2"/>
      </w:r>
    </w:p>
    <w:p w14:paraId="467DA925"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However, Kim et al. (2019) do not entirely rule out potential confounding factors that may influence shareholder composition. In particular, changes in corporate governance practices among Japanese companies since the mid-2010s could also explain why the foreign </w:t>
      </w:r>
      <w:r>
        <w:rPr>
          <w:rFonts w:ascii="Times New Roman" w:eastAsia="Times New Roman" w:hAnsi="Times New Roman" w:cs="Times New Roman"/>
          <w:color w:val="000000"/>
          <w:sz w:val="24"/>
          <w:szCs w:val="24"/>
        </w:rPr>
        <w:lastRenderedPageBreak/>
        <w:t xml:space="preserve">shareholder ratio remained relatively unchanged despite IFRS adoption. As is typical of code-law countries, Japan’s has a “stakeholder governance” corporate governance system, in contrast to the “shareholder governance system” prevalent in common-law countries. The stakeholder model is characterized by a reliance on debt financing, shareholding by domestically affiliated interests, and interconnected networks among firms, their trading partners, and main banks (Hoshi and Kashyap, 2001; Shleifer and </w:t>
      </w:r>
      <w:proofErr w:type="spellStart"/>
      <w:r>
        <w:rPr>
          <w:rFonts w:ascii="Times New Roman" w:eastAsia="Times New Roman" w:hAnsi="Times New Roman" w:cs="Times New Roman"/>
          <w:color w:val="000000"/>
          <w:sz w:val="24"/>
          <w:szCs w:val="24"/>
        </w:rPr>
        <w:t>Vishny</w:t>
      </w:r>
      <w:proofErr w:type="spellEnd"/>
      <w:r>
        <w:rPr>
          <w:rFonts w:ascii="Times New Roman" w:eastAsia="Times New Roman" w:hAnsi="Times New Roman" w:cs="Times New Roman"/>
          <w:color w:val="000000"/>
          <w:sz w:val="24"/>
          <w:szCs w:val="24"/>
        </w:rPr>
        <w:t>, 1997).</w:t>
      </w:r>
    </w:p>
    <w:p w14:paraId="5DCED25F"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bookmarkStart w:id="44" w:name="_heading=h.qcxpczb979aw" w:colFirst="0" w:colLast="0"/>
      <w:bookmarkEnd w:id="44"/>
      <w:r>
        <w:rPr>
          <w:rFonts w:ascii="Times New Roman" w:eastAsia="Times New Roman" w:hAnsi="Times New Roman" w:cs="Times New Roman"/>
          <w:color w:val="000000"/>
          <w:sz w:val="24"/>
          <w:szCs w:val="24"/>
        </w:rPr>
        <w:t>However, following the collapse of the economic bubble in the 1990s, Japan made extensive efforts to reform its economy and business environment. These changes are evident in the decline in traditional cross-shareholdings</w:t>
      </w:r>
      <w:r>
        <w:rPr>
          <w:color w:val="000000"/>
          <w:vertAlign w:val="superscript"/>
        </w:rPr>
        <w:footnoteReference w:id="3"/>
      </w:r>
      <w:r>
        <w:rPr>
          <w:rFonts w:ascii="Times New Roman" w:eastAsia="Times New Roman" w:hAnsi="Times New Roman" w:cs="Times New Roman"/>
          <w:color w:val="000000"/>
          <w:sz w:val="24"/>
          <w:szCs w:val="24"/>
        </w:rPr>
        <w:t xml:space="preserve"> and the rise in foreign shareholdings. Amid growing interest in corporate governance, capital efficiency, and the responsibilities of institutional investors, the Stewardship Code (SWC) and the Corporate Governance Code (CGC) were introduced in 2014 and 2015, respectively. As these codes called for institutional investors to take a more active role in monitoring their investee companies, opportunities increased for activist shareholders—who often advocated for share buybacks to boost dividends, divestiture of unprofitable businesses, or shifts in corporate strategy (Miyachi and Takeda, 2021).</w:t>
      </w:r>
    </w:p>
    <w:p w14:paraId="62696FDC"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According to the Japan Exchange Group (2025b), the proportion of foreign shareholders increased from 4.7% in FY1990 to 30.2% in FY2013, remained at around 30% in the following decade, and reached 32.4% in FY2024. To explain the gradual pace of change over the past decade, recent research on Japanese corporate governance suggests that the reduction in cross-shareholding has contributed to an increase in share buybacks or has been offset by strategic value-enhancing inter-corporate holdings (Franks et al., 2023; Miyajima and Saito, 2023). Consequently, the shareholder ratio of corporations has not significantly declined, and the foreign shareholder ratio may not have increased.</w:t>
      </w:r>
    </w:p>
    <w:p w14:paraId="01F5339A"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Against this backdrop, this study re-examines the effects of voluntary IFRS adoption on the foreign shareholder ratio of Japanese companies by controlling for the impact of reduced cross-shareholdings and increased share buybacks, which are likely to leave no room for foreign shareholders. Unlike Kim et al. (2019), our analysis finds an increase in the foreign shareholder ratio after IFRS adoption when controlling for cross-shareholdings and share buybacks. </w:t>
      </w:r>
    </w:p>
    <w:p w14:paraId="36C944E8"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bookmarkStart w:id="45" w:name="_heading=h.ayosvitg2yiu" w:colFirst="0" w:colLast="0"/>
      <w:bookmarkEnd w:id="45"/>
      <w:r>
        <w:rPr>
          <w:rFonts w:ascii="Times New Roman" w:eastAsia="Times New Roman" w:hAnsi="Times New Roman" w:cs="Times New Roman"/>
          <w:color w:val="000000"/>
          <w:sz w:val="24"/>
          <w:szCs w:val="24"/>
        </w:rPr>
        <w:t>This study contributes to the literature on the effects of IFRS adoption on foreign equity investment in two ways. First, it provides evidence from Japan, which underwent a governance system transition concurrent with its adoption of IFRS. Second, this study demonstrates the importance of controlling confounding factors in the context of multiple institutional changes. We believe that the findings will be valuable to international investors considering investing in countries such as Japan, a non-Western nation with robust legal enforcement. Our findings are also useful for firms considering IFRS adoption and anticipating changes in their shareholder composition.</w:t>
      </w:r>
    </w:p>
    <w:p w14:paraId="62654755"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remainder of this article is organized as follows. Section 2 provides a literature review and develops the hypothesis. Section 3 outlines the methodology and data. Section 4 presents the empirical results. Finally, we give our concluding remarks in Section 5.</w:t>
      </w:r>
    </w:p>
    <w:p w14:paraId="626E6A8F" w14:textId="77777777" w:rsidR="007373F6" w:rsidRDefault="007373F6">
      <w:pPr>
        <w:spacing w:after="0" w:line="240" w:lineRule="auto"/>
        <w:jc w:val="both"/>
        <w:rPr>
          <w:rFonts w:ascii="Times New Roman" w:eastAsia="Times New Roman" w:hAnsi="Times New Roman" w:cs="Times New Roman"/>
          <w:color w:val="000000"/>
          <w:sz w:val="24"/>
          <w:szCs w:val="24"/>
        </w:rPr>
      </w:pPr>
    </w:p>
    <w:p w14:paraId="40FAD241" w14:textId="77777777" w:rsidR="007373F6" w:rsidRDefault="00000000">
      <w:pPr>
        <w:spacing w:after="200"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2. LITERATURE REVIEW AND HYPOTHESIS</w:t>
      </w:r>
    </w:p>
    <w:p w14:paraId="7160ED70" w14:textId="77777777" w:rsidR="007373F6" w:rsidRDefault="00000000">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2.1 The Impact of the Adoption of Non-Local Accounting Standards</w:t>
      </w:r>
    </w:p>
    <w:p w14:paraId="2E81DC1F"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IFRS adoption is expected to improve the comparability of firms’ financial statements across countries, reduce costs of information acquisition and processing for international </w:t>
      </w:r>
      <w:r>
        <w:rPr>
          <w:rFonts w:ascii="Times New Roman" w:eastAsia="Times New Roman" w:hAnsi="Times New Roman" w:cs="Times New Roman"/>
          <w:color w:val="000000"/>
          <w:sz w:val="24"/>
          <w:szCs w:val="24"/>
        </w:rPr>
        <w:lastRenderedPageBreak/>
        <w:t>investors, and facilitate cross-border investments. Easley and O’Hara (2004) provide theoretical support for this argument, presenting a model demonstrating that detailed accounting information reduces a company’s cost of capital. However, empirical studies provide mixed results, suggesting a positive relationship between IFRS adoption and foreign investment only when a country meets specific institutional conditions.</w:t>
      </w:r>
    </w:p>
    <w:p w14:paraId="46E6639C"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Prior to the introduction of the IFRS, several studies examine the impact of the voluntary adoption of International Accounting Standards (IAS) on foreign investment. Using data on more than 25,000 mutual funds worldwide between 1999 and 2002, Covrig et al. (2007) find that foreign mutual fund ownership is higher among voluntary IAS adopters. Additionally, other studies indicate that voluntary IAS adoption reduces information asymmetry by increasing analyst coverage, forecast accuracy, and share turnover, while decreasing bid-ask spreads (Ashbaugh and Pincus, 2001; Cuijpers and </w:t>
      </w:r>
      <w:proofErr w:type="spellStart"/>
      <w:r>
        <w:rPr>
          <w:rFonts w:ascii="Times New Roman" w:eastAsia="Times New Roman" w:hAnsi="Times New Roman" w:cs="Times New Roman"/>
          <w:color w:val="000000"/>
          <w:sz w:val="24"/>
          <w:szCs w:val="24"/>
        </w:rPr>
        <w:t>Buijink</w:t>
      </w:r>
      <w:proofErr w:type="spellEnd"/>
      <w:r>
        <w:rPr>
          <w:rFonts w:ascii="Times New Roman" w:eastAsia="Times New Roman" w:hAnsi="Times New Roman" w:cs="Times New Roman"/>
          <w:color w:val="000000"/>
          <w:sz w:val="24"/>
          <w:szCs w:val="24"/>
        </w:rPr>
        <w:t>, 2005; Leus and Verrecchia, 2000).</w:t>
      </w:r>
    </w:p>
    <w:p w14:paraId="0F88230E"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Although IAS adoption is voluntary, many countries followed the European Union’s lead in 2005 by mandating IFRS adoption. Similar to previous studies on the impact of IAS adoption, several empirical studies using multi-country data report a positive correlation between IFRS adoption and foreign investment.</w:t>
      </w:r>
      <w:r>
        <w:rPr>
          <w:color w:val="000000"/>
          <w:vertAlign w:val="superscript"/>
        </w:rPr>
        <w:footnoteReference w:id="4"/>
      </w:r>
      <w:r>
        <w:rPr>
          <w:rFonts w:ascii="Times New Roman" w:eastAsia="Times New Roman" w:hAnsi="Times New Roman" w:cs="Times New Roman"/>
          <w:color w:val="000000"/>
          <w:sz w:val="24"/>
          <w:szCs w:val="24"/>
        </w:rPr>
        <w:t xml:space="preserve"> For instance, using data on 73 countries between 2001 and 2006, Amiram (2012) finds that foreign equity portfolio investments increase in countries that adopt IFRS. Mita et al. (2018) also show that foreign investor ownership of firms in 18 countries is positively associated with IFRS adoption for 2003–2012 through the mechanism of higher financial statement comparability. </w:t>
      </w:r>
    </w:p>
    <w:p w14:paraId="74B57938"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However, other studies report that reporting standards alone do not determine accounting information quality, but rather market forces and institutional factors also have an effect (Ball et al., 2000, 2003; Ball and Shivakumar, 2005; </w:t>
      </w:r>
      <w:proofErr w:type="spellStart"/>
      <w:r>
        <w:rPr>
          <w:rFonts w:ascii="Times New Roman" w:eastAsia="Times New Roman" w:hAnsi="Times New Roman" w:cs="Times New Roman"/>
          <w:color w:val="000000"/>
          <w:sz w:val="24"/>
          <w:szCs w:val="24"/>
        </w:rPr>
        <w:t>Leuz</w:t>
      </w:r>
      <w:proofErr w:type="spellEnd"/>
      <w:r>
        <w:rPr>
          <w:rFonts w:ascii="Times New Roman" w:eastAsia="Times New Roman" w:hAnsi="Times New Roman" w:cs="Times New Roman"/>
          <w:color w:val="000000"/>
          <w:sz w:val="24"/>
          <w:szCs w:val="24"/>
        </w:rPr>
        <w:t xml:space="preserve"> et al., 2003). Consistent with this view, several studies find that this positive relationship strengthens when a country meets specific conditions. For instance, based on data from 44 countries between 2003 and 2006, Shima and Gordon (2011) show that US investments in foreign equities are positively associated with IFRS only when the country has a strong regulatory environment. Using data on firms in 14 EU countries for 2003–2007, </w:t>
      </w:r>
      <w:proofErr w:type="spellStart"/>
      <w:r>
        <w:rPr>
          <w:rFonts w:ascii="Times New Roman" w:eastAsia="Times New Roman" w:hAnsi="Times New Roman" w:cs="Times New Roman"/>
          <w:color w:val="000000"/>
          <w:sz w:val="24"/>
          <w:szCs w:val="24"/>
        </w:rPr>
        <w:t>DeFond</w:t>
      </w:r>
      <w:proofErr w:type="spellEnd"/>
      <w:r>
        <w:rPr>
          <w:rFonts w:ascii="Times New Roman" w:eastAsia="Times New Roman" w:hAnsi="Times New Roman" w:cs="Times New Roman"/>
          <w:color w:val="000000"/>
          <w:sz w:val="24"/>
          <w:szCs w:val="24"/>
        </w:rPr>
        <w:t xml:space="preserve"> et al. (2011) find that foreign mutual fund ownership increases in countries with credible increases in uniformity following IFRS adoption.</w:t>
      </w:r>
      <w:r>
        <w:rPr>
          <w:color w:val="000000"/>
          <w:vertAlign w:val="superscript"/>
        </w:rPr>
        <w:footnoteReference w:id="5"/>
      </w:r>
      <w:r>
        <w:rPr>
          <w:rFonts w:ascii="Times New Roman" w:eastAsia="Times New Roman" w:hAnsi="Times New Roman" w:cs="Times New Roman"/>
          <w:color w:val="000000"/>
          <w:sz w:val="24"/>
          <w:szCs w:val="24"/>
        </w:rPr>
        <w:t xml:space="preserve"> Chen et al. (2014) also report that IFRS conformity facilitated FDI flows in 30 OECD countries between 2000 and 2005.</w:t>
      </w:r>
    </w:p>
    <w:p w14:paraId="70F84ED4" w14:textId="77777777" w:rsidR="007373F6" w:rsidRDefault="007373F6">
      <w:pPr>
        <w:spacing w:after="0" w:line="240" w:lineRule="auto"/>
        <w:ind w:firstLine="240"/>
        <w:jc w:val="both"/>
        <w:rPr>
          <w:rFonts w:ascii="Times New Roman" w:eastAsia="Times New Roman" w:hAnsi="Times New Roman" w:cs="Times New Roman"/>
          <w:b/>
          <w:color w:val="000000"/>
          <w:sz w:val="24"/>
          <w:szCs w:val="24"/>
        </w:rPr>
      </w:pPr>
    </w:p>
    <w:p w14:paraId="00F51407" w14:textId="39B49B52" w:rsidR="007373F6" w:rsidRDefault="00000000">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r w:rsidR="00FC089A">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2 Single-Country/Region Studies on the Impact of IFRS Adoption</w:t>
      </w:r>
    </w:p>
    <w:p w14:paraId="550E1181"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Consistent with the view that a robust institutional infrastructure strengthens the positive relationship between IFRS adoption and foreign investment, existing single-country and regional studies have yielded mixed results.</w:t>
      </w:r>
      <w:r>
        <w:rPr>
          <w:rFonts w:ascii="ＭＳ 明朝" w:hAnsi="ＭＳ 明朝" w:cs="ＭＳ 明朝"/>
          <w:color w:val="000000"/>
          <w:sz w:val="24"/>
          <w:szCs w:val="24"/>
        </w:rPr>
        <w:t xml:space="preserve"> </w:t>
      </w:r>
      <w:r>
        <w:rPr>
          <w:rFonts w:ascii="Times New Roman" w:eastAsia="Times New Roman" w:hAnsi="Times New Roman" w:cs="Times New Roman"/>
          <w:color w:val="000000"/>
          <w:sz w:val="24"/>
          <w:szCs w:val="24"/>
        </w:rPr>
        <w:t xml:space="preserve">Hamberg et al. (2013) focus on Sweden and report a positive correlation between IFRS adoption and foreign ownership for 2001–2007. Using data on Taiwanese firms, Hsu et al. (2015) report that foreign investors increased their shareholdings following the adoption of IAS-27. However, studies using other datasets have not identified this relationship. Nnadi and </w:t>
      </w:r>
      <w:proofErr w:type="spellStart"/>
      <w:r>
        <w:rPr>
          <w:rFonts w:ascii="Times New Roman" w:eastAsia="Times New Roman" w:hAnsi="Times New Roman" w:cs="Times New Roman"/>
          <w:color w:val="000000"/>
          <w:sz w:val="24"/>
          <w:szCs w:val="24"/>
        </w:rPr>
        <w:t>Soobaroyen</w:t>
      </w:r>
      <w:proofErr w:type="spellEnd"/>
      <w:r>
        <w:rPr>
          <w:rFonts w:ascii="Times New Roman" w:eastAsia="Times New Roman" w:hAnsi="Times New Roman" w:cs="Times New Roman"/>
          <w:color w:val="000000"/>
          <w:sz w:val="24"/>
          <w:szCs w:val="24"/>
        </w:rPr>
        <w:t xml:space="preserve"> (2015) find that full IFRS adoption is negatively associated with net FDI in 34 African countries. </w:t>
      </w:r>
      <w:proofErr w:type="spellStart"/>
      <w:r>
        <w:rPr>
          <w:rFonts w:ascii="Times New Roman" w:eastAsia="Times New Roman" w:hAnsi="Times New Roman" w:cs="Times New Roman"/>
          <w:color w:val="000000"/>
          <w:sz w:val="24"/>
          <w:szCs w:val="24"/>
        </w:rPr>
        <w:t>DeFond</w:t>
      </w:r>
      <w:proofErr w:type="spellEnd"/>
      <w:r>
        <w:rPr>
          <w:rFonts w:ascii="Times New Roman" w:eastAsia="Times New Roman" w:hAnsi="Times New Roman" w:cs="Times New Roman"/>
          <w:color w:val="000000"/>
          <w:sz w:val="24"/>
          <w:szCs w:val="24"/>
        </w:rPr>
        <w:t xml:space="preserve"> et al. (2019) document that foreign institutional investment did not increase after China adopted the IFRS for 2005–2008. Based on the evidence that foreign institutional investment declines among firms with weaker incentives to credibly implement IFRS or a greater ability to manipulate IFRS fair value </w:t>
      </w:r>
      <w:r>
        <w:rPr>
          <w:rFonts w:ascii="Times New Roman" w:eastAsia="Times New Roman" w:hAnsi="Times New Roman" w:cs="Times New Roman"/>
          <w:color w:val="000000"/>
          <w:sz w:val="24"/>
          <w:szCs w:val="24"/>
        </w:rPr>
        <w:lastRenderedPageBreak/>
        <w:t>provisions, they conclude that China fails to attract foreign investors because its weak institutional infrastructure does not improve financial reporting quality.</w:t>
      </w:r>
    </w:p>
    <w:p w14:paraId="17C26E37"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Institutionally, Japan is classified as a code law (or civil law) country (Ball et al., 2000; La Porta et al., 1998). Compared with common law countries, code law countries generally offer weaker legal protection to investors and less robust enforcement mechanisms. These characteristics suggest that Japan’s institutional infrastructure is not sufficiently robust. Consistent with this view, Kim et al. (2019) report that the voluntary adoption of IFRS neither significantly changed analyst coverage nor the foreign shareholders’ ratio of Japanese companies during 2010–2018 but significantly decreased their cross-shareholder ratio. Their results indicate that voluntary IFRS adopters reduce barriers to dialogue with investors, but fail to improve the information environment, resulting in unchanged foreign shareholder ratios in Japan.</w:t>
      </w:r>
    </w:p>
    <w:p w14:paraId="190AE596"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Other studies have shown that Japan’s institutional infrastructure may not be sufficiently strong. Kim et al. (2024) and </w:t>
      </w:r>
      <w:proofErr w:type="spellStart"/>
      <w:r>
        <w:rPr>
          <w:rFonts w:ascii="Times New Roman" w:eastAsia="Times New Roman" w:hAnsi="Times New Roman" w:cs="Times New Roman"/>
          <w:color w:val="000000"/>
          <w:sz w:val="24"/>
          <w:szCs w:val="24"/>
        </w:rPr>
        <w:t>Tohara</w:t>
      </w:r>
      <w:proofErr w:type="spellEnd"/>
      <w:r>
        <w:rPr>
          <w:rFonts w:ascii="Times New Roman" w:eastAsia="Times New Roman" w:hAnsi="Times New Roman" w:cs="Times New Roman"/>
          <w:color w:val="000000"/>
          <w:sz w:val="24"/>
          <w:szCs w:val="24"/>
        </w:rPr>
        <w:t xml:space="preserve"> (2024) find that voluntary IFRS adoption increased discretionary accruals in Japan by 2018, indicating earnings management. In addition, </w:t>
      </w:r>
      <w:proofErr w:type="spellStart"/>
      <w:r>
        <w:rPr>
          <w:rFonts w:ascii="Times New Roman" w:eastAsia="Times New Roman" w:hAnsi="Times New Roman" w:cs="Times New Roman"/>
          <w:color w:val="000000"/>
          <w:sz w:val="24"/>
          <w:szCs w:val="24"/>
        </w:rPr>
        <w:t>Kashiwazaki</w:t>
      </w:r>
      <w:proofErr w:type="spellEnd"/>
      <w:r>
        <w:rPr>
          <w:rFonts w:ascii="Times New Roman" w:eastAsia="Times New Roman" w:hAnsi="Times New Roman" w:cs="Times New Roman"/>
          <w:color w:val="000000"/>
          <w:sz w:val="24"/>
          <w:szCs w:val="24"/>
        </w:rPr>
        <w:t xml:space="preserve"> et al. (2019) and Amano (2020) discover a change in IFRS adopters’ real actions by taking advantage of the difference in goodwill amortization between IFRS and JGAAP. </w:t>
      </w:r>
      <w:proofErr w:type="spellStart"/>
      <w:r>
        <w:rPr>
          <w:rFonts w:ascii="Times New Roman" w:eastAsia="Times New Roman" w:hAnsi="Times New Roman" w:cs="Times New Roman"/>
          <w:color w:val="000000"/>
          <w:sz w:val="24"/>
          <w:szCs w:val="24"/>
        </w:rPr>
        <w:t>Kashiwazaki</w:t>
      </w:r>
      <w:proofErr w:type="spellEnd"/>
      <w:r>
        <w:rPr>
          <w:rFonts w:ascii="Times New Roman" w:eastAsia="Times New Roman" w:hAnsi="Times New Roman" w:cs="Times New Roman"/>
          <w:color w:val="000000"/>
          <w:sz w:val="24"/>
          <w:szCs w:val="24"/>
        </w:rPr>
        <w:t xml:space="preserve"> et al. (2019) show that IFRS adopters experience a larger increase in the number of mergers and acquisitions (M&amp;A), which consist mainly of domestic firms’ purchases of domestic firms. Similarly, Amano (2020) reports that voluntary IFRS adopters tend to increase their intangible assets. </w:t>
      </w:r>
    </w:p>
    <w:p w14:paraId="52166868" w14:textId="77777777" w:rsidR="007373F6" w:rsidRDefault="007373F6">
      <w:pPr>
        <w:spacing w:after="0" w:line="240" w:lineRule="auto"/>
        <w:jc w:val="both"/>
        <w:rPr>
          <w:rFonts w:ascii="Times New Roman" w:eastAsia="Times New Roman" w:hAnsi="Times New Roman" w:cs="Times New Roman"/>
          <w:b/>
          <w:color w:val="000000"/>
          <w:sz w:val="24"/>
          <w:szCs w:val="24"/>
        </w:rPr>
      </w:pPr>
    </w:p>
    <w:p w14:paraId="40B05179" w14:textId="29518140" w:rsidR="007373F6" w:rsidRDefault="00000000">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r w:rsidR="00FC089A">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3</w:t>
      </w:r>
      <w:r w:rsidR="00FC089A">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Hypothesis Development</w:t>
      </w:r>
    </w:p>
    <w:p w14:paraId="473253D1"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While previous research on the impact of IFRS adoption in Japan does not find a positive correlation between IFRS adoption and foreign investment, it does not entirely rule out potential confounding factors that might influence shareholder composition. Specifically, these studies do not account for changes in corporate governance in Japanese companies that have undergone significant transformations since the mid-2010s. This could explain why the foreign shareholder ratio remained relatively unchanged despite IFRS adoption. Recent studies on Japanese corporate governance provide evidence that the reduction in cross-shareholding, accelerated by the Stewardship Code of 2014 and the Corporate Governance Code of 2015, leads to an increase in share buybacks or is replaced by strategic value-enhancing inter-corporate holdings (Franks et al., 2023; Miyajima and Saito, 2023). Therefore, the shareholder ratio of corporations does not decrease significantly, and the foreign shareholder ratio may not increase. </w:t>
      </w:r>
    </w:p>
    <w:p w14:paraId="70C64FFD"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Against this backdrop, this study reexamines the effects of voluntary IFRS adoption on the foreign shareholder ratio of Japanese companies by controlling for the impact of reduced cross-shareholdings and increased share buybacks, which are likely to cancel out room for foreign shareholders. Our hypotheses are as follows:</w:t>
      </w:r>
    </w:p>
    <w:p w14:paraId="02F79FAA" w14:textId="77777777" w:rsidR="007373F6" w:rsidRDefault="00000000" w:rsidP="00CA3E0F">
      <w:pPr>
        <w:spacing w:after="0" w:line="240" w:lineRule="auto"/>
        <w:ind w:firstLine="357"/>
        <w:jc w:val="both"/>
        <w:rPr>
          <w:rFonts w:ascii="Times New Roman" w:eastAsia="Times New Roman" w:hAnsi="Times New Roman" w:cs="Times New Roman"/>
          <w:i/>
          <w:color w:val="000000"/>
          <w:sz w:val="24"/>
          <w:szCs w:val="24"/>
        </w:rPr>
      </w:pPr>
      <w:r w:rsidRPr="00CA3E0F">
        <w:rPr>
          <w:rFonts w:ascii="Times New Roman" w:eastAsia="Times New Roman" w:hAnsi="Times New Roman" w:cs="Times New Roman"/>
          <w:b/>
          <w:bCs/>
          <w:color w:val="000000"/>
          <w:sz w:val="24"/>
          <w:szCs w:val="24"/>
        </w:rPr>
        <w:t>Hypothesis</w:t>
      </w:r>
      <w:r>
        <w:rPr>
          <w:rFonts w:ascii="Times New Roman" w:eastAsia="Times New Roman" w:hAnsi="Times New Roman" w:cs="Times New Roman"/>
          <w:i/>
          <w:color w:val="000000"/>
          <w:sz w:val="24"/>
          <w:szCs w:val="24"/>
        </w:rPr>
        <w:t xml:space="preserve">: </w:t>
      </w:r>
      <w:r w:rsidRPr="00CA3E0F">
        <w:rPr>
          <w:rFonts w:ascii="Times New Roman" w:eastAsia="Times New Roman" w:hAnsi="Times New Roman" w:cs="Times New Roman"/>
          <w:iCs/>
          <w:color w:val="000000"/>
          <w:sz w:val="24"/>
          <w:szCs w:val="24"/>
        </w:rPr>
        <w:t>The voluntary adoption of IFRS increases the foreign shareholders’ ratio in Japanese listed companies after controlling for share buybacks and cross-shareholdings</w:t>
      </w:r>
      <w:r>
        <w:rPr>
          <w:rFonts w:ascii="Times New Roman" w:eastAsia="Times New Roman" w:hAnsi="Times New Roman" w:cs="Times New Roman"/>
          <w:i/>
          <w:color w:val="000000"/>
          <w:sz w:val="24"/>
          <w:szCs w:val="24"/>
        </w:rPr>
        <w:t>.</w:t>
      </w:r>
    </w:p>
    <w:p w14:paraId="70B4EEE2" w14:textId="77777777" w:rsidR="007373F6" w:rsidRDefault="007373F6">
      <w:pPr>
        <w:spacing w:after="0" w:line="240" w:lineRule="auto"/>
        <w:jc w:val="both"/>
        <w:rPr>
          <w:rFonts w:ascii="Times New Roman" w:eastAsia="Times New Roman" w:hAnsi="Times New Roman" w:cs="Times New Roman"/>
          <w:i/>
          <w:color w:val="000000"/>
          <w:sz w:val="24"/>
          <w:szCs w:val="24"/>
        </w:rPr>
      </w:pPr>
    </w:p>
    <w:p w14:paraId="683D41CC" w14:textId="77777777" w:rsidR="007373F6" w:rsidRDefault="00000000">
      <w:pPr>
        <w:spacing w:after="200"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3. METHODOLOGY AND DATA</w:t>
      </w:r>
    </w:p>
    <w:p w14:paraId="11121D08"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To investigate the impact of voluntary IFRS adoption on the foreign shareholder ratio of Japanese listed companies, we employ the difference-in-differences (DID) approach (Roberts and Whited, 2013), which uses simple panel data methods applied to sets of voluntary IFRS adopters and non-adopters for 2010–2023, the period after voluntary IFRS adoption was allowed in Japan. Our sample consists of 168 listed firms that report financial statements based on the IFRS by fiscal year 2022. The list of firms that have adopted IFRS can be retrieved from </w:t>
      </w:r>
      <w:r>
        <w:rPr>
          <w:rFonts w:ascii="Times New Roman" w:eastAsia="Times New Roman" w:hAnsi="Times New Roman" w:cs="Times New Roman"/>
          <w:color w:val="000000"/>
          <w:sz w:val="24"/>
          <w:szCs w:val="24"/>
        </w:rPr>
        <w:lastRenderedPageBreak/>
        <w:t>the Japan Exchange Group website.</w:t>
      </w:r>
      <w:r>
        <w:rPr>
          <w:color w:val="000000"/>
          <w:vertAlign w:val="superscript"/>
        </w:rPr>
        <w:footnoteReference w:id="6"/>
      </w:r>
      <w:r>
        <w:rPr>
          <w:rFonts w:ascii="Times New Roman" w:eastAsia="Times New Roman" w:hAnsi="Times New Roman" w:cs="Times New Roman"/>
          <w:color w:val="000000"/>
          <w:sz w:val="24"/>
          <w:szCs w:val="24"/>
        </w:rPr>
        <w:t xml:space="preserve"> Non-adopters were selected using propensity score matching (Rosenbaum and Rubin, 1983) to avoid potential endogeneity problems. Following previous studies on the factors affecting voluntary IFRS adoption by Japanese companies, we estimate the following probit model (Kim et al., 2019; Sato and Takeda, 2017):</w:t>
      </w:r>
    </w:p>
    <w:p w14:paraId="0A472264" w14:textId="77777777" w:rsidR="00CA3E0F" w:rsidRDefault="00CA3E0F">
      <w:pPr>
        <w:spacing w:after="0" w:line="240" w:lineRule="auto"/>
        <w:jc w:val="both"/>
        <w:rPr>
          <w:rFonts w:ascii="Times New Roman" w:eastAsia="Times New Roman" w:hAnsi="Times New Roman" w:cs="Times New Roman"/>
          <w:color w:val="000000"/>
          <w:sz w:val="24"/>
          <w:szCs w:val="24"/>
        </w:rPr>
      </w:pPr>
    </w:p>
    <w:p w14:paraId="21EBB8EC" w14:textId="5D5ABF74" w:rsidR="007373F6" w:rsidRDefault="00000000" w:rsidP="00CA3E0F">
      <w:pPr>
        <w:jc w:val="both"/>
        <w:rPr>
          <w:rFonts w:ascii="Times New Roman" w:eastAsia="Times New Roman" w:hAnsi="Times New Roman" w:cs="Times New Roman"/>
          <w:color w:val="000000"/>
          <w:sz w:val="24"/>
          <w:szCs w:val="24"/>
        </w:rPr>
      </w:pPr>
      <m:oMath>
        <m:sSub>
          <m:sSubPr>
            <m:ctrlPr>
              <w:rPr>
                <w:rFonts w:ascii="Cambria Math" w:eastAsia="Cambria Math" w:hAnsi="Cambria Math" w:cs="Cambria Math"/>
                <w:color w:val="000000"/>
                <w:sz w:val="24"/>
                <w:szCs w:val="24"/>
              </w:rPr>
            </m:ctrlPr>
          </m:sSub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P</m:t>
                </m:r>
              </m:e>
              <m:sub>
                <m:r>
                  <w:rPr>
                    <w:rFonts w:ascii="Cambria Math" w:eastAsia="Cambria Math" w:hAnsi="Cambria Math" w:cs="Cambria Math"/>
                    <w:color w:val="000000"/>
                    <w:sz w:val="24"/>
                    <w:szCs w:val="24"/>
                  </w:rPr>
                  <m:t>r</m:t>
                </m:r>
              </m:sub>
            </m:sSub>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IFRS=1</m:t>
                </m:r>
              </m:e>
            </m:d>
          </m:e>
          <m:sub>
            <m:r>
              <w:rPr>
                <w:rFonts w:ascii="Cambria Math" w:eastAsia="Cambria Math" w:hAnsi="Cambria Math" w:cs="Cambria Math"/>
                <w:color w:val="000000"/>
                <w:sz w:val="24"/>
                <w:szCs w:val="24"/>
              </w:rPr>
              <m:t>i</m:t>
            </m:r>
          </m:sub>
        </m:sSub>
        <m:r>
          <w:rPr>
            <w:rFonts w:ascii="Cambria Math" w:eastAsia="Cambria Math" w:hAnsi="Cambria Math" w:cs="Cambria Math"/>
            <w:color w:val="000000"/>
            <w:sz w:val="24"/>
            <w:szCs w:val="24"/>
          </w:rPr>
          <m:t>=F(α+</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β</m:t>
            </m:r>
          </m:e>
          <m:sub>
            <m:r>
              <w:rPr>
                <w:rFonts w:ascii="Cambria Math" w:eastAsia="Cambria Math" w:hAnsi="Cambria Math" w:cs="Cambria Math"/>
                <w:color w:val="000000"/>
                <w:sz w:val="24"/>
                <w:szCs w:val="24"/>
              </w:rPr>
              <m:t>1</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FOREIGN HELD</m:t>
            </m:r>
          </m:e>
          <m:sub>
            <m:r>
              <w:rPr>
                <w:rFonts w:ascii="Cambria Math" w:eastAsia="Cambria Math" w:hAnsi="Cambria Math" w:cs="Cambria Math"/>
                <w:color w:val="000000"/>
                <w:sz w:val="24"/>
                <w:szCs w:val="24"/>
              </w:rPr>
              <m:t>it</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β</m:t>
            </m:r>
          </m:e>
          <m:sub>
            <m:r>
              <w:rPr>
                <w:rFonts w:ascii="Cambria Math" w:eastAsia="Cambria Math" w:hAnsi="Cambria Math" w:cs="Cambria Math"/>
                <w:color w:val="000000"/>
                <w:sz w:val="24"/>
                <w:szCs w:val="24"/>
              </w:rPr>
              <m:t>2</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GW</m:t>
            </m:r>
          </m:e>
          <m:sub>
            <m:r>
              <w:rPr>
                <w:rFonts w:ascii="Cambria Math" w:eastAsia="Cambria Math" w:hAnsi="Cambria Math" w:cs="Cambria Math"/>
                <w:color w:val="000000"/>
                <w:sz w:val="24"/>
                <w:szCs w:val="24"/>
              </w:rPr>
              <m:t>it</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β</m:t>
            </m:r>
          </m:e>
          <m:sub>
            <m:r>
              <w:rPr>
                <w:rFonts w:ascii="Cambria Math" w:eastAsia="Cambria Math" w:hAnsi="Cambria Math" w:cs="Cambria Math"/>
                <w:color w:val="000000"/>
                <w:sz w:val="24"/>
                <w:szCs w:val="24"/>
              </w:rPr>
              <m:t>3</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RD</m:t>
            </m:r>
          </m:e>
          <m:sub>
            <m:r>
              <w:rPr>
                <w:rFonts w:ascii="Cambria Math" w:eastAsia="Cambria Math" w:hAnsi="Cambria Math" w:cs="Cambria Math"/>
                <w:color w:val="000000"/>
                <w:sz w:val="24"/>
                <w:szCs w:val="24"/>
              </w:rPr>
              <m:t xml:space="preserve">it </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+β</m:t>
            </m:r>
          </m:e>
          <m:sub>
            <m:r>
              <w:rPr>
                <w:rFonts w:ascii="Cambria Math" w:eastAsia="Cambria Math" w:hAnsi="Cambria Math" w:cs="Cambria Math"/>
                <w:color w:val="000000"/>
                <w:sz w:val="24"/>
                <w:szCs w:val="24"/>
              </w:rPr>
              <m:t>4</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CROSS</m:t>
            </m:r>
          </m:e>
          <m:sub>
            <m:r>
              <w:rPr>
                <w:rFonts w:ascii="Cambria Math" w:eastAsia="Cambria Math" w:hAnsi="Cambria Math" w:cs="Cambria Math"/>
                <w:color w:val="000000"/>
                <w:sz w:val="24"/>
                <w:szCs w:val="24"/>
              </w:rPr>
              <m:t>it</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β</m:t>
            </m:r>
          </m:e>
          <m:sub>
            <m:r>
              <w:rPr>
                <w:rFonts w:ascii="Cambria Math" w:eastAsia="Cambria Math" w:hAnsi="Cambria Math" w:cs="Cambria Math"/>
                <w:color w:val="000000"/>
                <w:sz w:val="24"/>
                <w:szCs w:val="24"/>
              </w:rPr>
              <m:t>5</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FOREIGN SALES</m:t>
            </m:r>
          </m:e>
          <m:sub>
            <m:r>
              <w:rPr>
                <w:rFonts w:ascii="Cambria Math" w:eastAsia="Cambria Math" w:hAnsi="Cambria Math" w:cs="Cambria Math"/>
                <w:color w:val="000000"/>
                <w:sz w:val="24"/>
                <w:szCs w:val="24"/>
              </w:rPr>
              <m:t>it</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β</m:t>
            </m:r>
          </m:e>
          <m:sub>
            <m:r>
              <w:rPr>
                <w:rFonts w:ascii="Cambria Math" w:eastAsia="Cambria Math" w:hAnsi="Cambria Math" w:cs="Cambria Math"/>
                <w:color w:val="000000"/>
                <w:sz w:val="24"/>
                <w:szCs w:val="24"/>
              </w:rPr>
              <m:t>6</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SIZE</m:t>
            </m:r>
          </m:e>
          <m:sub>
            <m:r>
              <w:rPr>
                <w:rFonts w:ascii="Cambria Math" w:eastAsia="Cambria Math" w:hAnsi="Cambria Math" w:cs="Cambria Math"/>
                <w:color w:val="000000"/>
                <w:sz w:val="24"/>
                <w:szCs w:val="24"/>
              </w:rPr>
              <m:t>it</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β</m:t>
                </m:r>
              </m:e>
              <m:sub>
                <m:r>
                  <w:rPr>
                    <w:rFonts w:ascii="Cambria Math" w:eastAsia="Cambria Math" w:hAnsi="Cambria Math" w:cs="Cambria Math"/>
                    <w:color w:val="000000"/>
                    <w:sz w:val="24"/>
                    <w:szCs w:val="24"/>
                  </w:rPr>
                  <m:t>7</m:t>
                </m:r>
              </m:sub>
            </m:sSub>
            <m:r>
              <w:rPr>
                <w:rFonts w:ascii="Cambria Math" w:eastAsia="Cambria Math" w:hAnsi="Cambria Math" w:cs="Cambria Math"/>
                <w:color w:val="000000"/>
                <w:sz w:val="24"/>
                <w:szCs w:val="24"/>
              </w:rPr>
              <m:t>ROA</m:t>
            </m:r>
          </m:e>
          <m:sub>
            <m:r>
              <w:rPr>
                <w:rFonts w:ascii="Cambria Math" w:eastAsia="Cambria Math" w:hAnsi="Cambria Math" w:cs="Cambria Math"/>
                <w:color w:val="000000"/>
                <w:sz w:val="24"/>
                <w:szCs w:val="24"/>
              </w:rPr>
              <m:t>it</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β</m:t>
                </m:r>
              </m:e>
              <m:sub>
                <m:r>
                  <w:rPr>
                    <w:rFonts w:ascii="Cambria Math" w:eastAsia="Cambria Math" w:hAnsi="Cambria Math" w:cs="Cambria Math"/>
                    <w:color w:val="000000"/>
                    <w:sz w:val="24"/>
                    <w:szCs w:val="24"/>
                  </w:rPr>
                  <m:t>8</m:t>
                </m:r>
              </m:sub>
            </m:sSub>
            <m:r>
              <w:rPr>
                <w:rFonts w:ascii="Cambria Math" w:eastAsia="Cambria Math" w:hAnsi="Cambria Math" w:cs="Cambria Math"/>
                <w:color w:val="000000"/>
                <w:sz w:val="24"/>
                <w:szCs w:val="24"/>
              </w:rPr>
              <m:t>BTM</m:t>
            </m:r>
          </m:e>
          <m:sub>
            <m:r>
              <w:rPr>
                <w:rFonts w:ascii="Cambria Math" w:eastAsia="Cambria Math" w:hAnsi="Cambria Math" w:cs="Cambria Math"/>
                <w:color w:val="000000"/>
                <w:sz w:val="24"/>
                <w:szCs w:val="24"/>
              </w:rPr>
              <m:t>it</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β</m:t>
            </m:r>
          </m:e>
          <m:sub>
            <m:r>
              <w:rPr>
                <w:rFonts w:ascii="Cambria Math" w:eastAsia="Cambria Math" w:hAnsi="Cambria Math" w:cs="Cambria Math"/>
                <w:color w:val="000000"/>
                <w:sz w:val="24"/>
                <w:szCs w:val="24"/>
              </w:rPr>
              <m:t>9</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CLOSELY_HELD</m:t>
            </m:r>
          </m:e>
          <m:sub>
            <m:r>
              <w:rPr>
                <w:rFonts w:ascii="Cambria Math" w:eastAsia="Cambria Math" w:hAnsi="Cambria Math" w:cs="Cambria Math"/>
                <w:color w:val="000000"/>
                <w:sz w:val="24"/>
                <w:szCs w:val="24"/>
              </w:rPr>
              <m:t>it</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β</m:t>
            </m:r>
          </m:e>
          <m:sub>
            <m:r>
              <w:rPr>
                <w:rFonts w:ascii="Cambria Math" w:eastAsia="Cambria Math" w:hAnsi="Cambria Math" w:cs="Cambria Math"/>
                <w:color w:val="000000"/>
                <w:sz w:val="24"/>
                <w:szCs w:val="24"/>
              </w:rPr>
              <m:t>10</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DEBT</m:t>
            </m:r>
          </m:e>
          <m:sub>
            <m:r>
              <w:rPr>
                <w:rFonts w:ascii="Cambria Math" w:eastAsia="Cambria Math" w:hAnsi="Cambria Math" w:cs="Cambria Math"/>
                <w:color w:val="000000"/>
                <w:sz w:val="24"/>
                <w:szCs w:val="24"/>
              </w:rPr>
              <m:t>it</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β</m:t>
            </m:r>
          </m:e>
          <m:sub>
            <m:r>
              <w:rPr>
                <w:rFonts w:ascii="Cambria Math" w:eastAsia="Cambria Math" w:hAnsi="Cambria Math" w:cs="Cambria Math"/>
                <w:color w:val="000000"/>
                <w:sz w:val="24"/>
                <w:szCs w:val="24"/>
              </w:rPr>
              <m:t>11</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AGE</m:t>
            </m:r>
          </m:e>
          <m:sub>
            <m:r>
              <w:rPr>
                <w:rFonts w:ascii="Cambria Math" w:eastAsia="Cambria Math" w:hAnsi="Cambria Math" w:cs="Cambria Math"/>
                <w:color w:val="000000"/>
                <w:sz w:val="24"/>
                <w:szCs w:val="24"/>
              </w:rPr>
              <m:t>it</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β</m:t>
            </m:r>
          </m:e>
          <m:sub>
            <m:r>
              <w:rPr>
                <w:rFonts w:ascii="Cambria Math" w:eastAsia="Cambria Math" w:hAnsi="Cambria Math" w:cs="Cambria Math"/>
                <w:color w:val="000000"/>
                <w:sz w:val="24"/>
                <w:szCs w:val="24"/>
              </w:rPr>
              <m:t>12</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(IRD1/IRD2)</m:t>
            </m:r>
          </m:e>
          <m:sub>
            <m:r>
              <w:rPr>
                <w:rFonts w:ascii="Cambria Math" w:eastAsia="Cambria Math" w:hAnsi="Cambria Math" w:cs="Cambria Math"/>
                <w:color w:val="000000"/>
                <w:sz w:val="24"/>
                <w:szCs w:val="24"/>
              </w:rPr>
              <m:t>t</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β</m:t>
            </m:r>
          </m:e>
          <m:sub>
            <m:r>
              <w:rPr>
                <w:rFonts w:ascii="Cambria Math" w:eastAsia="Cambria Math" w:hAnsi="Cambria Math" w:cs="Cambria Math"/>
                <w:color w:val="000000"/>
                <w:sz w:val="24"/>
                <w:szCs w:val="24"/>
              </w:rPr>
              <m:t>13</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INDUSTRY</m:t>
            </m:r>
          </m:e>
          <m:sub>
            <m:r>
              <w:rPr>
                <w:rFonts w:ascii="Cambria Math" w:eastAsia="Cambria Math" w:hAnsi="Cambria Math" w:cs="Cambria Math"/>
                <w:color w:val="000000"/>
                <w:sz w:val="24"/>
                <w:szCs w:val="24"/>
              </w:rPr>
              <m:t>i</m:t>
            </m:r>
          </m:sub>
        </m:sSub>
        <m:r>
          <w:rPr>
            <w:rFonts w:ascii="Cambria Math" w:eastAsia="Cambria Math" w:hAnsi="Cambria Math" w:cs="Cambria Math"/>
            <w:color w:val="000000"/>
            <w:sz w:val="24"/>
            <w:szCs w:val="24"/>
          </w:rPr>
          <m:t>)</m:t>
        </m:r>
      </m:oMath>
      <w:r w:rsidR="00FC089A">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(1)</w:t>
      </w:r>
    </w:p>
    <w:p w14:paraId="6B2206BB" w14:textId="77777777" w:rsidR="007373F6" w:rsidRDefault="00000000">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definitions of the variables and data sources are summarized in Appendix B. </w:t>
      </w:r>
    </w:p>
    <w:p w14:paraId="13691B56"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dependent variable, </w:t>
      </w:r>
      <w:r>
        <w:rPr>
          <w:rFonts w:ascii="Times New Roman" w:eastAsia="Times New Roman" w:hAnsi="Times New Roman" w:cs="Times New Roman"/>
          <w:i/>
          <w:color w:val="000000"/>
          <w:sz w:val="24"/>
          <w:szCs w:val="24"/>
        </w:rPr>
        <w:t>IFRS</w:t>
      </w:r>
      <w:r>
        <w:rPr>
          <w:rFonts w:ascii="Times New Roman" w:eastAsia="Times New Roman" w:hAnsi="Times New Roman" w:cs="Times New Roman"/>
          <w:color w:val="000000"/>
          <w:sz w:val="24"/>
          <w:szCs w:val="24"/>
        </w:rPr>
        <w:t xml:space="preserve">, is an indicator variable for voluntary adoption of IFRS between 2010 and 2023. </w:t>
      </w:r>
      <w:r>
        <w:rPr>
          <w:rFonts w:ascii="Times New Roman" w:eastAsia="Times New Roman" w:hAnsi="Times New Roman" w:cs="Times New Roman"/>
          <w:i/>
          <w:color w:val="000000"/>
          <w:sz w:val="24"/>
          <w:szCs w:val="24"/>
        </w:rPr>
        <w:t>FOREIGN HELD</w:t>
      </w:r>
      <w:r>
        <w:rPr>
          <w:rFonts w:ascii="Times New Roman" w:eastAsia="Times New Roman" w:hAnsi="Times New Roman" w:cs="Times New Roman"/>
          <w:color w:val="000000"/>
          <w:sz w:val="24"/>
          <w:szCs w:val="24"/>
        </w:rPr>
        <w:t xml:space="preserve"> is the ratio of foreign shareholders to the total number of foreign shareholders.</w:t>
      </w:r>
      <w:r>
        <w:rPr>
          <w:color w:val="000000"/>
          <w:vertAlign w:val="superscript"/>
        </w:rPr>
        <w:footnoteReference w:id="7"/>
      </w:r>
      <w:r>
        <w:rPr>
          <w:rFonts w:ascii="Times New Roman" w:eastAsia="Times New Roman" w:hAnsi="Times New Roman" w:cs="Times New Roman"/>
          <w:color w:val="000000"/>
          <w:sz w:val="24"/>
          <w:szCs w:val="24"/>
        </w:rPr>
        <w:t xml:space="preserve"> Based on our hypothesis, we expected positive coefficients for this variable. </w:t>
      </w:r>
      <w:r>
        <w:rPr>
          <w:rFonts w:ascii="Times New Roman" w:eastAsia="Times New Roman" w:hAnsi="Times New Roman" w:cs="Times New Roman"/>
          <w:i/>
          <w:color w:val="000000"/>
          <w:sz w:val="24"/>
          <w:szCs w:val="24"/>
        </w:rPr>
        <w:t>GW</w:t>
      </w:r>
      <w:r>
        <w:rPr>
          <w:rFonts w:ascii="Times New Roman" w:eastAsia="Times New Roman" w:hAnsi="Times New Roman" w:cs="Times New Roman"/>
          <w:color w:val="000000"/>
          <w:sz w:val="24"/>
          <w:szCs w:val="24"/>
        </w:rPr>
        <w:t xml:space="preserve"> is the goodwill ratio of the total assets. Previous research indicates that goodwill accounting is a key distinction between the IFRS and JGAAP. Studies suggest that firms involved in M&amp;A adopt IFRS to leverage these accounting differences, resulting in a positive association between IFRS adoption and goodwill ratio (</w:t>
      </w:r>
      <w:proofErr w:type="spellStart"/>
      <w:r>
        <w:rPr>
          <w:rFonts w:ascii="Times New Roman" w:eastAsia="Times New Roman" w:hAnsi="Times New Roman" w:cs="Times New Roman"/>
          <w:color w:val="000000"/>
          <w:sz w:val="24"/>
          <w:szCs w:val="24"/>
        </w:rPr>
        <w:t>Kashiwazaki</w:t>
      </w:r>
      <w:proofErr w:type="spellEnd"/>
      <w:r>
        <w:rPr>
          <w:rFonts w:ascii="Times New Roman" w:eastAsia="Times New Roman" w:hAnsi="Times New Roman" w:cs="Times New Roman"/>
          <w:color w:val="000000"/>
          <w:sz w:val="24"/>
          <w:szCs w:val="24"/>
        </w:rPr>
        <w:t xml:space="preserve"> et al., 2019; Kim et al., 2019). </w:t>
      </w:r>
    </w:p>
    <w:p w14:paraId="424A7F32"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RD</w:t>
      </w:r>
      <w:r>
        <w:rPr>
          <w:rFonts w:ascii="Times New Roman" w:eastAsia="Times New Roman" w:hAnsi="Times New Roman" w:cs="Times New Roman"/>
          <w:color w:val="000000"/>
          <w:sz w:val="24"/>
          <w:szCs w:val="24"/>
        </w:rPr>
        <w:t xml:space="preserve"> is the ratio of research and development (R&amp;D) expenditure to sales. Unlike JGAAP, IFRS permit the capitalization of a portion of development costs. Studies find that companies actively involved in R&amp;D are more likely to adopt IFRS to benefit from these accounting differences, leading to a positive correlation between IFRS adoption and the R&amp;D ratio (</w:t>
      </w:r>
      <w:proofErr w:type="spellStart"/>
      <w:r>
        <w:rPr>
          <w:rFonts w:ascii="Times New Roman" w:eastAsia="Times New Roman" w:hAnsi="Times New Roman" w:cs="Times New Roman"/>
          <w:color w:val="000000"/>
          <w:sz w:val="24"/>
          <w:szCs w:val="24"/>
        </w:rPr>
        <w:t>Kashiwazaki</w:t>
      </w:r>
      <w:proofErr w:type="spellEnd"/>
      <w:r>
        <w:rPr>
          <w:rFonts w:ascii="Times New Roman" w:eastAsia="Times New Roman" w:hAnsi="Times New Roman" w:cs="Times New Roman"/>
          <w:color w:val="000000"/>
          <w:sz w:val="24"/>
          <w:szCs w:val="24"/>
        </w:rPr>
        <w:t xml:space="preserve"> et al., 2019; Kim et al., 2019).</w:t>
      </w:r>
    </w:p>
    <w:p w14:paraId="3EFE698C"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CROSS</w:t>
      </w:r>
      <w:r>
        <w:rPr>
          <w:rFonts w:ascii="Times New Roman" w:eastAsia="Times New Roman" w:hAnsi="Times New Roman" w:cs="Times New Roman"/>
          <w:color w:val="000000"/>
          <w:sz w:val="24"/>
          <w:szCs w:val="24"/>
        </w:rPr>
        <w:t xml:space="preserve"> is the cross-shareholder ratio. Because a decrease in cross-shareholdings creates room for foreign investors, we expect negative coefficients for this variable (Kim et al., 2019). </w:t>
      </w:r>
      <w:r>
        <w:rPr>
          <w:rFonts w:ascii="Times New Roman" w:eastAsia="Times New Roman" w:hAnsi="Times New Roman" w:cs="Times New Roman"/>
          <w:i/>
          <w:color w:val="000000"/>
          <w:sz w:val="24"/>
          <w:szCs w:val="24"/>
        </w:rPr>
        <w:t>FOREIGN SALES</w:t>
      </w:r>
      <w:r>
        <w:rPr>
          <w:rFonts w:ascii="Times New Roman" w:eastAsia="Times New Roman" w:hAnsi="Times New Roman" w:cs="Times New Roman"/>
          <w:color w:val="000000"/>
          <w:sz w:val="24"/>
          <w:szCs w:val="24"/>
        </w:rPr>
        <w:t xml:space="preserve"> is the ratio of foreign sales to total sales. Firms with a high foreign sales ratio are likely to adopt IFRS to reduce the transaction costs arising from different accounting standards. Following Kim et al. (2019), we expected positive coefficients for this variable. </w:t>
      </w:r>
    </w:p>
    <w:p w14:paraId="4123E52B"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remaining firm characteristics are as follows: </w:t>
      </w:r>
      <w:r>
        <w:rPr>
          <w:rFonts w:ascii="Times New Roman" w:eastAsia="Times New Roman" w:hAnsi="Times New Roman" w:cs="Times New Roman"/>
          <w:i/>
          <w:color w:val="000000"/>
          <w:sz w:val="24"/>
          <w:szCs w:val="24"/>
        </w:rPr>
        <w:t>SIZE</w:t>
      </w:r>
      <w:r>
        <w:rPr>
          <w:rFonts w:ascii="Times New Roman" w:eastAsia="Times New Roman" w:hAnsi="Times New Roman" w:cs="Times New Roman"/>
          <w:color w:val="000000"/>
          <w:sz w:val="24"/>
          <w:szCs w:val="24"/>
        </w:rPr>
        <w:t xml:space="preserve"> (the natural logarithm of total assets in the previous fiscal year), </w:t>
      </w:r>
      <w:r>
        <w:rPr>
          <w:rFonts w:ascii="Times New Roman" w:eastAsia="Times New Roman" w:hAnsi="Times New Roman" w:cs="Times New Roman"/>
          <w:i/>
          <w:color w:val="000000"/>
          <w:sz w:val="24"/>
          <w:szCs w:val="24"/>
        </w:rPr>
        <w:t>ROA</w:t>
      </w:r>
      <w:r>
        <w:rPr>
          <w:rFonts w:ascii="Times New Roman" w:eastAsia="Times New Roman" w:hAnsi="Times New Roman" w:cs="Times New Roman"/>
          <w:color w:val="000000"/>
          <w:sz w:val="24"/>
          <w:szCs w:val="24"/>
        </w:rPr>
        <w:t xml:space="preserve"> (return on assets, </w:t>
      </w:r>
      <w:r>
        <w:rPr>
          <w:rFonts w:ascii="Times New Roman" w:eastAsia="Times New Roman" w:hAnsi="Times New Roman" w:cs="Times New Roman"/>
          <w:i/>
          <w:color w:val="000000"/>
          <w:sz w:val="24"/>
          <w:szCs w:val="24"/>
        </w:rPr>
        <w:t>BTM</w:t>
      </w:r>
      <w:r>
        <w:rPr>
          <w:rFonts w:ascii="Times New Roman" w:eastAsia="Times New Roman" w:hAnsi="Times New Roman" w:cs="Times New Roman"/>
          <w:color w:val="000000"/>
          <w:sz w:val="24"/>
          <w:szCs w:val="24"/>
        </w:rPr>
        <w:t xml:space="preserve"> (book-to-market ratio), </w:t>
      </w:r>
      <w:r>
        <w:rPr>
          <w:rFonts w:ascii="Times New Roman" w:eastAsia="Times New Roman" w:hAnsi="Times New Roman" w:cs="Times New Roman"/>
          <w:i/>
          <w:color w:val="000000"/>
          <w:sz w:val="24"/>
          <w:szCs w:val="24"/>
        </w:rPr>
        <w:t xml:space="preserve">CLOSELY HELD </w:t>
      </w:r>
      <w:r>
        <w:rPr>
          <w:rFonts w:ascii="Times New Roman" w:eastAsia="Times New Roman" w:hAnsi="Times New Roman" w:cs="Times New Roman"/>
          <w:color w:val="000000"/>
          <w:sz w:val="24"/>
          <w:szCs w:val="24"/>
        </w:rPr>
        <w:t xml:space="preserve">(minority shareholder ratio), </w:t>
      </w:r>
      <w:r>
        <w:rPr>
          <w:rFonts w:ascii="Times New Roman" w:eastAsia="Times New Roman" w:hAnsi="Times New Roman" w:cs="Times New Roman"/>
          <w:i/>
          <w:color w:val="000000"/>
          <w:sz w:val="24"/>
          <w:szCs w:val="24"/>
        </w:rPr>
        <w:t>DEBT</w:t>
      </w:r>
      <w:r>
        <w:rPr>
          <w:rFonts w:ascii="Times New Roman" w:eastAsia="Times New Roman" w:hAnsi="Times New Roman" w:cs="Times New Roman"/>
          <w:color w:val="000000"/>
          <w:sz w:val="24"/>
          <w:szCs w:val="24"/>
        </w:rPr>
        <w:t xml:space="preserve"> (net debt-equity ratio), and </w:t>
      </w:r>
      <w:r>
        <w:rPr>
          <w:rFonts w:ascii="Times New Roman" w:eastAsia="Times New Roman" w:hAnsi="Times New Roman" w:cs="Times New Roman"/>
          <w:i/>
          <w:color w:val="000000"/>
          <w:sz w:val="24"/>
          <w:szCs w:val="24"/>
        </w:rPr>
        <w:t>AGE</w:t>
      </w:r>
      <w:r>
        <w:rPr>
          <w:rFonts w:ascii="Times New Roman" w:eastAsia="Times New Roman" w:hAnsi="Times New Roman" w:cs="Times New Roman"/>
          <w:color w:val="000000"/>
          <w:sz w:val="24"/>
          <w:szCs w:val="24"/>
        </w:rPr>
        <w:t xml:space="preserve"> (natural logarithm of the number of years in business plus one). Previous studies using Japanese data show positive coefficients for </w:t>
      </w:r>
      <w:r>
        <w:rPr>
          <w:rFonts w:ascii="Times New Roman" w:eastAsia="Times New Roman" w:hAnsi="Times New Roman" w:cs="Times New Roman"/>
          <w:i/>
          <w:color w:val="000000"/>
          <w:sz w:val="24"/>
          <w:szCs w:val="24"/>
        </w:rPr>
        <w:t>SIZE</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color w:val="000000"/>
          <w:sz w:val="24"/>
          <w:szCs w:val="24"/>
        </w:rPr>
        <w:t>ROA</w:t>
      </w:r>
      <w:r>
        <w:rPr>
          <w:rFonts w:ascii="Times New Roman" w:eastAsia="Times New Roman" w:hAnsi="Times New Roman" w:cs="Times New Roman"/>
          <w:color w:val="000000"/>
          <w:sz w:val="24"/>
          <w:szCs w:val="24"/>
        </w:rPr>
        <w:t xml:space="preserve">, and </w:t>
      </w:r>
      <w:r>
        <w:rPr>
          <w:rFonts w:ascii="Times New Roman" w:eastAsia="Times New Roman" w:hAnsi="Times New Roman" w:cs="Times New Roman"/>
          <w:i/>
          <w:color w:val="000000"/>
          <w:sz w:val="24"/>
          <w:szCs w:val="24"/>
        </w:rPr>
        <w:t>CLOSELY HELD</w:t>
      </w:r>
      <w:r>
        <w:rPr>
          <w:rFonts w:ascii="Times New Roman" w:eastAsia="Times New Roman" w:hAnsi="Times New Roman" w:cs="Times New Roman"/>
          <w:color w:val="000000"/>
          <w:sz w:val="24"/>
          <w:szCs w:val="24"/>
        </w:rPr>
        <w:t xml:space="preserve"> and negative coefficients for </w:t>
      </w:r>
      <w:r>
        <w:rPr>
          <w:rFonts w:ascii="Times New Roman" w:eastAsia="Times New Roman" w:hAnsi="Times New Roman" w:cs="Times New Roman"/>
          <w:i/>
          <w:color w:val="000000"/>
          <w:sz w:val="24"/>
          <w:szCs w:val="24"/>
        </w:rPr>
        <w:t>AGE</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color w:val="000000"/>
          <w:sz w:val="24"/>
          <w:szCs w:val="24"/>
        </w:rPr>
        <w:t>BTM</w:t>
      </w:r>
      <w:r>
        <w:rPr>
          <w:rFonts w:ascii="Times New Roman" w:eastAsia="Times New Roman" w:hAnsi="Times New Roman" w:cs="Times New Roman"/>
          <w:color w:val="000000"/>
          <w:sz w:val="24"/>
          <w:szCs w:val="24"/>
        </w:rPr>
        <w:t xml:space="preserve">, and </w:t>
      </w:r>
      <w:r>
        <w:rPr>
          <w:rFonts w:ascii="Times New Roman" w:eastAsia="Times New Roman" w:hAnsi="Times New Roman" w:cs="Times New Roman"/>
          <w:i/>
          <w:color w:val="000000"/>
          <w:sz w:val="24"/>
          <w:szCs w:val="24"/>
        </w:rPr>
        <w:t>DEBT</w:t>
      </w:r>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Kashiwazaki</w:t>
      </w:r>
      <w:proofErr w:type="spellEnd"/>
      <w:r>
        <w:rPr>
          <w:rFonts w:ascii="Times New Roman" w:eastAsia="Times New Roman" w:hAnsi="Times New Roman" w:cs="Times New Roman"/>
          <w:color w:val="000000"/>
          <w:sz w:val="24"/>
          <w:szCs w:val="24"/>
        </w:rPr>
        <w:t xml:space="preserve"> et al., 2019; Kim et al., 2019; Sato and Takeda, 2017). </w:t>
      </w:r>
    </w:p>
    <w:p w14:paraId="191B7D23"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Large firms (large </w:t>
      </w:r>
      <w:r>
        <w:rPr>
          <w:rFonts w:ascii="Times New Roman" w:eastAsia="Times New Roman" w:hAnsi="Times New Roman" w:cs="Times New Roman"/>
          <w:i/>
          <w:color w:val="000000"/>
          <w:sz w:val="24"/>
          <w:szCs w:val="24"/>
        </w:rPr>
        <w:t>SIZE</w:t>
      </w:r>
      <w:r>
        <w:rPr>
          <w:rFonts w:ascii="Times New Roman" w:eastAsia="Times New Roman" w:hAnsi="Times New Roman" w:cs="Times New Roman"/>
          <w:color w:val="000000"/>
          <w:sz w:val="24"/>
          <w:szCs w:val="24"/>
        </w:rPr>
        <w:t>) are generally considered to be more capable of allocating sufficient resources to prepare for changes in accounting standards than small firms; accordingly, they are more likely to adopt IFRS.</w:t>
      </w:r>
      <w:r>
        <w:rPr>
          <w:color w:val="000000"/>
          <w:vertAlign w:val="superscript"/>
        </w:rPr>
        <w:footnoteReference w:id="8"/>
      </w:r>
      <w:r>
        <w:rPr>
          <w:rFonts w:ascii="Times New Roman" w:eastAsia="Times New Roman" w:hAnsi="Times New Roman" w:cs="Times New Roman"/>
          <w:color w:val="000000"/>
          <w:sz w:val="24"/>
          <w:szCs w:val="24"/>
        </w:rPr>
        <w:t xml:space="preserve"> Firms with high </w:t>
      </w:r>
      <w:r>
        <w:rPr>
          <w:rFonts w:ascii="Times New Roman" w:eastAsia="Times New Roman" w:hAnsi="Times New Roman" w:cs="Times New Roman"/>
          <w:i/>
          <w:color w:val="000000"/>
          <w:sz w:val="24"/>
          <w:szCs w:val="24"/>
        </w:rPr>
        <w:t>ROA</w:t>
      </w:r>
      <w:r>
        <w:rPr>
          <w:rFonts w:ascii="Times New Roman" w:eastAsia="Times New Roman" w:hAnsi="Times New Roman" w:cs="Times New Roman"/>
          <w:color w:val="000000"/>
          <w:sz w:val="24"/>
          <w:szCs w:val="24"/>
        </w:rPr>
        <w:t xml:space="preserve"> tend to operate profitably, whereas those with high </w:t>
      </w:r>
      <w:r>
        <w:rPr>
          <w:rFonts w:ascii="Times New Roman" w:eastAsia="Times New Roman" w:hAnsi="Times New Roman" w:cs="Times New Roman"/>
          <w:i/>
          <w:color w:val="000000"/>
          <w:sz w:val="24"/>
          <w:szCs w:val="24"/>
        </w:rPr>
        <w:t>BTM</w:t>
      </w:r>
      <w:r>
        <w:rPr>
          <w:rFonts w:ascii="Times New Roman" w:eastAsia="Times New Roman" w:hAnsi="Times New Roman" w:cs="Times New Roman"/>
          <w:color w:val="000000"/>
          <w:sz w:val="24"/>
          <w:szCs w:val="24"/>
        </w:rPr>
        <w:t xml:space="preserve"> ratios often exhibit strong growth potential. Such firms may have greater incentives to adopt the IFRS to facilitate access to external financing. The higher the concentration of share ownership among major shareholders and executives (large </w:t>
      </w:r>
      <w:r>
        <w:rPr>
          <w:rFonts w:ascii="Times New Roman" w:eastAsia="Times New Roman" w:hAnsi="Times New Roman" w:cs="Times New Roman"/>
          <w:i/>
          <w:color w:val="000000"/>
          <w:sz w:val="24"/>
          <w:szCs w:val="24"/>
        </w:rPr>
        <w:t>CLOSELY HELD</w:t>
      </w:r>
      <w:r>
        <w:rPr>
          <w:rFonts w:ascii="Times New Roman" w:eastAsia="Times New Roman" w:hAnsi="Times New Roman" w:cs="Times New Roman"/>
          <w:color w:val="000000"/>
          <w:sz w:val="24"/>
          <w:szCs w:val="24"/>
        </w:rPr>
        <w:t xml:space="preserve">), the lower the need for information disclosure to investors, and the more likely they will not adopt an aggressive disclosure strategy. Firms with large </w:t>
      </w:r>
      <w:r>
        <w:rPr>
          <w:rFonts w:ascii="Times New Roman" w:eastAsia="Times New Roman" w:hAnsi="Times New Roman" w:cs="Times New Roman"/>
          <w:i/>
          <w:color w:val="000000"/>
          <w:sz w:val="24"/>
          <w:szCs w:val="24"/>
        </w:rPr>
        <w:t>DEBT</w:t>
      </w:r>
      <w:r>
        <w:rPr>
          <w:rFonts w:ascii="Times New Roman" w:eastAsia="Times New Roman" w:hAnsi="Times New Roman" w:cs="Times New Roman"/>
          <w:color w:val="000000"/>
          <w:sz w:val="24"/>
          <w:szCs w:val="24"/>
        </w:rPr>
        <w:t xml:space="preserve"> are unlikely to adopt IFRS because banks can obtain the necessary information from companies </w:t>
      </w:r>
      <w:r>
        <w:rPr>
          <w:rFonts w:ascii="Times New Roman" w:eastAsia="Times New Roman" w:hAnsi="Times New Roman" w:cs="Times New Roman"/>
          <w:color w:val="000000"/>
          <w:sz w:val="24"/>
          <w:szCs w:val="24"/>
        </w:rPr>
        <w:lastRenderedPageBreak/>
        <w:t xml:space="preserve">through private conversations. Firms with long histories (large </w:t>
      </w:r>
      <w:r>
        <w:rPr>
          <w:rFonts w:ascii="Times New Roman" w:eastAsia="Times New Roman" w:hAnsi="Times New Roman" w:cs="Times New Roman"/>
          <w:i/>
          <w:color w:val="000000"/>
          <w:sz w:val="24"/>
          <w:szCs w:val="24"/>
        </w:rPr>
        <w:t>AGE</w:t>
      </w:r>
      <w:r>
        <w:rPr>
          <w:rFonts w:ascii="Times New Roman" w:eastAsia="Times New Roman" w:hAnsi="Times New Roman" w:cs="Times New Roman"/>
          <w:color w:val="000000"/>
          <w:sz w:val="24"/>
          <w:szCs w:val="24"/>
        </w:rPr>
        <w:t xml:space="preserve">) are likely to have more complex operations and, therefore, may be less inclined to adopt IFRS. </w:t>
      </w:r>
    </w:p>
    <w:p w14:paraId="4E9C6B60"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IRD1</w:t>
      </w:r>
      <w:r>
        <w:rPr>
          <w:rFonts w:ascii="Times New Roman" w:eastAsia="Times New Roman" w:hAnsi="Times New Roman" w:cs="Times New Roman"/>
          <w:color w:val="000000"/>
          <w:sz w:val="24"/>
          <w:szCs w:val="24"/>
        </w:rPr>
        <w:t xml:space="preserve"> and </w:t>
      </w:r>
      <w:r>
        <w:rPr>
          <w:rFonts w:ascii="Times New Roman" w:eastAsia="Times New Roman" w:hAnsi="Times New Roman" w:cs="Times New Roman"/>
          <w:i/>
          <w:color w:val="000000"/>
          <w:sz w:val="24"/>
          <w:szCs w:val="24"/>
        </w:rPr>
        <w:t>IRD2</w:t>
      </w:r>
      <w:r>
        <w:rPr>
          <w:rFonts w:ascii="Times New Roman" w:eastAsia="Times New Roman" w:hAnsi="Times New Roman" w:cs="Times New Roman"/>
          <w:color w:val="000000"/>
          <w:sz w:val="24"/>
          <w:szCs w:val="24"/>
        </w:rPr>
        <w:t xml:space="preserve"> are macroeconomic variables related to interest rate parity in international finance, which affects cross-border financial transactions.</w:t>
      </w:r>
      <w:r>
        <w:rPr>
          <w:color w:val="000000"/>
          <w:vertAlign w:val="superscript"/>
        </w:rPr>
        <w:footnoteReference w:id="9"/>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color w:val="000000"/>
          <w:sz w:val="24"/>
          <w:szCs w:val="24"/>
        </w:rPr>
        <w:t>IRD1</w:t>
      </w:r>
      <w:r>
        <w:rPr>
          <w:rFonts w:ascii="Times New Roman" w:eastAsia="Times New Roman" w:hAnsi="Times New Roman" w:cs="Times New Roman"/>
          <w:color w:val="000000"/>
          <w:sz w:val="24"/>
          <w:szCs w:val="24"/>
        </w:rPr>
        <w:t xml:space="preserve"> and </w:t>
      </w:r>
      <w:r>
        <w:rPr>
          <w:rFonts w:ascii="Times New Roman" w:eastAsia="Times New Roman" w:hAnsi="Times New Roman" w:cs="Times New Roman"/>
          <w:i/>
          <w:color w:val="000000"/>
          <w:sz w:val="24"/>
          <w:szCs w:val="24"/>
        </w:rPr>
        <w:t>IRD2</w:t>
      </w:r>
      <w:r>
        <w:rPr>
          <w:rFonts w:ascii="Times New Roman" w:eastAsia="Times New Roman" w:hAnsi="Times New Roman" w:cs="Times New Roman"/>
          <w:color w:val="000000"/>
          <w:sz w:val="24"/>
          <w:szCs w:val="24"/>
        </w:rPr>
        <w:t xml:space="preserve"> capture the differences in interest rates between the US and Japan. </w:t>
      </w:r>
      <w:r>
        <w:rPr>
          <w:rFonts w:ascii="Times New Roman" w:eastAsia="Times New Roman" w:hAnsi="Times New Roman" w:cs="Times New Roman"/>
          <w:i/>
          <w:color w:val="000000"/>
          <w:sz w:val="24"/>
          <w:szCs w:val="24"/>
        </w:rPr>
        <w:t>IRD1</w:t>
      </w:r>
      <w:r>
        <w:rPr>
          <w:rFonts w:ascii="Times New Roman" w:eastAsia="Times New Roman" w:hAnsi="Times New Roman" w:cs="Times New Roman"/>
          <w:color w:val="000000"/>
          <w:sz w:val="24"/>
          <w:szCs w:val="24"/>
        </w:rPr>
        <w:t xml:space="preserve"> is the difference between the US federal fund rates and Japanese uncollateralized overnight call rates, whereas </w:t>
      </w:r>
      <w:r>
        <w:rPr>
          <w:rFonts w:ascii="Times New Roman" w:eastAsia="Times New Roman" w:hAnsi="Times New Roman" w:cs="Times New Roman"/>
          <w:i/>
          <w:color w:val="000000"/>
          <w:sz w:val="24"/>
          <w:szCs w:val="24"/>
        </w:rPr>
        <w:t>IRD2</w:t>
      </w:r>
      <w:r>
        <w:rPr>
          <w:rFonts w:ascii="Times New Roman" w:eastAsia="Times New Roman" w:hAnsi="Times New Roman" w:cs="Times New Roman"/>
          <w:color w:val="000000"/>
          <w:sz w:val="24"/>
          <w:szCs w:val="24"/>
        </w:rPr>
        <w:t xml:space="preserve"> is the difference in yields on three-month treasury bills in both countries. In accordance with the interest rate parity, which indicates capital flows from countries with low interest rates to those with high interest rates, we expect negative coefficients for these variables.</w:t>
      </w:r>
    </w:p>
    <w:p w14:paraId="61D01C89"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INDUSTRY</w:t>
      </w:r>
      <w:r>
        <w:rPr>
          <w:rFonts w:ascii="Times New Roman" w:eastAsia="Times New Roman" w:hAnsi="Times New Roman" w:cs="Times New Roman"/>
          <w:color w:val="000000"/>
          <w:sz w:val="24"/>
          <w:szCs w:val="24"/>
        </w:rPr>
        <w:t xml:space="preserve"> is a dummy variable that equals zero for food companies and one for the other 25 industries: textile products, chemicals, drugs, petroleum, rubber products, stone, clay and glass products, iron and steel, non-ferrous metal and metal products, machinery, electric and electronic equipment, shipbuilding and repair, motor vehicles and auto parts, precision equipment, other manufacturing, fish and marine products, construction, wholesale trade, retail trade, credit and leasing, real estate, land transportation, air transportation, communication service, utilities – electric, and services.</w:t>
      </w:r>
    </w:p>
    <w:p w14:paraId="07E3ABBC"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To perform the DID analysis, we select matched non-adopters based on one-to-one matching using the estimation results of the probit model for years of voluntary IFRS adoption. The estimated probit model is similar to probit model (1) but excludes </w:t>
      </w:r>
      <w:r>
        <w:rPr>
          <w:rFonts w:ascii="Times New Roman" w:eastAsia="Times New Roman" w:hAnsi="Times New Roman" w:cs="Times New Roman"/>
          <w:i/>
          <w:color w:val="000000"/>
          <w:sz w:val="24"/>
          <w:szCs w:val="24"/>
        </w:rPr>
        <w:t>INDUSTRY</w:t>
      </w:r>
      <w:r>
        <w:rPr>
          <w:rFonts w:ascii="Times New Roman" w:eastAsia="Times New Roman" w:hAnsi="Times New Roman" w:cs="Times New Roman"/>
          <w:color w:val="000000"/>
          <w:sz w:val="24"/>
          <w:szCs w:val="24"/>
        </w:rPr>
        <w:t xml:space="preserve"> and macroeconomic variables (</w:t>
      </w:r>
      <w:r>
        <w:rPr>
          <w:rFonts w:ascii="Times New Roman" w:eastAsia="Times New Roman" w:hAnsi="Times New Roman" w:cs="Times New Roman"/>
          <w:i/>
          <w:color w:val="000000"/>
          <w:sz w:val="24"/>
          <w:szCs w:val="24"/>
        </w:rPr>
        <w:t>IRD1</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color w:val="000000"/>
          <w:sz w:val="24"/>
          <w:szCs w:val="24"/>
        </w:rPr>
        <w:t>IRD2</w:t>
      </w:r>
      <w:r>
        <w:rPr>
          <w:rFonts w:ascii="Times New Roman" w:eastAsia="Times New Roman" w:hAnsi="Times New Roman" w:cs="Times New Roman"/>
          <w:color w:val="000000"/>
          <w:sz w:val="24"/>
          <w:szCs w:val="24"/>
        </w:rPr>
        <w:t>).</w:t>
      </w:r>
    </w:p>
    <w:p w14:paraId="443FF75B"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We then estimate the following panel data model using ordinary least squares estimation for IFRS adopters and matched non-adopters for 2010–2023.</w:t>
      </w:r>
    </w:p>
    <w:p w14:paraId="7634E3D8" w14:textId="77777777" w:rsidR="00CA3E0F" w:rsidRDefault="00CA3E0F" w:rsidP="00CA3E0F">
      <w:pPr>
        <w:spacing w:after="0" w:line="240" w:lineRule="auto"/>
        <w:ind w:firstLine="357"/>
        <w:jc w:val="both"/>
        <w:rPr>
          <w:rFonts w:ascii="Times New Roman" w:eastAsia="Times New Roman" w:hAnsi="Times New Roman" w:cs="Times New Roman"/>
          <w:color w:val="000000"/>
          <w:sz w:val="24"/>
          <w:szCs w:val="24"/>
        </w:rPr>
      </w:pPr>
    </w:p>
    <w:p w14:paraId="65013067" w14:textId="77777777" w:rsidR="007373F6" w:rsidRDefault="00000000">
      <w:pPr>
        <w:spacing w:after="0" w:line="240" w:lineRule="auto"/>
        <w:ind w:firstLine="86"/>
        <w:jc w:val="both"/>
        <w:rPr>
          <w:rFonts w:ascii="Times New Roman" w:eastAsia="Times New Roman" w:hAnsi="Times New Roman" w:cs="Times New Roman"/>
          <w:color w:val="000000"/>
          <w:sz w:val="24"/>
          <w:szCs w:val="24"/>
        </w:rPr>
      </w:pP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FOREIGN HELD</m:t>
            </m:r>
          </m:e>
          <m:sub>
            <m:r>
              <w:rPr>
                <w:rFonts w:ascii="Cambria Math" w:eastAsia="Cambria Math" w:hAnsi="Cambria Math" w:cs="Cambria Math"/>
                <w:color w:val="000000"/>
                <w:sz w:val="24"/>
                <w:szCs w:val="24"/>
              </w:rPr>
              <m:t>it</m:t>
            </m:r>
          </m:sub>
        </m:sSub>
        <m:r>
          <w:rPr>
            <w:rFonts w:ascii="Cambria Math" w:eastAsia="Cambria Math" w:hAnsi="Cambria Math" w:cs="Cambria Math"/>
            <w:color w:val="000000"/>
            <w:sz w:val="24"/>
            <w:szCs w:val="24"/>
          </w:rPr>
          <m:t>=α+</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β</m:t>
            </m:r>
          </m:e>
          <m:sub>
            <m:r>
              <w:rPr>
                <w:rFonts w:ascii="Cambria Math" w:eastAsia="Cambria Math" w:hAnsi="Cambria Math" w:cs="Cambria Math"/>
                <w:color w:val="000000"/>
                <w:sz w:val="24"/>
                <w:szCs w:val="24"/>
              </w:rPr>
              <m:t>1</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IFRS</m:t>
            </m:r>
          </m:e>
          <m:sub>
            <m:r>
              <w:rPr>
                <w:rFonts w:ascii="Cambria Math" w:eastAsia="Cambria Math" w:hAnsi="Cambria Math" w:cs="Cambria Math"/>
                <w:color w:val="000000"/>
                <w:sz w:val="24"/>
                <w:szCs w:val="24"/>
              </w:rPr>
              <m:t>i</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β</m:t>
            </m:r>
          </m:e>
          <m:sub>
            <m:r>
              <w:rPr>
                <w:rFonts w:ascii="Cambria Math" w:eastAsia="Cambria Math" w:hAnsi="Cambria Math" w:cs="Cambria Math"/>
                <w:color w:val="000000"/>
                <w:sz w:val="24"/>
                <w:szCs w:val="24"/>
              </w:rPr>
              <m:t>2</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POST</m:t>
            </m:r>
          </m:e>
          <m:sub>
            <m:r>
              <w:rPr>
                <w:rFonts w:ascii="Cambria Math" w:eastAsia="Cambria Math" w:hAnsi="Cambria Math" w:cs="Cambria Math"/>
                <w:color w:val="000000"/>
                <w:sz w:val="24"/>
                <w:szCs w:val="24"/>
              </w:rPr>
              <m:t>t</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β</m:t>
            </m:r>
          </m:e>
          <m:sub>
            <m:r>
              <w:rPr>
                <w:rFonts w:ascii="Cambria Math" w:eastAsia="Cambria Math" w:hAnsi="Cambria Math" w:cs="Cambria Math"/>
                <w:color w:val="000000"/>
                <w:sz w:val="24"/>
                <w:szCs w:val="24"/>
              </w:rPr>
              <m:t>3</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(IFRS×POST)</m:t>
            </m:r>
          </m:e>
          <m:sub>
            <m:r>
              <w:rPr>
                <w:rFonts w:ascii="Cambria Math" w:eastAsia="Cambria Math" w:hAnsi="Cambria Math" w:cs="Cambria Math"/>
                <w:color w:val="000000"/>
                <w:sz w:val="24"/>
                <w:szCs w:val="24"/>
              </w:rPr>
              <m:t>it</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β</m:t>
            </m:r>
          </m:e>
          <m:sub>
            <m:r>
              <w:rPr>
                <w:rFonts w:ascii="Cambria Math" w:eastAsia="Cambria Math" w:hAnsi="Cambria Math" w:cs="Cambria Math"/>
                <w:color w:val="000000"/>
                <w:sz w:val="24"/>
                <w:szCs w:val="24"/>
              </w:rPr>
              <m:t>4</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BUYBACK</m:t>
            </m:r>
          </m:e>
          <m:sub>
            <m:r>
              <w:rPr>
                <w:rFonts w:ascii="Cambria Math" w:eastAsia="Cambria Math" w:hAnsi="Cambria Math" w:cs="Cambria Math"/>
                <w:color w:val="000000"/>
                <w:sz w:val="24"/>
                <w:szCs w:val="24"/>
              </w:rPr>
              <m:t>it</m:t>
            </m:r>
          </m:sub>
        </m:sSub>
      </m:oMath>
      <w:r>
        <w:rPr>
          <w:rFonts w:ascii="Times New Roman" w:eastAsia="Times New Roman" w:hAnsi="Times New Roman" w:cs="Times New Roman"/>
          <w:color w:val="000000"/>
          <w:sz w:val="24"/>
          <w:szCs w:val="24"/>
        </w:rPr>
        <w:t xml:space="preserve">             </w:t>
      </w:r>
    </w:p>
    <w:p w14:paraId="79AAD128" w14:textId="0E6D5B81" w:rsidR="007373F6" w:rsidRDefault="00000000">
      <w:pPr>
        <w:spacing w:after="0" w:line="240" w:lineRule="auto"/>
        <w:jc w:val="both"/>
        <w:rPr>
          <w:rFonts w:ascii="Times New Roman" w:eastAsia="Times New Roman" w:hAnsi="Times New Roman" w:cs="Times New Roman"/>
          <w:color w:val="000000"/>
          <w:sz w:val="24"/>
          <w:szCs w:val="24"/>
        </w:rPr>
      </w:pPr>
      <m:oMath>
        <m:r>
          <w:rPr>
            <w:rFonts w:ascii="Cambria Math" w:eastAsia="Cambria Math" w:hAnsi="Cambria Math" w:cs="Cambria Math"/>
            <w:color w:val="000000"/>
            <w:sz w:val="24"/>
            <w:szCs w:val="24"/>
          </w:rPr>
          <m:t xml:space="preserve">                                    +</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β</m:t>
            </m:r>
          </m:e>
          <m:sub>
            <m:r>
              <w:rPr>
                <w:rFonts w:ascii="Cambria Math" w:eastAsia="Cambria Math" w:hAnsi="Cambria Math" w:cs="Cambria Math"/>
                <w:color w:val="000000"/>
                <w:sz w:val="24"/>
                <w:szCs w:val="24"/>
              </w:rPr>
              <m:t>5</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CROSS</m:t>
            </m:r>
          </m:e>
          <m:sub>
            <m:r>
              <w:rPr>
                <w:rFonts w:ascii="Cambria Math" w:eastAsia="Cambria Math" w:hAnsi="Cambria Math" w:cs="Cambria Math"/>
                <w:color w:val="000000"/>
                <w:sz w:val="24"/>
                <w:szCs w:val="24"/>
              </w:rPr>
              <m:t>it</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β</m:t>
            </m:r>
          </m:e>
          <m:sub>
            <m:r>
              <w:rPr>
                <w:rFonts w:ascii="Cambria Math" w:eastAsia="Cambria Math" w:hAnsi="Cambria Math" w:cs="Cambria Math"/>
                <w:color w:val="000000"/>
                <w:sz w:val="24"/>
                <w:szCs w:val="24"/>
              </w:rPr>
              <m:t>6</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BTM</m:t>
            </m:r>
          </m:e>
          <m:sub>
            <m:r>
              <w:rPr>
                <w:rFonts w:ascii="Cambria Math" w:eastAsia="Cambria Math" w:hAnsi="Cambria Math" w:cs="Cambria Math"/>
                <w:color w:val="000000"/>
                <w:sz w:val="24"/>
                <w:szCs w:val="24"/>
              </w:rPr>
              <m:t>it</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β</m:t>
            </m:r>
          </m:e>
          <m:sub>
            <m:r>
              <w:rPr>
                <w:rFonts w:ascii="Cambria Math" w:eastAsia="Cambria Math" w:hAnsi="Cambria Math" w:cs="Cambria Math"/>
                <w:color w:val="000000"/>
                <w:sz w:val="24"/>
                <w:szCs w:val="24"/>
              </w:rPr>
              <m:t>7</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(IRD1/IRD2/ERD1/ERD2)</m:t>
            </m:r>
          </m:e>
          <m:sub>
            <m:r>
              <w:rPr>
                <w:rFonts w:ascii="Cambria Math" w:eastAsia="Cambria Math" w:hAnsi="Cambria Math" w:cs="Cambria Math"/>
                <w:color w:val="000000"/>
                <w:sz w:val="24"/>
                <w:szCs w:val="24"/>
              </w:rPr>
              <m:t>t</m:t>
            </m:r>
          </m:sub>
        </m:sSub>
        <m:r>
          <w:rPr>
            <w:rFonts w:ascii="Cambria Math" w:eastAsia="Cambria Math" w:hAnsi="Cambria Math" w:cs="Cambria Math"/>
            <w:color w:val="000000"/>
            <w:sz w:val="24"/>
            <w:szCs w:val="24"/>
          </w:rPr>
          <m:t xml:space="preserve">+ </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 xml:space="preserve">ε </m:t>
            </m:r>
          </m:e>
          <m:sub>
            <m:r>
              <w:rPr>
                <w:rFonts w:ascii="Cambria Math" w:eastAsia="Cambria Math" w:hAnsi="Cambria Math" w:cs="Cambria Math"/>
                <w:color w:val="000000"/>
                <w:sz w:val="24"/>
                <w:szCs w:val="24"/>
              </w:rPr>
              <m:t xml:space="preserve">it </m:t>
            </m:r>
          </m:sub>
        </m:sSub>
        <m:r>
          <w:rPr>
            <w:rFonts w:ascii="Cambria Math" w:eastAsia="Cambria Math" w:hAnsi="Cambria Math" w:cs="Cambria Math"/>
            <w:color w:val="000000"/>
            <w:sz w:val="24"/>
            <w:szCs w:val="24"/>
          </w:rPr>
          <m:t xml:space="preserve">    </m:t>
        </m:r>
      </m:oMath>
      <w:r>
        <w:rPr>
          <w:rFonts w:ascii="Times New Roman" w:eastAsia="Times New Roman" w:hAnsi="Times New Roman" w:cs="Times New Roman"/>
          <w:color w:val="000000"/>
          <w:sz w:val="24"/>
          <w:szCs w:val="24"/>
        </w:rPr>
        <w:t>(2)</w:t>
      </w:r>
    </w:p>
    <w:p w14:paraId="6DA1E571" w14:textId="77777777" w:rsidR="00CA3E0F" w:rsidRDefault="00CA3E0F">
      <w:pPr>
        <w:spacing w:after="0" w:line="240" w:lineRule="auto"/>
        <w:jc w:val="both"/>
        <w:rPr>
          <w:rFonts w:ascii="Times New Roman" w:eastAsia="Times New Roman" w:hAnsi="Times New Roman" w:cs="Times New Roman"/>
          <w:color w:val="000000"/>
          <w:sz w:val="24"/>
          <w:szCs w:val="24"/>
        </w:rPr>
      </w:pPr>
    </w:p>
    <w:p w14:paraId="2926E165"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Most variables are the same as those in probit model (1). The new variable </w:t>
      </w:r>
      <w:r>
        <w:rPr>
          <w:rFonts w:ascii="Times New Roman" w:eastAsia="Times New Roman" w:hAnsi="Times New Roman" w:cs="Times New Roman"/>
          <w:i/>
          <w:color w:val="000000"/>
          <w:sz w:val="24"/>
          <w:szCs w:val="24"/>
        </w:rPr>
        <w:t>POST</w:t>
      </w:r>
      <w:r>
        <w:rPr>
          <w:rFonts w:ascii="Times New Roman" w:eastAsia="Times New Roman" w:hAnsi="Times New Roman" w:cs="Times New Roman"/>
          <w:color w:val="000000"/>
          <w:sz w:val="24"/>
          <w:szCs w:val="24"/>
        </w:rPr>
        <w:t xml:space="preserve"> is a dummy variable representing voluntary IFRS adoption. Based on our hypothesis, we expect positive coefficients for the interaction term,</w:t>
      </w:r>
      <m:oMath>
        <m:r>
          <w:rPr>
            <w:rFonts w:ascii="Cambria Math" w:eastAsia="Cambria Math" w:hAnsi="Cambria Math" w:cs="Cambria Math"/>
            <w:color w:val="000000"/>
            <w:sz w:val="24"/>
            <w:szCs w:val="24"/>
          </w:rPr>
          <m:t xml:space="preserve"> IFRS×POST</m:t>
        </m:r>
      </m:oMath>
      <w:r>
        <w:rPr>
          <w:rFonts w:ascii="Times New Roman" w:eastAsia="Times New Roman" w:hAnsi="Times New Roman" w:cs="Times New Roman"/>
          <w:color w:val="000000"/>
          <w:sz w:val="24"/>
          <w:szCs w:val="24"/>
        </w:rPr>
        <w:t xml:space="preserve">. </w:t>
      </w:r>
    </w:p>
    <w:p w14:paraId="53A1AEE4"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BUYBACK</w:t>
      </w:r>
      <w:r>
        <w:rPr>
          <w:rFonts w:ascii="Times New Roman" w:eastAsia="Times New Roman" w:hAnsi="Times New Roman" w:cs="Times New Roman"/>
          <w:color w:val="000000"/>
          <w:sz w:val="24"/>
          <w:szCs w:val="24"/>
        </w:rPr>
        <w:t xml:space="preserve"> is the ratio of the treasury stock to the total number of outstanding shares. We expect negative coefficients for </w:t>
      </w:r>
      <w:r>
        <w:rPr>
          <w:rFonts w:ascii="Times New Roman" w:eastAsia="Times New Roman" w:hAnsi="Times New Roman" w:cs="Times New Roman"/>
          <w:i/>
          <w:color w:val="000000"/>
          <w:sz w:val="24"/>
          <w:szCs w:val="24"/>
        </w:rPr>
        <w:t>BUYBACK</w:t>
      </w:r>
      <w:r>
        <w:rPr>
          <w:rFonts w:ascii="Times New Roman" w:eastAsia="Times New Roman" w:hAnsi="Times New Roman" w:cs="Times New Roman"/>
          <w:color w:val="000000"/>
          <w:sz w:val="24"/>
          <w:szCs w:val="24"/>
        </w:rPr>
        <w:t xml:space="preserve"> and </w:t>
      </w:r>
      <w:r>
        <w:rPr>
          <w:rFonts w:ascii="Times New Roman" w:eastAsia="Times New Roman" w:hAnsi="Times New Roman" w:cs="Times New Roman"/>
          <w:i/>
          <w:color w:val="000000"/>
          <w:sz w:val="24"/>
          <w:szCs w:val="24"/>
        </w:rPr>
        <w:t>CROSS</w:t>
      </w:r>
      <w:r>
        <w:rPr>
          <w:rFonts w:ascii="Times New Roman" w:eastAsia="Times New Roman" w:hAnsi="Times New Roman" w:cs="Times New Roman"/>
          <w:color w:val="000000"/>
          <w:sz w:val="24"/>
          <w:szCs w:val="24"/>
        </w:rPr>
        <w:t xml:space="preserve"> because an increase in share buybacks and cross-shareholdings reduces room for foreign shareholders. </w:t>
      </w:r>
      <w:r>
        <w:rPr>
          <w:rFonts w:ascii="Times New Roman" w:eastAsia="Times New Roman" w:hAnsi="Times New Roman" w:cs="Times New Roman"/>
          <w:i/>
          <w:color w:val="000000"/>
          <w:sz w:val="24"/>
          <w:szCs w:val="24"/>
        </w:rPr>
        <w:t>ERD1</w:t>
      </w:r>
      <w:r>
        <w:rPr>
          <w:rFonts w:ascii="Times New Roman" w:eastAsia="Times New Roman" w:hAnsi="Times New Roman" w:cs="Times New Roman"/>
          <w:color w:val="000000"/>
          <w:sz w:val="24"/>
          <w:szCs w:val="24"/>
        </w:rPr>
        <w:t xml:space="preserve"> and </w:t>
      </w:r>
      <w:r>
        <w:rPr>
          <w:rFonts w:ascii="Times New Roman" w:eastAsia="Times New Roman" w:hAnsi="Times New Roman" w:cs="Times New Roman"/>
          <w:i/>
          <w:color w:val="000000"/>
          <w:sz w:val="24"/>
          <w:szCs w:val="24"/>
        </w:rPr>
        <w:t xml:space="preserve">ERD2 </w:t>
      </w:r>
      <w:r>
        <w:rPr>
          <w:rFonts w:ascii="Times New Roman" w:eastAsia="Times New Roman" w:hAnsi="Times New Roman" w:cs="Times New Roman"/>
          <w:color w:val="000000"/>
          <w:sz w:val="24"/>
          <w:szCs w:val="24"/>
        </w:rPr>
        <w:t xml:space="preserve">capture exchange rate movements. </w:t>
      </w:r>
      <w:r>
        <w:rPr>
          <w:rFonts w:ascii="Times New Roman" w:eastAsia="Times New Roman" w:hAnsi="Times New Roman" w:cs="Times New Roman"/>
          <w:i/>
          <w:color w:val="000000"/>
          <w:sz w:val="24"/>
          <w:szCs w:val="24"/>
        </w:rPr>
        <w:t xml:space="preserve">ERD1 </w:t>
      </w:r>
      <w:r>
        <w:rPr>
          <w:rFonts w:ascii="Times New Roman" w:eastAsia="Times New Roman" w:hAnsi="Times New Roman" w:cs="Times New Roman"/>
          <w:color w:val="000000"/>
          <w:sz w:val="24"/>
          <w:szCs w:val="24"/>
        </w:rPr>
        <w:t xml:space="preserve">is the natural logarithm of the yen-dollar exchange rate and </w:t>
      </w:r>
      <w:r>
        <w:rPr>
          <w:rFonts w:ascii="Times New Roman" w:eastAsia="Times New Roman" w:hAnsi="Times New Roman" w:cs="Times New Roman"/>
          <w:i/>
          <w:color w:val="000000"/>
          <w:sz w:val="24"/>
          <w:szCs w:val="24"/>
        </w:rPr>
        <w:t>ERD2</w:t>
      </w:r>
      <w:r>
        <w:rPr>
          <w:rFonts w:ascii="Times New Roman" w:eastAsia="Times New Roman" w:hAnsi="Times New Roman" w:cs="Times New Roman"/>
          <w:color w:val="000000"/>
          <w:sz w:val="24"/>
          <w:szCs w:val="24"/>
        </w:rPr>
        <w:t xml:space="preserve"> is the year-on-year rate of change in the yen-dollar exchange rate. Based on interest rate parity, which indicates capital flows from countries with weak currencies to those with strong currencies, we expect negative coefficients for </w:t>
      </w:r>
      <w:r>
        <w:rPr>
          <w:rFonts w:ascii="Times New Roman" w:eastAsia="Times New Roman" w:hAnsi="Times New Roman" w:cs="Times New Roman"/>
          <w:i/>
          <w:color w:val="000000"/>
          <w:sz w:val="24"/>
          <w:szCs w:val="24"/>
        </w:rPr>
        <w:t>IRD1</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color w:val="000000"/>
          <w:sz w:val="24"/>
          <w:szCs w:val="24"/>
        </w:rPr>
        <w:t>IRD2</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color w:val="000000"/>
          <w:sz w:val="24"/>
          <w:szCs w:val="24"/>
        </w:rPr>
        <w:t>ERD1</w:t>
      </w:r>
      <w:r>
        <w:rPr>
          <w:rFonts w:ascii="Times New Roman" w:eastAsia="Times New Roman" w:hAnsi="Times New Roman" w:cs="Times New Roman"/>
          <w:color w:val="000000"/>
          <w:sz w:val="24"/>
          <w:szCs w:val="24"/>
        </w:rPr>
        <w:t xml:space="preserve">, and </w:t>
      </w:r>
      <w:r>
        <w:rPr>
          <w:rFonts w:ascii="Times New Roman" w:eastAsia="Times New Roman" w:hAnsi="Times New Roman" w:cs="Times New Roman"/>
          <w:i/>
          <w:color w:val="000000"/>
          <w:sz w:val="24"/>
          <w:szCs w:val="24"/>
        </w:rPr>
        <w:t>ERD2</w:t>
      </w:r>
      <w:r>
        <w:rPr>
          <w:rFonts w:ascii="Times New Roman" w:eastAsia="Times New Roman" w:hAnsi="Times New Roman" w:cs="Times New Roman"/>
          <w:color w:val="000000"/>
          <w:sz w:val="24"/>
          <w:szCs w:val="24"/>
        </w:rPr>
        <w:t xml:space="preserve">.  </w:t>
      </w:r>
    </w:p>
    <w:p w14:paraId="7CBF3A70"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As a robustness check, we replace </w:t>
      </w:r>
      <m:oMath>
        <m:r>
          <w:rPr>
            <w:rFonts w:ascii="Cambria Math" w:eastAsia="Cambria Math" w:hAnsi="Cambria Math" w:cs="Cambria Math"/>
            <w:color w:val="000000"/>
          </w:rPr>
          <m:t xml:space="preserve"> </m:t>
        </m:r>
        <m:r>
          <w:rPr>
            <w:rFonts w:ascii="Cambria Math" w:eastAsia="Cambria Math" w:hAnsi="Cambria Math" w:cs="Cambria Math"/>
            <w:color w:val="000000"/>
            <w:sz w:val="24"/>
            <w:szCs w:val="24"/>
          </w:rPr>
          <m:t xml:space="preserve">FOREIGN HELD </m:t>
        </m:r>
      </m:oMath>
      <w:r>
        <w:rPr>
          <w:rFonts w:ascii="Times New Roman" w:eastAsia="Times New Roman" w:hAnsi="Times New Roman" w:cs="Times New Roman"/>
          <w:color w:val="000000"/>
          <w:sz w:val="24"/>
          <w:szCs w:val="24"/>
        </w:rPr>
        <w:t xml:space="preserve">with an alternative variable related to </w:t>
      </w:r>
      <w:r>
        <w:rPr>
          <w:rFonts w:ascii="Times New Roman" w:eastAsia="Times New Roman" w:hAnsi="Times New Roman" w:cs="Times New Roman"/>
          <w:color w:val="000000"/>
          <w:sz w:val="24"/>
          <w:szCs w:val="24"/>
          <w:highlight w:val="white"/>
        </w:rPr>
        <w:t>the foreign shareholder ratio</w:t>
      </w:r>
      <w:r>
        <w:rPr>
          <w:rFonts w:ascii="Times New Roman" w:eastAsia="Times New Roman" w:hAnsi="Times New Roman" w:cs="Times New Roman"/>
          <w:color w:val="000000"/>
          <w:sz w:val="24"/>
          <w:szCs w:val="24"/>
        </w:rPr>
        <w:t xml:space="preserve">, </w:t>
      </w:r>
      <m:oMath>
        <m:r>
          <w:rPr>
            <w:rFonts w:ascii="Cambria Math" w:eastAsia="Cambria Math" w:hAnsi="Cambria Math" w:cs="Cambria Math"/>
            <w:color w:val="000000"/>
            <w:sz w:val="24"/>
            <w:szCs w:val="24"/>
          </w:rPr>
          <m:t>FOREIGN HELD NUM</m:t>
        </m:r>
      </m:oMath>
      <w:r>
        <w:rPr>
          <w:rFonts w:ascii="Times New Roman" w:eastAsia="Times New Roman" w:hAnsi="Times New Roman" w:cs="Times New Roman"/>
          <w:color w:val="000000"/>
          <w:sz w:val="24"/>
          <w:szCs w:val="24"/>
        </w:rPr>
        <w:t>, which is</w:t>
      </w:r>
      <w:r>
        <w:rPr>
          <w:rFonts w:ascii="Times New Roman" w:eastAsia="Times New Roman" w:hAnsi="Times New Roman" w:cs="Times New Roman"/>
          <w:color w:val="000000"/>
          <w:sz w:val="24"/>
          <w:szCs w:val="24"/>
          <w:highlight w:val="white"/>
        </w:rPr>
        <w:t xml:space="preserve"> measured by the number of shareholders.</w:t>
      </w:r>
    </w:p>
    <w:p w14:paraId="4F31E42E" w14:textId="77777777" w:rsidR="007373F6" w:rsidRDefault="007373F6">
      <w:pPr>
        <w:spacing w:after="0" w:line="240" w:lineRule="auto"/>
        <w:jc w:val="both"/>
        <w:rPr>
          <w:rFonts w:ascii="Times New Roman" w:eastAsia="Times New Roman" w:hAnsi="Times New Roman" w:cs="Times New Roman"/>
          <w:b/>
          <w:color w:val="000000"/>
          <w:sz w:val="24"/>
          <w:szCs w:val="24"/>
        </w:rPr>
      </w:pPr>
    </w:p>
    <w:p w14:paraId="480B9E8A" w14:textId="77777777" w:rsidR="007373F6" w:rsidRDefault="00000000">
      <w:pPr>
        <w:spacing w:after="200"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4. RESULTS AND DISCUSSION</w:t>
      </w:r>
    </w:p>
    <w:p w14:paraId="00CDE835" w14:textId="79A09A5E" w:rsidR="007373F6" w:rsidRDefault="00000000">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r w:rsidR="00FC089A">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1 Determinants of IFRS Adoption</w:t>
      </w:r>
    </w:p>
    <w:p w14:paraId="7651E515"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Table 1 summarizes the basic statistics used in the probit model (1). Panel A presents the descriptive statistics and Panel B provides the correlation coefficient matrix. According to Panel B, for both the Pearson’s product-moment correlation coefficient and Spearman’s rank correlation coefficient, </w:t>
      </w:r>
      <w:r>
        <w:rPr>
          <w:rFonts w:ascii="Times New Roman" w:eastAsia="Times New Roman" w:hAnsi="Times New Roman" w:cs="Times New Roman"/>
          <w:i/>
          <w:color w:val="000000"/>
          <w:sz w:val="24"/>
          <w:szCs w:val="24"/>
        </w:rPr>
        <w:t>IFRS</w:t>
      </w:r>
      <w:r>
        <w:rPr>
          <w:rFonts w:ascii="Times New Roman" w:eastAsia="Times New Roman" w:hAnsi="Times New Roman" w:cs="Times New Roman"/>
          <w:color w:val="000000"/>
          <w:sz w:val="24"/>
          <w:szCs w:val="24"/>
        </w:rPr>
        <w:t xml:space="preserve"> is positively correlated with </w:t>
      </w:r>
      <w:r>
        <w:rPr>
          <w:rFonts w:ascii="Times New Roman" w:eastAsia="Times New Roman" w:hAnsi="Times New Roman" w:cs="Times New Roman"/>
          <w:i/>
          <w:color w:val="000000"/>
          <w:sz w:val="24"/>
          <w:szCs w:val="24"/>
        </w:rPr>
        <w:t>FOREIGN HELD</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color w:val="000000"/>
          <w:sz w:val="24"/>
          <w:szCs w:val="24"/>
        </w:rPr>
        <w:t>GW</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color w:val="000000"/>
          <w:sz w:val="24"/>
          <w:szCs w:val="24"/>
        </w:rPr>
        <w:t>RD</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color w:val="000000"/>
          <w:sz w:val="24"/>
          <w:szCs w:val="24"/>
        </w:rPr>
        <w:t>FOREIGN SALES</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color w:val="000000"/>
          <w:sz w:val="24"/>
          <w:szCs w:val="24"/>
        </w:rPr>
        <w:t>SIZE</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color w:val="000000"/>
          <w:sz w:val="24"/>
          <w:szCs w:val="24"/>
        </w:rPr>
        <w:t>ROA</w:t>
      </w:r>
      <w:r>
        <w:rPr>
          <w:rFonts w:ascii="Times New Roman" w:eastAsia="Times New Roman" w:hAnsi="Times New Roman" w:cs="Times New Roman"/>
          <w:color w:val="000000"/>
          <w:sz w:val="24"/>
          <w:szCs w:val="24"/>
        </w:rPr>
        <w:t xml:space="preserve">, and </w:t>
      </w:r>
      <w:r>
        <w:rPr>
          <w:rFonts w:ascii="Times New Roman" w:eastAsia="Times New Roman" w:hAnsi="Times New Roman" w:cs="Times New Roman"/>
          <w:i/>
          <w:color w:val="000000"/>
          <w:sz w:val="24"/>
          <w:szCs w:val="24"/>
        </w:rPr>
        <w:t>DEBT</w:t>
      </w:r>
      <w:r>
        <w:rPr>
          <w:rFonts w:ascii="Times New Roman" w:eastAsia="Times New Roman" w:hAnsi="Times New Roman" w:cs="Times New Roman"/>
          <w:color w:val="000000"/>
          <w:sz w:val="24"/>
          <w:szCs w:val="24"/>
        </w:rPr>
        <w:t xml:space="preserve"> at the 1% significance level and negatively </w:t>
      </w:r>
      <w:r>
        <w:rPr>
          <w:rFonts w:ascii="Times New Roman" w:eastAsia="Times New Roman" w:hAnsi="Times New Roman" w:cs="Times New Roman"/>
          <w:color w:val="000000"/>
          <w:sz w:val="24"/>
          <w:szCs w:val="24"/>
        </w:rPr>
        <w:lastRenderedPageBreak/>
        <w:t xml:space="preserve">correlated with </w:t>
      </w:r>
      <w:r>
        <w:rPr>
          <w:rFonts w:ascii="Times New Roman" w:eastAsia="Times New Roman" w:hAnsi="Times New Roman" w:cs="Times New Roman"/>
          <w:i/>
          <w:color w:val="000000"/>
          <w:sz w:val="24"/>
          <w:szCs w:val="24"/>
        </w:rPr>
        <w:t>CROSS</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color w:val="000000"/>
          <w:sz w:val="24"/>
          <w:szCs w:val="24"/>
        </w:rPr>
        <w:t>CLOSELY HELD</w:t>
      </w:r>
      <w:r>
        <w:rPr>
          <w:rFonts w:ascii="Times New Roman" w:eastAsia="Times New Roman" w:hAnsi="Times New Roman" w:cs="Times New Roman"/>
          <w:color w:val="000000"/>
          <w:sz w:val="24"/>
          <w:szCs w:val="24"/>
        </w:rPr>
        <w:t xml:space="preserve">, and </w:t>
      </w:r>
      <w:r>
        <w:rPr>
          <w:rFonts w:ascii="Times New Roman" w:eastAsia="Times New Roman" w:hAnsi="Times New Roman" w:cs="Times New Roman"/>
          <w:i/>
          <w:color w:val="000000"/>
          <w:sz w:val="24"/>
          <w:szCs w:val="24"/>
        </w:rPr>
        <w:t>BTM</w:t>
      </w:r>
      <w:r>
        <w:rPr>
          <w:rFonts w:ascii="Times New Roman" w:eastAsia="Times New Roman" w:hAnsi="Times New Roman" w:cs="Times New Roman"/>
          <w:color w:val="000000"/>
          <w:sz w:val="24"/>
          <w:szCs w:val="24"/>
        </w:rPr>
        <w:t xml:space="preserve"> at the 1% significance level. The coefficients of </w:t>
      </w:r>
      <w:r>
        <w:rPr>
          <w:rFonts w:ascii="Times New Roman" w:eastAsia="Times New Roman" w:hAnsi="Times New Roman" w:cs="Times New Roman"/>
          <w:i/>
          <w:color w:val="000000"/>
          <w:sz w:val="24"/>
          <w:szCs w:val="24"/>
        </w:rPr>
        <w:t xml:space="preserve">AGE </w:t>
      </w:r>
      <w:r>
        <w:rPr>
          <w:rFonts w:ascii="Times New Roman" w:eastAsia="Times New Roman" w:hAnsi="Times New Roman" w:cs="Times New Roman"/>
          <w:color w:val="000000"/>
          <w:sz w:val="24"/>
          <w:szCs w:val="24"/>
        </w:rPr>
        <w:t>are mixed. The macroeconomic variables (</w:t>
      </w:r>
      <w:r>
        <w:rPr>
          <w:rFonts w:ascii="Times New Roman" w:eastAsia="Times New Roman" w:hAnsi="Times New Roman" w:cs="Times New Roman"/>
          <w:i/>
          <w:color w:val="000000"/>
          <w:sz w:val="24"/>
          <w:szCs w:val="24"/>
        </w:rPr>
        <w:t>IRD1</w:t>
      </w:r>
      <w:r>
        <w:rPr>
          <w:rFonts w:ascii="Times New Roman" w:eastAsia="Times New Roman" w:hAnsi="Times New Roman" w:cs="Times New Roman"/>
          <w:color w:val="000000"/>
          <w:sz w:val="24"/>
          <w:szCs w:val="24"/>
        </w:rPr>
        <w:t xml:space="preserve"> and </w:t>
      </w:r>
      <w:r>
        <w:rPr>
          <w:rFonts w:ascii="Times New Roman" w:eastAsia="Times New Roman" w:hAnsi="Times New Roman" w:cs="Times New Roman"/>
          <w:i/>
          <w:color w:val="000000"/>
          <w:sz w:val="24"/>
          <w:szCs w:val="24"/>
        </w:rPr>
        <w:t>IRD2</w:t>
      </w:r>
      <w:r>
        <w:rPr>
          <w:rFonts w:ascii="Times New Roman" w:eastAsia="Times New Roman" w:hAnsi="Times New Roman" w:cs="Times New Roman"/>
          <w:color w:val="000000"/>
          <w:sz w:val="24"/>
          <w:szCs w:val="24"/>
        </w:rPr>
        <w:t>) are not significant. These results are consistent with our prediction for the probit model (1) and those of previous studies (</w:t>
      </w:r>
      <w:proofErr w:type="spellStart"/>
      <w:r>
        <w:rPr>
          <w:rFonts w:ascii="Times New Roman" w:eastAsia="Times New Roman" w:hAnsi="Times New Roman" w:cs="Times New Roman"/>
          <w:color w:val="000000"/>
          <w:sz w:val="24"/>
          <w:szCs w:val="24"/>
        </w:rPr>
        <w:t>Kashiwazaki</w:t>
      </w:r>
      <w:proofErr w:type="spellEnd"/>
      <w:r>
        <w:rPr>
          <w:rFonts w:ascii="Times New Roman" w:eastAsia="Times New Roman" w:hAnsi="Times New Roman" w:cs="Times New Roman"/>
          <w:color w:val="000000"/>
          <w:sz w:val="24"/>
          <w:szCs w:val="24"/>
        </w:rPr>
        <w:t xml:space="preserve"> et al., 2019; Sato and Takeda, 2017) except for </w:t>
      </w:r>
      <w:r>
        <w:rPr>
          <w:rFonts w:ascii="Times New Roman" w:eastAsia="Times New Roman" w:hAnsi="Times New Roman" w:cs="Times New Roman"/>
          <w:i/>
          <w:color w:val="000000"/>
          <w:sz w:val="24"/>
          <w:szCs w:val="24"/>
        </w:rPr>
        <w:t>CLOSELY HELD</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color w:val="000000"/>
          <w:sz w:val="24"/>
          <w:szCs w:val="24"/>
        </w:rPr>
        <w:t>AGE</w:t>
      </w:r>
      <w:r>
        <w:rPr>
          <w:rFonts w:ascii="Times New Roman" w:eastAsia="Times New Roman" w:hAnsi="Times New Roman" w:cs="Times New Roman"/>
          <w:color w:val="000000"/>
          <w:sz w:val="24"/>
          <w:szCs w:val="24"/>
        </w:rPr>
        <w:t>,</w:t>
      </w:r>
      <w:r>
        <w:rPr>
          <w:rFonts w:ascii="Times New Roman" w:eastAsia="Times New Roman" w:hAnsi="Times New Roman" w:cs="Times New Roman"/>
          <w:i/>
          <w:color w:val="000000"/>
          <w:sz w:val="24"/>
          <w:szCs w:val="24"/>
        </w:rPr>
        <w:t xml:space="preserve"> DEBT</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color w:val="000000"/>
          <w:sz w:val="24"/>
          <w:szCs w:val="24"/>
        </w:rPr>
        <w:t>IRD1</w:t>
      </w:r>
      <w:r>
        <w:rPr>
          <w:rFonts w:ascii="Times New Roman" w:eastAsia="Times New Roman" w:hAnsi="Times New Roman" w:cs="Times New Roman"/>
          <w:color w:val="000000"/>
          <w:sz w:val="24"/>
          <w:szCs w:val="24"/>
        </w:rPr>
        <w:t xml:space="preserve"> and </w:t>
      </w:r>
      <w:r>
        <w:rPr>
          <w:rFonts w:ascii="Times New Roman" w:eastAsia="Times New Roman" w:hAnsi="Times New Roman" w:cs="Times New Roman"/>
          <w:i/>
          <w:color w:val="000000"/>
          <w:sz w:val="24"/>
          <w:szCs w:val="24"/>
        </w:rPr>
        <w:t xml:space="preserve">IRD2. </w:t>
      </w:r>
    </w:p>
    <w:p w14:paraId="3ECE60CC"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(Table 1)</w:t>
      </w:r>
    </w:p>
    <w:p w14:paraId="0E645565"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Table 2 reports the estimation results of probit model (1) for all listed Japanese firms for the period 2010–2023. The results show a heteroskedasticity-robust estimator based on the results of the White and Brochu-Pagan tests. For all models, the signs of the coefficients are the same as expected, except for DEBT that has insignificant coefficients. </w:t>
      </w:r>
    </w:p>
    <w:p w14:paraId="3A2CAAA8"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(Table 2)</w:t>
      </w:r>
    </w:p>
    <w:p w14:paraId="5E9BB3E4" w14:textId="77777777" w:rsidR="007373F6" w:rsidRDefault="00000000" w:rsidP="00CA3E0F">
      <w:pPr>
        <w:pBdr>
          <w:top w:val="nil"/>
          <w:left w:val="nil"/>
          <w:bottom w:val="nil"/>
          <w:right w:val="nil"/>
          <w:between w:val="nil"/>
        </w:pBd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Table 3 provides the basic statistics used for the DID analysis. Panel A presents the descriptive statistics for IFRS adopters and their matched non-adopters, based on propensity score matching. Panel B presents the results of the balancing tests after matching. Except for </w:t>
      </w:r>
      <w:r>
        <w:rPr>
          <w:rFonts w:ascii="Times New Roman" w:eastAsia="Times New Roman" w:hAnsi="Times New Roman" w:cs="Times New Roman"/>
          <w:i/>
          <w:color w:val="000000"/>
          <w:sz w:val="24"/>
          <w:szCs w:val="24"/>
        </w:rPr>
        <w:t>RD</w:t>
      </w:r>
      <w:r>
        <w:rPr>
          <w:rFonts w:ascii="Times New Roman" w:eastAsia="Times New Roman" w:hAnsi="Times New Roman" w:cs="Times New Roman"/>
          <w:color w:val="000000"/>
          <w:sz w:val="24"/>
          <w:szCs w:val="24"/>
        </w:rPr>
        <w:t xml:space="preserve">, the means of all variables do not differ significantly between IFRS adopters and non-adopters. Panel C presents the correlation coefficient matrix. For both Pearson’s product-moment correlation coefficient and Spearman’s rank correlation coefficient, </w:t>
      </w:r>
      <w:r>
        <w:rPr>
          <w:rFonts w:ascii="Times New Roman" w:eastAsia="Times New Roman" w:hAnsi="Times New Roman" w:cs="Times New Roman"/>
          <w:i/>
          <w:color w:val="000000"/>
          <w:sz w:val="24"/>
          <w:szCs w:val="24"/>
        </w:rPr>
        <w:t>FOREIGN HELD</w:t>
      </w:r>
      <w:r>
        <w:rPr>
          <w:rFonts w:ascii="Times New Roman" w:eastAsia="Times New Roman" w:hAnsi="Times New Roman" w:cs="Times New Roman"/>
          <w:color w:val="000000"/>
          <w:sz w:val="24"/>
          <w:szCs w:val="24"/>
        </w:rPr>
        <w:t xml:space="preserve"> is positively associated with </w:t>
      </w:r>
      <w:r>
        <w:rPr>
          <w:rFonts w:ascii="Times New Roman" w:eastAsia="Times New Roman" w:hAnsi="Times New Roman" w:cs="Times New Roman"/>
          <w:i/>
          <w:color w:val="000000"/>
          <w:sz w:val="24"/>
          <w:szCs w:val="24"/>
        </w:rPr>
        <w:t>POST</w:t>
      </w:r>
      <w:r>
        <w:rPr>
          <w:rFonts w:ascii="Times New Roman" w:eastAsia="Times New Roman" w:hAnsi="Times New Roman" w:cs="Times New Roman"/>
          <w:color w:val="000000"/>
          <w:sz w:val="24"/>
          <w:szCs w:val="24"/>
        </w:rPr>
        <w:t xml:space="preserve"> at the 1% significance level, while it is not significantly associated with </w:t>
      </w:r>
      <w:r>
        <w:rPr>
          <w:rFonts w:ascii="Times New Roman" w:eastAsia="Times New Roman" w:hAnsi="Times New Roman" w:cs="Times New Roman"/>
          <w:i/>
          <w:color w:val="000000"/>
          <w:sz w:val="24"/>
          <w:szCs w:val="24"/>
        </w:rPr>
        <w:t>IFRS</w:t>
      </w:r>
      <w:r>
        <w:rPr>
          <w:rFonts w:ascii="Times New Roman" w:eastAsia="Times New Roman" w:hAnsi="Times New Roman" w:cs="Times New Roman"/>
          <w:color w:val="000000"/>
          <w:sz w:val="24"/>
          <w:szCs w:val="24"/>
        </w:rPr>
        <w:t xml:space="preserve">.  The signs of the coefficients are mixed for </w:t>
      </w:r>
      <w:r>
        <w:rPr>
          <w:rFonts w:ascii="Times New Roman" w:eastAsia="Times New Roman" w:hAnsi="Times New Roman" w:cs="Times New Roman"/>
          <w:i/>
          <w:color w:val="000000"/>
          <w:sz w:val="24"/>
          <w:szCs w:val="24"/>
        </w:rPr>
        <w:t>CROSS</w:t>
      </w:r>
      <w:r>
        <w:rPr>
          <w:rFonts w:ascii="Times New Roman" w:eastAsia="Times New Roman" w:hAnsi="Times New Roman" w:cs="Times New Roman"/>
          <w:color w:val="000000"/>
          <w:sz w:val="24"/>
          <w:szCs w:val="24"/>
        </w:rPr>
        <w:t xml:space="preserve"> and </w:t>
      </w:r>
      <w:r>
        <w:rPr>
          <w:rFonts w:ascii="Times New Roman" w:eastAsia="Times New Roman" w:hAnsi="Times New Roman" w:cs="Times New Roman"/>
          <w:i/>
          <w:color w:val="000000"/>
          <w:sz w:val="24"/>
          <w:szCs w:val="24"/>
        </w:rPr>
        <w:t>BUYBACKS</w:t>
      </w:r>
      <w:r>
        <w:rPr>
          <w:rFonts w:ascii="Times New Roman" w:eastAsia="Times New Roman" w:hAnsi="Times New Roman" w:cs="Times New Roman"/>
          <w:color w:val="000000"/>
          <w:sz w:val="24"/>
          <w:szCs w:val="24"/>
        </w:rPr>
        <w:t xml:space="preserve"> between Pearson’s and Spearman’s. Panel D presents the industry distribution of the voluntary IFRS adopters included in the analysis.</w:t>
      </w:r>
    </w:p>
    <w:p w14:paraId="165108E6" w14:textId="77777777" w:rsidR="007373F6" w:rsidRDefault="00000000" w:rsidP="00CA3E0F">
      <w:pPr>
        <w:pBdr>
          <w:top w:val="nil"/>
          <w:left w:val="nil"/>
          <w:bottom w:val="nil"/>
          <w:right w:val="nil"/>
          <w:between w:val="nil"/>
        </w:pBd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(Table 3)</w:t>
      </w:r>
    </w:p>
    <w:p w14:paraId="3DCF1594" w14:textId="77777777" w:rsidR="007373F6" w:rsidRDefault="00000000" w:rsidP="00CA3E0F">
      <w:pPr>
        <w:pBdr>
          <w:top w:val="nil"/>
          <w:left w:val="nil"/>
          <w:bottom w:val="nil"/>
          <w:right w:val="nil"/>
          <w:between w:val="nil"/>
        </w:pBd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Table 4 presents the results of the univariate DID analysis of the four foreign shareholder-related variables of IFRS adopters and their matched non-adopters between Pre-IFRS and Post-IFRS. Pre-IFRS indicates the period before IFRS adoption, whereas Post-IFRS indicates the period after adoption. Panels A and B correspond to the results of </w:t>
      </w:r>
      <m:oMath>
        <m:r>
          <w:rPr>
            <w:rFonts w:ascii="Cambria Math" w:eastAsia="Cambria Math" w:hAnsi="Cambria Math" w:cs="Cambria Math"/>
            <w:color w:val="000000"/>
            <w:sz w:val="24"/>
            <w:szCs w:val="24"/>
          </w:rPr>
          <m:t>FOREIGN HELD</m:t>
        </m:r>
      </m:oMath>
      <w:r>
        <w:rPr>
          <w:rFonts w:ascii="Times New Roman" w:eastAsia="Times New Roman" w:hAnsi="Times New Roman" w:cs="Times New Roman"/>
          <w:color w:val="000000"/>
          <w:sz w:val="24"/>
          <w:szCs w:val="24"/>
        </w:rPr>
        <w:t xml:space="preserve">and </w:t>
      </w:r>
      <m:oMath>
        <m:r>
          <w:rPr>
            <w:rFonts w:ascii="Cambria Math" w:eastAsia="Cambria Math" w:hAnsi="Cambria Math" w:cs="Cambria Math"/>
            <w:color w:val="000000"/>
            <w:sz w:val="24"/>
            <w:szCs w:val="24"/>
          </w:rPr>
          <m:t>FOREIGN HELD NUM</m:t>
        </m:r>
      </m:oMath>
      <w:r>
        <w:rPr>
          <w:rFonts w:ascii="Times New Roman" w:eastAsia="Times New Roman" w:hAnsi="Times New Roman" w:cs="Times New Roman"/>
          <w:color w:val="000000"/>
          <w:sz w:val="24"/>
          <w:szCs w:val="24"/>
        </w:rPr>
        <w:t xml:space="preserve">. </w:t>
      </w:r>
    </w:p>
    <w:p w14:paraId="4C7BA72E" w14:textId="77777777" w:rsidR="007373F6" w:rsidRDefault="00000000" w:rsidP="00CA3E0F">
      <w:pPr>
        <w:pBdr>
          <w:top w:val="nil"/>
          <w:left w:val="nil"/>
          <w:bottom w:val="nil"/>
          <w:right w:val="nil"/>
          <w:between w:val="nil"/>
        </w:pBd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(Table 4)</w:t>
      </w:r>
    </w:p>
    <w:p w14:paraId="3EC97670"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Before voluntary IFRS adoption, Panel A shows that the foreign shareholder ratio (</w:t>
      </w:r>
      <m:oMath>
        <m:r>
          <w:rPr>
            <w:rFonts w:ascii="Cambria Math" w:eastAsia="Cambria Math" w:hAnsi="Cambria Math" w:cs="Cambria Math"/>
            <w:color w:val="000000"/>
            <w:sz w:val="24"/>
            <w:szCs w:val="24"/>
          </w:rPr>
          <m:t>FOREIGN HELD</m:t>
        </m:r>
      </m:oMath>
      <w:r>
        <w:rPr>
          <w:rFonts w:ascii="Times New Roman" w:eastAsia="Times New Roman" w:hAnsi="Times New Roman" w:cs="Times New Roman"/>
          <w:color w:val="000000"/>
          <w:sz w:val="24"/>
          <w:szCs w:val="24"/>
        </w:rPr>
        <w:t>) is not significantly different between IFRS adopters and non-adopters in Pre-IFRS period. Panel B shows that the number of foreign shareholders (</w:t>
      </w:r>
      <m:oMath>
        <m:r>
          <w:rPr>
            <w:rFonts w:ascii="Cambria Math" w:eastAsia="Cambria Math" w:hAnsi="Cambria Math" w:cs="Cambria Math"/>
            <w:color w:val="000000"/>
            <w:sz w:val="24"/>
            <w:szCs w:val="24"/>
          </w:rPr>
          <m:t>FOREIGN HELD NUM</m:t>
        </m:r>
      </m:oMath>
      <w:r>
        <w:rPr>
          <w:rFonts w:ascii="Times New Roman" w:eastAsia="Times New Roman" w:hAnsi="Times New Roman" w:cs="Times New Roman"/>
          <w:color w:val="000000"/>
          <w:sz w:val="24"/>
          <w:szCs w:val="24"/>
        </w:rPr>
        <w:t>) is significantly higher among non-adopters than among IFRS adopters. After voluntary IFRS adoption, Panels A and B show that both IFRS adopters and non-adopters significantly increase foreign shareholder ratios (</w:t>
      </w:r>
      <m:oMath>
        <m:r>
          <w:rPr>
            <w:rFonts w:ascii="Cambria Math" w:eastAsia="Cambria Math" w:hAnsi="Cambria Math" w:cs="Cambria Math"/>
            <w:color w:val="000000"/>
            <w:sz w:val="24"/>
            <w:szCs w:val="24"/>
          </w:rPr>
          <m:t>FOREIGN HELD</m:t>
        </m:r>
      </m:oMath>
      <w:r>
        <w:rPr>
          <w:rFonts w:ascii="Times New Roman" w:eastAsia="Times New Roman" w:hAnsi="Times New Roman" w:cs="Times New Roman"/>
          <w:color w:val="000000"/>
          <w:sz w:val="24"/>
          <w:szCs w:val="24"/>
        </w:rPr>
        <w:t>)  and the number of foreign shareholders (</w:t>
      </w:r>
      <m:oMath>
        <m:r>
          <w:rPr>
            <w:rFonts w:ascii="Cambria Math" w:eastAsia="Cambria Math" w:hAnsi="Cambria Math" w:cs="Cambria Math"/>
            <w:color w:val="000000"/>
            <w:sz w:val="24"/>
            <w:szCs w:val="24"/>
          </w:rPr>
          <m:t>FOREIGN HELD NUM</m:t>
        </m:r>
      </m:oMath>
      <w:r>
        <w:rPr>
          <w:rFonts w:ascii="Times New Roman" w:eastAsia="Times New Roman" w:hAnsi="Times New Roman" w:cs="Times New Roman"/>
          <w:color w:val="000000"/>
          <w:sz w:val="24"/>
          <w:szCs w:val="24"/>
        </w:rPr>
        <w:t>). In Post-IFRS period, while the number of foreign shareholders (</w:t>
      </w:r>
      <m:oMath>
        <m:r>
          <w:rPr>
            <w:rFonts w:ascii="Cambria Math" w:eastAsia="Cambria Math" w:hAnsi="Cambria Math" w:cs="Cambria Math"/>
            <w:color w:val="000000"/>
            <w:sz w:val="24"/>
            <w:szCs w:val="24"/>
          </w:rPr>
          <m:t>FOREIGN HELD NUM</m:t>
        </m:r>
      </m:oMath>
      <w:r>
        <w:rPr>
          <w:rFonts w:ascii="Times New Roman" w:eastAsia="Times New Roman" w:hAnsi="Times New Roman" w:cs="Times New Roman"/>
          <w:color w:val="000000"/>
          <w:sz w:val="24"/>
          <w:szCs w:val="24"/>
        </w:rPr>
        <w:t>) is still larger for non-adopters, the foreign shareholders’ ratio (</w:t>
      </w:r>
      <m:oMath>
        <m:r>
          <w:rPr>
            <w:rFonts w:ascii="Cambria Math" w:eastAsia="Cambria Math" w:hAnsi="Cambria Math" w:cs="Cambria Math"/>
            <w:color w:val="000000"/>
            <w:sz w:val="24"/>
            <w:szCs w:val="24"/>
          </w:rPr>
          <m:t>FOREIGN HELD</m:t>
        </m:r>
      </m:oMath>
      <w:r>
        <w:rPr>
          <w:rFonts w:ascii="Times New Roman" w:eastAsia="Times New Roman" w:hAnsi="Times New Roman" w:cs="Times New Roman"/>
          <w:color w:val="000000"/>
          <w:sz w:val="24"/>
          <w:szCs w:val="24"/>
        </w:rPr>
        <w:t xml:space="preserve">) also becomes larger for non-adopters. Thus, the univariate analysis does not indicate that IFRS adoption increases foreign investment. </w:t>
      </w:r>
    </w:p>
    <w:p w14:paraId="51D181A6" w14:textId="77777777" w:rsidR="007373F6" w:rsidRDefault="007373F6">
      <w:pPr>
        <w:spacing w:after="0" w:line="240" w:lineRule="auto"/>
        <w:jc w:val="both"/>
        <w:rPr>
          <w:rFonts w:ascii="Times New Roman" w:eastAsia="Times New Roman" w:hAnsi="Times New Roman" w:cs="Times New Roman"/>
          <w:color w:val="000000"/>
          <w:sz w:val="24"/>
          <w:szCs w:val="24"/>
        </w:rPr>
      </w:pPr>
    </w:p>
    <w:p w14:paraId="6D67AAC6" w14:textId="093ADD8B" w:rsidR="007373F6" w:rsidRDefault="00000000">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r w:rsidR="00FC089A">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2 Factors Affecting the Foreign Shareholder Ratio</w:t>
      </w:r>
    </w:p>
    <w:p w14:paraId="3D0F563B"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Table 5 presents the estimation results of multivariate regression model (2). As a robustness check, we replace the dependent variable </w:t>
      </w:r>
      <m:oMath>
        <m:r>
          <w:rPr>
            <w:rFonts w:ascii="Cambria Math" w:eastAsia="Cambria Math" w:hAnsi="Cambria Math" w:cs="Cambria Math"/>
            <w:color w:val="000000"/>
            <w:sz w:val="24"/>
            <w:szCs w:val="24"/>
          </w:rPr>
          <m:t xml:space="preserve">FOREIGN HELD </m:t>
        </m:r>
      </m:oMath>
      <w:r>
        <w:rPr>
          <w:rFonts w:ascii="Times New Roman" w:eastAsia="Times New Roman" w:hAnsi="Times New Roman" w:cs="Times New Roman"/>
          <w:color w:val="000000"/>
          <w:sz w:val="24"/>
          <w:szCs w:val="24"/>
        </w:rPr>
        <w:t xml:space="preserve">in Panel A with an alternative variable related to </w:t>
      </w:r>
      <w:r>
        <w:rPr>
          <w:rFonts w:ascii="Times New Roman" w:eastAsia="Times New Roman" w:hAnsi="Times New Roman" w:cs="Times New Roman"/>
          <w:color w:val="000000"/>
          <w:sz w:val="24"/>
          <w:szCs w:val="24"/>
          <w:highlight w:val="white"/>
        </w:rPr>
        <w:t>the foreign shareholder ratio</w:t>
      </w:r>
      <w:r>
        <w:rPr>
          <w:rFonts w:ascii="Times New Roman" w:eastAsia="Times New Roman" w:hAnsi="Times New Roman" w:cs="Times New Roman"/>
          <w:color w:val="000000"/>
          <w:sz w:val="24"/>
          <w:szCs w:val="24"/>
        </w:rPr>
        <w:t xml:space="preserve">, </w:t>
      </w:r>
      <m:oMath>
        <m:r>
          <w:rPr>
            <w:rFonts w:ascii="Cambria Math" w:eastAsia="Cambria Math" w:hAnsi="Cambria Math" w:cs="Cambria Math"/>
            <w:color w:val="000000"/>
            <w:sz w:val="24"/>
            <w:szCs w:val="24"/>
          </w:rPr>
          <m:t>FOREIGN HELD NUM</m:t>
        </m:r>
      </m:oMath>
      <w:r>
        <w:rPr>
          <w:rFonts w:ascii="Times New Roman" w:eastAsia="Times New Roman" w:hAnsi="Times New Roman" w:cs="Times New Roman"/>
          <w:color w:val="000000"/>
          <w:sz w:val="24"/>
          <w:szCs w:val="24"/>
        </w:rPr>
        <w:t xml:space="preserve">  in Panel B. The results show a heteroskedasticity-robust estimator based on the results of the White and Brochu-Pagan tests. </w:t>
      </w:r>
    </w:p>
    <w:p w14:paraId="106BE948"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(Table 5)</w:t>
      </w:r>
    </w:p>
    <w:p w14:paraId="16E12C73"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 Panel A, the </w:t>
      </w:r>
      <w:r>
        <w:rPr>
          <w:rFonts w:ascii="Times New Roman" w:eastAsia="Times New Roman" w:hAnsi="Times New Roman" w:cs="Times New Roman"/>
          <w:i/>
          <w:color w:val="000000"/>
          <w:sz w:val="24"/>
          <w:szCs w:val="24"/>
        </w:rPr>
        <w:t>IFRS</w:t>
      </w:r>
      <w:r>
        <w:rPr>
          <w:rFonts w:ascii="Times New Roman" w:eastAsia="Times New Roman" w:hAnsi="Times New Roman" w:cs="Times New Roman"/>
          <w:color w:val="000000"/>
          <w:sz w:val="24"/>
          <w:szCs w:val="24"/>
        </w:rPr>
        <w:t xml:space="preserve"> dummy variable has significantly negative coefficients in all models, whereas </w:t>
      </w:r>
      <w:r>
        <w:rPr>
          <w:rFonts w:ascii="Times New Roman" w:eastAsia="Times New Roman" w:hAnsi="Times New Roman" w:cs="Times New Roman"/>
          <w:i/>
          <w:color w:val="000000"/>
          <w:sz w:val="24"/>
          <w:szCs w:val="24"/>
        </w:rPr>
        <w:t>POST</w:t>
      </w:r>
      <w:r>
        <w:rPr>
          <w:rFonts w:ascii="Times New Roman" w:eastAsia="Times New Roman" w:hAnsi="Times New Roman" w:cs="Times New Roman"/>
          <w:color w:val="000000"/>
          <w:sz w:val="24"/>
          <w:szCs w:val="24"/>
        </w:rPr>
        <w:t xml:space="preserve"> has significantly positive coefficients at the 5% level in all models except Model [5]. Our target interaction term, </w:t>
      </w:r>
      <m:oMath>
        <m:r>
          <w:rPr>
            <w:rFonts w:ascii="Cambria Math" w:eastAsia="Cambria Math" w:hAnsi="Cambria Math" w:cs="Cambria Math"/>
            <w:color w:val="000000"/>
            <w:sz w:val="24"/>
            <w:szCs w:val="24"/>
          </w:rPr>
          <m:t>IFRS×POST</m:t>
        </m:r>
      </m:oMath>
      <w:r>
        <w:rPr>
          <w:rFonts w:ascii="Times New Roman" w:eastAsia="Times New Roman" w:hAnsi="Times New Roman" w:cs="Times New Roman"/>
          <w:color w:val="000000"/>
          <w:sz w:val="24"/>
          <w:szCs w:val="24"/>
        </w:rPr>
        <w:t xml:space="preserve">, has significantly positive coefficients at the 1% level for all models. These results are consistent with our hypothesis. In other words, voluntary </w:t>
      </w:r>
      <w:r>
        <w:rPr>
          <w:rFonts w:ascii="Times New Roman" w:eastAsia="Times New Roman" w:hAnsi="Times New Roman" w:cs="Times New Roman"/>
          <w:color w:val="000000"/>
          <w:sz w:val="24"/>
          <w:szCs w:val="24"/>
        </w:rPr>
        <w:lastRenderedPageBreak/>
        <w:t xml:space="preserve">IFRS adoption increases foreign shareholder ratios in listed Japanese companies. These results are consistent with our hypothesis. Regarding the variables related to corporate governance transition, in all the models, </w:t>
      </w:r>
      <w:r>
        <w:rPr>
          <w:rFonts w:ascii="Times New Roman" w:eastAsia="Times New Roman" w:hAnsi="Times New Roman" w:cs="Times New Roman"/>
          <w:i/>
          <w:color w:val="000000"/>
          <w:sz w:val="24"/>
          <w:szCs w:val="24"/>
        </w:rPr>
        <w:t>BUYBACK</w:t>
      </w:r>
      <w:r>
        <w:rPr>
          <w:rFonts w:ascii="Times New Roman" w:eastAsia="Times New Roman" w:hAnsi="Times New Roman" w:cs="Times New Roman"/>
          <w:color w:val="000000"/>
          <w:sz w:val="24"/>
          <w:szCs w:val="24"/>
        </w:rPr>
        <w:t xml:space="preserve"> has significantly negative coefficients at the 1% level, whereas </w:t>
      </w:r>
      <w:r>
        <w:rPr>
          <w:rFonts w:ascii="Times New Roman" w:eastAsia="Times New Roman" w:hAnsi="Times New Roman" w:cs="Times New Roman"/>
          <w:i/>
          <w:color w:val="000000"/>
          <w:sz w:val="24"/>
          <w:szCs w:val="24"/>
        </w:rPr>
        <w:t>CROSS</w:t>
      </w:r>
      <w:r>
        <w:rPr>
          <w:rFonts w:ascii="Times New Roman" w:eastAsia="Times New Roman" w:hAnsi="Times New Roman" w:cs="Times New Roman"/>
          <w:color w:val="000000"/>
          <w:sz w:val="24"/>
          <w:szCs w:val="24"/>
        </w:rPr>
        <w:t xml:space="preserve"> does not have significant coefficients. These results indicate that the room for foreign shareholders is reduced by share buybacks but is not affected by the decline in cross-shareholdings. These results are consistent with Miyajima and Saito’s (2023) claim that firms conduct share buybacks using the money created by reducing cross-shareholdings. Panel B provides similar results to Panel A, showing positive coefficients for </w:t>
      </w:r>
      <w:r>
        <w:rPr>
          <w:rFonts w:ascii="Times New Roman" w:eastAsia="Times New Roman" w:hAnsi="Times New Roman" w:cs="Times New Roman"/>
          <w:i/>
          <w:color w:val="000000"/>
          <w:sz w:val="24"/>
          <w:szCs w:val="24"/>
        </w:rPr>
        <w:t>POST</w:t>
      </w:r>
      <w:r>
        <w:rPr>
          <w:rFonts w:ascii="Times New Roman" w:eastAsia="Times New Roman" w:hAnsi="Times New Roman" w:cs="Times New Roman"/>
          <w:color w:val="000000"/>
          <w:sz w:val="24"/>
          <w:szCs w:val="24"/>
        </w:rPr>
        <w:t xml:space="preserve"> and the interaction (</w:t>
      </w:r>
      <m:oMath>
        <m:r>
          <w:rPr>
            <w:rFonts w:ascii="Cambria Math" w:eastAsia="Cambria Math" w:hAnsi="Cambria Math" w:cs="Cambria Math"/>
            <w:color w:val="000000"/>
            <w:sz w:val="24"/>
            <w:szCs w:val="24"/>
          </w:rPr>
          <m:t>IFRS×POST</m:t>
        </m:r>
      </m:oMath>
      <w:r>
        <w:rPr>
          <w:rFonts w:ascii="Times New Roman" w:eastAsia="Times New Roman" w:hAnsi="Times New Roman" w:cs="Times New Roman"/>
          <w:color w:val="000000"/>
          <w:sz w:val="24"/>
          <w:szCs w:val="24"/>
        </w:rPr>
        <w:t xml:space="preserve">) and negative coefficients for </w:t>
      </w:r>
      <w:r>
        <w:rPr>
          <w:rFonts w:ascii="Times New Roman" w:eastAsia="Times New Roman" w:hAnsi="Times New Roman" w:cs="Times New Roman"/>
          <w:i/>
          <w:color w:val="000000"/>
          <w:sz w:val="24"/>
          <w:szCs w:val="24"/>
        </w:rPr>
        <w:t>BUYBACK</w:t>
      </w:r>
      <w:r>
        <w:rPr>
          <w:rFonts w:ascii="Times New Roman" w:eastAsia="Times New Roman" w:hAnsi="Times New Roman" w:cs="Times New Roman"/>
          <w:color w:val="000000"/>
          <w:sz w:val="24"/>
          <w:szCs w:val="24"/>
        </w:rPr>
        <w:t xml:space="preserve">. </w:t>
      </w:r>
    </w:p>
    <w:p w14:paraId="57730195"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As a robustness check, we estimate the multivariate regression model (2) using </w:t>
      </w:r>
      <w:proofErr w:type="spellStart"/>
      <w:r>
        <w:rPr>
          <w:rFonts w:ascii="Times New Roman" w:eastAsia="Times New Roman" w:hAnsi="Times New Roman" w:cs="Times New Roman"/>
          <w:color w:val="000000"/>
          <w:sz w:val="24"/>
          <w:szCs w:val="24"/>
        </w:rPr>
        <w:t>winsorized</w:t>
      </w:r>
      <w:proofErr w:type="spellEnd"/>
      <w:r>
        <w:rPr>
          <w:rFonts w:ascii="Times New Roman" w:eastAsia="Times New Roman" w:hAnsi="Times New Roman" w:cs="Times New Roman"/>
          <w:color w:val="000000"/>
          <w:sz w:val="24"/>
          <w:szCs w:val="24"/>
        </w:rPr>
        <w:t xml:space="preserve"> variables. The results are presented in Table 6, which is based on ordinary least squares estimation and shows a heteroscedasticity-robust estimator based on the results of the White and Brochu-Pagan tests. All continuous variables are </w:t>
      </w:r>
      <w:proofErr w:type="spellStart"/>
      <w:r>
        <w:rPr>
          <w:rFonts w:ascii="Times New Roman" w:eastAsia="Times New Roman" w:hAnsi="Times New Roman" w:cs="Times New Roman"/>
          <w:color w:val="000000"/>
          <w:sz w:val="24"/>
          <w:szCs w:val="24"/>
        </w:rPr>
        <w:t>winsorized</w:t>
      </w:r>
      <w:proofErr w:type="spellEnd"/>
      <w:r>
        <w:rPr>
          <w:rFonts w:ascii="Times New Roman" w:eastAsia="Times New Roman" w:hAnsi="Times New Roman" w:cs="Times New Roman"/>
          <w:color w:val="000000"/>
          <w:sz w:val="24"/>
          <w:szCs w:val="24"/>
        </w:rPr>
        <w:t xml:space="preserve"> at the 1st/99th percentiles to mitigate the influence of outliers. These results are similar to those shown in Panel A of Table 5. For all models, the coefficients on </w:t>
      </w:r>
      <w:r>
        <w:rPr>
          <w:rFonts w:ascii="Times New Roman" w:eastAsia="Times New Roman" w:hAnsi="Times New Roman" w:cs="Times New Roman"/>
          <w:i/>
          <w:color w:val="000000"/>
          <w:sz w:val="24"/>
          <w:szCs w:val="24"/>
        </w:rPr>
        <w:t>IFRS</w:t>
      </w:r>
      <w:r>
        <w:rPr>
          <w:rFonts w:ascii="Times New Roman" w:eastAsia="Times New Roman" w:hAnsi="Times New Roman" w:cs="Times New Roman"/>
          <w:color w:val="000000"/>
          <w:sz w:val="24"/>
          <w:szCs w:val="24"/>
        </w:rPr>
        <w:t xml:space="preserve"> are significantly negative at the 10% level; </w:t>
      </w:r>
      <w:r>
        <w:rPr>
          <w:rFonts w:ascii="Times New Roman" w:eastAsia="Times New Roman" w:hAnsi="Times New Roman" w:cs="Times New Roman"/>
          <w:i/>
          <w:color w:val="000000"/>
          <w:sz w:val="24"/>
          <w:szCs w:val="24"/>
        </w:rPr>
        <w:t>POST</w:t>
      </w:r>
      <w:r>
        <w:rPr>
          <w:rFonts w:ascii="Times New Roman" w:eastAsia="Times New Roman" w:hAnsi="Times New Roman" w:cs="Times New Roman"/>
          <w:color w:val="000000"/>
          <w:sz w:val="24"/>
          <w:szCs w:val="24"/>
        </w:rPr>
        <w:t xml:space="preserve"> has significantly positive coefficients at the 5% level, except for Model [5]; the interaction term, </w:t>
      </w:r>
      <m:oMath>
        <m:r>
          <w:rPr>
            <w:rFonts w:ascii="Cambria Math" w:eastAsia="Cambria Math" w:hAnsi="Cambria Math" w:cs="Cambria Math"/>
            <w:color w:val="000000"/>
            <w:sz w:val="24"/>
            <w:szCs w:val="24"/>
          </w:rPr>
          <m:t>IFRS×POST</m:t>
        </m:r>
      </m:oMath>
      <w:r>
        <w:rPr>
          <w:rFonts w:ascii="Times New Roman" w:eastAsia="Times New Roman" w:hAnsi="Times New Roman" w:cs="Times New Roman"/>
          <w:color w:val="000000"/>
          <w:sz w:val="24"/>
          <w:szCs w:val="24"/>
        </w:rPr>
        <w:t xml:space="preserve">, and </w:t>
      </w:r>
      <w:r>
        <w:rPr>
          <w:rFonts w:ascii="Times New Roman" w:eastAsia="Times New Roman" w:hAnsi="Times New Roman" w:cs="Times New Roman"/>
          <w:i/>
          <w:color w:val="000000"/>
          <w:sz w:val="24"/>
          <w:szCs w:val="24"/>
        </w:rPr>
        <w:t>BUYBACK</w:t>
      </w:r>
      <w:r>
        <w:rPr>
          <w:rFonts w:ascii="Times New Roman" w:eastAsia="Times New Roman" w:hAnsi="Times New Roman" w:cs="Times New Roman"/>
          <w:color w:val="000000"/>
          <w:sz w:val="24"/>
          <w:szCs w:val="24"/>
        </w:rPr>
        <w:t xml:space="preserve"> have significantly positive coefficients at the 1% level; and coefficients on </w:t>
      </w:r>
      <w:r>
        <w:rPr>
          <w:rFonts w:ascii="Times New Roman" w:eastAsia="Times New Roman" w:hAnsi="Times New Roman" w:cs="Times New Roman"/>
          <w:i/>
          <w:color w:val="000000"/>
          <w:sz w:val="24"/>
          <w:szCs w:val="24"/>
        </w:rPr>
        <w:t>CROSS</w:t>
      </w:r>
      <w:r>
        <w:rPr>
          <w:rFonts w:ascii="Times New Roman" w:eastAsia="Times New Roman" w:hAnsi="Times New Roman" w:cs="Times New Roman"/>
          <w:color w:val="000000"/>
          <w:sz w:val="24"/>
          <w:szCs w:val="24"/>
        </w:rPr>
        <w:t xml:space="preserve"> are statistically insignificant.</w:t>
      </w:r>
    </w:p>
    <w:p w14:paraId="721087BE"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(Table 6)</w:t>
      </w:r>
    </w:p>
    <w:p w14:paraId="7F348353"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Overall, our analysis is consistent with the hypothesis that the foreign shareholder ratio of listed Japanese companies increases significantly after voluntary IFRS adoption when controlling for cross-shareholdings and share buybacks. These results are inconsistent with those reported by Kim et al. (2019). This study contributes to the literature in two ways. First, we combine recent findings on Japanese corporate governance with a survey of the effects of IFRS adoption by explicitly including cross-shareholdings and share buybacks. Second, we provide evidence that differs from the findings of a previous study that shows a positive correlation between IFRS adoption and the foreign shareholder ratio in Japan.</w:t>
      </w:r>
    </w:p>
    <w:p w14:paraId="1C9EF85F" w14:textId="77777777" w:rsidR="007373F6" w:rsidRDefault="007373F6">
      <w:pPr>
        <w:spacing w:after="0" w:line="240" w:lineRule="auto"/>
        <w:jc w:val="both"/>
        <w:rPr>
          <w:rFonts w:ascii="Times New Roman" w:eastAsia="Times New Roman" w:hAnsi="Times New Roman" w:cs="Times New Roman"/>
          <w:b/>
          <w:color w:val="000000"/>
          <w:sz w:val="24"/>
          <w:szCs w:val="24"/>
        </w:rPr>
      </w:pPr>
    </w:p>
    <w:p w14:paraId="19AB19AC" w14:textId="77777777" w:rsidR="007373F6" w:rsidRDefault="00000000">
      <w:pPr>
        <w:spacing w:after="200"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5. CONCLUDING REMARKS</w:t>
      </w:r>
    </w:p>
    <w:p w14:paraId="5404A80F"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rPr>
      </w:pPr>
      <w:bookmarkStart w:id="46" w:name="_heading=h.k9k3gmr3ufr8" w:colFirst="0" w:colLast="0"/>
      <w:bookmarkEnd w:id="46"/>
      <w:r>
        <w:rPr>
          <w:rFonts w:ascii="Times New Roman" w:eastAsia="Times New Roman" w:hAnsi="Times New Roman" w:cs="Times New Roman"/>
          <w:color w:val="000000"/>
          <w:sz w:val="24"/>
          <w:szCs w:val="24"/>
        </w:rPr>
        <w:t>This study examines the effect of voluntary IFRS adoption on the foreign shareholder ratio of listed Japanese companies for the period 2010–2023. Unlike the previous study that failed to find a significant relationship, our DID analysis finds an increase in the foreign shareholder ratio after IFRS adoption when controlling for cross-shareholdings and share buybacks, which are likely to cancel out room for foreign shareholders. Our findings suggest that controlling confounding factors is important when multiple institutional changes occur.  This study contributes to literature on the effects of IFRS adoption on foreign equity investment in two ways. First, it provides evidence that Japan has undergone a governance system transition concurrent with its adoption. Second, this study demonstrates the importance of controlling confounding factors when multiple institutional changes are ongoing. We believe that the findings of this study are valuable not only to international investors considering investments in countries such as Japan but also to firms contemplating IFRS adoption and anticipating changes in shareholder composition.</w:t>
      </w:r>
    </w:p>
    <w:p w14:paraId="51B039B7" w14:textId="77777777" w:rsidR="007373F6" w:rsidRDefault="00000000" w:rsidP="00CA3E0F">
      <w:pPr>
        <w:spacing w:after="0" w:line="240" w:lineRule="auto"/>
        <w:ind w:firstLine="357"/>
        <w:jc w:val="both"/>
        <w:rPr>
          <w:rFonts w:ascii="Times New Roman" w:eastAsia="Times New Roman" w:hAnsi="Times New Roman" w:cs="Times New Roman"/>
          <w:color w:val="000000"/>
          <w:sz w:val="24"/>
          <w:szCs w:val="24"/>
          <w:highlight w:val="white"/>
        </w:rPr>
      </w:pPr>
      <w:bookmarkStart w:id="47" w:name="_heading=h.9csn73onifhi" w:colFirst="0" w:colLast="0"/>
      <w:bookmarkEnd w:id="47"/>
      <w:r>
        <w:rPr>
          <w:rFonts w:ascii="Times New Roman" w:eastAsia="Times New Roman" w:hAnsi="Times New Roman" w:cs="Times New Roman"/>
          <w:color w:val="000000"/>
          <w:sz w:val="24"/>
          <w:szCs w:val="24"/>
          <w:highlight w:val="white"/>
        </w:rPr>
        <w:t>Although this study contributes to the literature on the effect</w:t>
      </w:r>
      <w:r>
        <w:rPr>
          <w:rFonts w:ascii="Times New Roman" w:eastAsia="Times New Roman" w:hAnsi="Times New Roman" w:cs="Times New Roman"/>
          <w:color w:val="000000"/>
          <w:sz w:val="24"/>
          <w:szCs w:val="24"/>
        </w:rPr>
        <w:t>s</w:t>
      </w:r>
      <w:r>
        <w:rPr>
          <w:rFonts w:ascii="Times New Roman" w:eastAsia="Times New Roman" w:hAnsi="Times New Roman" w:cs="Times New Roman"/>
          <w:color w:val="000000"/>
          <w:sz w:val="24"/>
          <w:szCs w:val="24"/>
          <w:highlight w:val="white"/>
        </w:rPr>
        <w:t xml:space="preserve"> of IFRS adoption by providing evidence from the Japanese context</w:t>
      </w:r>
      <w:r>
        <w:rPr>
          <w:rFonts w:ascii="Times New Roman" w:eastAsia="Times New Roman" w:hAnsi="Times New Roman" w:cs="Times New Roman"/>
          <w:color w:val="000000"/>
          <w:sz w:val="24"/>
          <w:szCs w:val="24"/>
        </w:rPr>
        <w:t xml:space="preserve">, we acknowledge its limitations. Following Kim et al. (2019), we employ a panel data model to conduct a </w:t>
      </w:r>
      <w:r>
        <w:rPr>
          <w:rFonts w:ascii="Times New Roman" w:eastAsia="Times New Roman" w:hAnsi="Times New Roman" w:cs="Times New Roman"/>
          <w:color w:val="000000"/>
          <w:sz w:val="24"/>
          <w:szCs w:val="24"/>
          <w:highlight w:val="white"/>
        </w:rPr>
        <w:t xml:space="preserve">DID analysis. A panel data model is useful for increasing </w:t>
      </w:r>
      <w:r>
        <w:rPr>
          <w:rFonts w:ascii="Times New Roman" w:eastAsia="Times New Roman" w:hAnsi="Times New Roman" w:cs="Times New Roman"/>
          <w:color w:val="000000"/>
          <w:sz w:val="24"/>
          <w:szCs w:val="24"/>
        </w:rPr>
        <w:t>the sample size.</w:t>
      </w:r>
      <w:r>
        <w:rPr>
          <w:rFonts w:ascii="Times New Roman" w:eastAsia="Times New Roman" w:hAnsi="Times New Roman" w:cs="Times New Roman"/>
          <w:color w:val="000000"/>
          <w:sz w:val="24"/>
          <w:szCs w:val="24"/>
          <w:highlight w:val="white"/>
        </w:rPr>
        <w:t xml:space="preserve"> However, the periods before and after IFRS adoption differ across sample firms. Instead, </w:t>
      </w:r>
      <w:proofErr w:type="spellStart"/>
      <w:r>
        <w:rPr>
          <w:rFonts w:ascii="Times New Roman" w:eastAsia="Times New Roman" w:hAnsi="Times New Roman" w:cs="Times New Roman"/>
          <w:color w:val="000000"/>
          <w:sz w:val="24"/>
          <w:szCs w:val="24"/>
          <w:highlight w:val="white"/>
        </w:rPr>
        <w:t>DeFond</w:t>
      </w:r>
      <w:proofErr w:type="spellEnd"/>
      <w:r>
        <w:rPr>
          <w:rFonts w:ascii="Times New Roman" w:eastAsia="Times New Roman" w:hAnsi="Times New Roman" w:cs="Times New Roman"/>
          <w:color w:val="000000"/>
          <w:sz w:val="24"/>
          <w:szCs w:val="24"/>
          <w:highlight w:val="white"/>
        </w:rPr>
        <w:t xml:space="preserve"> et al. (2011, 2012) compare changes in </w:t>
      </w:r>
      <w:r>
        <w:rPr>
          <w:rFonts w:ascii="Times New Roman" w:eastAsia="Times New Roman" w:hAnsi="Times New Roman" w:cs="Times New Roman"/>
          <w:color w:val="000000"/>
          <w:sz w:val="24"/>
          <w:szCs w:val="24"/>
        </w:rPr>
        <w:t xml:space="preserve">the variables three years before and after </w:t>
      </w:r>
      <w:r>
        <w:rPr>
          <w:rFonts w:ascii="Times New Roman" w:eastAsia="Times New Roman" w:hAnsi="Times New Roman" w:cs="Times New Roman"/>
          <w:color w:val="000000"/>
          <w:sz w:val="24"/>
          <w:szCs w:val="24"/>
          <w:highlight w:val="white"/>
        </w:rPr>
        <w:t xml:space="preserve">IFRS adoption. Unlike Europe, the number of IFRS adopters in Japan is not large. As the number of IFRS adopters increases in the future, however, </w:t>
      </w:r>
      <w:r>
        <w:rPr>
          <w:rFonts w:ascii="Times New Roman" w:eastAsia="Times New Roman" w:hAnsi="Times New Roman" w:cs="Times New Roman"/>
          <w:color w:val="000000"/>
          <w:sz w:val="24"/>
          <w:szCs w:val="24"/>
          <w:highlight w:val="white"/>
        </w:rPr>
        <w:lastRenderedPageBreak/>
        <w:t xml:space="preserve">a research design similar to that of </w:t>
      </w:r>
      <w:proofErr w:type="spellStart"/>
      <w:r>
        <w:rPr>
          <w:rFonts w:ascii="Times New Roman" w:eastAsia="Times New Roman" w:hAnsi="Times New Roman" w:cs="Times New Roman"/>
          <w:color w:val="000000"/>
          <w:sz w:val="24"/>
          <w:szCs w:val="24"/>
          <w:highlight w:val="white"/>
        </w:rPr>
        <w:t>DeFond</w:t>
      </w:r>
      <w:proofErr w:type="spellEnd"/>
      <w:r>
        <w:rPr>
          <w:rFonts w:ascii="Times New Roman" w:eastAsia="Times New Roman" w:hAnsi="Times New Roman" w:cs="Times New Roman"/>
          <w:color w:val="000000"/>
          <w:sz w:val="24"/>
          <w:szCs w:val="24"/>
          <w:highlight w:val="white"/>
        </w:rPr>
        <w:t xml:space="preserve"> et al. (2011, 2012) could be utilized. Another promising direction for future research is the integration of </w:t>
      </w:r>
      <w:proofErr w:type="spellStart"/>
      <w:r>
        <w:rPr>
          <w:rFonts w:ascii="Times New Roman" w:eastAsia="Times New Roman" w:hAnsi="Times New Roman" w:cs="Times New Roman"/>
          <w:color w:val="000000"/>
          <w:sz w:val="24"/>
          <w:szCs w:val="24"/>
          <w:highlight w:val="white"/>
        </w:rPr>
        <w:t>behavioral</w:t>
      </w:r>
      <w:proofErr w:type="spellEnd"/>
      <w:r>
        <w:rPr>
          <w:rFonts w:ascii="Times New Roman" w:eastAsia="Times New Roman" w:hAnsi="Times New Roman" w:cs="Times New Roman"/>
          <w:color w:val="000000"/>
          <w:sz w:val="24"/>
          <w:szCs w:val="24"/>
          <w:highlight w:val="white"/>
        </w:rPr>
        <w:t xml:space="preserve"> finance factors—such as trust and political risk aversion—which may influence the dynamics between corporate governance and foreign investment.</w:t>
      </w:r>
    </w:p>
    <w:p w14:paraId="70A2FB64" w14:textId="77777777" w:rsidR="007373F6" w:rsidRDefault="007373F6">
      <w:pPr>
        <w:jc w:val="both"/>
        <w:rPr>
          <w:rFonts w:ascii="Times New Roman" w:eastAsia="Times New Roman" w:hAnsi="Times New Roman" w:cs="Times New Roman"/>
          <w:b/>
          <w:color w:val="000000"/>
          <w:sz w:val="24"/>
          <w:szCs w:val="24"/>
        </w:rPr>
      </w:pPr>
    </w:p>
    <w:p w14:paraId="37932A55" w14:textId="77777777" w:rsidR="007373F6" w:rsidRDefault="00000000">
      <w:pPr>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REFERENCES</w:t>
      </w:r>
    </w:p>
    <w:p w14:paraId="23CBD439"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highlight w:val="white"/>
        </w:rPr>
        <w:t xml:space="preserve">Amano, Y., 2020. Real effects of intangibles capitalization – Empirical evidence from voluntary IFRS adoption in Japan. J. Int. Acc. Res. 19, 19–36. </w:t>
      </w:r>
      <w:hyperlink r:id="rId40">
        <w:r w:rsidR="007373F6" w:rsidRPr="00CA3E0F">
          <w:rPr>
            <w:rFonts w:ascii="Times New Roman" w:eastAsia="Times New Roman" w:hAnsi="Times New Roman" w:cs="Times New Roman"/>
            <w:color w:val="000000"/>
            <w:sz w:val="24"/>
            <w:szCs w:val="24"/>
            <w:highlight w:val="white"/>
          </w:rPr>
          <w:t>https://doi.org/10.2308/JIAR-19-539</w:t>
        </w:r>
      </w:hyperlink>
      <w:r w:rsidRPr="00CA3E0F">
        <w:rPr>
          <w:rFonts w:ascii="Times New Roman" w:eastAsia="Times New Roman" w:hAnsi="Times New Roman" w:cs="Times New Roman"/>
          <w:color w:val="000000"/>
          <w:sz w:val="24"/>
          <w:szCs w:val="24"/>
          <w:highlight w:val="white"/>
        </w:rPr>
        <w:t>.</w:t>
      </w:r>
    </w:p>
    <w:p w14:paraId="5D996446"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highlight w:val="white"/>
        </w:rPr>
        <w:t>Amiram, D., 2012. Financial information globalization and foreign investment decisions. J. Int. Acc. Res. 11</w:t>
      </w:r>
      <w:r w:rsidRPr="00CA3E0F">
        <w:rPr>
          <w:rFonts w:ascii="Times New Roman" w:eastAsia="Times New Roman" w:hAnsi="Times New Roman" w:cs="Times New Roman"/>
          <w:color w:val="000000"/>
          <w:sz w:val="24"/>
          <w:szCs w:val="24"/>
        </w:rPr>
        <w:t>, 57–81</w:t>
      </w:r>
      <w:r w:rsidRPr="00CA3E0F">
        <w:rPr>
          <w:rFonts w:ascii="Times New Roman" w:eastAsia="Times New Roman" w:hAnsi="Times New Roman" w:cs="Times New Roman"/>
          <w:color w:val="000000"/>
          <w:sz w:val="24"/>
          <w:szCs w:val="24"/>
          <w:highlight w:val="white"/>
        </w:rPr>
        <w:t xml:space="preserve">. </w:t>
      </w:r>
      <w:hyperlink r:id="rId41">
        <w:r w:rsidR="007373F6" w:rsidRPr="00CA3E0F">
          <w:rPr>
            <w:rFonts w:ascii="Times New Roman" w:eastAsia="Times New Roman" w:hAnsi="Times New Roman" w:cs="Times New Roman"/>
            <w:color w:val="000000"/>
            <w:sz w:val="24"/>
            <w:szCs w:val="24"/>
          </w:rPr>
          <w:t>https://doi.org/10.2308/jiar-50282</w:t>
        </w:r>
      </w:hyperlink>
      <w:r w:rsidRPr="00CA3E0F">
        <w:rPr>
          <w:rFonts w:ascii="Times New Roman" w:eastAsia="Times New Roman" w:hAnsi="Times New Roman" w:cs="Times New Roman"/>
          <w:color w:val="000000"/>
          <w:sz w:val="24"/>
          <w:szCs w:val="24"/>
        </w:rPr>
        <w:t>.</w:t>
      </w:r>
    </w:p>
    <w:p w14:paraId="60A8BBE7"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 xml:space="preserve">Ashbaugh, H., Pincus, M., 2001. Domestic accounting standards, international accounting standards, and the predictability of earnings. J. Acc. Res. 39, 417–434. </w:t>
      </w:r>
      <w:hyperlink r:id="rId42">
        <w:r w:rsidR="007373F6" w:rsidRPr="00CA3E0F">
          <w:rPr>
            <w:rFonts w:ascii="Times New Roman" w:eastAsia="Times New Roman" w:hAnsi="Times New Roman" w:cs="Times New Roman"/>
            <w:color w:val="000000"/>
            <w:sz w:val="24"/>
            <w:szCs w:val="24"/>
          </w:rPr>
          <w:t>https://doi.org/10.1111/1475-679X.00020</w:t>
        </w:r>
      </w:hyperlink>
      <w:r w:rsidRPr="00CA3E0F">
        <w:rPr>
          <w:rFonts w:ascii="Times New Roman" w:eastAsia="Times New Roman" w:hAnsi="Times New Roman" w:cs="Times New Roman"/>
          <w:color w:val="000000"/>
          <w:sz w:val="24"/>
          <w:szCs w:val="24"/>
        </w:rPr>
        <w:t>.</w:t>
      </w:r>
    </w:p>
    <w:p w14:paraId="443D6B07"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 xml:space="preserve">Ball, R., Kothari, S.P., Robin, A., 2000. The effect of international institutional factors on properties of accounting earnings. J. Acc. Econ. 29, 1–51. </w:t>
      </w:r>
      <w:hyperlink r:id="rId43">
        <w:r w:rsidR="007373F6" w:rsidRPr="00CA3E0F">
          <w:rPr>
            <w:rFonts w:ascii="Times New Roman" w:eastAsia="Times New Roman" w:hAnsi="Times New Roman" w:cs="Times New Roman"/>
            <w:color w:val="000000"/>
            <w:sz w:val="24"/>
            <w:szCs w:val="24"/>
          </w:rPr>
          <w:t>https://doi.org/10.1016/S0165-4101(00)00012-4</w:t>
        </w:r>
      </w:hyperlink>
      <w:r w:rsidRPr="00CA3E0F">
        <w:rPr>
          <w:rFonts w:ascii="Times New Roman" w:eastAsia="Times New Roman" w:hAnsi="Times New Roman" w:cs="Times New Roman"/>
          <w:color w:val="000000"/>
          <w:sz w:val="24"/>
          <w:szCs w:val="24"/>
        </w:rPr>
        <w:t>.</w:t>
      </w:r>
    </w:p>
    <w:p w14:paraId="033FCAC8"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 xml:space="preserve">Ball, R., Robin, A., Wu, J.S., 2003. Incentives versus standards: Properties of accounting income in four East Asian countries. J. Acc. Econ. 36, 235–270. </w:t>
      </w:r>
      <w:hyperlink r:id="rId44">
        <w:r w:rsidR="007373F6" w:rsidRPr="00CA3E0F">
          <w:rPr>
            <w:rFonts w:ascii="Times New Roman" w:eastAsia="Times New Roman" w:hAnsi="Times New Roman" w:cs="Times New Roman"/>
            <w:color w:val="000000"/>
            <w:sz w:val="24"/>
            <w:szCs w:val="24"/>
          </w:rPr>
          <w:t>https://doi.org/10.1016/j.jacceco.2003.10.003</w:t>
        </w:r>
      </w:hyperlink>
      <w:r w:rsidRPr="00CA3E0F">
        <w:rPr>
          <w:rFonts w:ascii="Times New Roman" w:eastAsia="Times New Roman" w:hAnsi="Times New Roman" w:cs="Times New Roman"/>
          <w:color w:val="000000"/>
          <w:sz w:val="24"/>
          <w:szCs w:val="24"/>
        </w:rPr>
        <w:t>.</w:t>
      </w:r>
    </w:p>
    <w:p w14:paraId="415308F6"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 xml:space="preserve">Ball, R., Shivakumar, L., 2005. Earnings quality in UK private firms: Comparative loss recognition timeliness. J. Acc. Econ. 39, 83–128. </w:t>
      </w:r>
      <w:hyperlink r:id="rId45">
        <w:r w:rsidR="007373F6" w:rsidRPr="00CA3E0F">
          <w:rPr>
            <w:rFonts w:ascii="Times New Roman" w:eastAsia="Times New Roman" w:hAnsi="Times New Roman" w:cs="Times New Roman"/>
            <w:color w:val="000000"/>
            <w:sz w:val="24"/>
            <w:szCs w:val="24"/>
          </w:rPr>
          <w:t>https://doi.org/10.1016/j.jacceco.2004.04.001</w:t>
        </w:r>
      </w:hyperlink>
      <w:r w:rsidRPr="00CA3E0F">
        <w:rPr>
          <w:rFonts w:ascii="Times New Roman" w:eastAsia="Times New Roman" w:hAnsi="Times New Roman" w:cs="Times New Roman"/>
          <w:color w:val="000000"/>
          <w:sz w:val="24"/>
          <w:szCs w:val="24"/>
        </w:rPr>
        <w:t>.</w:t>
      </w:r>
    </w:p>
    <w:p w14:paraId="298BA8F3"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 xml:space="preserve">Chen, C.J.P., Ding, Y., Xu, B., 2014. Convergence of accounting standards and foreign direct investment. Int. J. Acc. 49, 53–86. </w:t>
      </w:r>
      <w:hyperlink r:id="rId46">
        <w:r w:rsidR="007373F6" w:rsidRPr="00CA3E0F">
          <w:rPr>
            <w:rFonts w:ascii="Times New Roman" w:eastAsia="Times New Roman" w:hAnsi="Times New Roman" w:cs="Times New Roman"/>
            <w:color w:val="000000"/>
            <w:sz w:val="24"/>
            <w:szCs w:val="24"/>
          </w:rPr>
          <w:t>https://doi.org/10.1016/j.intacc.2014.01.007</w:t>
        </w:r>
      </w:hyperlink>
      <w:r w:rsidRPr="00CA3E0F">
        <w:rPr>
          <w:rFonts w:ascii="Times New Roman" w:eastAsia="Times New Roman" w:hAnsi="Times New Roman" w:cs="Times New Roman"/>
          <w:color w:val="000000"/>
          <w:sz w:val="24"/>
          <w:szCs w:val="24"/>
        </w:rPr>
        <w:t xml:space="preserve">. </w:t>
      </w:r>
    </w:p>
    <w:p w14:paraId="6DDD4C1D"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 xml:space="preserve">Covrig, V.M., </w:t>
      </w:r>
      <w:proofErr w:type="spellStart"/>
      <w:r w:rsidRPr="00CA3E0F">
        <w:rPr>
          <w:rFonts w:ascii="Times New Roman" w:eastAsia="Times New Roman" w:hAnsi="Times New Roman" w:cs="Times New Roman"/>
          <w:color w:val="000000"/>
          <w:sz w:val="24"/>
          <w:szCs w:val="24"/>
        </w:rPr>
        <w:t>Defond</w:t>
      </w:r>
      <w:proofErr w:type="spellEnd"/>
      <w:r w:rsidRPr="00CA3E0F">
        <w:rPr>
          <w:rFonts w:ascii="Times New Roman" w:eastAsia="Times New Roman" w:hAnsi="Times New Roman" w:cs="Times New Roman"/>
          <w:color w:val="000000"/>
          <w:sz w:val="24"/>
          <w:szCs w:val="24"/>
        </w:rPr>
        <w:t xml:space="preserve">, M.L., Hung, M., 2007. Home bias, foreign mutual fund holdings, and the voluntary adoption of international accounting standards. J. Acc. Res. 45, 41–70. </w:t>
      </w:r>
      <w:hyperlink r:id="rId47">
        <w:r w:rsidR="007373F6" w:rsidRPr="00CA3E0F">
          <w:rPr>
            <w:rFonts w:ascii="Times New Roman" w:eastAsia="Times New Roman" w:hAnsi="Times New Roman" w:cs="Times New Roman"/>
            <w:color w:val="000000"/>
            <w:sz w:val="24"/>
            <w:szCs w:val="24"/>
          </w:rPr>
          <w:t>https://doi.org/10.1111/j.1475-679X.2007.00226.x</w:t>
        </w:r>
      </w:hyperlink>
      <w:r w:rsidRPr="00CA3E0F">
        <w:rPr>
          <w:rFonts w:ascii="Times New Roman" w:eastAsia="Times New Roman" w:hAnsi="Times New Roman" w:cs="Times New Roman"/>
          <w:color w:val="000000"/>
          <w:sz w:val="24"/>
          <w:szCs w:val="24"/>
        </w:rPr>
        <w:t>.</w:t>
      </w:r>
    </w:p>
    <w:p w14:paraId="5DBDEC92"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 xml:space="preserve">Cuijpers, R., </w:t>
      </w:r>
      <w:proofErr w:type="spellStart"/>
      <w:r w:rsidRPr="00CA3E0F">
        <w:rPr>
          <w:rFonts w:ascii="Times New Roman" w:eastAsia="Times New Roman" w:hAnsi="Times New Roman" w:cs="Times New Roman"/>
          <w:color w:val="000000"/>
          <w:sz w:val="24"/>
          <w:szCs w:val="24"/>
        </w:rPr>
        <w:t>Buijink</w:t>
      </w:r>
      <w:proofErr w:type="spellEnd"/>
      <w:r w:rsidRPr="00CA3E0F">
        <w:rPr>
          <w:rFonts w:ascii="Times New Roman" w:eastAsia="Times New Roman" w:hAnsi="Times New Roman" w:cs="Times New Roman"/>
          <w:color w:val="000000"/>
          <w:sz w:val="24"/>
          <w:szCs w:val="24"/>
        </w:rPr>
        <w:t xml:space="preserve">, W., 2005. Voluntary adoption of non-local GAAP in the European Union: A study of determinants and consequences. Eur. Acc. Rev. 14, 487–524. </w:t>
      </w:r>
      <w:hyperlink r:id="rId48">
        <w:r w:rsidR="007373F6" w:rsidRPr="00CA3E0F">
          <w:rPr>
            <w:rFonts w:ascii="Times New Roman" w:eastAsia="Times New Roman" w:hAnsi="Times New Roman" w:cs="Times New Roman"/>
            <w:color w:val="000000"/>
            <w:sz w:val="24"/>
            <w:szCs w:val="24"/>
          </w:rPr>
          <w:t>https://doi.org/10.1080/0963818042000337132</w:t>
        </w:r>
      </w:hyperlink>
      <w:r w:rsidRPr="00CA3E0F">
        <w:rPr>
          <w:rFonts w:ascii="Times New Roman" w:eastAsia="Times New Roman" w:hAnsi="Times New Roman" w:cs="Times New Roman"/>
          <w:color w:val="000000"/>
          <w:sz w:val="24"/>
          <w:szCs w:val="24"/>
        </w:rPr>
        <w:t>.</w:t>
      </w:r>
    </w:p>
    <w:p w14:paraId="5A297694"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proofErr w:type="spellStart"/>
      <w:r w:rsidRPr="00CA3E0F">
        <w:rPr>
          <w:rFonts w:ascii="Times New Roman" w:eastAsia="Times New Roman" w:hAnsi="Times New Roman" w:cs="Times New Roman"/>
          <w:color w:val="000000"/>
          <w:sz w:val="24"/>
          <w:szCs w:val="24"/>
        </w:rPr>
        <w:t>DeFond</w:t>
      </w:r>
      <w:proofErr w:type="spellEnd"/>
      <w:r w:rsidRPr="00CA3E0F">
        <w:rPr>
          <w:rFonts w:ascii="Times New Roman" w:eastAsia="Times New Roman" w:hAnsi="Times New Roman" w:cs="Times New Roman"/>
          <w:color w:val="000000"/>
          <w:sz w:val="24"/>
          <w:szCs w:val="24"/>
        </w:rPr>
        <w:t xml:space="preserve">, M., Gao, X., Li, O.Z., Xia, L., 2019. IFRS adoption in China and foreign institutional investments. China J. Acc. Res. 12, 1–32. </w:t>
      </w:r>
      <w:hyperlink r:id="rId49">
        <w:r w:rsidR="007373F6" w:rsidRPr="00CA3E0F">
          <w:rPr>
            <w:rFonts w:ascii="Times New Roman" w:eastAsia="Times New Roman" w:hAnsi="Times New Roman" w:cs="Times New Roman"/>
            <w:color w:val="000000"/>
            <w:sz w:val="24"/>
            <w:szCs w:val="24"/>
          </w:rPr>
          <w:t>https://doi.org/10.1016/j.cjar.2018.07.006</w:t>
        </w:r>
      </w:hyperlink>
      <w:r w:rsidRPr="00CA3E0F">
        <w:rPr>
          <w:rFonts w:ascii="Times New Roman" w:eastAsia="Times New Roman" w:hAnsi="Times New Roman" w:cs="Times New Roman"/>
          <w:color w:val="000000"/>
          <w:sz w:val="24"/>
          <w:szCs w:val="24"/>
        </w:rPr>
        <w:t>.</w:t>
      </w:r>
    </w:p>
    <w:p w14:paraId="03B6E7EE"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proofErr w:type="spellStart"/>
      <w:r w:rsidRPr="00CA3E0F">
        <w:rPr>
          <w:rFonts w:ascii="Times New Roman" w:eastAsia="Times New Roman" w:hAnsi="Times New Roman" w:cs="Times New Roman"/>
          <w:color w:val="000000"/>
          <w:sz w:val="24"/>
          <w:szCs w:val="24"/>
        </w:rPr>
        <w:t>DeFond</w:t>
      </w:r>
      <w:proofErr w:type="spellEnd"/>
      <w:r w:rsidRPr="00CA3E0F">
        <w:rPr>
          <w:rFonts w:ascii="Times New Roman" w:eastAsia="Times New Roman" w:hAnsi="Times New Roman" w:cs="Times New Roman"/>
          <w:color w:val="000000"/>
          <w:sz w:val="24"/>
          <w:szCs w:val="24"/>
        </w:rPr>
        <w:t xml:space="preserve">, M., Hu, X., Hung, M., Li, S., 2011. The impact of mandatory IFRS adoption on foreign mutual fund ownership: The role of comparability. J. Acc. Econ. 51, 240–258. </w:t>
      </w:r>
      <w:hyperlink r:id="rId50">
        <w:r w:rsidR="007373F6" w:rsidRPr="00CA3E0F">
          <w:rPr>
            <w:rFonts w:ascii="Times New Roman" w:eastAsia="Times New Roman" w:hAnsi="Times New Roman" w:cs="Times New Roman"/>
            <w:color w:val="000000"/>
            <w:sz w:val="24"/>
            <w:szCs w:val="24"/>
          </w:rPr>
          <w:t>https://doi.org/10.1016/j.jacceco.2011.02.001</w:t>
        </w:r>
      </w:hyperlink>
      <w:r w:rsidRPr="00CA3E0F">
        <w:rPr>
          <w:rFonts w:ascii="Times New Roman" w:eastAsia="Times New Roman" w:hAnsi="Times New Roman" w:cs="Times New Roman"/>
          <w:color w:val="000000"/>
          <w:sz w:val="24"/>
          <w:szCs w:val="24"/>
        </w:rPr>
        <w:t>.</w:t>
      </w:r>
    </w:p>
    <w:p w14:paraId="1AEC58F9"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proofErr w:type="spellStart"/>
      <w:r w:rsidRPr="00CA3E0F">
        <w:rPr>
          <w:rFonts w:ascii="Times New Roman" w:eastAsia="Times New Roman" w:hAnsi="Times New Roman" w:cs="Times New Roman"/>
          <w:color w:val="000000"/>
          <w:sz w:val="24"/>
          <w:szCs w:val="24"/>
          <w:highlight w:val="white"/>
        </w:rPr>
        <w:t>DeFond</w:t>
      </w:r>
      <w:proofErr w:type="spellEnd"/>
      <w:r w:rsidRPr="00CA3E0F">
        <w:rPr>
          <w:rFonts w:ascii="Times New Roman" w:eastAsia="Times New Roman" w:hAnsi="Times New Roman" w:cs="Times New Roman"/>
          <w:color w:val="000000"/>
          <w:sz w:val="24"/>
          <w:szCs w:val="24"/>
          <w:highlight w:val="white"/>
        </w:rPr>
        <w:t xml:space="preserve">, M.L., Hu, X., Hung, M.Y., Li, S., 2012. Has the widespread adoption of IFRS reduced U.S. firms’ attractiveness to foreign investors? J. Int. Acc. Res. 11, 27–55. </w:t>
      </w:r>
      <w:hyperlink r:id="rId51">
        <w:r w:rsidR="007373F6" w:rsidRPr="00CA3E0F">
          <w:rPr>
            <w:rFonts w:ascii="Times New Roman" w:eastAsia="Times New Roman" w:hAnsi="Times New Roman" w:cs="Times New Roman"/>
            <w:color w:val="000000"/>
            <w:sz w:val="24"/>
            <w:szCs w:val="24"/>
          </w:rPr>
          <w:t>https://doi.org/10.2308/jiar-50205</w:t>
        </w:r>
      </w:hyperlink>
      <w:r w:rsidRPr="00CA3E0F">
        <w:rPr>
          <w:rFonts w:ascii="Times New Roman" w:eastAsia="Times New Roman" w:hAnsi="Times New Roman" w:cs="Times New Roman"/>
          <w:color w:val="000000"/>
          <w:sz w:val="24"/>
          <w:szCs w:val="24"/>
        </w:rPr>
        <w:t>.</w:t>
      </w:r>
    </w:p>
    <w:p w14:paraId="781E152E"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 xml:space="preserve">Dunning, J., 2006. Toward a new paradigm of development: Implications for the determinants of international business. </w:t>
      </w:r>
      <w:proofErr w:type="spellStart"/>
      <w:r w:rsidRPr="00CA3E0F">
        <w:rPr>
          <w:rFonts w:ascii="Times New Roman" w:eastAsia="Times New Roman" w:hAnsi="Times New Roman" w:cs="Times New Roman"/>
          <w:color w:val="000000"/>
          <w:sz w:val="24"/>
          <w:szCs w:val="24"/>
        </w:rPr>
        <w:t>Transnat</w:t>
      </w:r>
      <w:proofErr w:type="spellEnd"/>
      <w:r w:rsidRPr="00CA3E0F">
        <w:rPr>
          <w:rFonts w:ascii="Times New Roman" w:eastAsia="Times New Roman" w:hAnsi="Times New Roman" w:cs="Times New Roman"/>
          <w:color w:val="000000"/>
          <w:sz w:val="24"/>
          <w:szCs w:val="24"/>
        </w:rPr>
        <w:t>. Corp. 15, 173–227.</w:t>
      </w:r>
    </w:p>
    <w:p w14:paraId="351F85EA"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 xml:space="preserve">Dunning, J.H., 1998. Location and the multinational enterprise: A neglected factor? J. Int. Bus. Stud. 29, 45–66. </w:t>
      </w:r>
      <w:hyperlink r:id="rId52">
        <w:r w:rsidR="007373F6" w:rsidRPr="00CA3E0F">
          <w:rPr>
            <w:rFonts w:ascii="Times New Roman" w:eastAsia="Times New Roman" w:hAnsi="Times New Roman" w:cs="Times New Roman"/>
            <w:color w:val="000000"/>
            <w:sz w:val="24"/>
            <w:szCs w:val="24"/>
          </w:rPr>
          <w:t>https://doi.org/10.1057/palgrave.jibs.8490024</w:t>
        </w:r>
      </w:hyperlink>
      <w:r w:rsidRPr="00CA3E0F">
        <w:rPr>
          <w:rFonts w:ascii="Times New Roman" w:eastAsia="Times New Roman" w:hAnsi="Times New Roman" w:cs="Times New Roman"/>
          <w:color w:val="000000"/>
          <w:sz w:val="24"/>
          <w:szCs w:val="24"/>
        </w:rPr>
        <w:t>.</w:t>
      </w:r>
    </w:p>
    <w:p w14:paraId="156133C2"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 xml:space="preserve">Easley, D., O’Hara, M., 2004. Information and the cost of capital. J. Fin. 59, 1553–1583. </w:t>
      </w:r>
      <w:hyperlink r:id="rId53">
        <w:r w:rsidR="007373F6" w:rsidRPr="00CA3E0F">
          <w:rPr>
            <w:rFonts w:ascii="Times New Roman" w:eastAsia="Times New Roman" w:hAnsi="Times New Roman" w:cs="Times New Roman"/>
            <w:color w:val="000000"/>
            <w:sz w:val="24"/>
            <w:szCs w:val="24"/>
          </w:rPr>
          <w:t>https://doi.org/10.1111/j.1540-6261.2004.00672.x</w:t>
        </w:r>
      </w:hyperlink>
      <w:r w:rsidRPr="00CA3E0F">
        <w:rPr>
          <w:rFonts w:ascii="Times New Roman" w:eastAsia="Times New Roman" w:hAnsi="Times New Roman" w:cs="Times New Roman"/>
          <w:color w:val="000000"/>
          <w:sz w:val="24"/>
          <w:szCs w:val="24"/>
        </w:rPr>
        <w:t>.</w:t>
      </w:r>
    </w:p>
    <w:p w14:paraId="4D0B5378"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 xml:space="preserve">Florou, A., Pope, P.F., 2012. Mandatory IFRS adoption and institutional investment decisions. Acc. Rev. 87, 1993–2025. </w:t>
      </w:r>
      <w:hyperlink r:id="rId54">
        <w:r w:rsidR="007373F6" w:rsidRPr="00CA3E0F">
          <w:rPr>
            <w:rFonts w:ascii="Times New Roman" w:eastAsia="Times New Roman" w:hAnsi="Times New Roman" w:cs="Times New Roman"/>
            <w:color w:val="000000"/>
            <w:sz w:val="24"/>
            <w:szCs w:val="24"/>
          </w:rPr>
          <w:t>https://doi.org/10.2308/accr-50225</w:t>
        </w:r>
      </w:hyperlink>
      <w:r w:rsidRPr="00CA3E0F">
        <w:rPr>
          <w:rFonts w:ascii="Times New Roman" w:eastAsia="Times New Roman" w:hAnsi="Times New Roman" w:cs="Times New Roman"/>
          <w:color w:val="000000"/>
          <w:sz w:val="24"/>
          <w:szCs w:val="24"/>
        </w:rPr>
        <w:t>.</w:t>
      </w:r>
    </w:p>
    <w:p w14:paraId="468E1310"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highlight w:val="white"/>
        </w:rPr>
        <w:t xml:space="preserve">Franks, J., Mayer, C., Miyajima, H., Ogawa, R., </w:t>
      </w:r>
      <w:r w:rsidRPr="00CA3E0F">
        <w:rPr>
          <w:rFonts w:ascii="Times New Roman" w:eastAsia="Times New Roman" w:hAnsi="Times New Roman" w:cs="Times New Roman"/>
          <w:color w:val="000000"/>
          <w:sz w:val="24"/>
          <w:szCs w:val="24"/>
        </w:rPr>
        <w:t>2023</w:t>
      </w:r>
      <w:r w:rsidRPr="00CA3E0F">
        <w:rPr>
          <w:rFonts w:ascii="Times New Roman" w:eastAsia="Times New Roman" w:hAnsi="Times New Roman" w:cs="Times New Roman"/>
          <w:color w:val="000000"/>
          <w:sz w:val="24"/>
          <w:szCs w:val="24"/>
          <w:highlight w:val="white"/>
        </w:rPr>
        <w:t>.</w:t>
      </w:r>
      <w:r w:rsidRPr="00CA3E0F">
        <w:rPr>
          <w:rFonts w:ascii="Times New Roman" w:eastAsia="Times New Roman" w:hAnsi="Times New Roman" w:cs="Times New Roman"/>
          <w:color w:val="000000"/>
          <w:sz w:val="24"/>
          <w:szCs w:val="24"/>
        </w:rPr>
        <w:t xml:space="preserve"> Managing Ownership by Management. RIETI Discussion Paper Series 23, Volume E-022.</w:t>
      </w:r>
    </w:p>
    <w:p w14:paraId="537E18F0" w14:textId="77777777" w:rsidR="007373F6" w:rsidRPr="00EC0CF4" w:rsidRDefault="00000000" w:rsidP="00FC089A">
      <w:pPr>
        <w:spacing w:after="0" w:line="240" w:lineRule="auto"/>
        <w:ind w:left="350" w:hanging="364"/>
        <w:jc w:val="both"/>
        <w:rPr>
          <w:rFonts w:ascii="Times New Roman" w:eastAsia="Times New Roman" w:hAnsi="Times New Roman" w:cs="Times New Roman"/>
          <w:color w:val="000000"/>
          <w:sz w:val="24"/>
          <w:szCs w:val="24"/>
          <w:lang w:val="de-DE"/>
        </w:rPr>
      </w:pPr>
      <w:r w:rsidRPr="00CA3E0F">
        <w:rPr>
          <w:rFonts w:ascii="Times New Roman" w:eastAsia="Times New Roman" w:hAnsi="Times New Roman" w:cs="Times New Roman"/>
          <w:color w:val="000000"/>
          <w:sz w:val="24"/>
          <w:szCs w:val="24"/>
        </w:rPr>
        <w:lastRenderedPageBreak/>
        <w:t xml:space="preserve">Gordon, L.A., Loeb, M.P., Zhu, W., 2012. The impact of IFRS adoption on foreign direct investment. J. Acc. Public Policy. </w:t>
      </w:r>
      <w:r w:rsidRPr="00EC0CF4">
        <w:rPr>
          <w:rFonts w:ascii="Times New Roman" w:eastAsia="Times New Roman" w:hAnsi="Times New Roman" w:cs="Times New Roman"/>
          <w:color w:val="000000"/>
          <w:sz w:val="24"/>
          <w:szCs w:val="24"/>
          <w:lang w:val="de-DE"/>
        </w:rPr>
        <w:t xml:space="preserve">31, 374–398. </w:t>
      </w:r>
      <w:hyperlink r:id="rId55">
        <w:r w:rsidR="007373F6" w:rsidRPr="00EC0CF4">
          <w:rPr>
            <w:rFonts w:ascii="Times New Roman" w:eastAsia="Times New Roman" w:hAnsi="Times New Roman" w:cs="Times New Roman"/>
            <w:color w:val="000000"/>
            <w:sz w:val="24"/>
            <w:szCs w:val="24"/>
            <w:lang w:val="de-DE"/>
          </w:rPr>
          <w:t>https://doi.org/10.1016/j.jaccpubpol.2012.06.001</w:t>
        </w:r>
      </w:hyperlink>
      <w:r w:rsidRPr="00EC0CF4">
        <w:rPr>
          <w:rFonts w:ascii="Times New Roman" w:eastAsia="Times New Roman" w:hAnsi="Times New Roman" w:cs="Times New Roman"/>
          <w:color w:val="000000"/>
          <w:sz w:val="24"/>
          <w:szCs w:val="24"/>
          <w:lang w:val="de-DE"/>
        </w:rPr>
        <w:t>.</w:t>
      </w:r>
    </w:p>
    <w:p w14:paraId="278F9E02"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EC0CF4">
        <w:rPr>
          <w:rFonts w:ascii="Times New Roman" w:eastAsia="Times New Roman" w:hAnsi="Times New Roman" w:cs="Times New Roman"/>
          <w:color w:val="000000"/>
          <w:sz w:val="24"/>
          <w:szCs w:val="24"/>
          <w:lang w:val="de-DE"/>
        </w:rPr>
        <w:t xml:space="preserve">Hamberg, M., Mavruk, T., Sjögren, S., 2013. </w:t>
      </w:r>
      <w:r w:rsidRPr="00CA3E0F">
        <w:rPr>
          <w:rFonts w:ascii="Times New Roman" w:eastAsia="Times New Roman" w:hAnsi="Times New Roman" w:cs="Times New Roman"/>
          <w:color w:val="000000"/>
          <w:sz w:val="24"/>
          <w:szCs w:val="24"/>
        </w:rPr>
        <w:t xml:space="preserve">Investment allocation decisions, home bias and the mandatory IFRS adoption. J. Int. Money Fin. 36, 107–130. </w:t>
      </w:r>
      <w:hyperlink r:id="rId56">
        <w:r w:rsidR="007373F6" w:rsidRPr="00CA3E0F">
          <w:rPr>
            <w:rFonts w:ascii="Times New Roman" w:eastAsia="Times New Roman" w:hAnsi="Times New Roman" w:cs="Times New Roman"/>
            <w:color w:val="000000"/>
            <w:sz w:val="24"/>
            <w:szCs w:val="24"/>
          </w:rPr>
          <w:t>https://doi.org/10.10,16/j.jimonfin.2013.04.001</w:t>
        </w:r>
      </w:hyperlink>
      <w:r w:rsidRPr="00CA3E0F">
        <w:rPr>
          <w:rFonts w:ascii="Times New Roman" w:eastAsia="Times New Roman" w:hAnsi="Times New Roman" w:cs="Times New Roman"/>
          <w:color w:val="000000"/>
          <w:sz w:val="24"/>
          <w:szCs w:val="24"/>
        </w:rPr>
        <w:t>.</w:t>
      </w:r>
    </w:p>
    <w:p w14:paraId="4BAD7F01"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Hoshi, T., Kashyap, A.K., 2001. Corporate Financing and Governance in Japan: The Road to the Future. The MIT Press, Cambridge, Massachusetts.</w:t>
      </w:r>
    </w:p>
    <w:p w14:paraId="59EE1FC1"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 xml:space="preserve">Hsu, A.W.-h., Jung, B., </w:t>
      </w:r>
      <w:proofErr w:type="spellStart"/>
      <w:r w:rsidRPr="00CA3E0F">
        <w:rPr>
          <w:rFonts w:ascii="Times New Roman" w:eastAsia="Times New Roman" w:hAnsi="Times New Roman" w:cs="Times New Roman"/>
          <w:color w:val="000000"/>
          <w:sz w:val="24"/>
          <w:szCs w:val="24"/>
        </w:rPr>
        <w:t>Pourjalali</w:t>
      </w:r>
      <w:proofErr w:type="spellEnd"/>
      <w:r w:rsidRPr="00CA3E0F">
        <w:rPr>
          <w:rFonts w:ascii="Times New Roman" w:eastAsia="Times New Roman" w:hAnsi="Times New Roman" w:cs="Times New Roman"/>
          <w:color w:val="000000"/>
          <w:sz w:val="24"/>
          <w:szCs w:val="24"/>
        </w:rPr>
        <w:t xml:space="preserve">, H., 2015. Does international accounting standard no. 27 improve investment efficiency? J. Acc. Aud. Fin. 30, 484–508. </w:t>
      </w:r>
      <w:hyperlink r:id="rId57">
        <w:r w:rsidR="007373F6" w:rsidRPr="00CA3E0F">
          <w:rPr>
            <w:rFonts w:ascii="Times New Roman" w:eastAsia="Times New Roman" w:hAnsi="Times New Roman" w:cs="Times New Roman"/>
            <w:color w:val="000000"/>
            <w:sz w:val="24"/>
            <w:szCs w:val="24"/>
          </w:rPr>
          <w:t>https://doi.org/10.1177/0148558X15582087</w:t>
        </w:r>
      </w:hyperlink>
      <w:r w:rsidRPr="00CA3E0F">
        <w:rPr>
          <w:rFonts w:ascii="Times New Roman" w:eastAsia="Times New Roman" w:hAnsi="Times New Roman" w:cs="Times New Roman"/>
          <w:color w:val="000000"/>
          <w:sz w:val="24"/>
          <w:szCs w:val="24"/>
        </w:rPr>
        <w:t>.</w:t>
      </w:r>
    </w:p>
    <w:p w14:paraId="1F451984"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 xml:space="preserve">Japan Exchange Group, 2025a. Analysis of Disclosure in “Basic Policy Regarding Selection of Accounting Standards” [Companies whose FYs ended by Mar. 31, 2025]. </w:t>
      </w:r>
      <w:hyperlink r:id="rId58">
        <w:r w:rsidR="007373F6" w:rsidRPr="00CA3E0F">
          <w:rPr>
            <w:rFonts w:ascii="Times New Roman" w:eastAsia="Times New Roman" w:hAnsi="Times New Roman" w:cs="Times New Roman"/>
            <w:color w:val="000000"/>
            <w:sz w:val="24"/>
            <w:szCs w:val="24"/>
          </w:rPr>
          <w:t>https://www.jpx.co.jp/english/news/1020/20250808-01.html</w:t>
        </w:r>
      </w:hyperlink>
      <w:r w:rsidRPr="00CA3E0F">
        <w:rPr>
          <w:rFonts w:ascii="Times New Roman" w:eastAsia="Times New Roman" w:hAnsi="Times New Roman" w:cs="Times New Roman"/>
          <w:color w:val="000000"/>
          <w:sz w:val="24"/>
          <w:szCs w:val="24"/>
        </w:rPr>
        <w:t xml:space="preserve"> (accessed August 19, 2025). </w:t>
      </w:r>
    </w:p>
    <w:p w14:paraId="38F08DBB"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 xml:space="preserve">Japan Exchange Group, 2025b. “2024 </w:t>
      </w:r>
      <w:proofErr w:type="spellStart"/>
      <w:r w:rsidRPr="00CA3E0F">
        <w:rPr>
          <w:rFonts w:ascii="Times New Roman" w:eastAsia="Times New Roman" w:hAnsi="Times New Roman" w:cs="Times New Roman"/>
          <w:color w:val="000000"/>
          <w:sz w:val="24"/>
          <w:szCs w:val="24"/>
        </w:rPr>
        <w:t>Shareownership</w:t>
      </w:r>
      <w:proofErr w:type="spellEnd"/>
      <w:r w:rsidRPr="00CA3E0F">
        <w:rPr>
          <w:rFonts w:ascii="Times New Roman" w:eastAsia="Times New Roman" w:hAnsi="Times New Roman" w:cs="Times New Roman"/>
          <w:color w:val="000000"/>
          <w:sz w:val="24"/>
          <w:szCs w:val="24"/>
        </w:rPr>
        <w:t xml:space="preserve"> Survey.”</w:t>
      </w:r>
      <w:r w:rsidRPr="00CA3E0F">
        <w:rPr>
          <w:rFonts w:ascii="游明朝" w:eastAsia="游明朝" w:hAnsi="游明朝" w:cs="游明朝"/>
          <w:color w:val="000000"/>
        </w:rPr>
        <w:t xml:space="preserve"> </w:t>
      </w:r>
      <w:hyperlink r:id="rId59">
        <w:r w:rsidR="007373F6" w:rsidRPr="00CA3E0F">
          <w:rPr>
            <w:rFonts w:ascii="Times New Roman" w:eastAsia="Times New Roman" w:hAnsi="Times New Roman" w:cs="Times New Roman"/>
            <w:color w:val="000000"/>
            <w:sz w:val="24"/>
            <w:szCs w:val="24"/>
          </w:rPr>
          <w:t>https://www.jpx.co.jp/english/markets/statistics-equities/examination/01.html</w:t>
        </w:r>
      </w:hyperlink>
      <w:r w:rsidRPr="00CA3E0F">
        <w:rPr>
          <w:rFonts w:ascii="Times New Roman" w:eastAsia="Times New Roman" w:hAnsi="Times New Roman" w:cs="Times New Roman"/>
          <w:color w:val="000000"/>
          <w:sz w:val="24"/>
          <w:szCs w:val="24"/>
        </w:rPr>
        <w:t xml:space="preserve"> (accessed August 19, 2025). </w:t>
      </w:r>
    </w:p>
    <w:p w14:paraId="7F7A2249"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proofErr w:type="spellStart"/>
      <w:r w:rsidRPr="00CA3E0F">
        <w:rPr>
          <w:rFonts w:ascii="Times New Roman" w:eastAsia="Times New Roman" w:hAnsi="Times New Roman" w:cs="Times New Roman"/>
          <w:color w:val="000000"/>
          <w:sz w:val="24"/>
          <w:szCs w:val="24"/>
          <w:highlight w:val="white"/>
        </w:rPr>
        <w:t>Kashiwazaki</w:t>
      </w:r>
      <w:proofErr w:type="spellEnd"/>
      <w:r w:rsidRPr="00CA3E0F">
        <w:rPr>
          <w:rFonts w:ascii="Times New Roman" w:eastAsia="Times New Roman" w:hAnsi="Times New Roman" w:cs="Times New Roman"/>
          <w:color w:val="000000"/>
          <w:sz w:val="24"/>
          <w:szCs w:val="24"/>
          <w:highlight w:val="white"/>
        </w:rPr>
        <w:t>, R., Sato, S., Takeda, F., 2019. Does IFRS adoption accelerate M&amp;A? The consequences of different goodwill accounting in Japan. Int. Adv. Econ. Res.</w:t>
      </w:r>
      <w:r w:rsidRPr="00CA3E0F">
        <w:rPr>
          <w:rFonts w:ascii="Times New Roman" w:eastAsia="Times New Roman" w:hAnsi="Times New Roman" w:cs="Times New Roman"/>
          <w:i/>
          <w:color w:val="000000"/>
          <w:sz w:val="24"/>
          <w:szCs w:val="24"/>
          <w:highlight w:val="white"/>
        </w:rPr>
        <w:t xml:space="preserve"> </w:t>
      </w:r>
      <w:r w:rsidRPr="00CA3E0F">
        <w:rPr>
          <w:rFonts w:ascii="Times New Roman" w:eastAsia="Times New Roman" w:hAnsi="Times New Roman" w:cs="Times New Roman"/>
          <w:color w:val="000000"/>
          <w:sz w:val="24"/>
          <w:szCs w:val="24"/>
          <w:highlight w:val="white"/>
        </w:rPr>
        <w:t xml:space="preserve">25, 399–415. </w:t>
      </w:r>
      <w:hyperlink r:id="rId60">
        <w:r w:rsidR="007373F6" w:rsidRPr="00CA3E0F">
          <w:rPr>
            <w:rFonts w:ascii="Times New Roman" w:eastAsia="Times New Roman" w:hAnsi="Times New Roman" w:cs="Times New Roman"/>
            <w:color w:val="000000"/>
            <w:sz w:val="24"/>
            <w:szCs w:val="24"/>
            <w:highlight w:val="white"/>
          </w:rPr>
          <w:t>https://doi.org/10.1007/s11294-019-09757-0</w:t>
        </w:r>
      </w:hyperlink>
      <w:r w:rsidRPr="00CA3E0F">
        <w:rPr>
          <w:rFonts w:ascii="Times New Roman" w:eastAsia="Times New Roman" w:hAnsi="Times New Roman" w:cs="Times New Roman"/>
          <w:color w:val="000000"/>
          <w:sz w:val="24"/>
          <w:szCs w:val="24"/>
          <w:highlight w:val="white"/>
        </w:rPr>
        <w:t>.</w:t>
      </w:r>
    </w:p>
    <w:p w14:paraId="0B82452E"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 xml:space="preserve">Kim, J., Nakano, T., </w:t>
      </w:r>
      <w:proofErr w:type="spellStart"/>
      <w:r w:rsidRPr="00CA3E0F">
        <w:rPr>
          <w:rFonts w:ascii="Times New Roman" w:eastAsia="Times New Roman" w:hAnsi="Times New Roman" w:cs="Times New Roman"/>
          <w:color w:val="000000"/>
          <w:sz w:val="24"/>
          <w:szCs w:val="24"/>
        </w:rPr>
        <w:t>Naruoka</w:t>
      </w:r>
      <w:proofErr w:type="spellEnd"/>
      <w:r w:rsidRPr="00CA3E0F">
        <w:rPr>
          <w:rFonts w:ascii="Times New Roman" w:eastAsia="Times New Roman" w:hAnsi="Times New Roman" w:cs="Times New Roman"/>
          <w:color w:val="000000"/>
          <w:sz w:val="24"/>
          <w:szCs w:val="24"/>
        </w:rPr>
        <w:t xml:space="preserve">, H., 2019. Characteristics of companies that voluntarily adopted the IFRS. Acc. </w:t>
      </w:r>
      <w:proofErr w:type="spellStart"/>
      <w:r w:rsidRPr="00CA3E0F">
        <w:rPr>
          <w:rFonts w:ascii="Times New Roman" w:eastAsia="Times New Roman" w:hAnsi="Times New Roman" w:cs="Times New Roman"/>
          <w:color w:val="000000"/>
          <w:sz w:val="24"/>
          <w:szCs w:val="24"/>
        </w:rPr>
        <w:t>Progr</w:t>
      </w:r>
      <w:proofErr w:type="spellEnd"/>
      <w:r w:rsidRPr="00CA3E0F">
        <w:rPr>
          <w:rFonts w:ascii="Times New Roman" w:eastAsia="Times New Roman" w:hAnsi="Times New Roman" w:cs="Times New Roman"/>
          <w:color w:val="000000"/>
          <w:sz w:val="24"/>
          <w:szCs w:val="24"/>
        </w:rPr>
        <w:t xml:space="preserve">. 20, 78–94. </w:t>
      </w:r>
      <w:hyperlink r:id="rId61">
        <w:r w:rsidR="007373F6" w:rsidRPr="00CA3E0F">
          <w:rPr>
            <w:rFonts w:ascii="Times New Roman" w:eastAsia="Times New Roman" w:hAnsi="Times New Roman" w:cs="Times New Roman"/>
            <w:color w:val="000000"/>
            <w:sz w:val="24"/>
            <w:szCs w:val="24"/>
            <w:highlight w:val="white"/>
          </w:rPr>
          <w:t>https://doi.org/10.34605/jaa.2019.20_78</w:t>
        </w:r>
      </w:hyperlink>
      <w:r w:rsidRPr="00CA3E0F">
        <w:rPr>
          <w:rFonts w:ascii="Times New Roman" w:eastAsia="Times New Roman" w:hAnsi="Times New Roman" w:cs="Times New Roman"/>
          <w:color w:val="000000"/>
          <w:sz w:val="24"/>
          <w:szCs w:val="24"/>
        </w:rPr>
        <w:t xml:space="preserve"> (in Japanese).</w:t>
      </w:r>
    </w:p>
    <w:p w14:paraId="1FA4B687"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 xml:space="preserve">Kim, J.B., Shi, H., 2012. IFRS reporting, firm-specific information flows, and institutional environments: International evidence. Rev. Acc. Stud. 17, 474–517. </w:t>
      </w:r>
      <w:hyperlink r:id="rId62">
        <w:r w:rsidR="007373F6" w:rsidRPr="00CA3E0F">
          <w:rPr>
            <w:rFonts w:ascii="Times New Roman" w:eastAsia="Times New Roman" w:hAnsi="Times New Roman" w:cs="Times New Roman"/>
            <w:color w:val="000000"/>
            <w:sz w:val="24"/>
            <w:szCs w:val="24"/>
          </w:rPr>
          <w:t>https://doi.org/10.1007/s11142-012-9190-y</w:t>
        </w:r>
      </w:hyperlink>
      <w:r w:rsidRPr="00CA3E0F">
        <w:rPr>
          <w:rFonts w:ascii="Times New Roman" w:eastAsia="Times New Roman" w:hAnsi="Times New Roman" w:cs="Times New Roman"/>
          <w:color w:val="000000"/>
          <w:sz w:val="24"/>
          <w:szCs w:val="24"/>
        </w:rPr>
        <w:t xml:space="preserve">. </w:t>
      </w:r>
    </w:p>
    <w:p w14:paraId="0CFB1118"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highlight w:val="white"/>
        </w:rPr>
        <w:t xml:space="preserve">Kim, J.H., </w:t>
      </w:r>
      <w:r w:rsidRPr="00CA3E0F">
        <w:rPr>
          <w:rFonts w:ascii="Times New Roman" w:eastAsia="Times New Roman" w:hAnsi="Times New Roman" w:cs="Times New Roman"/>
          <w:color w:val="000000"/>
          <w:sz w:val="24"/>
          <w:szCs w:val="24"/>
        </w:rPr>
        <w:t xml:space="preserve">Fujiyama, K., Koga, Y., 2024. The effect of voluntary international financial reporting standards adoption on information asymmetry in the stock market: Evidence from Japan. Res. Int. Bus. Fin. 69, 102250. </w:t>
      </w:r>
      <w:hyperlink r:id="rId63">
        <w:r w:rsidR="007373F6" w:rsidRPr="00CA3E0F">
          <w:rPr>
            <w:rFonts w:ascii="Times New Roman" w:eastAsia="Times New Roman" w:hAnsi="Times New Roman" w:cs="Times New Roman"/>
            <w:color w:val="000000"/>
            <w:sz w:val="24"/>
            <w:szCs w:val="24"/>
          </w:rPr>
          <w:t>https://doi.org/10.1016/j.ribaf.2024.102250</w:t>
        </w:r>
      </w:hyperlink>
      <w:r w:rsidRPr="00CA3E0F">
        <w:rPr>
          <w:rFonts w:ascii="Times New Roman" w:eastAsia="Times New Roman" w:hAnsi="Times New Roman" w:cs="Times New Roman"/>
          <w:color w:val="000000"/>
          <w:sz w:val="24"/>
          <w:szCs w:val="24"/>
        </w:rPr>
        <w:t>.</w:t>
      </w:r>
    </w:p>
    <w:p w14:paraId="16CB741A"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 xml:space="preserve">La Porta, R., Lopez-de-Silanes, F., Shleifer, A., </w:t>
      </w:r>
      <w:proofErr w:type="spellStart"/>
      <w:r w:rsidRPr="00CA3E0F">
        <w:rPr>
          <w:rFonts w:ascii="Times New Roman" w:eastAsia="Times New Roman" w:hAnsi="Times New Roman" w:cs="Times New Roman"/>
          <w:color w:val="000000"/>
          <w:sz w:val="24"/>
          <w:szCs w:val="24"/>
        </w:rPr>
        <w:t>Vishny</w:t>
      </w:r>
      <w:proofErr w:type="spellEnd"/>
      <w:r w:rsidRPr="00CA3E0F">
        <w:rPr>
          <w:rFonts w:ascii="Times New Roman" w:eastAsia="Times New Roman" w:hAnsi="Times New Roman" w:cs="Times New Roman"/>
          <w:color w:val="000000"/>
          <w:sz w:val="24"/>
          <w:szCs w:val="24"/>
        </w:rPr>
        <w:t xml:space="preserve">, R., 1998. Law and finance. J. Pol. Econ. 106, 1113–1155. </w:t>
      </w:r>
      <w:hyperlink r:id="rId64">
        <w:r w:rsidR="007373F6" w:rsidRPr="00CA3E0F">
          <w:rPr>
            <w:rFonts w:ascii="Times New Roman" w:eastAsia="Times New Roman" w:hAnsi="Times New Roman" w:cs="Times New Roman"/>
            <w:color w:val="000000"/>
            <w:sz w:val="24"/>
            <w:szCs w:val="24"/>
          </w:rPr>
          <w:t>https://doi.org/10.1086/250042</w:t>
        </w:r>
      </w:hyperlink>
      <w:r w:rsidRPr="00CA3E0F">
        <w:rPr>
          <w:rFonts w:ascii="Times New Roman" w:eastAsia="Times New Roman" w:hAnsi="Times New Roman" w:cs="Times New Roman"/>
          <w:color w:val="000000"/>
          <w:sz w:val="24"/>
          <w:szCs w:val="24"/>
        </w:rPr>
        <w:t xml:space="preserve">. </w:t>
      </w:r>
    </w:p>
    <w:p w14:paraId="1631CDA2"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proofErr w:type="spellStart"/>
      <w:r w:rsidRPr="00CA3E0F">
        <w:rPr>
          <w:rFonts w:ascii="Times New Roman" w:eastAsia="Times New Roman" w:hAnsi="Times New Roman" w:cs="Times New Roman"/>
          <w:color w:val="000000"/>
          <w:sz w:val="24"/>
          <w:szCs w:val="24"/>
        </w:rPr>
        <w:t>Leuz</w:t>
      </w:r>
      <w:proofErr w:type="spellEnd"/>
      <w:r w:rsidRPr="00CA3E0F">
        <w:rPr>
          <w:rFonts w:ascii="Times New Roman" w:eastAsia="Times New Roman" w:hAnsi="Times New Roman" w:cs="Times New Roman"/>
          <w:color w:val="000000"/>
          <w:sz w:val="24"/>
          <w:szCs w:val="24"/>
        </w:rPr>
        <w:t xml:space="preserve">, C., Nanda, D., Wysocki, P.D., 2003. Earnings management and investor protection: An international comparison. J. </w:t>
      </w:r>
      <w:proofErr w:type="spellStart"/>
      <w:r w:rsidRPr="00CA3E0F">
        <w:rPr>
          <w:rFonts w:ascii="Times New Roman" w:eastAsia="Times New Roman" w:hAnsi="Times New Roman" w:cs="Times New Roman"/>
          <w:color w:val="000000"/>
          <w:sz w:val="24"/>
          <w:szCs w:val="24"/>
        </w:rPr>
        <w:t>Financ</w:t>
      </w:r>
      <w:proofErr w:type="spellEnd"/>
      <w:r w:rsidRPr="00CA3E0F">
        <w:rPr>
          <w:rFonts w:ascii="Times New Roman" w:eastAsia="Times New Roman" w:hAnsi="Times New Roman" w:cs="Times New Roman"/>
          <w:color w:val="000000"/>
          <w:sz w:val="24"/>
          <w:szCs w:val="24"/>
        </w:rPr>
        <w:t xml:space="preserve">. Econ. 69, 505–527. </w:t>
      </w:r>
      <w:hyperlink r:id="rId65">
        <w:r w:rsidR="007373F6" w:rsidRPr="00CA3E0F">
          <w:rPr>
            <w:rFonts w:ascii="Times New Roman" w:eastAsia="Times New Roman" w:hAnsi="Times New Roman" w:cs="Times New Roman"/>
            <w:color w:val="000000"/>
            <w:sz w:val="24"/>
            <w:szCs w:val="24"/>
          </w:rPr>
          <w:t>https://doi.org/10.1016/S0304-405X(03)00121-1</w:t>
        </w:r>
      </w:hyperlink>
      <w:r w:rsidRPr="00CA3E0F">
        <w:rPr>
          <w:rFonts w:ascii="Times New Roman" w:eastAsia="Times New Roman" w:hAnsi="Times New Roman" w:cs="Times New Roman"/>
          <w:color w:val="000000"/>
          <w:sz w:val="24"/>
          <w:szCs w:val="24"/>
        </w:rPr>
        <w:t>.</w:t>
      </w:r>
    </w:p>
    <w:p w14:paraId="0FAA7E92"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proofErr w:type="spellStart"/>
      <w:r w:rsidRPr="00CA3E0F">
        <w:rPr>
          <w:rFonts w:ascii="Times New Roman" w:eastAsia="Times New Roman" w:hAnsi="Times New Roman" w:cs="Times New Roman"/>
          <w:color w:val="000000"/>
          <w:sz w:val="24"/>
          <w:szCs w:val="24"/>
        </w:rPr>
        <w:t>Leuz</w:t>
      </w:r>
      <w:proofErr w:type="spellEnd"/>
      <w:r w:rsidRPr="00CA3E0F">
        <w:rPr>
          <w:rFonts w:ascii="Times New Roman" w:eastAsia="Times New Roman" w:hAnsi="Times New Roman" w:cs="Times New Roman"/>
          <w:color w:val="000000"/>
          <w:sz w:val="24"/>
          <w:szCs w:val="24"/>
        </w:rPr>
        <w:t>, C., Verrecchia, R.E., 2000. The economic consequences of increased disclosure. J. Acc. Res. 38, 91-124. </w:t>
      </w:r>
      <w:hyperlink r:id="rId66">
        <w:r w:rsidR="007373F6" w:rsidRPr="00CA3E0F">
          <w:rPr>
            <w:rFonts w:ascii="Times New Roman" w:eastAsia="Times New Roman" w:hAnsi="Times New Roman" w:cs="Times New Roman"/>
            <w:color w:val="000000"/>
            <w:sz w:val="24"/>
            <w:szCs w:val="24"/>
          </w:rPr>
          <w:t>https://doi.org/10.2307/2672910</w:t>
        </w:r>
      </w:hyperlink>
      <w:r w:rsidRPr="00CA3E0F">
        <w:rPr>
          <w:rFonts w:ascii="Times New Roman" w:eastAsia="Times New Roman" w:hAnsi="Times New Roman" w:cs="Times New Roman"/>
          <w:color w:val="000000"/>
          <w:sz w:val="24"/>
          <w:szCs w:val="24"/>
        </w:rPr>
        <w:t>.</w:t>
      </w:r>
    </w:p>
    <w:p w14:paraId="1AC65BCB"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Mita,</w:t>
      </w:r>
      <w:r w:rsidRPr="00CA3E0F">
        <w:rPr>
          <w:rFonts w:ascii="Times New Roman" w:eastAsia="Times New Roman" w:hAnsi="Times New Roman" w:cs="Times New Roman"/>
          <w:color w:val="000000"/>
          <w:sz w:val="24"/>
          <w:szCs w:val="24"/>
          <w:highlight w:val="white"/>
        </w:rPr>
        <w:t xml:space="preserve"> </w:t>
      </w:r>
      <w:r w:rsidRPr="00CA3E0F">
        <w:rPr>
          <w:rFonts w:ascii="Times New Roman" w:eastAsia="Times New Roman" w:hAnsi="Times New Roman" w:cs="Times New Roman"/>
          <w:color w:val="000000"/>
          <w:sz w:val="24"/>
          <w:szCs w:val="24"/>
        </w:rPr>
        <w:t xml:space="preserve">A.F., </w:t>
      </w:r>
      <w:r w:rsidRPr="00CA3E0F">
        <w:rPr>
          <w:rFonts w:ascii="Times New Roman" w:eastAsia="Times New Roman" w:hAnsi="Times New Roman" w:cs="Times New Roman"/>
          <w:color w:val="000000"/>
          <w:sz w:val="24"/>
          <w:szCs w:val="24"/>
          <w:highlight w:val="white"/>
        </w:rPr>
        <w:t xml:space="preserve">Utama, S., </w:t>
      </w:r>
      <w:proofErr w:type="spellStart"/>
      <w:r w:rsidRPr="00CA3E0F">
        <w:rPr>
          <w:rFonts w:ascii="Times New Roman" w:eastAsia="Times New Roman" w:hAnsi="Times New Roman" w:cs="Times New Roman"/>
          <w:color w:val="000000"/>
          <w:sz w:val="24"/>
          <w:szCs w:val="24"/>
        </w:rPr>
        <w:t>Fitriany</w:t>
      </w:r>
      <w:proofErr w:type="spellEnd"/>
      <w:r w:rsidRPr="00CA3E0F">
        <w:rPr>
          <w:rFonts w:ascii="Times New Roman" w:eastAsia="Times New Roman" w:hAnsi="Times New Roman" w:cs="Times New Roman"/>
          <w:color w:val="000000"/>
          <w:sz w:val="24"/>
          <w:szCs w:val="24"/>
        </w:rPr>
        <w:t xml:space="preserve">, F., Wulandari, E.R., 2018. </w:t>
      </w:r>
      <w:r w:rsidRPr="00CA3E0F">
        <w:rPr>
          <w:rFonts w:ascii="Times New Roman" w:eastAsia="Times New Roman" w:hAnsi="Times New Roman" w:cs="Times New Roman"/>
          <w:color w:val="000000"/>
          <w:sz w:val="24"/>
          <w:szCs w:val="24"/>
          <w:highlight w:val="white"/>
        </w:rPr>
        <w:t xml:space="preserve">The adoption of IFRS, comparability of financial statements and foreign investors’ ownership. </w:t>
      </w:r>
      <w:r w:rsidRPr="00CA3E0F">
        <w:rPr>
          <w:rFonts w:ascii="Times New Roman" w:eastAsia="Times New Roman" w:hAnsi="Times New Roman" w:cs="Times New Roman"/>
          <w:color w:val="000000"/>
          <w:sz w:val="24"/>
          <w:szCs w:val="24"/>
        </w:rPr>
        <w:t>Asian Rev. Acc.</w:t>
      </w:r>
      <w:r w:rsidRPr="00CA3E0F">
        <w:rPr>
          <w:rFonts w:ascii="Times New Roman" w:eastAsia="Times New Roman" w:hAnsi="Times New Roman" w:cs="Times New Roman"/>
          <w:color w:val="000000"/>
          <w:sz w:val="24"/>
          <w:szCs w:val="24"/>
          <w:highlight w:val="white"/>
        </w:rPr>
        <w:t xml:space="preserve"> 26, 391–411. </w:t>
      </w:r>
      <w:hyperlink r:id="rId67">
        <w:r w:rsidR="007373F6" w:rsidRPr="00CA3E0F">
          <w:rPr>
            <w:rFonts w:ascii="Times New Roman" w:eastAsia="Times New Roman" w:hAnsi="Times New Roman" w:cs="Times New Roman"/>
            <w:color w:val="000000"/>
            <w:sz w:val="24"/>
            <w:szCs w:val="24"/>
            <w:highlight w:val="white"/>
          </w:rPr>
          <w:t>https://doi.org/10.1108/ARA-04-2017-0064</w:t>
        </w:r>
      </w:hyperlink>
      <w:r w:rsidRPr="00CA3E0F">
        <w:rPr>
          <w:rFonts w:ascii="Times New Roman" w:eastAsia="Times New Roman" w:hAnsi="Times New Roman" w:cs="Times New Roman"/>
          <w:color w:val="000000"/>
          <w:sz w:val="24"/>
          <w:szCs w:val="24"/>
        </w:rPr>
        <w:t>.</w:t>
      </w:r>
    </w:p>
    <w:p w14:paraId="46BC296D"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 xml:space="preserve">Miyachi, H., Takeda, F., 2021. Hedge fund activism in Japan under the Stewardship and Corporate Governance Codes. </w:t>
      </w:r>
      <w:r w:rsidRPr="00CA3E0F">
        <w:rPr>
          <w:rFonts w:ascii="Times New Roman" w:eastAsia="Times New Roman" w:hAnsi="Times New Roman" w:cs="Times New Roman"/>
          <w:color w:val="000000"/>
          <w:sz w:val="24"/>
          <w:szCs w:val="24"/>
          <w:highlight w:val="white"/>
        </w:rPr>
        <w:t>Int. Adv. Econ. Res.</w:t>
      </w:r>
      <w:r w:rsidRPr="00CA3E0F">
        <w:rPr>
          <w:rFonts w:ascii="Times New Roman" w:eastAsia="Times New Roman" w:hAnsi="Times New Roman" w:cs="Times New Roman"/>
          <w:color w:val="000000"/>
          <w:sz w:val="24"/>
          <w:szCs w:val="24"/>
        </w:rPr>
        <w:t xml:space="preserve"> 27, 119-130. https://doi.org/10.1007/s11294-021-09824-5.</w:t>
      </w:r>
    </w:p>
    <w:p w14:paraId="3B8E1AA8"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highlight w:val="white"/>
        </w:rPr>
        <w:t xml:space="preserve">Miyajima, H., Saito, T., 2023. </w:t>
      </w:r>
      <w:proofErr w:type="spellStart"/>
      <w:r w:rsidRPr="00CA3E0F">
        <w:rPr>
          <w:rFonts w:ascii="ＭＳ 明朝" w:hAnsi="ＭＳ 明朝" w:cs="ＭＳ 明朝"/>
          <w:color w:val="000000"/>
          <w:sz w:val="24"/>
          <w:szCs w:val="24"/>
          <w:highlight w:val="white"/>
        </w:rPr>
        <w:t>企業統治改革と政策保有株の売却</w:t>
      </w:r>
      <w:proofErr w:type="spellEnd"/>
      <w:r w:rsidRPr="00CA3E0F">
        <w:rPr>
          <w:rFonts w:ascii="ＭＳ 明朝" w:hAnsi="ＭＳ 明朝" w:cs="ＭＳ 明朝"/>
          <w:color w:val="000000"/>
          <w:sz w:val="24"/>
          <w:szCs w:val="24"/>
          <w:highlight w:val="white"/>
        </w:rPr>
        <w:t xml:space="preserve">: </w:t>
      </w:r>
      <w:proofErr w:type="spellStart"/>
      <w:r w:rsidRPr="00CA3E0F">
        <w:rPr>
          <w:rFonts w:ascii="ＭＳ 明朝" w:hAnsi="ＭＳ 明朝" w:cs="ＭＳ 明朝"/>
          <w:color w:val="000000"/>
          <w:sz w:val="24"/>
          <w:szCs w:val="24"/>
          <w:highlight w:val="white"/>
        </w:rPr>
        <w:t>その決定要因と経済的帰結</w:t>
      </w:r>
      <w:proofErr w:type="spellEnd"/>
      <w:r w:rsidRPr="00CA3E0F">
        <w:rPr>
          <w:rFonts w:ascii="Times New Roman" w:eastAsia="Times New Roman" w:hAnsi="Times New Roman" w:cs="Times New Roman"/>
          <w:color w:val="000000"/>
          <w:sz w:val="24"/>
          <w:szCs w:val="24"/>
          <w:highlight w:val="white"/>
        </w:rPr>
        <w:t xml:space="preserve"> (Corporate governance and sales of cross-shareholdings: determinants and economic consequences). (in Japanese). RIETI Policy Discussion Paper Series 23. P-005.</w:t>
      </w:r>
    </w:p>
    <w:p w14:paraId="55A173A0"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highlight w:val="white"/>
        </w:rPr>
        <w:t xml:space="preserve">Nnadi, M., </w:t>
      </w:r>
      <w:proofErr w:type="spellStart"/>
      <w:r w:rsidRPr="00CA3E0F">
        <w:rPr>
          <w:rFonts w:ascii="Times New Roman" w:eastAsia="Times New Roman" w:hAnsi="Times New Roman" w:cs="Times New Roman"/>
          <w:color w:val="000000"/>
          <w:sz w:val="24"/>
          <w:szCs w:val="24"/>
          <w:highlight w:val="white"/>
        </w:rPr>
        <w:t>Soobaroyen</w:t>
      </w:r>
      <w:proofErr w:type="spellEnd"/>
      <w:r w:rsidRPr="00CA3E0F">
        <w:rPr>
          <w:rFonts w:ascii="Times New Roman" w:eastAsia="Times New Roman" w:hAnsi="Times New Roman" w:cs="Times New Roman"/>
          <w:color w:val="000000"/>
          <w:sz w:val="24"/>
          <w:szCs w:val="24"/>
          <w:highlight w:val="white"/>
        </w:rPr>
        <w:t xml:space="preserve">, T., 2015. International financial reporting standards and FDI: The case of Africa. Adv. Acc. 31, 228–238. </w:t>
      </w:r>
      <w:hyperlink r:id="rId68">
        <w:r w:rsidR="007373F6" w:rsidRPr="00CA3E0F">
          <w:rPr>
            <w:rFonts w:ascii="Times New Roman" w:eastAsia="Times New Roman" w:hAnsi="Times New Roman" w:cs="Times New Roman"/>
            <w:color w:val="000000"/>
            <w:sz w:val="24"/>
            <w:szCs w:val="24"/>
            <w:highlight w:val="white"/>
          </w:rPr>
          <w:t>https://doi.org/10.1016/j.adiac.2015.09.007</w:t>
        </w:r>
      </w:hyperlink>
      <w:r w:rsidRPr="00CA3E0F">
        <w:rPr>
          <w:rFonts w:ascii="Times New Roman" w:eastAsia="Times New Roman" w:hAnsi="Times New Roman" w:cs="Times New Roman"/>
          <w:color w:val="000000"/>
          <w:sz w:val="24"/>
          <w:szCs w:val="24"/>
          <w:highlight w:val="white"/>
        </w:rPr>
        <w:t>.</w:t>
      </w:r>
    </w:p>
    <w:p w14:paraId="2DDD9DBD"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Roberts, M.R., Whited, T.M., 2013. Chapter 7. Endogeneity in empirical corporate finance, in: Constantinides, G.M., Harris, M., Stulz, R.M. (Eds.). Handbook of the Economics of Finance, Volume 2. Elsevier, Amsterdam, pp. 493–572.</w:t>
      </w:r>
    </w:p>
    <w:p w14:paraId="29F9229E"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highlight w:val="white"/>
          <w:lang w:val="de-DE"/>
        </w:rPr>
        <w:lastRenderedPageBreak/>
        <w:t xml:space="preserve">Rosenbaum, P.R., Rubin, D.B., 1983. </w:t>
      </w:r>
      <w:r w:rsidRPr="00CA3E0F">
        <w:rPr>
          <w:rFonts w:ascii="Times New Roman" w:eastAsia="Times New Roman" w:hAnsi="Times New Roman" w:cs="Times New Roman"/>
          <w:color w:val="000000"/>
          <w:sz w:val="24"/>
          <w:szCs w:val="24"/>
          <w:highlight w:val="white"/>
        </w:rPr>
        <w:t xml:space="preserve">The central role of the propensity score in observational studies for causal effects. </w:t>
      </w:r>
      <w:proofErr w:type="spellStart"/>
      <w:r w:rsidRPr="00CA3E0F">
        <w:rPr>
          <w:rFonts w:ascii="Times New Roman" w:eastAsia="Times New Roman" w:hAnsi="Times New Roman" w:cs="Times New Roman"/>
          <w:color w:val="000000"/>
          <w:sz w:val="24"/>
          <w:szCs w:val="24"/>
          <w:highlight w:val="white"/>
        </w:rPr>
        <w:t>Biometrika</w:t>
      </w:r>
      <w:proofErr w:type="spellEnd"/>
      <w:r w:rsidRPr="00CA3E0F">
        <w:rPr>
          <w:rFonts w:ascii="Times New Roman" w:eastAsia="Times New Roman" w:hAnsi="Times New Roman" w:cs="Times New Roman"/>
          <w:color w:val="000000"/>
          <w:sz w:val="24"/>
          <w:szCs w:val="24"/>
          <w:highlight w:val="white"/>
        </w:rPr>
        <w:t xml:space="preserve">. 70, 41–55. </w:t>
      </w:r>
      <w:hyperlink r:id="rId69">
        <w:r w:rsidR="007373F6" w:rsidRPr="00CA3E0F">
          <w:rPr>
            <w:rFonts w:ascii="Times New Roman" w:eastAsia="Times New Roman" w:hAnsi="Times New Roman" w:cs="Times New Roman"/>
            <w:color w:val="000000"/>
            <w:sz w:val="24"/>
            <w:szCs w:val="24"/>
            <w:highlight w:val="white"/>
          </w:rPr>
          <w:t>https://doi.org/10.1093/biomet/70.1.41</w:t>
        </w:r>
      </w:hyperlink>
      <w:r w:rsidRPr="00CA3E0F">
        <w:rPr>
          <w:rFonts w:ascii="Times New Roman" w:eastAsia="Times New Roman" w:hAnsi="Times New Roman" w:cs="Times New Roman"/>
          <w:color w:val="000000"/>
          <w:sz w:val="24"/>
          <w:szCs w:val="24"/>
          <w:highlight w:val="white"/>
        </w:rPr>
        <w:t>.</w:t>
      </w:r>
    </w:p>
    <w:p w14:paraId="55B1E1C3"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highlight w:val="white"/>
        </w:rPr>
        <w:t xml:space="preserve">Sato, S., </w:t>
      </w:r>
      <w:r w:rsidRPr="00CA3E0F">
        <w:rPr>
          <w:rFonts w:ascii="Times New Roman" w:eastAsia="Times New Roman" w:hAnsi="Times New Roman" w:cs="Times New Roman"/>
          <w:color w:val="000000"/>
          <w:sz w:val="24"/>
          <w:szCs w:val="24"/>
        </w:rPr>
        <w:t xml:space="preserve">Takeda, F., 2017. </w:t>
      </w:r>
      <w:r w:rsidRPr="00CA3E0F">
        <w:rPr>
          <w:rFonts w:ascii="Times New Roman" w:eastAsia="Times New Roman" w:hAnsi="Times New Roman" w:cs="Times New Roman"/>
          <w:color w:val="000000"/>
          <w:sz w:val="24"/>
          <w:szCs w:val="24"/>
          <w:highlight w:val="white"/>
        </w:rPr>
        <w:t>IFRS adoption and stock prices of Japanese firms in governance system transition. Int. J. Acc. 52, 319–337.</w:t>
      </w:r>
      <w:r w:rsidRPr="00CA3E0F">
        <w:rPr>
          <w:rFonts w:ascii="Times New Roman" w:eastAsia="Times New Roman" w:hAnsi="Times New Roman" w:cs="Times New Roman"/>
          <w:color w:val="000000"/>
          <w:sz w:val="24"/>
          <w:szCs w:val="24"/>
        </w:rPr>
        <w:t xml:space="preserve"> </w:t>
      </w:r>
      <w:hyperlink r:id="rId70">
        <w:r w:rsidR="007373F6" w:rsidRPr="00CA3E0F">
          <w:rPr>
            <w:rFonts w:ascii="Times New Roman" w:eastAsia="Times New Roman" w:hAnsi="Times New Roman" w:cs="Times New Roman"/>
            <w:color w:val="000000"/>
            <w:sz w:val="24"/>
            <w:szCs w:val="24"/>
            <w:highlight w:val="white"/>
          </w:rPr>
          <w:t>https://doi.org/10.1016/j.intacc.2017.09.002</w:t>
        </w:r>
      </w:hyperlink>
      <w:r w:rsidRPr="00CA3E0F">
        <w:rPr>
          <w:rFonts w:ascii="Times New Roman" w:eastAsia="Times New Roman" w:hAnsi="Times New Roman" w:cs="Times New Roman"/>
          <w:color w:val="000000"/>
          <w:sz w:val="24"/>
          <w:szCs w:val="24"/>
          <w:highlight w:val="white"/>
        </w:rPr>
        <w:t xml:space="preserve">. </w:t>
      </w:r>
    </w:p>
    <w:p w14:paraId="242ED1EE"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 xml:space="preserve">Shima, K.M., Gordon, E.A., 2011. IFRS and the regulatory environment: The case of US investor allocation choice. J. Acc. Public Policy. 30, 481–500. </w:t>
      </w:r>
      <w:hyperlink r:id="rId71">
        <w:r w:rsidR="007373F6" w:rsidRPr="00CA3E0F">
          <w:rPr>
            <w:rFonts w:ascii="Times New Roman" w:eastAsia="Times New Roman" w:hAnsi="Times New Roman" w:cs="Times New Roman"/>
            <w:color w:val="000000"/>
            <w:sz w:val="24"/>
            <w:szCs w:val="24"/>
          </w:rPr>
          <w:t>https://doi.org/10.1016/j.jaccpubpol.2011.07.001</w:t>
        </w:r>
      </w:hyperlink>
      <w:r w:rsidRPr="00CA3E0F">
        <w:rPr>
          <w:rFonts w:ascii="Times New Roman" w:eastAsia="Times New Roman" w:hAnsi="Times New Roman" w:cs="Times New Roman"/>
          <w:color w:val="000000"/>
          <w:sz w:val="24"/>
          <w:szCs w:val="24"/>
        </w:rPr>
        <w:t>.</w:t>
      </w:r>
    </w:p>
    <w:p w14:paraId="33385401"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 xml:space="preserve">Shleifer, A., </w:t>
      </w:r>
      <w:proofErr w:type="spellStart"/>
      <w:r w:rsidRPr="00CA3E0F">
        <w:rPr>
          <w:rFonts w:ascii="Times New Roman" w:eastAsia="Times New Roman" w:hAnsi="Times New Roman" w:cs="Times New Roman"/>
          <w:color w:val="000000"/>
          <w:sz w:val="24"/>
          <w:szCs w:val="24"/>
        </w:rPr>
        <w:t>Vishny</w:t>
      </w:r>
      <w:proofErr w:type="spellEnd"/>
      <w:r w:rsidRPr="00CA3E0F">
        <w:rPr>
          <w:rFonts w:ascii="Times New Roman" w:eastAsia="Times New Roman" w:hAnsi="Times New Roman" w:cs="Times New Roman"/>
          <w:color w:val="000000"/>
          <w:sz w:val="24"/>
          <w:szCs w:val="24"/>
        </w:rPr>
        <w:t>, R.W., 1997. A survey of corporate governance. J. Fin. 52, 737–783.</w:t>
      </w:r>
      <w:r w:rsidRPr="00CA3E0F">
        <w:rPr>
          <w:rFonts w:ascii="Helvetica Neue" w:eastAsia="Helvetica Neue" w:hAnsi="Helvetica Neue" w:cs="Helvetica Neue"/>
          <w:color w:val="000000"/>
        </w:rPr>
        <w:t xml:space="preserve"> </w:t>
      </w:r>
      <w:hyperlink r:id="rId72">
        <w:r w:rsidR="007373F6" w:rsidRPr="00CA3E0F">
          <w:rPr>
            <w:rFonts w:ascii="Times New Roman" w:eastAsia="Times New Roman" w:hAnsi="Times New Roman" w:cs="Times New Roman"/>
            <w:color w:val="000000"/>
            <w:sz w:val="24"/>
            <w:szCs w:val="24"/>
          </w:rPr>
          <w:t>https://doi.org/10.1111/j.1540-6261.1997.tb04820.x</w:t>
        </w:r>
      </w:hyperlink>
      <w:r w:rsidRPr="00CA3E0F">
        <w:rPr>
          <w:rFonts w:ascii="Times New Roman" w:eastAsia="Times New Roman" w:hAnsi="Times New Roman" w:cs="Times New Roman"/>
          <w:color w:val="000000"/>
          <w:sz w:val="24"/>
          <w:szCs w:val="24"/>
        </w:rPr>
        <w:t>.</w:t>
      </w:r>
    </w:p>
    <w:p w14:paraId="12FB7B37"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 xml:space="preserve">Tarca, A., 2004. International convergence of accounting practices: Choosing between IAS and US GAAP. Journal of International Financial Management and Accounting 15(1), 60-91. </w:t>
      </w:r>
      <w:hyperlink r:id="rId73">
        <w:r w:rsidR="007373F6" w:rsidRPr="00CA3E0F">
          <w:rPr>
            <w:rFonts w:ascii="Times New Roman" w:eastAsia="Times New Roman" w:hAnsi="Times New Roman" w:cs="Times New Roman"/>
            <w:color w:val="000000"/>
            <w:sz w:val="24"/>
            <w:szCs w:val="24"/>
          </w:rPr>
          <w:t>https://doi.org/10.1111/j.1467-646X.2004.00102.x</w:t>
        </w:r>
      </w:hyperlink>
    </w:p>
    <w:p w14:paraId="54B2A015"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rPr>
      </w:pPr>
      <w:r w:rsidRPr="00CA3E0F">
        <w:rPr>
          <w:rFonts w:ascii="Times New Roman" w:eastAsia="Times New Roman" w:hAnsi="Times New Roman" w:cs="Times New Roman"/>
          <w:color w:val="000000"/>
          <w:sz w:val="24"/>
          <w:szCs w:val="24"/>
        </w:rPr>
        <w:t xml:space="preserve">The Council of Experts on the Stewardship Code., 2017. Principles for Responsible Institutional Investors [Japan’s Stewardship Code]: To promote sustainable growth of companies through investment and dialogue. </w:t>
      </w:r>
      <w:hyperlink r:id="rId74">
        <w:r w:rsidR="007373F6" w:rsidRPr="00CA3E0F">
          <w:rPr>
            <w:rFonts w:ascii="Times New Roman" w:eastAsia="Times New Roman" w:hAnsi="Times New Roman" w:cs="Times New Roman"/>
            <w:color w:val="000000"/>
            <w:sz w:val="24"/>
            <w:szCs w:val="24"/>
          </w:rPr>
          <w:t>https://www.fsa.go.jp/en/refer/councils/stewardship/20170529/01.pdf</w:t>
        </w:r>
      </w:hyperlink>
      <w:r w:rsidRPr="00CA3E0F">
        <w:rPr>
          <w:rFonts w:ascii="Times New Roman" w:eastAsia="Times New Roman" w:hAnsi="Times New Roman" w:cs="Times New Roman"/>
          <w:color w:val="000000"/>
          <w:sz w:val="24"/>
          <w:szCs w:val="24"/>
        </w:rPr>
        <w:t xml:space="preserve"> (accessed August 19, 2025).</w:t>
      </w:r>
    </w:p>
    <w:p w14:paraId="63B41AD2"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highlight w:val="white"/>
        </w:rPr>
      </w:pPr>
      <w:proofErr w:type="spellStart"/>
      <w:r w:rsidRPr="00CA3E0F">
        <w:rPr>
          <w:rFonts w:ascii="Times New Roman" w:eastAsia="Times New Roman" w:hAnsi="Times New Roman" w:cs="Times New Roman"/>
          <w:color w:val="000000"/>
          <w:sz w:val="24"/>
          <w:szCs w:val="24"/>
          <w:highlight w:val="white"/>
        </w:rPr>
        <w:t>Tohara</w:t>
      </w:r>
      <w:proofErr w:type="spellEnd"/>
      <w:r w:rsidRPr="00CA3E0F">
        <w:rPr>
          <w:rFonts w:ascii="Times New Roman" w:eastAsia="Times New Roman" w:hAnsi="Times New Roman" w:cs="Times New Roman"/>
          <w:color w:val="000000"/>
          <w:sz w:val="24"/>
          <w:szCs w:val="24"/>
          <w:highlight w:val="white"/>
        </w:rPr>
        <w:t xml:space="preserve">, Y. (2024). Transparency or ambiguity? Voluntary IFRS adoption and earnings management in Japan. Acc. &amp; Fin., in press. </w:t>
      </w:r>
      <w:hyperlink r:id="rId75">
        <w:r w:rsidR="007373F6" w:rsidRPr="00CA3E0F">
          <w:rPr>
            <w:rFonts w:ascii="Times New Roman" w:eastAsia="Times New Roman" w:hAnsi="Times New Roman" w:cs="Times New Roman"/>
            <w:color w:val="000000"/>
            <w:sz w:val="24"/>
            <w:szCs w:val="24"/>
            <w:highlight w:val="white"/>
          </w:rPr>
          <w:t>https://doi.org/10.1111/acfi.13221</w:t>
        </w:r>
      </w:hyperlink>
      <w:r w:rsidRPr="00CA3E0F">
        <w:rPr>
          <w:rFonts w:ascii="Times New Roman" w:eastAsia="Times New Roman" w:hAnsi="Times New Roman" w:cs="Times New Roman"/>
          <w:color w:val="000000"/>
          <w:sz w:val="24"/>
          <w:szCs w:val="24"/>
          <w:highlight w:val="white"/>
        </w:rPr>
        <w:t>.</w:t>
      </w:r>
    </w:p>
    <w:p w14:paraId="0F75D849" w14:textId="77777777" w:rsidR="007373F6" w:rsidRPr="00CA3E0F" w:rsidRDefault="00000000" w:rsidP="00FC089A">
      <w:pPr>
        <w:spacing w:after="0" w:line="240" w:lineRule="auto"/>
        <w:ind w:left="350" w:hanging="364"/>
        <w:jc w:val="both"/>
        <w:rPr>
          <w:rFonts w:ascii="Times New Roman" w:eastAsia="Times New Roman" w:hAnsi="Times New Roman" w:cs="Times New Roman"/>
          <w:color w:val="000000"/>
          <w:sz w:val="24"/>
          <w:szCs w:val="24"/>
          <w:highlight w:val="yellow"/>
        </w:rPr>
      </w:pPr>
      <w:r w:rsidRPr="00CA3E0F">
        <w:rPr>
          <w:rFonts w:ascii="Times New Roman" w:eastAsia="Times New Roman" w:hAnsi="Times New Roman" w:cs="Times New Roman"/>
          <w:color w:val="000000"/>
          <w:sz w:val="24"/>
          <w:szCs w:val="24"/>
        </w:rPr>
        <w:t xml:space="preserve">Tokyo Stock Exchange, Inc., 2018. Japan’s Corporate Governance Code: Seeking Sustainable Corporate Growth and Increased Corporate Value over the Mid- to Long-Term. </w:t>
      </w:r>
      <w:hyperlink r:id="rId76">
        <w:r w:rsidR="007373F6" w:rsidRPr="00CA3E0F">
          <w:rPr>
            <w:rFonts w:ascii="Times New Roman" w:eastAsia="Times New Roman" w:hAnsi="Times New Roman" w:cs="Times New Roman"/>
            <w:color w:val="000000"/>
            <w:sz w:val="24"/>
            <w:szCs w:val="24"/>
          </w:rPr>
          <w:t>https://www.jpx.co.jp/english/equities/listing/cg/</w:t>
        </w:r>
      </w:hyperlink>
      <w:r w:rsidRPr="00CA3E0F">
        <w:rPr>
          <w:rFonts w:ascii="Times New Roman" w:eastAsia="Times New Roman" w:hAnsi="Times New Roman" w:cs="Times New Roman"/>
          <w:color w:val="000000"/>
          <w:sz w:val="24"/>
          <w:szCs w:val="24"/>
        </w:rPr>
        <w:t xml:space="preserve"> (accessed August 19, 2025).</w:t>
      </w:r>
    </w:p>
    <w:p w14:paraId="36F734DF" w14:textId="77777777" w:rsidR="007373F6" w:rsidRDefault="007373F6">
      <w:pPr>
        <w:pBdr>
          <w:top w:val="nil"/>
          <w:left w:val="nil"/>
          <w:bottom w:val="nil"/>
          <w:right w:val="nil"/>
          <w:between w:val="nil"/>
        </w:pBdr>
        <w:spacing w:before="240" w:after="120" w:line="240" w:lineRule="auto"/>
        <w:jc w:val="both"/>
        <w:rPr>
          <w:rFonts w:ascii="Times New Roman" w:eastAsia="Times New Roman" w:hAnsi="Times New Roman" w:cs="Times New Roman"/>
          <w:color w:val="000000"/>
          <w:sz w:val="24"/>
          <w:szCs w:val="24"/>
          <w:highlight w:val="yellow"/>
        </w:rPr>
      </w:pPr>
    </w:p>
    <w:p w14:paraId="44B42C5F" w14:textId="77777777" w:rsidR="007373F6" w:rsidRPr="00CA3E0F" w:rsidRDefault="00000000">
      <w:pPr>
        <w:spacing w:before="139"/>
        <w:jc w:val="both"/>
        <w:rPr>
          <w:rFonts w:ascii="Times New Roman" w:eastAsia="Times New Roman" w:hAnsi="Times New Roman" w:cs="Times New Roman"/>
          <w:bCs/>
          <w:color w:val="000000"/>
          <w:sz w:val="24"/>
          <w:szCs w:val="24"/>
        </w:rPr>
      </w:pPr>
      <w:r>
        <w:rPr>
          <w:rFonts w:ascii="Times New Roman" w:eastAsia="Times New Roman" w:hAnsi="Times New Roman" w:cs="Times New Roman"/>
          <w:b/>
          <w:color w:val="000000"/>
          <w:sz w:val="24"/>
          <w:szCs w:val="24"/>
        </w:rPr>
        <w:t xml:space="preserve">Table 1: </w:t>
      </w:r>
      <w:r w:rsidRPr="00CA3E0F">
        <w:rPr>
          <w:rFonts w:ascii="Times New Roman" w:eastAsia="Times New Roman" w:hAnsi="Times New Roman" w:cs="Times New Roman"/>
          <w:bCs/>
          <w:color w:val="000000"/>
          <w:sz w:val="24"/>
          <w:szCs w:val="24"/>
        </w:rPr>
        <w:t>Basic statistics and correlation coeﬃcient matrix before matching</w:t>
      </w:r>
    </w:p>
    <w:p w14:paraId="4F171ECA" w14:textId="77777777" w:rsidR="007373F6" w:rsidRPr="00CA3E0F" w:rsidRDefault="00000000">
      <w:pPr>
        <w:spacing w:before="74" w:after="50"/>
        <w:jc w:val="both"/>
        <w:rPr>
          <w:rFonts w:ascii="Times New Roman" w:eastAsia="Times New Roman" w:hAnsi="Times New Roman" w:cs="Times New Roman"/>
          <w:bCs/>
          <w:color w:val="000000"/>
        </w:rPr>
      </w:pPr>
      <w:r w:rsidRPr="00CA3E0F">
        <w:rPr>
          <w:rFonts w:ascii="Times New Roman" w:eastAsia="Times New Roman" w:hAnsi="Times New Roman" w:cs="Times New Roman"/>
          <w:b/>
          <w:color w:val="000000"/>
        </w:rPr>
        <w:t>Panel A</w:t>
      </w:r>
      <w:r w:rsidRPr="00CA3E0F">
        <w:rPr>
          <w:rFonts w:ascii="Times New Roman" w:eastAsia="Times New Roman" w:hAnsi="Times New Roman" w:cs="Times New Roman"/>
          <w:bCs/>
          <w:color w:val="000000"/>
        </w:rPr>
        <w:t>: Descriptive statistics of main variables</w:t>
      </w:r>
    </w:p>
    <w:tbl>
      <w:tblPr>
        <w:tblStyle w:val="a8"/>
        <w:tblW w:w="5000" w:type="pct"/>
        <w:tblLook w:val="0000" w:firstRow="0" w:lastRow="0" w:firstColumn="0" w:lastColumn="0" w:noHBand="0" w:noVBand="0"/>
      </w:tblPr>
      <w:tblGrid>
        <w:gridCol w:w="2093"/>
        <w:gridCol w:w="1275"/>
        <w:gridCol w:w="854"/>
        <w:gridCol w:w="854"/>
        <w:gridCol w:w="906"/>
        <w:gridCol w:w="1005"/>
        <w:gridCol w:w="1005"/>
        <w:gridCol w:w="1034"/>
      </w:tblGrid>
      <w:tr w:rsidR="007373F6" w14:paraId="67F8D75A" w14:textId="77777777" w:rsidTr="007008AE">
        <w:trPr>
          <w:trHeight w:val="323"/>
        </w:trPr>
        <w:tc>
          <w:tcPr>
            <w:tcW w:w="1159" w:type="pct"/>
            <w:tcBorders>
              <w:top w:val="single" w:sz="4" w:space="0" w:color="000000"/>
              <w:bottom w:val="single" w:sz="4" w:space="0" w:color="000000"/>
            </w:tcBorders>
            <w:vAlign w:val="center"/>
          </w:tcPr>
          <w:p w14:paraId="450502E6" w14:textId="77777777" w:rsidR="007373F6" w:rsidRDefault="007373F6">
            <w:pPr>
              <w:pBdr>
                <w:top w:val="nil"/>
                <w:left w:val="nil"/>
                <w:bottom w:val="nil"/>
                <w:right w:val="nil"/>
                <w:between w:val="nil"/>
              </w:pBdr>
              <w:spacing w:line="246" w:lineRule="auto"/>
              <w:ind w:left="432" w:right="432"/>
              <w:jc w:val="both"/>
              <w:rPr>
                <w:rFonts w:ascii="Times New Roman" w:eastAsia="Times New Roman" w:hAnsi="Times New Roman" w:cs="Times New Roman"/>
                <w:color w:val="000000"/>
                <w:sz w:val="16"/>
                <w:szCs w:val="16"/>
              </w:rPr>
            </w:pPr>
          </w:p>
        </w:tc>
        <w:tc>
          <w:tcPr>
            <w:tcW w:w="706" w:type="pct"/>
            <w:tcBorders>
              <w:top w:val="single" w:sz="4" w:space="0" w:color="000000"/>
              <w:bottom w:val="single" w:sz="4" w:space="0" w:color="000000"/>
            </w:tcBorders>
            <w:vAlign w:val="center"/>
          </w:tcPr>
          <w:p w14:paraId="6C4D1163" w14:textId="77777777" w:rsidR="007373F6" w:rsidRDefault="00000000">
            <w:pPr>
              <w:pBdr>
                <w:top w:val="nil"/>
                <w:left w:val="nil"/>
                <w:bottom w:val="nil"/>
                <w:right w:val="nil"/>
                <w:between w:val="nil"/>
              </w:pBdr>
              <w:spacing w:before="13" w:line="246" w:lineRule="auto"/>
              <w:ind w:left="432" w:right="432"/>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Mean</w:t>
            </w:r>
          </w:p>
        </w:tc>
        <w:tc>
          <w:tcPr>
            <w:tcW w:w="473" w:type="pct"/>
            <w:tcBorders>
              <w:top w:val="single" w:sz="4" w:space="0" w:color="000000"/>
              <w:bottom w:val="single" w:sz="4" w:space="0" w:color="000000"/>
            </w:tcBorders>
            <w:vAlign w:val="center"/>
          </w:tcPr>
          <w:p w14:paraId="63A0E904" w14:textId="77777777" w:rsidR="007373F6" w:rsidRDefault="00000000">
            <w:pPr>
              <w:pBdr>
                <w:top w:val="nil"/>
                <w:left w:val="nil"/>
                <w:bottom w:val="nil"/>
                <w:right w:val="nil"/>
                <w:between w:val="nil"/>
              </w:pBdr>
              <w:spacing w:before="13"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Std</w:t>
            </w:r>
          </w:p>
        </w:tc>
        <w:tc>
          <w:tcPr>
            <w:tcW w:w="473" w:type="pct"/>
            <w:tcBorders>
              <w:top w:val="single" w:sz="4" w:space="0" w:color="000000"/>
              <w:bottom w:val="single" w:sz="4" w:space="0" w:color="000000"/>
            </w:tcBorders>
            <w:vAlign w:val="center"/>
          </w:tcPr>
          <w:p w14:paraId="2F182794" w14:textId="77777777" w:rsidR="007373F6" w:rsidRDefault="00000000">
            <w:pPr>
              <w:pBdr>
                <w:top w:val="nil"/>
                <w:left w:val="nil"/>
                <w:bottom w:val="nil"/>
                <w:right w:val="nil"/>
                <w:between w:val="nil"/>
              </w:pBdr>
              <w:spacing w:before="13" w:line="246" w:lineRule="auto"/>
              <w:ind w:left="3"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Min</w:t>
            </w:r>
          </w:p>
        </w:tc>
        <w:tc>
          <w:tcPr>
            <w:tcW w:w="502" w:type="pct"/>
            <w:tcBorders>
              <w:top w:val="single" w:sz="4" w:space="0" w:color="000000"/>
              <w:bottom w:val="single" w:sz="4" w:space="0" w:color="000000"/>
            </w:tcBorders>
            <w:vAlign w:val="center"/>
          </w:tcPr>
          <w:p w14:paraId="4CB32C89" w14:textId="77777777" w:rsidR="007373F6" w:rsidRDefault="00000000">
            <w:pPr>
              <w:pBdr>
                <w:top w:val="nil"/>
                <w:left w:val="nil"/>
                <w:bottom w:val="nil"/>
                <w:right w:val="nil"/>
                <w:between w:val="nil"/>
              </w:pBdr>
              <w:spacing w:before="13" w:line="246" w:lineRule="auto"/>
              <w:ind w:left="432"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25%</w:t>
            </w:r>
          </w:p>
        </w:tc>
        <w:tc>
          <w:tcPr>
            <w:tcW w:w="557" w:type="pct"/>
            <w:tcBorders>
              <w:top w:val="single" w:sz="4" w:space="0" w:color="000000"/>
              <w:bottom w:val="single" w:sz="4" w:space="0" w:color="000000"/>
            </w:tcBorders>
            <w:vAlign w:val="center"/>
          </w:tcPr>
          <w:p w14:paraId="10C06076" w14:textId="77777777" w:rsidR="007373F6" w:rsidRDefault="00000000">
            <w:pPr>
              <w:pBdr>
                <w:top w:val="nil"/>
                <w:left w:val="nil"/>
                <w:bottom w:val="nil"/>
                <w:right w:val="nil"/>
                <w:between w:val="nil"/>
              </w:pBdr>
              <w:spacing w:before="13" w:line="246" w:lineRule="auto"/>
              <w:ind w:left="432"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50%</w:t>
            </w:r>
          </w:p>
        </w:tc>
        <w:tc>
          <w:tcPr>
            <w:tcW w:w="557" w:type="pct"/>
            <w:tcBorders>
              <w:top w:val="single" w:sz="4" w:space="0" w:color="000000"/>
              <w:bottom w:val="single" w:sz="4" w:space="0" w:color="000000"/>
            </w:tcBorders>
            <w:vAlign w:val="center"/>
          </w:tcPr>
          <w:p w14:paraId="3F41366E" w14:textId="77777777" w:rsidR="007373F6" w:rsidRDefault="00000000">
            <w:pPr>
              <w:pBdr>
                <w:top w:val="nil"/>
                <w:left w:val="nil"/>
                <w:bottom w:val="nil"/>
                <w:right w:val="nil"/>
                <w:between w:val="nil"/>
              </w:pBdr>
              <w:spacing w:before="13" w:line="246" w:lineRule="auto"/>
              <w:ind w:left="432" w:right="6"/>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75%</w:t>
            </w:r>
          </w:p>
        </w:tc>
        <w:tc>
          <w:tcPr>
            <w:tcW w:w="574" w:type="pct"/>
            <w:tcBorders>
              <w:top w:val="single" w:sz="4" w:space="0" w:color="000000"/>
              <w:bottom w:val="single" w:sz="4" w:space="0" w:color="000000"/>
            </w:tcBorders>
            <w:vAlign w:val="center"/>
          </w:tcPr>
          <w:p w14:paraId="43D1F034" w14:textId="77777777" w:rsidR="007373F6" w:rsidRDefault="00000000">
            <w:pPr>
              <w:pBdr>
                <w:top w:val="nil"/>
                <w:left w:val="nil"/>
                <w:bottom w:val="nil"/>
                <w:right w:val="nil"/>
                <w:between w:val="nil"/>
              </w:pBdr>
              <w:spacing w:before="13" w:line="246" w:lineRule="auto"/>
              <w:ind w:left="432"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Max</w:t>
            </w:r>
          </w:p>
        </w:tc>
      </w:tr>
      <w:tr w:rsidR="007373F6" w14:paraId="6B43309F" w14:textId="77777777" w:rsidTr="007008AE">
        <w:trPr>
          <w:trHeight w:val="340"/>
        </w:trPr>
        <w:tc>
          <w:tcPr>
            <w:tcW w:w="1159" w:type="pct"/>
            <w:tcBorders>
              <w:top w:val="single" w:sz="4" w:space="0" w:color="000000"/>
            </w:tcBorders>
            <w:vAlign w:val="center"/>
          </w:tcPr>
          <w:p w14:paraId="506A7714" w14:textId="77777777" w:rsidR="007373F6" w:rsidRDefault="00000000">
            <w:pPr>
              <w:pBdr>
                <w:top w:val="nil"/>
                <w:left w:val="nil"/>
                <w:bottom w:val="nil"/>
                <w:right w:val="nil"/>
                <w:between w:val="nil"/>
              </w:pBdr>
              <w:spacing w:before="74" w:line="246" w:lineRule="auto"/>
              <w:ind w:left="89" w:right="432"/>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IFRS</w:t>
            </w:r>
          </w:p>
        </w:tc>
        <w:tc>
          <w:tcPr>
            <w:tcW w:w="706" w:type="pct"/>
            <w:tcBorders>
              <w:top w:val="single" w:sz="4" w:space="0" w:color="000000"/>
            </w:tcBorders>
            <w:vAlign w:val="center"/>
          </w:tcPr>
          <w:p w14:paraId="1F671CE0" w14:textId="77777777" w:rsidR="007373F6" w:rsidRDefault="00000000" w:rsidP="00CA3E0F">
            <w:pPr>
              <w:pBdr>
                <w:top w:val="nil"/>
                <w:left w:val="nil"/>
                <w:bottom w:val="nil"/>
                <w:right w:val="nil"/>
                <w:between w:val="nil"/>
              </w:pBdr>
              <w:spacing w:before="74" w:line="246" w:lineRule="auto"/>
              <w:ind w:left="95"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0.0750</w:t>
            </w:r>
          </w:p>
        </w:tc>
        <w:tc>
          <w:tcPr>
            <w:tcW w:w="473" w:type="pct"/>
            <w:tcBorders>
              <w:top w:val="single" w:sz="4" w:space="0" w:color="000000"/>
            </w:tcBorders>
            <w:vAlign w:val="center"/>
          </w:tcPr>
          <w:p w14:paraId="51CB7259" w14:textId="77777777" w:rsidR="007373F6" w:rsidRDefault="00000000" w:rsidP="00CA3E0F">
            <w:pPr>
              <w:pBdr>
                <w:top w:val="nil"/>
                <w:left w:val="nil"/>
                <w:bottom w:val="nil"/>
                <w:right w:val="nil"/>
                <w:between w:val="nil"/>
              </w:pBdr>
              <w:spacing w:before="74"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0.2634</w:t>
            </w:r>
          </w:p>
        </w:tc>
        <w:tc>
          <w:tcPr>
            <w:tcW w:w="473" w:type="pct"/>
            <w:tcBorders>
              <w:top w:val="single" w:sz="4" w:space="0" w:color="000000"/>
            </w:tcBorders>
            <w:vAlign w:val="center"/>
          </w:tcPr>
          <w:p w14:paraId="04EEAA49" w14:textId="77777777" w:rsidR="007373F6" w:rsidRDefault="00000000" w:rsidP="00CA3E0F">
            <w:pPr>
              <w:pBdr>
                <w:top w:val="nil"/>
                <w:left w:val="nil"/>
                <w:bottom w:val="nil"/>
                <w:right w:val="nil"/>
                <w:between w:val="nil"/>
              </w:pBdr>
              <w:spacing w:before="74"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0.0000</w:t>
            </w:r>
          </w:p>
        </w:tc>
        <w:tc>
          <w:tcPr>
            <w:tcW w:w="502" w:type="pct"/>
            <w:tcBorders>
              <w:top w:val="single" w:sz="4" w:space="0" w:color="000000"/>
            </w:tcBorders>
            <w:vAlign w:val="center"/>
          </w:tcPr>
          <w:p w14:paraId="53075FDA" w14:textId="77777777" w:rsidR="007373F6" w:rsidRDefault="00000000" w:rsidP="00CA3E0F">
            <w:pPr>
              <w:pBdr>
                <w:top w:val="nil"/>
                <w:left w:val="nil"/>
                <w:bottom w:val="nil"/>
                <w:right w:val="nil"/>
                <w:between w:val="nil"/>
              </w:pBdr>
              <w:spacing w:before="74"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0.0000</w:t>
            </w:r>
          </w:p>
        </w:tc>
        <w:tc>
          <w:tcPr>
            <w:tcW w:w="557" w:type="pct"/>
            <w:tcBorders>
              <w:top w:val="single" w:sz="4" w:space="0" w:color="000000"/>
            </w:tcBorders>
            <w:vAlign w:val="center"/>
          </w:tcPr>
          <w:p w14:paraId="5CF503E9" w14:textId="77777777" w:rsidR="007373F6" w:rsidRDefault="00000000" w:rsidP="007008AE">
            <w:pPr>
              <w:pBdr>
                <w:top w:val="nil"/>
                <w:left w:val="nil"/>
                <w:bottom w:val="nil"/>
                <w:right w:val="nil"/>
                <w:between w:val="nil"/>
              </w:pBdr>
              <w:spacing w:before="74" w:line="246" w:lineRule="auto"/>
              <w:ind w:left="90"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0.0000</w:t>
            </w:r>
          </w:p>
        </w:tc>
        <w:tc>
          <w:tcPr>
            <w:tcW w:w="557" w:type="pct"/>
            <w:tcBorders>
              <w:top w:val="single" w:sz="4" w:space="0" w:color="000000"/>
            </w:tcBorders>
            <w:vAlign w:val="center"/>
          </w:tcPr>
          <w:p w14:paraId="3EA3FA0E" w14:textId="77777777" w:rsidR="007373F6" w:rsidRDefault="00000000">
            <w:pPr>
              <w:pBdr>
                <w:top w:val="nil"/>
                <w:left w:val="nil"/>
                <w:bottom w:val="nil"/>
                <w:right w:val="nil"/>
                <w:between w:val="nil"/>
              </w:pBdr>
              <w:spacing w:before="74" w:line="246" w:lineRule="auto"/>
              <w:ind w:left="89"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0.0000</w:t>
            </w:r>
          </w:p>
        </w:tc>
        <w:tc>
          <w:tcPr>
            <w:tcW w:w="574" w:type="pct"/>
            <w:tcBorders>
              <w:top w:val="single" w:sz="4" w:space="0" w:color="000000"/>
            </w:tcBorders>
            <w:vAlign w:val="center"/>
          </w:tcPr>
          <w:p w14:paraId="33BCC0F4" w14:textId="77777777" w:rsidR="007373F6" w:rsidRDefault="00000000">
            <w:pPr>
              <w:pBdr>
                <w:top w:val="nil"/>
                <w:left w:val="nil"/>
                <w:bottom w:val="nil"/>
                <w:right w:val="nil"/>
                <w:between w:val="nil"/>
              </w:pBdr>
              <w:spacing w:before="74" w:line="246" w:lineRule="auto"/>
              <w:ind w:left="87"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1.0000</w:t>
            </w:r>
          </w:p>
        </w:tc>
      </w:tr>
      <w:tr w:rsidR="007373F6" w14:paraId="7E1399B7" w14:textId="77777777" w:rsidTr="007008AE">
        <w:trPr>
          <w:trHeight w:val="304"/>
        </w:trPr>
        <w:tc>
          <w:tcPr>
            <w:tcW w:w="1159" w:type="pct"/>
            <w:vAlign w:val="center"/>
          </w:tcPr>
          <w:p w14:paraId="0BAD37C1" w14:textId="77777777" w:rsidR="007373F6" w:rsidRDefault="00000000">
            <w:pPr>
              <w:pBdr>
                <w:top w:val="nil"/>
                <w:left w:val="nil"/>
                <w:bottom w:val="nil"/>
                <w:right w:val="nil"/>
                <w:between w:val="nil"/>
              </w:pBdr>
              <w:spacing w:before="38" w:line="246" w:lineRule="auto"/>
              <w:ind w:left="89" w:right="432"/>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FOREIGN HELD</w:t>
            </w:r>
          </w:p>
        </w:tc>
        <w:tc>
          <w:tcPr>
            <w:tcW w:w="706" w:type="pct"/>
            <w:vAlign w:val="center"/>
          </w:tcPr>
          <w:p w14:paraId="0F40A17C" w14:textId="77777777" w:rsidR="007373F6" w:rsidRDefault="00000000" w:rsidP="00CA3E0F">
            <w:pPr>
              <w:pBdr>
                <w:top w:val="nil"/>
                <w:left w:val="nil"/>
                <w:bottom w:val="nil"/>
                <w:right w:val="nil"/>
                <w:between w:val="nil"/>
              </w:pBdr>
              <w:spacing w:before="38" w:line="246" w:lineRule="auto"/>
              <w:ind w:left="95"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0.1109</w:t>
            </w:r>
          </w:p>
        </w:tc>
        <w:tc>
          <w:tcPr>
            <w:tcW w:w="473" w:type="pct"/>
            <w:vAlign w:val="center"/>
          </w:tcPr>
          <w:p w14:paraId="3D7FD8A1"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0.1241</w:t>
            </w:r>
          </w:p>
        </w:tc>
        <w:tc>
          <w:tcPr>
            <w:tcW w:w="473" w:type="pct"/>
            <w:vAlign w:val="center"/>
          </w:tcPr>
          <w:p w14:paraId="6CA6765F"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0.0000</w:t>
            </w:r>
          </w:p>
        </w:tc>
        <w:tc>
          <w:tcPr>
            <w:tcW w:w="502" w:type="pct"/>
            <w:vAlign w:val="center"/>
          </w:tcPr>
          <w:p w14:paraId="49180B34"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0.0142</w:t>
            </w:r>
          </w:p>
        </w:tc>
        <w:tc>
          <w:tcPr>
            <w:tcW w:w="557" w:type="pct"/>
            <w:vAlign w:val="center"/>
          </w:tcPr>
          <w:p w14:paraId="3A72AAEC" w14:textId="77777777" w:rsidR="007373F6" w:rsidRDefault="00000000" w:rsidP="007008AE">
            <w:pPr>
              <w:pBdr>
                <w:top w:val="nil"/>
                <w:left w:val="nil"/>
                <w:bottom w:val="nil"/>
                <w:right w:val="nil"/>
                <w:between w:val="nil"/>
              </w:pBdr>
              <w:spacing w:before="38" w:line="246" w:lineRule="auto"/>
              <w:ind w:left="90"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0.0649</w:t>
            </w:r>
          </w:p>
        </w:tc>
        <w:tc>
          <w:tcPr>
            <w:tcW w:w="557" w:type="pct"/>
            <w:vAlign w:val="center"/>
          </w:tcPr>
          <w:p w14:paraId="5C140230" w14:textId="77777777" w:rsidR="007373F6" w:rsidRDefault="00000000">
            <w:pPr>
              <w:pBdr>
                <w:top w:val="nil"/>
                <w:left w:val="nil"/>
                <w:bottom w:val="nil"/>
                <w:right w:val="nil"/>
                <w:between w:val="nil"/>
              </w:pBdr>
              <w:spacing w:before="38" w:line="246" w:lineRule="auto"/>
              <w:ind w:left="89"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0.1725</w:t>
            </w:r>
          </w:p>
        </w:tc>
        <w:tc>
          <w:tcPr>
            <w:tcW w:w="574" w:type="pct"/>
            <w:vAlign w:val="center"/>
          </w:tcPr>
          <w:p w14:paraId="06A4DF35" w14:textId="77777777" w:rsidR="007373F6" w:rsidRDefault="00000000">
            <w:pPr>
              <w:pBdr>
                <w:top w:val="nil"/>
                <w:left w:val="nil"/>
                <w:bottom w:val="nil"/>
                <w:right w:val="nil"/>
                <w:between w:val="nil"/>
              </w:pBdr>
              <w:spacing w:before="38" w:line="246" w:lineRule="auto"/>
              <w:ind w:left="87"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1.0000</w:t>
            </w:r>
          </w:p>
        </w:tc>
      </w:tr>
      <w:tr w:rsidR="007373F6" w14:paraId="27189302" w14:textId="77777777" w:rsidTr="007008AE">
        <w:trPr>
          <w:trHeight w:val="304"/>
        </w:trPr>
        <w:tc>
          <w:tcPr>
            <w:tcW w:w="1159" w:type="pct"/>
            <w:vAlign w:val="center"/>
          </w:tcPr>
          <w:p w14:paraId="50FCFACA" w14:textId="77777777" w:rsidR="007373F6" w:rsidRDefault="00000000">
            <w:pPr>
              <w:pBdr>
                <w:top w:val="nil"/>
                <w:left w:val="nil"/>
                <w:bottom w:val="nil"/>
                <w:right w:val="nil"/>
                <w:between w:val="nil"/>
              </w:pBdr>
              <w:spacing w:before="38" w:line="246" w:lineRule="auto"/>
              <w:ind w:left="89" w:right="432"/>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GW</w:t>
            </w:r>
          </w:p>
        </w:tc>
        <w:tc>
          <w:tcPr>
            <w:tcW w:w="706" w:type="pct"/>
            <w:vAlign w:val="center"/>
          </w:tcPr>
          <w:p w14:paraId="142DF439" w14:textId="77777777" w:rsidR="007373F6" w:rsidRDefault="00000000" w:rsidP="00CA3E0F">
            <w:pPr>
              <w:pBdr>
                <w:top w:val="nil"/>
                <w:left w:val="nil"/>
                <w:bottom w:val="nil"/>
                <w:right w:val="nil"/>
                <w:between w:val="nil"/>
              </w:pBdr>
              <w:spacing w:before="38" w:line="246" w:lineRule="auto"/>
              <w:ind w:left="95"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0.0142</w:t>
            </w:r>
          </w:p>
        </w:tc>
        <w:tc>
          <w:tcPr>
            <w:tcW w:w="473" w:type="pct"/>
            <w:vAlign w:val="center"/>
          </w:tcPr>
          <w:p w14:paraId="41FEE435"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0.0442</w:t>
            </w:r>
          </w:p>
        </w:tc>
        <w:tc>
          <w:tcPr>
            <w:tcW w:w="473" w:type="pct"/>
            <w:vAlign w:val="center"/>
          </w:tcPr>
          <w:p w14:paraId="6A859341"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0.0000</w:t>
            </w:r>
          </w:p>
        </w:tc>
        <w:tc>
          <w:tcPr>
            <w:tcW w:w="502" w:type="pct"/>
            <w:vAlign w:val="center"/>
          </w:tcPr>
          <w:p w14:paraId="216F01D4"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0.0000</w:t>
            </w:r>
          </w:p>
        </w:tc>
        <w:tc>
          <w:tcPr>
            <w:tcW w:w="557" w:type="pct"/>
            <w:vAlign w:val="center"/>
          </w:tcPr>
          <w:p w14:paraId="3AA5D3FE" w14:textId="77777777" w:rsidR="007373F6" w:rsidRDefault="00000000" w:rsidP="007008AE">
            <w:pPr>
              <w:pBdr>
                <w:top w:val="nil"/>
                <w:left w:val="nil"/>
                <w:bottom w:val="nil"/>
                <w:right w:val="nil"/>
                <w:between w:val="nil"/>
              </w:pBdr>
              <w:spacing w:before="38" w:line="246" w:lineRule="auto"/>
              <w:ind w:left="90"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0.0000</w:t>
            </w:r>
          </w:p>
        </w:tc>
        <w:tc>
          <w:tcPr>
            <w:tcW w:w="557" w:type="pct"/>
            <w:vAlign w:val="center"/>
          </w:tcPr>
          <w:p w14:paraId="06C29709" w14:textId="77777777" w:rsidR="007373F6" w:rsidRDefault="00000000">
            <w:pPr>
              <w:pBdr>
                <w:top w:val="nil"/>
                <w:left w:val="nil"/>
                <w:bottom w:val="nil"/>
                <w:right w:val="nil"/>
                <w:between w:val="nil"/>
              </w:pBdr>
              <w:spacing w:before="38" w:line="246" w:lineRule="auto"/>
              <w:ind w:left="89"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0.0064</w:t>
            </w:r>
          </w:p>
        </w:tc>
        <w:tc>
          <w:tcPr>
            <w:tcW w:w="574" w:type="pct"/>
            <w:vAlign w:val="center"/>
          </w:tcPr>
          <w:p w14:paraId="7228ECFD" w14:textId="77777777" w:rsidR="007373F6" w:rsidRDefault="00000000">
            <w:pPr>
              <w:pBdr>
                <w:top w:val="nil"/>
                <w:left w:val="nil"/>
                <w:bottom w:val="nil"/>
                <w:right w:val="nil"/>
                <w:between w:val="nil"/>
              </w:pBdr>
              <w:spacing w:before="38" w:line="246" w:lineRule="auto"/>
              <w:ind w:left="87"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0.8060</w:t>
            </w:r>
          </w:p>
        </w:tc>
      </w:tr>
      <w:tr w:rsidR="007373F6" w14:paraId="54007BEA" w14:textId="77777777" w:rsidTr="007008AE">
        <w:trPr>
          <w:trHeight w:val="304"/>
        </w:trPr>
        <w:tc>
          <w:tcPr>
            <w:tcW w:w="1159" w:type="pct"/>
            <w:vAlign w:val="center"/>
          </w:tcPr>
          <w:p w14:paraId="74CC792F" w14:textId="77777777" w:rsidR="007373F6" w:rsidRDefault="00000000">
            <w:pPr>
              <w:pBdr>
                <w:top w:val="nil"/>
                <w:left w:val="nil"/>
                <w:bottom w:val="nil"/>
                <w:right w:val="nil"/>
                <w:between w:val="nil"/>
              </w:pBdr>
              <w:spacing w:before="38" w:line="246" w:lineRule="auto"/>
              <w:ind w:left="89" w:right="432"/>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RD</w:t>
            </w:r>
          </w:p>
        </w:tc>
        <w:tc>
          <w:tcPr>
            <w:tcW w:w="706" w:type="pct"/>
            <w:vAlign w:val="center"/>
          </w:tcPr>
          <w:p w14:paraId="6351E886" w14:textId="77777777" w:rsidR="007373F6" w:rsidRDefault="00000000" w:rsidP="00CA3E0F">
            <w:pPr>
              <w:pBdr>
                <w:top w:val="nil"/>
                <w:left w:val="nil"/>
                <w:bottom w:val="nil"/>
                <w:right w:val="nil"/>
                <w:between w:val="nil"/>
              </w:pBdr>
              <w:spacing w:before="38" w:line="246" w:lineRule="auto"/>
              <w:ind w:left="95"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0.0438</w:t>
            </w:r>
          </w:p>
        </w:tc>
        <w:tc>
          <w:tcPr>
            <w:tcW w:w="473" w:type="pct"/>
            <w:vAlign w:val="center"/>
          </w:tcPr>
          <w:p w14:paraId="58523E9C"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1.2858</w:t>
            </w:r>
          </w:p>
        </w:tc>
        <w:tc>
          <w:tcPr>
            <w:tcW w:w="473" w:type="pct"/>
            <w:vAlign w:val="center"/>
          </w:tcPr>
          <w:p w14:paraId="6638D005"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0.0000</w:t>
            </w:r>
          </w:p>
        </w:tc>
        <w:tc>
          <w:tcPr>
            <w:tcW w:w="502" w:type="pct"/>
            <w:vAlign w:val="center"/>
          </w:tcPr>
          <w:p w14:paraId="2C91387E"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0.0000</w:t>
            </w:r>
          </w:p>
        </w:tc>
        <w:tc>
          <w:tcPr>
            <w:tcW w:w="557" w:type="pct"/>
            <w:vAlign w:val="center"/>
          </w:tcPr>
          <w:p w14:paraId="5A310A18" w14:textId="77777777" w:rsidR="007373F6" w:rsidRDefault="00000000" w:rsidP="007008AE">
            <w:pPr>
              <w:pBdr>
                <w:top w:val="nil"/>
                <w:left w:val="nil"/>
                <w:bottom w:val="nil"/>
                <w:right w:val="nil"/>
                <w:between w:val="nil"/>
              </w:pBdr>
              <w:spacing w:before="38" w:line="246" w:lineRule="auto"/>
              <w:ind w:left="90"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0.0028</w:t>
            </w:r>
          </w:p>
        </w:tc>
        <w:tc>
          <w:tcPr>
            <w:tcW w:w="557" w:type="pct"/>
            <w:vAlign w:val="center"/>
          </w:tcPr>
          <w:p w14:paraId="265D3022" w14:textId="77777777" w:rsidR="007373F6" w:rsidRDefault="00000000">
            <w:pPr>
              <w:pBdr>
                <w:top w:val="nil"/>
                <w:left w:val="nil"/>
                <w:bottom w:val="nil"/>
                <w:right w:val="nil"/>
                <w:between w:val="nil"/>
              </w:pBdr>
              <w:spacing w:before="38" w:line="246" w:lineRule="auto"/>
              <w:ind w:left="89"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0.0190</w:t>
            </w:r>
          </w:p>
        </w:tc>
        <w:tc>
          <w:tcPr>
            <w:tcW w:w="574" w:type="pct"/>
            <w:vAlign w:val="center"/>
          </w:tcPr>
          <w:p w14:paraId="600C5407" w14:textId="77777777" w:rsidR="007373F6" w:rsidRDefault="00000000">
            <w:pPr>
              <w:pBdr>
                <w:top w:val="nil"/>
                <w:left w:val="nil"/>
                <w:bottom w:val="nil"/>
                <w:right w:val="nil"/>
                <w:between w:val="nil"/>
              </w:pBdr>
              <w:spacing w:before="38" w:line="246" w:lineRule="auto"/>
              <w:ind w:left="87"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122.50</w:t>
            </w:r>
          </w:p>
        </w:tc>
      </w:tr>
      <w:tr w:rsidR="007373F6" w14:paraId="661B5DC5" w14:textId="77777777" w:rsidTr="007008AE">
        <w:trPr>
          <w:trHeight w:val="304"/>
        </w:trPr>
        <w:tc>
          <w:tcPr>
            <w:tcW w:w="1159" w:type="pct"/>
            <w:vAlign w:val="center"/>
          </w:tcPr>
          <w:p w14:paraId="319EA503" w14:textId="77777777" w:rsidR="007373F6" w:rsidRDefault="00000000">
            <w:pPr>
              <w:pBdr>
                <w:top w:val="nil"/>
                <w:left w:val="nil"/>
                <w:bottom w:val="nil"/>
                <w:right w:val="nil"/>
                <w:between w:val="nil"/>
              </w:pBdr>
              <w:spacing w:before="38" w:line="246" w:lineRule="auto"/>
              <w:ind w:left="89" w:right="432"/>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CROSS</w:t>
            </w:r>
          </w:p>
        </w:tc>
        <w:tc>
          <w:tcPr>
            <w:tcW w:w="706" w:type="pct"/>
            <w:vAlign w:val="center"/>
          </w:tcPr>
          <w:p w14:paraId="2E2D383C" w14:textId="77777777" w:rsidR="007373F6" w:rsidRDefault="00000000" w:rsidP="00CA3E0F">
            <w:pPr>
              <w:pBdr>
                <w:top w:val="nil"/>
                <w:left w:val="nil"/>
                <w:bottom w:val="nil"/>
                <w:right w:val="nil"/>
                <w:between w:val="nil"/>
              </w:pBdr>
              <w:spacing w:before="38" w:line="246" w:lineRule="auto"/>
              <w:ind w:left="95"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0.0706</w:t>
            </w:r>
          </w:p>
        </w:tc>
        <w:tc>
          <w:tcPr>
            <w:tcW w:w="473" w:type="pct"/>
            <w:vAlign w:val="center"/>
          </w:tcPr>
          <w:p w14:paraId="17D32EF7"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0.0900</w:t>
            </w:r>
          </w:p>
        </w:tc>
        <w:tc>
          <w:tcPr>
            <w:tcW w:w="473" w:type="pct"/>
            <w:vAlign w:val="center"/>
          </w:tcPr>
          <w:p w14:paraId="1BBD730E"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0.0000</w:t>
            </w:r>
          </w:p>
        </w:tc>
        <w:tc>
          <w:tcPr>
            <w:tcW w:w="502" w:type="pct"/>
            <w:vAlign w:val="center"/>
          </w:tcPr>
          <w:p w14:paraId="4DF391D6"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0.0000</w:t>
            </w:r>
          </w:p>
        </w:tc>
        <w:tc>
          <w:tcPr>
            <w:tcW w:w="557" w:type="pct"/>
            <w:vAlign w:val="center"/>
          </w:tcPr>
          <w:p w14:paraId="142EAFF6" w14:textId="77777777" w:rsidR="007373F6" w:rsidRDefault="00000000" w:rsidP="007008AE">
            <w:pPr>
              <w:pBdr>
                <w:top w:val="nil"/>
                <w:left w:val="nil"/>
                <w:bottom w:val="nil"/>
                <w:right w:val="nil"/>
                <w:between w:val="nil"/>
              </w:pBdr>
              <w:spacing w:before="38" w:line="246" w:lineRule="auto"/>
              <w:ind w:left="90"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0.0350</w:t>
            </w:r>
          </w:p>
        </w:tc>
        <w:tc>
          <w:tcPr>
            <w:tcW w:w="557" w:type="pct"/>
            <w:vAlign w:val="center"/>
          </w:tcPr>
          <w:p w14:paraId="5E213573" w14:textId="77777777" w:rsidR="007373F6" w:rsidRDefault="00000000">
            <w:pPr>
              <w:pBdr>
                <w:top w:val="nil"/>
                <w:left w:val="nil"/>
                <w:bottom w:val="nil"/>
                <w:right w:val="nil"/>
                <w:between w:val="nil"/>
              </w:pBdr>
              <w:spacing w:before="38" w:line="246" w:lineRule="auto"/>
              <w:ind w:left="89"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0.1115</w:t>
            </w:r>
          </w:p>
        </w:tc>
        <w:tc>
          <w:tcPr>
            <w:tcW w:w="574" w:type="pct"/>
            <w:vAlign w:val="center"/>
          </w:tcPr>
          <w:p w14:paraId="3B0C68C0" w14:textId="77777777" w:rsidR="007373F6" w:rsidRDefault="00000000">
            <w:pPr>
              <w:pBdr>
                <w:top w:val="nil"/>
                <w:left w:val="nil"/>
                <w:bottom w:val="nil"/>
                <w:right w:val="nil"/>
                <w:between w:val="nil"/>
              </w:pBdr>
              <w:spacing w:before="38" w:line="246" w:lineRule="auto"/>
              <w:ind w:left="87"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0.6660</w:t>
            </w:r>
          </w:p>
        </w:tc>
      </w:tr>
      <w:tr w:rsidR="007373F6" w14:paraId="34052BA5" w14:textId="77777777" w:rsidTr="007008AE">
        <w:trPr>
          <w:trHeight w:val="304"/>
        </w:trPr>
        <w:tc>
          <w:tcPr>
            <w:tcW w:w="1159" w:type="pct"/>
            <w:vAlign w:val="center"/>
          </w:tcPr>
          <w:p w14:paraId="42E94E78" w14:textId="77777777" w:rsidR="007373F6" w:rsidRDefault="00000000">
            <w:pPr>
              <w:pBdr>
                <w:top w:val="nil"/>
                <w:left w:val="nil"/>
                <w:bottom w:val="nil"/>
                <w:right w:val="nil"/>
                <w:between w:val="nil"/>
              </w:pBdr>
              <w:spacing w:before="38" w:line="246" w:lineRule="auto"/>
              <w:ind w:left="89" w:right="432"/>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FOREIGN SALES</w:t>
            </w:r>
          </w:p>
        </w:tc>
        <w:tc>
          <w:tcPr>
            <w:tcW w:w="706" w:type="pct"/>
            <w:vAlign w:val="center"/>
          </w:tcPr>
          <w:p w14:paraId="0B742DC2" w14:textId="77777777" w:rsidR="007373F6" w:rsidRDefault="00000000" w:rsidP="00CA3E0F">
            <w:pPr>
              <w:pBdr>
                <w:top w:val="nil"/>
                <w:left w:val="nil"/>
                <w:bottom w:val="nil"/>
                <w:right w:val="nil"/>
                <w:between w:val="nil"/>
              </w:pBdr>
              <w:spacing w:before="38" w:line="246" w:lineRule="auto"/>
              <w:ind w:left="95"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0.1553</w:t>
            </w:r>
          </w:p>
        </w:tc>
        <w:tc>
          <w:tcPr>
            <w:tcW w:w="473" w:type="pct"/>
            <w:vAlign w:val="center"/>
          </w:tcPr>
          <w:p w14:paraId="030C2EFE"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0.2382</w:t>
            </w:r>
          </w:p>
        </w:tc>
        <w:tc>
          <w:tcPr>
            <w:tcW w:w="473" w:type="pct"/>
            <w:vAlign w:val="center"/>
          </w:tcPr>
          <w:p w14:paraId="05736CA4"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0.0000</w:t>
            </w:r>
          </w:p>
        </w:tc>
        <w:tc>
          <w:tcPr>
            <w:tcW w:w="502" w:type="pct"/>
            <w:vAlign w:val="center"/>
          </w:tcPr>
          <w:p w14:paraId="381B830F"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0.0000</w:t>
            </w:r>
          </w:p>
        </w:tc>
        <w:tc>
          <w:tcPr>
            <w:tcW w:w="557" w:type="pct"/>
            <w:vAlign w:val="center"/>
          </w:tcPr>
          <w:p w14:paraId="127F98C1" w14:textId="77777777" w:rsidR="007373F6" w:rsidRDefault="00000000" w:rsidP="007008AE">
            <w:pPr>
              <w:pBdr>
                <w:top w:val="nil"/>
                <w:left w:val="nil"/>
                <w:bottom w:val="nil"/>
                <w:right w:val="nil"/>
                <w:between w:val="nil"/>
              </w:pBdr>
              <w:spacing w:before="38" w:line="246" w:lineRule="auto"/>
              <w:ind w:left="90"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0.0000</w:t>
            </w:r>
          </w:p>
        </w:tc>
        <w:tc>
          <w:tcPr>
            <w:tcW w:w="557" w:type="pct"/>
            <w:vAlign w:val="center"/>
          </w:tcPr>
          <w:p w14:paraId="4413E527" w14:textId="77777777" w:rsidR="007373F6" w:rsidRDefault="00000000">
            <w:pPr>
              <w:pBdr>
                <w:top w:val="nil"/>
                <w:left w:val="nil"/>
                <w:bottom w:val="nil"/>
                <w:right w:val="nil"/>
                <w:between w:val="nil"/>
              </w:pBdr>
              <w:spacing w:before="38" w:line="246" w:lineRule="auto"/>
              <w:ind w:left="89"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0.2662</w:t>
            </w:r>
          </w:p>
        </w:tc>
        <w:tc>
          <w:tcPr>
            <w:tcW w:w="574" w:type="pct"/>
            <w:vAlign w:val="center"/>
          </w:tcPr>
          <w:p w14:paraId="4A4AD61E" w14:textId="77777777" w:rsidR="007373F6" w:rsidRDefault="00000000">
            <w:pPr>
              <w:pBdr>
                <w:top w:val="nil"/>
                <w:left w:val="nil"/>
                <w:bottom w:val="nil"/>
                <w:right w:val="nil"/>
                <w:between w:val="nil"/>
              </w:pBdr>
              <w:spacing w:before="38" w:line="246" w:lineRule="auto"/>
              <w:ind w:left="87"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1.0000</w:t>
            </w:r>
          </w:p>
        </w:tc>
      </w:tr>
      <w:tr w:rsidR="007373F6" w14:paraId="4B885F79" w14:textId="77777777" w:rsidTr="007008AE">
        <w:trPr>
          <w:trHeight w:val="304"/>
        </w:trPr>
        <w:tc>
          <w:tcPr>
            <w:tcW w:w="1159" w:type="pct"/>
            <w:vAlign w:val="center"/>
          </w:tcPr>
          <w:p w14:paraId="45681E40" w14:textId="77777777" w:rsidR="007373F6" w:rsidRDefault="00000000">
            <w:pPr>
              <w:pBdr>
                <w:top w:val="nil"/>
                <w:left w:val="nil"/>
                <w:bottom w:val="nil"/>
                <w:right w:val="nil"/>
                <w:between w:val="nil"/>
              </w:pBdr>
              <w:spacing w:before="38" w:line="246" w:lineRule="auto"/>
              <w:ind w:left="89" w:right="432"/>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SIZE</w:t>
            </w:r>
          </w:p>
        </w:tc>
        <w:tc>
          <w:tcPr>
            <w:tcW w:w="706" w:type="pct"/>
            <w:vAlign w:val="center"/>
          </w:tcPr>
          <w:p w14:paraId="465D57C3" w14:textId="77777777" w:rsidR="007373F6" w:rsidRDefault="00000000" w:rsidP="00CA3E0F">
            <w:pPr>
              <w:pBdr>
                <w:top w:val="nil"/>
                <w:left w:val="nil"/>
                <w:bottom w:val="nil"/>
                <w:right w:val="nil"/>
                <w:between w:val="nil"/>
              </w:pBdr>
              <w:spacing w:before="38" w:line="246" w:lineRule="auto"/>
              <w:ind w:left="95"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10.669</w:t>
            </w:r>
          </w:p>
        </w:tc>
        <w:tc>
          <w:tcPr>
            <w:tcW w:w="473" w:type="pct"/>
            <w:vAlign w:val="center"/>
          </w:tcPr>
          <w:p w14:paraId="05FCBDDE"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1.7590</w:t>
            </w:r>
          </w:p>
        </w:tc>
        <w:tc>
          <w:tcPr>
            <w:tcW w:w="473" w:type="pct"/>
            <w:vAlign w:val="center"/>
          </w:tcPr>
          <w:p w14:paraId="4C0CA1F3"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3.8501</w:t>
            </w:r>
          </w:p>
        </w:tc>
        <w:tc>
          <w:tcPr>
            <w:tcW w:w="502" w:type="pct"/>
            <w:vAlign w:val="center"/>
          </w:tcPr>
          <w:p w14:paraId="1BADB8E0"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9.4966</w:t>
            </w:r>
          </w:p>
        </w:tc>
        <w:tc>
          <w:tcPr>
            <w:tcW w:w="557" w:type="pct"/>
            <w:vAlign w:val="center"/>
          </w:tcPr>
          <w:p w14:paraId="729A3BCB" w14:textId="77777777" w:rsidR="007373F6" w:rsidRDefault="00000000" w:rsidP="007008AE">
            <w:pPr>
              <w:pBdr>
                <w:top w:val="nil"/>
                <w:left w:val="nil"/>
                <w:bottom w:val="nil"/>
                <w:right w:val="nil"/>
                <w:between w:val="nil"/>
              </w:pBdr>
              <w:spacing w:before="38" w:line="246" w:lineRule="auto"/>
              <w:ind w:left="90"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10.532</w:t>
            </w:r>
          </w:p>
        </w:tc>
        <w:tc>
          <w:tcPr>
            <w:tcW w:w="557" w:type="pct"/>
            <w:vAlign w:val="center"/>
          </w:tcPr>
          <w:p w14:paraId="21F4D375" w14:textId="77777777" w:rsidR="007373F6" w:rsidRDefault="00000000">
            <w:pPr>
              <w:pBdr>
                <w:top w:val="nil"/>
                <w:left w:val="nil"/>
                <w:bottom w:val="nil"/>
                <w:right w:val="nil"/>
                <w:between w:val="nil"/>
              </w:pBdr>
              <w:spacing w:before="38" w:line="246" w:lineRule="auto"/>
              <w:ind w:left="89"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11.688</w:t>
            </w:r>
          </w:p>
        </w:tc>
        <w:tc>
          <w:tcPr>
            <w:tcW w:w="574" w:type="pct"/>
            <w:vAlign w:val="center"/>
          </w:tcPr>
          <w:p w14:paraId="4860FAF5" w14:textId="77777777" w:rsidR="007373F6" w:rsidRDefault="00000000">
            <w:pPr>
              <w:pBdr>
                <w:top w:val="nil"/>
                <w:left w:val="nil"/>
                <w:bottom w:val="nil"/>
                <w:right w:val="nil"/>
                <w:between w:val="nil"/>
              </w:pBdr>
              <w:spacing w:before="38" w:line="246" w:lineRule="auto"/>
              <w:ind w:left="87"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19.512</w:t>
            </w:r>
          </w:p>
        </w:tc>
      </w:tr>
      <w:tr w:rsidR="007373F6" w14:paraId="360BE6E7" w14:textId="77777777" w:rsidTr="007008AE">
        <w:trPr>
          <w:trHeight w:val="304"/>
        </w:trPr>
        <w:tc>
          <w:tcPr>
            <w:tcW w:w="1159" w:type="pct"/>
            <w:vAlign w:val="center"/>
          </w:tcPr>
          <w:p w14:paraId="49C36FF6" w14:textId="77777777" w:rsidR="007373F6" w:rsidRDefault="00000000">
            <w:pPr>
              <w:pBdr>
                <w:top w:val="nil"/>
                <w:left w:val="nil"/>
                <w:bottom w:val="nil"/>
                <w:right w:val="nil"/>
                <w:between w:val="nil"/>
              </w:pBdr>
              <w:spacing w:before="38" w:line="246" w:lineRule="auto"/>
              <w:ind w:left="89" w:right="432"/>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ROA</w:t>
            </w:r>
          </w:p>
        </w:tc>
        <w:tc>
          <w:tcPr>
            <w:tcW w:w="706" w:type="pct"/>
            <w:vAlign w:val="center"/>
          </w:tcPr>
          <w:p w14:paraId="69AB0363" w14:textId="77777777" w:rsidR="007373F6" w:rsidRDefault="00000000" w:rsidP="00CA3E0F">
            <w:pPr>
              <w:pBdr>
                <w:top w:val="nil"/>
                <w:left w:val="nil"/>
                <w:bottom w:val="nil"/>
                <w:right w:val="nil"/>
                <w:between w:val="nil"/>
              </w:pBdr>
              <w:spacing w:before="38" w:line="246" w:lineRule="auto"/>
              <w:ind w:left="95"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0.0312</w:t>
            </w:r>
          </w:p>
        </w:tc>
        <w:tc>
          <w:tcPr>
            <w:tcW w:w="473" w:type="pct"/>
            <w:vAlign w:val="center"/>
          </w:tcPr>
          <w:p w14:paraId="60ADD0B1"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0.0882</w:t>
            </w:r>
          </w:p>
        </w:tc>
        <w:tc>
          <w:tcPr>
            <w:tcW w:w="473" w:type="pct"/>
            <w:vAlign w:val="center"/>
          </w:tcPr>
          <w:p w14:paraId="072C0D71"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-2.2252</w:t>
            </w:r>
          </w:p>
        </w:tc>
        <w:tc>
          <w:tcPr>
            <w:tcW w:w="502" w:type="pct"/>
            <w:vAlign w:val="center"/>
          </w:tcPr>
          <w:p w14:paraId="400C542F"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0.0122</w:t>
            </w:r>
          </w:p>
        </w:tc>
        <w:tc>
          <w:tcPr>
            <w:tcW w:w="557" w:type="pct"/>
            <w:vAlign w:val="center"/>
          </w:tcPr>
          <w:p w14:paraId="34066864" w14:textId="77777777" w:rsidR="007373F6" w:rsidRDefault="00000000" w:rsidP="007008AE">
            <w:pPr>
              <w:pBdr>
                <w:top w:val="nil"/>
                <w:left w:val="nil"/>
                <w:bottom w:val="nil"/>
                <w:right w:val="nil"/>
                <w:between w:val="nil"/>
              </w:pBdr>
              <w:spacing w:before="38" w:line="246" w:lineRule="auto"/>
              <w:ind w:left="90"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0.0308</w:t>
            </w:r>
          </w:p>
        </w:tc>
        <w:tc>
          <w:tcPr>
            <w:tcW w:w="557" w:type="pct"/>
            <w:vAlign w:val="center"/>
          </w:tcPr>
          <w:p w14:paraId="74DF8B95" w14:textId="77777777" w:rsidR="007373F6" w:rsidRDefault="00000000">
            <w:pPr>
              <w:pBdr>
                <w:top w:val="nil"/>
                <w:left w:val="nil"/>
                <w:bottom w:val="nil"/>
                <w:right w:val="nil"/>
                <w:between w:val="nil"/>
              </w:pBdr>
              <w:spacing w:before="38" w:line="246" w:lineRule="auto"/>
              <w:ind w:left="89"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0.0559</w:t>
            </w:r>
          </w:p>
        </w:tc>
        <w:tc>
          <w:tcPr>
            <w:tcW w:w="574" w:type="pct"/>
            <w:vAlign w:val="center"/>
          </w:tcPr>
          <w:p w14:paraId="3EFAC95E" w14:textId="77777777" w:rsidR="007373F6" w:rsidRDefault="00000000">
            <w:pPr>
              <w:pBdr>
                <w:top w:val="nil"/>
                <w:left w:val="nil"/>
                <w:bottom w:val="nil"/>
                <w:right w:val="nil"/>
                <w:between w:val="nil"/>
              </w:pBdr>
              <w:spacing w:before="38" w:line="246" w:lineRule="auto"/>
              <w:ind w:left="87"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5.8562</w:t>
            </w:r>
          </w:p>
        </w:tc>
      </w:tr>
      <w:tr w:rsidR="007373F6" w14:paraId="34BDFF85" w14:textId="77777777" w:rsidTr="007008AE">
        <w:trPr>
          <w:trHeight w:val="304"/>
        </w:trPr>
        <w:tc>
          <w:tcPr>
            <w:tcW w:w="1159" w:type="pct"/>
            <w:vAlign w:val="center"/>
          </w:tcPr>
          <w:p w14:paraId="01A5F7E6" w14:textId="77777777" w:rsidR="007373F6" w:rsidRDefault="00000000">
            <w:pPr>
              <w:pBdr>
                <w:top w:val="nil"/>
                <w:left w:val="nil"/>
                <w:bottom w:val="nil"/>
                <w:right w:val="nil"/>
                <w:between w:val="nil"/>
              </w:pBdr>
              <w:spacing w:before="38" w:line="246" w:lineRule="auto"/>
              <w:ind w:left="89" w:right="432"/>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CLOSELY HELD </w:t>
            </w:r>
          </w:p>
        </w:tc>
        <w:tc>
          <w:tcPr>
            <w:tcW w:w="706" w:type="pct"/>
            <w:vAlign w:val="center"/>
          </w:tcPr>
          <w:p w14:paraId="5723ED13" w14:textId="77777777" w:rsidR="007373F6" w:rsidRDefault="00000000" w:rsidP="00CA3E0F">
            <w:pPr>
              <w:pBdr>
                <w:top w:val="nil"/>
                <w:left w:val="nil"/>
                <w:bottom w:val="nil"/>
                <w:right w:val="nil"/>
                <w:between w:val="nil"/>
              </w:pBdr>
              <w:spacing w:before="38" w:line="246" w:lineRule="auto"/>
              <w:ind w:left="95"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0.5362</w:t>
            </w:r>
          </w:p>
        </w:tc>
        <w:tc>
          <w:tcPr>
            <w:tcW w:w="473" w:type="pct"/>
            <w:vAlign w:val="center"/>
          </w:tcPr>
          <w:p w14:paraId="184AC66D"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0.1561</w:t>
            </w:r>
          </w:p>
        </w:tc>
        <w:tc>
          <w:tcPr>
            <w:tcW w:w="473" w:type="pct"/>
            <w:vAlign w:val="center"/>
          </w:tcPr>
          <w:p w14:paraId="07AAFE58"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0.0100</w:t>
            </w:r>
          </w:p>
        </w:tc>
        <w:tc>
          <w:tcPr>
            <w:tcW w:w="502" w:type="pct"/>
            <w:vAlign w:val="center"/>
          </w:tcPr>
          <w:p w14:paraId="45EC3908"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0.4190</w:t>
            </w:r>
          </w:p>
        </w:tc>
        <w:tc>
          <w:tcPr>
            <w:tcW w:w="557" w:type="pct"/>
            <w:vAlign w:val="center"/>
          </w:tcPr>
          <w:p w14:paraId="1254B130" w14:textId="77777777" w:rsidR="007373F6" w:rsidRDefault="00000000" w:rsidP="007008AE">
            <w:pPr>
              <w:pBdr>
                <w:top w:val="nil"/>
                <w:left w:val="nil"/>
                <w:bottom w:val="nil"/>
                <w:right w:val="nil"/>
                <w:between w:val="nil"/>
              </w:pBdr>
              <w:spacing w:before="38" w:line="246" w:lineRule="auto"/>
              <w:ind w:left="90"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0.5300</w:t>
            </w:r>
          </w:p>
        </w:tc>
        <w:tc>
          <w:tcPr>
            <w:tcW w:w="557" w:type="pct"/>
            <w:vAlign w:val="center"/>
          </w:tcPr>
          <w:p w14:paraId="561E4AA3" w14:textId="77777777" w:rsidR="007373F6" w:rsidRDefault="00000000">
            <w:pPr>
              <w:pBdr>
                <w:top w:val="nil"/>
                <w:left w:val="nil"/>
                <w:bottom w:val="nil"/>
                <w:right w:val="nil"/>
                <w:between w:val="nil"/>
              </w:pBdr>
              <w:spacing w:before="38" w:line="246" w:lineRule="auto"/>
              <w:ind w:left="2"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0.6550</w:t>
            </w:r>
          </w:p>
        </w:tc>
        <w:tc>
          <w:tcPr>
            <w:tcW w:w="574" w:type="pct"/>
            <w:vAlign w:val="center"/>
          </w:tcPr>
          <w:p w14:paraId="63224500" w14:textId="77777777" w:rsidR="007373F6" w:rsidRDefault="00000000" w:rsidP="00CA3E0F">
            <w:pPr>
              <w:pBdr>
                <w:top w:val="nil"/>
                <w:left w:val="nil"/>
                <w:bottom w:val="nil"/>
                <w:right w:val="nil"/>
                <w:between w:val="nil"/>
              </w:pBdr>
              <w:spacing w:before="38" w:line="246" w:lineRule="auto"/>
              <w:ind w:left="88"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1.0000</w:t>
            </w:r>
          </w:p>
        </w:tc>
      </w:tr>
      <w:tr w:rsidR="007373F6" w14:paraId="6DD3DB06" w14:textId="77777777" w:rsidTr="007008AE">
        <w:trPr>
          <w:trHeight w:val="304"/>
        </w:trPr>
        <w:tc>
          <w:tcPr>
            <w:tcW w:w="1159" w:type="pct"/>
            <w:vAlign w:val="center"/>
          </w:tcPr>
          <w:p w14:paraId="78006815" w14:textId="77777777" w:rsidR="007373F6" w:rsidRDefault="00000000">
            <w:pPr>
              <w:pBdr>
                <w:top w:val="nil"/>
                <w:left w:val="nil"/>
                <w:bottom w:val="nil"/>
                <w:right w:val="nil"/>
                <w:between w:val="nil"/>
              </w:pBdr>
              <w:spacing w:before="38" w:line="246" w:lineRule="auto"/>
              <w:ind w:left="89" w:right="432"/>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DEBT </w:t>
            </w:r>
          </w:p>
        </w:tc>
        <w:tc>
          <w:tcPr>
            <w:tcW w:w="706" w:type="pct"/>
            <w:vAlign w:val="center"/>
          </w:tcPr>
          <w:p w14:paraId="42A5D481" w14:textId="77777777" w:rsidR="007373F6" w:rsidRDefault="00000000" w:rsidP="00CA3E0F">
            <w:pPr>
              <w:pBdr>
                <w:top w:val="nil"/>
                <w:left w:val="nil"/>
                <w:bottom w:val="nil"/>
                <w:right w:val="nil"/>
                <w:between w:val="nil"/>
              </w:pBdr>
              <w:spacing w:before="38" w:line="246" w:lineRule="auto"/>
              <w:ind w:left="95"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0.1959</w:t>
            </w:r>
          </w:p>
        </w:tc>
        <w:tc>
          <w:tcPr>
            <w:tcW w:w="473" w:type="pct"/>
            <w:vAlign w:val="center"/>
          </w:tcPr>
          <w:p w14:paraId="6ED641D6"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0.1848</w:t>
            </w:r>
          </w:p>
        </w:tc>
        <w:tc>
          <w:tcPr>
            <w:tcW w:w="473" w:type="pct"/>
            <w:vAlign w:val="center"/>
          </w:tcPr>
          <w:p w14:paraId="2CA89AF1"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0.0000</w:t>
            </w:r>
          </w:p>
        </w:tc>
        <w:tc>
          <w:tcPr>
            <w:tcW w:w="502" w:type="pct"/>
            <w:vAlign w:val="center"/>
          </w:tcPr>
          <w:p w14:paraId="5B4CCE1D"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0.0368</w:t>
            </w:r>
          </w:p>
        </w:tc>
        <w:tc>
          <w:tcPr>
            <w:tcW w:w="557" w:type="pct"/>
            <w:vAlign w:val="center"/>
          </w:tcPr>
          <w:p w14:paraId="2C8C2213" w14:textId="77777777" w:rsidR="007373F6" w:rsidRDefault="00000000" w:rsidP="007008AE">
            <w:pPr>
              <w:pBdr>
                <w:top w:val="nil"/>
                <w:left w:val="nil"/>
                <w:bottom w:val="nil"/>
                <w:right w:val="nil"/>
                <w:between w:val="nil"/>
              </w:pBdr>
              <w:spacing w:before="38" w:line="246" w:lineRule="auto"/>
              <w:ind w:left="90"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0.1529</w:t>
            </w:r>
          </w:p>
        </w:tc>
        <w:tc>
          <w:tcPr>
            <w:tcW w:w="557" w:type="pct"/>
            <w:vAlign w:val="center"/>
          </w:tcPr>
          <w:p w14:paraId="17041031" w14:textId="77777777" w:rsidR="007373F6" w:rsidRDefault="00000000">
            <w:pPr>
              <w:pBdr>
                <w:top w:val="nil"/>
                <w:left w:val="nil"/>
                <w:bottom w:val="nil"/>
                <w:right w:val="nil"/>
                <w:between w:val="nil"/>
              </w:pBdr>
              <w:spacing w:before="38" w:line="246" w:lineRule="auto"/>
              <w:ind w:left="89"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0.3099</w:t>
            </w:r>
          </w:p>
        </w:tc>
        <w:tc>
          <w:tcPr>
            <w:tcW w:w="574" w:type="pct"/>
            <w:vAlign w:val="center"/>
          </w:tcPr>
          <w:p w14:paraId="11EDE0C0" w14:textId="77777777" w:rsidR="007373F6" w:rsidRDefault="00000000">
            <w:pPr>
              <w:pBdr>
                <w:top w:val="nil"/>
                <w:left w:val="nil"/>
                <w:bottom w:val="nil"/>
                <w:right w:val="nil"/>
                <w:between w:val="nil"/>
              </w:pBdr>
              <w:spacing w:before="38" w:line="246" w:lineRule="auto"/>
              <w:ind w:left="87"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7.6556</w:t>
            </w:r>
          </w:p>
        </w:tc>
      </w:tr>
      <w:tr w:rsidR="007373F6" w14:paraId="30571B68" w14:textId="77777777" w:rsidTr="007008AE">
        <w:trPr>
          <w:trHeight w:val="304"/>
        </w:trPr>
        <w:tc>
          <w:tcPr>
            <w:tcW w:w="1159" w:type="pct"/>
            <w:vAlign w:val="center"/>
          </w:tcPr>
          <w:p w14:paraId="738654A3" w14:textId="77777777" w:rsidR="007373F6" w:rsidRDefault="00000000">
            <w:pPr>
              <w:pBdr>
                <w:top w:val="nil"/>
                <w:left w:val="nil"/>
                <w:bottom w:val="nil"/>
                <w:right w:val="nil"/>
                <w:between w:val="nil"/>
              </w:pBdr>
              <w:spacing w:before="38" w:line="246" w:lineRule="auto"/>
              <w:ind w:left="89" w:right="432"/>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AGE</w:t>
            </w:r>
          </w:p>
        </w:tc>
        <w:tc>
          <w:tcPr>
            <w:tcW w:w="706" w:type="pct"/>
            <w:vAlign w:val="center"/>
          </w:tcPr>
          <w:p w14:paraId="0369DAF1" w14:textId="77777777" w:rsidR="007373F6" w:rsidRDefault="00000000" w:rsidP="00CA3E0F">
            <w:pPr>
              <w:pBdr>
                <w:top w:val="nil"/>
                <w:left w:val="nil"/>
                <w:bottom w:val="nil"/>
                <w:right w:val="nil"/>
                <w:between w:val="nil"/>
              </w:pBdr>
              <w:spacing w:before="38" w:line="246" w:lineRule="auto"/>
              <w:ind w:left="95"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3.8353</w:t>
            </w:r>
          </w:p>
        </w:tc>
        <w:tc>
          <w:tcPr>
            <w:tcW w:w="473" w:type="pct"/>
            <w:vAlign w:val="center"/>
          </w:tcPr>
          <w:p w14:paraId="0F010E6B"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0.6759</w:t>
            </w:r>
          </w:p>
        </w:tc>
        <w:tc>
          <w:tcPr>
            <w:tcW w:w="473" w:type="pct"/>
            <w:vAlign w:val="center"/>
          </w:tcPr>
          <w:p w14:paraId="3692E18F"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0.7308</w:t>
            </w:r>
          </w:p>
        </w:tc>
        <w:tc>
          <w:tcPr>
            <w:tcW w:w="502" w:type="pct"/>
            <w:vAlign w:val="center"/>
          </w:tcPr>
          <w:p w14:paraId="3BE3F7C0"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3.5391</w:t>
            </w:r>
          </w:p>
        </w:tc>
        <w:tc>
          <w:tcPr>
            <w:tcW w:w="557" w:type="pct"/>
            <w:vAlign w:val="center"/>
          </w:tcPr>
          <w:p w14:paraId="33A4618F" w14:textId="77777777" w:rsidR="007373F6" w:rsidRDefault="00000000" w:rsidP="007008AE">
            <w:pPr>
              <w:pBdr>
                <w:top w:val="nil"/>
                <w:left w:val="nil"/>
                <w:bottom w:val="nil"/>
                <w:right w:val="nil"/>
                <w:between w:val="nil"/>
              </w:pBdr>
              <w:spacing w:before="38" w:line="246" w:lineRule="auto"/>
              <w:ind w:left="90"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4.0768</w:t>
            </w:r>
          </w:p>
        </w:tc>
        <w:tc>
          <w:tcPr>
            <w:tcW w:w="557" w:type="pct"/>
            <w:vAlign w:val="center"/>
          </w:tcPr>
          <w:p w14:paraId="443F7880" w14:textId="77777777" w:rsidR="007373F6" w:rsidRDefault="00000000">
            <w:pPr>
              <w:pBdr>
                <w:top w:val="nil"/>
                <w:left w:val="nil"/>
                <w:bottom w:val="nil"/>
                <w:right w:val="nil"/>
                <w:between w:val="nil"/>
              </w:pBdr>
              <w:spacing w:before="38" w:line="246" w:lineRule="auto"/>
              <w:ind w:left="89"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4.2819</w:t>
            </w:r>
          </w:p>
        </w:tc>
        <w:tc>
          <w:tcPr>
            <w:tcW w:w="574" w:type="pct"/>
            <w:vAlign w:val="center"/>
          </w:tcPr>
          <w:p w14:paraId="51FEA043" w14:textId="77777777" w:rsidR="007373F6" w:rsidRDefault="00000000">
            <w:pPr>
              <w:pBdr>
                <w:top w:val="nil"/>
                <w:left w:val="nil"/>
                <w:bottom w:val="nil"/>
                <w:right w:val="nil"/>
                <w:between w:val="nil"/>
              </w:pBdr>
              <w:spacing w:before="38" w:line="246" w:lineRule="auto"/>
              <w:ind w:left="87"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4.9553</w:t>
            </w:r>
          </w:p>
        </w:tc>
      </w:tr>
      <w:tr w:rsidR="007373F6" w14:paraId="6DC00A41" w14:textId="77777777" w:rsidTr="007008AE">
        <w:trPr>
          <w:trHeight w:val="304"/>
        </w:trPr>
        <w:tc>
          <w:tcPr>
            <w:tcW w:w="1159" w:type="pct"/>
            <w:vAlign w:val="center"/>
          </w:tcPr>
          <w:p w14:paraId="18C3424B" w14:textId="77777777" w:rsidR="007373F6" w:rsidRDefault="00000000">
            <w:pPr>
              <w:pBdr>
                <w:top w:val="nil"/>
                <w:left w:val="nil"/>
                <w:bottom w:val="nil"/>
                <w:right w:val="nil"/>
                <w:between w:val="nil"/>
              </w:pBdr>
              <w:spacing w:before="38" w:line="246" w:lineRule="auto"/>
              <w:ind w:left="89" w:right="432"/>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BTM </w:t>
            </w:r>
          </w:p>
        </w:tc>
        <w:tc>
          <w:tcPr>
            <w:tcW w:w="706" w:type="pct"/>
            <w:vAlign w:val="center"/>
          </w:tcPr>
          <w:p w14:paraId="15D30519" w14:textId="77777777" w:rsidR="007373F6" w:rsidRDefault="00000000" w:rsidP="00CA3E0F">
            <w:pPr>
              <w:pBdr>
                <w:top w:val="nil"/>
                <w:left w:val="nil"/>
                <w:bottom w:val="nil"/>
                <w:right w:val="nil"/>
                <w:between w:val="nil"/>
              </w:pBdr>
              <w:spacing w:before="38" w:line="246" w:lineRule="auto"/>
              <w:ind w:left="95"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1.1864</w:t>
            </w:r>
          </w:p>
        </w:tc>
        <w:tc>
          <w:tcPr>
            <w:tcW w:w="473" w:type="pct"/>
            <w:vAlign w:val="center"/>
          </w:tcPr>
          <w:p w14:paraId="5B775F5B"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0.7990</w:t>
            </w:r>
          </w:p>
        </w:tc>
        <w:tc>
          <w:tcPr>
            <w:tcW w:w="473" w:type="pct"/>
            <w:vAlign w:val="center"/>
          </w:tcPr>
          <w:p w14:paraId="0D9206A5"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0.0027</w:t>
            </w:r>
          </w:p>
        </w:tc>
        <w:tc>
          <w:tcPr>
            <w:tcW w:w="502" w:type="pct"/>
            <w:vAlign w:val="center"/>
          </w:tcPr>
          <w:p w14:paraId="3615A097"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0.5973</w:t>
            </w:r>
          </w:p>
        </w:tc>
        <w:tc>
          <w:tcPr>
            <w:tcW w:w="557" w:type="pct"/>
            <w:vAlign w:val="center"/>
          </w:tcPr>
          <w:p w14:paraId="76BE809E" w14:textId="77777777" w:rsidR="007373F6" w:rsidRDefault="00000000" w:rsidP="007008AE">
            <w:pPr>
              <w:pBdr>
                <w:top w:val="nil"/>
                <w:left w:val="nil"/>
                <w:bottom w:val="nil"/>
                <w:right w:val="nil"/>
                <w:between w:val="nil"/>
              </w:pBdr>
              <w:spacing w:before="38" w:line="246" w:lineRule="auto"/>
              <w:ind w:left="90"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1.0342</w:t>
            </w:r>
          </w:p>
        </w:tc>
        <w:tc>
          <w:tcPr>
            <w:tcW w:w="557" w:type="pct"/>
            <w:vAlign w:val="center"/>
          </w:tcPr>
          <w:p w14:paraId="05591D58" w14:textId="77777777" w:rsidR="007373F6" w:rsidRDefault="00000000">
            <w:pPr>
              <w:pBdr>
                <w:top w:val="nil"/>
                <w:left w:val="nil"/>
                <w:bottom w:val="nil"/>
                <w:right w:val="nil"/>
                <w:between w:val="nil"/>
              </w:pBdr>
              <w:spacing w:before="38" w:line="246" w:lineRule="auto"/>
              <w:ind w:left="89"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1.5907</w:t>
            </w:r>
          </w:p>
        </w:tc>
        <w:tc>
          <w:tcPr>
            <w:tcW w:w="574" w:type="pct"/>
            <w:vAlign w:val="center"/>
          </w:tcPr>
          <w:p w14:paraId="46C77AD5" w14:textId="77777777" w:rsidR="007373F6" w:rsidRDefault="00000000">
            <w:pPr>
              <w:pBdr>
                <w:top w:val="nil"/>
                <w:left w:val="nil"/>
                <w:bottom w:val="nil"/>
                <w:right w:val="nil"/>
                <w:between w:val="nil"/>
              </w:pBdr>
              <w:spacing w:before="38" w:line="246" w:lineRule="auto"/>
              <w:ind w:left="87"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9.8512</w:t>
            </w:r>
          </w:p>
        </w:tc>
      </w:tr>
      <w:tr w:rsidR="007373F6" w14:paraId="3EB629DA" w14:textId="77777777" w:rsidTr="007008AE">
        <w:trPr>
          <w:trHeight w:val="304"/>
        </w:trPr>
        <w:tc>
          <w:tcPr>
            <w:tcW w:w="1159" w:type="pct"/>
          </w:tcPr>
          <w:p w14:paraId="7B564763" w14:textId="77777777" w:rsidR="007373F6" w:rsidRDefault="00000000">
            <w:pPr>
              <w:pBdr>
                <w:top w:val="nil"/>
                <w:left w:val="nil"/>
                <w:bottom w:val="nil"/>
                <w:right w:val="nil"/>
                <w:between w:val="nil"/>
              </w:pBdr>
              <w:spacing w:before="38" w:line="246" w:lineRule="auto"/>
              <w:ind w:left="89" w:right="432"/>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IRD1</w:t>
            </w:r>
          </w:p>
        </w:tc>
        <w:tc>
          <w:tcPr>
            <w:tcW w:w="706" w:type="pct"/>
            <w:vAlign w:val="bottom"/>
          </w:tcPr>
          <w:p w14:paraId="37FD90D5" w14:textId="77777777" w:rsidR="007373F6" w:rsidRDefault="00000000" w:rsidP="00CA3E0F">
            <w:pPr>
              <w:pBdr>
                <w:top w:val="nil"/>
                <w:left w:val="nil"/>
                <w:bottom w:val="nil"/>
                <w:right w:val="nil"/>
                <w:between w:val="nil"/>
              </w:pBdr>
              <w:spacing w:before="38" w:line="246" w:lineRule="auto"/>
              <w:ind w:left="95"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0.5311</w:t>
            </w:r>
          </w:p>
        </w:tc>
        <w:tc>
          <w:tcPr>
            <w:tcW w:w="473" w:type="pct"/>
            <w:vAlign w:val="bottom"/>
          </w:tcPr>
          <w:p w14:paraId="15AA1C90"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0.7485</w:t>
            </w:r>
          </w:p>
        </w:tc>
        <w:tc>
          <w:tcPr>
            <w:tcW w:w="473" w:type="pct"/>
            <w:vAlign w:val="bottom"/>
          </w:tcPr>
          <w:p w14:paraId="3A168A58"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-0.0114</w:t>
            </w:r>
          </w:p>
        </w:tc>
        <w:tc>
          <w:tcPr>
            <w:tcW w:w="502" w:type="pct"/>
            <w:vAlign w:val="bottom"/>
          </w:tcPr>
          <w:p w14:paraId="0DC61722"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0.0554</w:t>
            </w:r>
          </w:p>
        </w:tc>
        <w:tc>
          <w:tcPr>
            <w:tcW w:w="557" w:type="pct"/>
            <w:vAlign w:val="bottom"/>
          </w:tcPr>
          <w:p w14:paraId="03721992" w14:textId="77777777" w:rsidR="007373F6" w:rsidRDefault="00000000" w:rsidP="007008AE">
            <w:pPr>
              <w:pBdr>
                <w:top w:val="nil"/>
                <w:left w:val="nil"/>
                <w:bottom w:val="nil"/>
                <w:right w:val="nil"/>
                <w:between w:val="nil"/>
              </w:pBdr>
              <w:spacing w:before="38" w:line="246" w:lineRule="auto"/>
              <w:ind w:left="90"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0.095</w:t>
            </w:r>
          </w:p>
        </w:tc>
        <w:tc>
          <w:tcPr>
            <w:tcW w:w="557" w:type="pct"/>
            <w:vAlign w:val="bottom"/>
          </w:tcPr>
          <w:p w14:paraId="4B4B9B94" w14:textId="77777777" w:rsidR="007373F6" w:rsidRDefault="00000000">
            <w:pPr>
              <w:pBdr>
                <w:top w:val="nil"/>
                <w:left w:val="nil"/>
                <w:bottom w:val="nil"/>
                <w:right w:val="nil"/>
                <w:between w:val="nil"/>
              </w:pBdr>
              <w:spacing w:before="38" w:line="246" w:lineRule="auto"/>
              <w:ind w:left="89"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0.6981</w:t>
            </w:r>
          </w:p>
        </w:tc>
        <w:tc>
          <w:tcPr>
            <w:tcW w:w="574" w:type="pct"/>
            <w:vAlign w:val="bottom"/>
          </w:tcPr>
          <w:p w14:paraId="2E9C56AE" w14:textId="77777777" w:rsidR="007373F6" w:rsidRDefault="00000000">
            <w:pPr>
              <w:pBdr>
                <w:top w:val="nil"/>
                <w:left w:val="nil"/>
                <w:bottom w:val="nil"/>
                <w:right w:val="nil"/>
                <w:between w:val="nil"/>
              </w:pBdr>
              <w:spacing w:before="38" w:line="246" w:lineRule="auto"/>
              <w:ind w:left="87"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3.1295</w:t>
            </w:r>
          </w:p>
        </w:tc>
      </w:tr>
      <w:tr w:rsidR="007373F6" w14:paraId="3C480A92" w14:textId="77777777" w:rsidTr="007008AE">
        <w:trPr>
          <w:trHeight w:val="304"/>
        </w:trPr>
        <w:tc>
          <w:tcPr>
            <w:tcW w:w="1159" w:type="pct"/>
            <w:tcBorders>
              <w:bottom w:val="single" w:sz="4" w:space="0" w:color="000000"/>
            </w:tcBorders>
          </w:tcPr>
          <w:p w14:paraId="6D706576" w14:textId="77777777" w:rsidR="007373F6" w:rsidRDefault="00000000">
            <w:pPr>
              <w:pBdr>
                <w:top w:val="nil"/>
                <w:left w:val="nil"/>
                <w:bottom w:val="nil"/>
                <w:right w:val="nil"/>
                <w:between w:val="nil"/>
              </w:pBdr>
              <w:spacing w:before="38" w:line="246" w:lineRule="auto"/>
              <w:ind w:left="89" w:right="432"/>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IRD2</w:t>
            </w:r>
          </w:p>
        </w:tc>
        <w:tc>
          <w:tcPr>
            <w:tcW w:w="706" w:type="pct"/>
            <w:tcBorders>
              <w:bottom w:val="single" w:sz="4" w:space="0" w:color="000000"/>
            </w:tcBorders>
            <w:vAlign w:val="bottom"/>
          </w:tcPr>
          <w:p w14:paraId="0BF154D5" w14:textId="77777777" w:rsidR="007373F6" w:rsidRDefault="00000000" w:rsidP="00CA3E0F">
            <w:pPr>
              <w:pBdr>
                <w:top w:val="nil"/>
                <w:left w:val="nil"/>
                <w:bottom w:val="nil"/>
                <w:right w:val="nil"/>
                <w:between w:val="nil"/>
              </w:pBdr>
              <w:spacing w:before="38" w:line="246" w:lineRule="auto"/>
              <w:ind w:left="95"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0.5934</w:t>
            </w:r>
          </w:p>
        </w:tc>
        <w:tc>
          <w:tcPr>
            <w:tcW w:w="473" w:type="pct"/>
            <w:tcBorders>
              <w:bottom w:val="single" w:sz="4" w:space="0" w:color="000000"/>
            </w:tcBorders>
            <w:vAlign w:val="bottom"/>
          </w:tcPr>
          <w:p w14:paraId="445037AF"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0.8276</w:t>
            </w:r>
          </w:p>
        </w:tc>
        <w:tc>
          <w:tcPr>
            <w:tcW w:w="473" w:type="pct"/>
            <w:tcBorders>
              <w:bottom w:val="single" w:sz="4" w:space="0" w:color="000000"/>
            </w:tcBorders>
            <w:vAlign w:val="bottom"/>
          </w:tcPr>
          <w:p w14:paraId="54751947"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-0.0900</w:t>
            </w:r>
          </w:p>
        </w:tc>
        <w:tc>
          <w:tcPr>
            <w:tcW w:w="502" w:type="pct"/>
            <w:tcBorders>
              <w:bottom w:val="single" w:sz="4" w:space="0" w:color="000000"/>
            </w:tcBorders>
            <w:vAlign w:val="bottom"/>
          </w:tcPr>
          <w:p w14:paraId="2B57976E" w14:textId="77777777" w:rsidR="007373F6" w:rsidRDefault="00000000" w:rsidP="00CA3E0F">
            <w:pPr>
              <w:pBdr>
                <w:top w:val="nil"/>
                <w:left w:val="nil"/>
                <w:bottom w:val="nil"/>
                <w:right w:val="nil"/>
                <w:between w:val="nil"/>
              </w:pBdr>
              <w:spacing w:before="38" w:line="246" w:lineRule="auto"/>
              <w:ind w:left="4" w:right="5"/>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0.022</w:t>
            </w:r>
          </w:p>
        </w:tc>
        <w:tc>
          <w:tcPr>
            <w:tcW w:w="557" w:type="pct"/>
            <w:tcBorders>
              <w:bottom w:val="single" w:sz="4" w:space="0" w:color="000000"/>
            </w:tcBorders>
            <w:vAlign w:val="bottom"/>
          </w:tcPr>
          <w:p w14:paraId="5A591A3F" w14:textId="77777777" w:rsidR="007373F6" w:rsidRDefault="00000000" w:rsidP="007008AE">
            <w:pPr>
              <w:pBdr>
                <w:top w:val="nil"/>
                <w:left w:val="nil"/>
                <w:bottom w:val="nil"/>
                <w:right w:val="nil"/>
                <w:between w:val="nil"/>
              </w:pBdr>
              <w:spacing w:before="38" w:line="246" w:lineRule="auto"/>
              <w:ind w:left="90"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0.135</w:t>
            </w:r>
          </w:p>
        </w:tc>
        <w:tc>
          <w:tcPr>
            <w:tcW w:w="557" w:type="pct"/>
            <w:tcBorders>
              <w:bottom w:val="single" w:sz="4" w:space="0" w:color="000000"/>
            </w:tcBorders>
            <w:vAlign w:val="bottom"/>
          </w:tcPr>
          <w:p w14:paraId="2750C113" w14:textId="77777777" w:rsidR="007373F6" w:rsidRDefault="00000000">
            <w:pPr>
              <w:pBdr>
                <w:top w:val="nil"/>
                <w:left w:val="nil"/>
                <w:bottom w:val="nil"/>
                <w:right w:val="nil"/>
                <w:between w:val="nil"/>
              </w:pBdr>
              <w:spacing w:before="38" w:line="246" w:lineRule="auto"/>
              <w:ind w:left="89"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0.9250</w:t>
            </w:r>
          </w:p>
        </w:tc>
        <w:tc>
          <w:tcPr>
            <w:tcW w:w="574" w:type="pct"/>
            <w:tcBorders>
              <w:bottom w:val="single" w:sz="4" w:space="0" w:color="000000"/>
            </w:tcBorders>
            <w:vAlign w:val="bottom"/>
          </w:tcPr>
          <w:p w14:paraId="600BB5BD" w14:textId="77777777" w:rsidR="007373F6" w:rsidRDefault="00000000">
            <w:pPr>
              <w:pBdr>
                <w:top w:val="nil"/>
                <w:left w:val="nil"/>
                <w:bottom w:val="nil"/>
                <w:right w:val="nil"/>
                <w:between w:val="nil"/>
              </w:pBdr>
              <w:spacing w:before="38" w:line="246" w:lineRule="auto"/>
              <w:ind w:left="87" w:right="8"/>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3.9110</w:t>
            </w:r>
          </w:p>
        </w:tc>
      </w:tr>
    </w:tbl>
    <w:p w14:paraId="52801552" w14:textId="77777777" w:rsidR="00CA3E0F" w:rsidRDefault="00CA3E0F">
      <w:pPr>
        <w:widowControl w:val="0"/>
        <w:spacing w:before="74" w:after="50" w:line="240" w:lineRule="auto"/>
        <w:jc w:val="both"/>
        <w:rPr>
          <w:rFonts w:ascii="Times New Roman" w:eastAsia="Times New Roman" w:hAnsi="Times New Roman" w:cs="Times New Roman"/>
          <w:b/>
          <w:color w:val="000000"/>
        </w:rPr>
      </w:pPr>
    </w:p>
    <w:p w14:paraId="19DE03F4" w14:textId="255BEC2C" w:rsidR="007373F6" w:rsidRDefault="00000000">
      <w:pPr>
        <w:widowControl w:val="0"/>
        <w:spacing w:before="74" w:after="5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Panel B: </w:t>
      </w:r>
      <w:r w:rsidRPr="00CA3E0F">
        <w:rPr>
          <w:rFonts w:ascii="Times New Roman" w:eastAsia="Times New Roman" w:hAnsi="Times New Roman" w:cs="Times New Roman"/>
          <w:bCs/>
          <w:color w:val="000000"/>
        </w:rPr>
        <w:t>Correlation coeﬃcient matrix</w:t>
      </w:r>
    </w:p>
    <w:tbl>
      <w:tblPr>
        <w:tblStyle w:val="a9"/>
        <w:tblW w:w="9026" w:type="dxa"/>
        <w:tblLayout w:type="fixed"/>
        <w:tblLook w:val="0000" w:firstRow="0" w:lastRow="0" w:firstColumn="0" w:lastColumn="0" w:noHBand="0" w:noVBand="0"/>
      </w:tblPr>
      <w:tblGrid>
        <w:gridCol w:w="584"/>
        <w:gridCol w:w="617"/>
        <w:gridCol w:w="617"/>
        <w:gridCol w:w="617"/>
        <w:gridCol w:w="617"/>
        <w:gridCol w:w="585"/>
        <w:gridCol w:w="585"/>
        <w:gridCol w:w="595"/>
        <w:gridCol w:w="617"/>
        <w:gridCol w:w="512"/>
        <w:gridCol w:w="616"/>
        <w:gridCol w:w="616"/>
        <w:gridCol w:w="616"/>
        <w:gridCol w:w="616"/>
        <w:gridCol w:w="616"/>
      </w:tblGrid>
      <w:tr w:rsidR="007373F6" w14:paraId="4023E875" w14:textId="77777777">
        <w:trPr>
          <w:trHeight w:val="323"/>
        </w:trPr>
        <w:tc>
          <w:tcPr>
            <w:tcW w:w="584" w:type="dxa"/>
            <w:tcBorders>
              <w:top w:val="single" w:sz="4" w:space="0" w:color="000000"/>
              <w:bottom w:val="single" w:sz="4" w:space="0" w:color="000000"/>
            </w:tcBorders>
            <w:vAlign w:val="center"/>
          </w:tcPr>
          <w:p w14:paraId="754A6DC5" w14:textId="77777777" w:rsidR="007373F6" w:rsidRDefault="007373F6">
            <w:pPr>
              <w:jc w:val="both"/>
              <w:rPr>
                <w:rFonts w:ascii="Times New Roman" w:eastAsia="Times New Roman" w:hAnsi="Times New Roman" w:cs="Times New Roman"/>
                <w:color w:val="000000"/>
                <w:sz w:val="14"/>
                <w:szCs w:val="14"/>
              </w:rPr>
            </w:pPr>
          </w:p>
        </w:tc>
        <w:tc>
          <w:tcPr>
            <w:tcW w:w="617" w:type="dxa"/>
            <w:tcBorders>
              <w:top w:val="single" w:sz="4" w:space="0" w:color="000000"/>
              <w:bottom w:val="single" w:sz="4" w:space="0" w:color="000000"/>
            </w:tcBorders>
            <w:vAlign w:val="center"/>
          </w:tcPr>
          <w:p w14:paraId="43621F5E" w14:textId="77777777" w:rsidR="007373F6" w:rsidRDefault="00000000">
            <w:pPr>
              <w:spacing w:before="13"/>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IFRS</w:t>
            </w:r>
          </w:p>
        </w:tc>
        <w:tc>
          <w:tcPr>
            <w:tcW w:w="617" w:type="dxa"/>
            <w:tcBorders>
              <w:top w:val="single" w:sz="4" w:space="0" w:color="000000"/>
              <w:bottom w:val="single" w:sz="4" w:space="0" w:color="000000"/>
            </w:tcBorders>
            <w:vAlign w:val="center"/>
          </w:tcPr>
          <w:p w14:paraId="265A3C48" w14:textId="77777777" w:rsidR="007373F6" w:rsidRDefault="00000000">
            <w:pPr>
              <w:spacing w:before="13"/>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2"/>
                <w:szCs w:val="12"/>
              </w:rPr>
              <w:t>FOREIGN HELD</w:t>
            </w:r>
          </w:p>
        </w:tc>
        <w:tc>
          <w:tcPr>
            <w:tcW w:w="617" w:type="dxa"/>
            <w:tcBorders>
              <w:top w:val="single" w:sz="4" w:space="0" w:color="000000"/>
              <w:bottom w:val="single" w:sz="4" w:space="0" w:color="000000"/>
            </w:tcBorders>
            <w:vAlign w:val="center"/>
          </w:tcPr>
          <w:p w14:paraId="6EC7558B" w14:textId="77777777" w:rsidR="007373F6" w:rsidRDefault="00000000">
            <w:pPr>
              <w:spacing w:before="13"/>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GW</w:t>
            </w:r>
          </w:p>
        </w:tc>
        <w:tc>
          <w:tcPr>
            <w:tcW w:w="617" w:type="dxa"/>
            <w:tcBorders>
              <w:top w:val="single" w:sz="4" w:space="0" w:color="000000"/>
              <w:bottom w:val="single" w:sz="4" w:space="0" w:color="000000"/>
            </w:tcBorders>
            <w:vAlign w:val="center"/>
          </w:tcPr>
          <w:p w14:paraId="7029A8F5" w14:textId="77777777" w:rsidR="007373F6" w:rsidRDefault="00000000">
            <w:pPr>
              <w:spacing w:before="13"/>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RD</w:t>
            </w:r>
          </w:p>
        </w:tc>
        <w:tc>
          <w:tcPr>
            <w:tcW w:w="585" w:type="dxa"/>
            <w:tcBorders>
              <w:top w:val="single" w:sz="4" w:space="0" w:color="000000"/>
              <w:bottom w:val="single" w:sz="4" w:space="0" w:color="000000"/>
            </w:tcBorders>
            <w:vAlign w:val="center"/>
          </w:tcPr>
          <w:p w14:paraId="0943BBC3" w14:textId="77777777" w:rsidR="007373F6" w:rsidRDefault="00000000">
            <w:pPr>
              <w:spacing w:before="13"/>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CROSS</w:t>
            </w:r>
          </w:p>
        </w:tc>
        <w:tc>
          <w:tcPr>
            <w:tcW w:w="585" w:type="dxa"/>
            <w:tcBorders>
              <w:top w:val="single" w:sz="4" w:space="0" w:color="000000"/>
              <w:bottom w:val="single" w:sz="4" w:space="0" w:color="000000"/>
            </w:tcBorders>
            <w:vAlign w:val="center"/>
          </w:tcPr>
          <w:p w14:paraId="0686EBF4" w14:textId="77777777" w:rsidR="007373F6" w:rsidRDefault="00000000">
            <w:pPr>
              <w:spacing w:before="13"/>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2"/>
                <w:szCs w:val="12"/>
              </w:rPr>
              <w:t>FOREIGN SALES</w:t>
            </w:r>
          </w:p>
        </w:tc>
        <w:tc>
          <w:tcPr>
            <w:tcW w:w="595" w:type="dxa"/>
            <w:tcBorders>
              <w:top w:val="single" w:sz="4" w:space="0" w:color="000000"/>
              <w:bottom w:val="single" w:sz="4" w:space="0" w:color="000000"/>
            </w:tcBorders>
            <w:vAlign w:val="center"/>
          </w:tcPr>
          <w:p w14:paraId="0116A764" w14:textId="77777777" w:rsidR="007373F6" w:rsidRDefault="00000000">
            <w:pPr>
              <w:spacing w:before="13"/>
              <w:ind w:left="39" w:right="38"/>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SIZE</w:t>
            </w:r>
          </w:p>
        </w:tc>
        <w:tc>
          <w:tcPr>
            <w:tcW w:w="617" w:type="dxa"/>
            <w:tcBorders>
              <w:top w:val="single" w:sz="4" w:space="0" w:color="000000"/>
              <w:bottom w:val="single" w:sz="4" w:space="0" w:color="000000"/>
            </w:tcBorders>
            <w:vAlign w:val="center"/>
          </w:tcPr>
          <w:p w14:paraId="5D206032" w14:textId="77777777" w:rsidR="007373F6" w:rsidRDefault="00000000">
            <w:pPr>
              <w:spacing w:before="13"/>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ROA</w:t>
            </w:r>
          </w:p>
        </w:tc>
        <w:tc>
          <w:tcPr>
            <w:tcW w:w="512" w:type="dxa"/>
            <w:tcBorders>
              <w:top w:val="single" w:sz="4" w:space="0" w:color="000000"/>
              <w:bottom w:val="single" w:sz="4" w:space="0" w:color="000000"/>
            </w:tcBorders>
            <w:vAlign w:val="center"/>
          </w:tcPr>
          <w:p w14:paraId="3E175933" w14:textId="77777777" w:rsidR="007373F6" w:rsidRDefault="00000000">
            <w:pPr>
              <w:spacing w:before="13"/>
              <w:ind w:left="2" w:right="1"/>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2"/>
                <w:szCs w:val="12"/>
              </w:rPr>
              <w:t>CLOSELY HELD</w:t>
            </w:r>
          </w:p>
        </w:tc>
        <w:tc>
          <w:tcPr>
            <w:tcW w:w="616" w:type="dxa"/>
            <w:tcBorders>
              <w:top w:val="single" w:sz="4" w:space="0" w:color="000000"/>
              <w:bottom w:val="single" w:sz="4" w:space="0" w:color="000000"/>
            </w:tcBorders>
            <w:vAlign w:val="center"/>
          </w:tcPr>
          <w:p w14:paraId="20C5C236" w14:textId="77777777" w:rsidR="007373F6" w:rsidRDefault="00000000">
            <w:pPr>
              <w:spacing w:before="13"/>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DEBT</w:t>
            </w:r>
          </w:p>
        </w:tc>
        <w:tc>
          <w:tcPr>
            <w:tcW w:w="616" w:type="dxa"/>
            <w:tcBorders>
              <w:top w:val="single" w:sz="4" w:space="0" w:color="000000"/>
              <w:bottom w:val="single" w:sz="4" w:space="0" w:color="000000"/>
            </w:tcBorders>
            <w:vAlign w:val="center"/>
          </w:tcPr>
          <w:p w14:paraId="5DB84C6F" w14:textId="77777777" w:rsidR="007373F6" w:rsidRDefault="00000000">
            <w:pPr>
              <w:spacing w:before="13"/>
              <w:ind w:left="63" w:right="61"/>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AGE</w:t>
            </w:r>
          </w:p>
        </w:tc>
        <w:tc>
          <w:tcPr>
            <w:tcW w:w="616" w:type="dxa"/>
            <w:tcBorders>
              <w:top w:val="single" w:sz="4" w:space="0" w:color="000000"/>
              <w:bottom w:val="single" w:sz="4" w:space="0" w:color="000000"/>
            </w:tcBorders>
            <w:vAlign w:val="center"/>
          </w:tcPr>
          <w:p w14:paraId="02592EB9" w14:textId="77777777" w:rsidR="007373F6" w:rsidRDefault="00000000">
            <w:pPr>
              <w:spacing w:before="13"/>
              <w:ind w:left="63" w:right="61"/>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BTM</w:t>
            </w:r>
          </w:p>
        </w:tc>
        <w:tc>
          <w:tcPr>
            <w:tcW w:w="616" w:type="dxa"/>
            <w:tcBorders>
              <w:top w:val="single" w:sz="4" w:space="0" w:color="000000"/>
              <w:bottom w:val="single" w:sz="4" w:space="0" w:color="000000"/>
            </w:tcBorders>
            <w:vAlign w:val="center"/>
          </w:tcPr>
          <w:p w14:paraId="32620E01" w14:textId="77777777" w:rsidR="007373F6" w:rsidRDefault="00000000">
            <w:pPr>
              <w:spacing w:before="13"/>
              <w:ind w:left="63" w:right="61"/>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IRD1</w:t>
            </w:r>
          </w:p>
        </w:tc>
        <w:tc>
          <w:tcPr>
            <w:tcW w:w="616" w:type="dxa"/>
            <w:tcBorders>
              <w:top w:val="single" w:sz="4" w:space="0" w:color="000000"/>
              <w:bottom w:val="single" w:sz="4" w:space="0" w:color="000000"/>
            </w:tcBorders>
            <w:vAlign w:val="center"/>
          </w:tcPr>
          <w:p w14:paraId="76C008F0" w14:textId="77777777" w:rsidR="007373F6" w:rsidRDefault="00000000">
            <w:pPr>
              <w:spacing w:before="13"/>
              <w:ind w:left="63" w:right="61"/>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IRD2</w:t>
            </w:r>
          </w:p>
        </w:tc>
      </w:tr>
      <w:tr w:rsidR="007373F6" w14:paraId="080C63AC" w14:textId="77777777">
        <w:trPr>
          <w:trHeight w:val="340"/>
        </w:trPr>
        <w:tc>
          <w:tcPr>
            <w:tcW w:w="584" w:type="dxa"/>
            <w:tcBorders>
              <w:top w:val="single" w:sz="4" w:space="0" w:color="000000"/>
            </w:tcBorders>
            <w:vAlign w:val="center"/>
          </w:tcPr>
          <w:p w14:paraId="3C99A15A" w14:textId="77777777" w:rsidR="007373F6" w:rsidRDefault="00000000">
            <w:pPr>
              <w:spacing w:before="74"/>
              <w:ind w:left="8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IFRS</w:t>
            </w:r>
          </w:p>
        </w:tc>
        <w:tc>
          <w:tcPr>
            <w:tcW w:w="617" w:type="dxa"/>
            <w:tcBorders>
              <w:top w:val="single" w:sz="4" w:space="0" w:color="000000"/>
            </w:tcBorders>
            <w:vAlign w:val="center"/>
          </w:tcPr>
          <w:p w14:paraId="6CCFD328" w14:textId="77777777" w:rsidR="007373F6" w:rsidRDefault="007373F6">
            <w:pPr>
              <w:jc w:val="both"/>
              <w:rPr>
                <w:rFonts w:ascii="Times New Roman" w:eastAsia="Times New Roman" w:hAnsi="Times New Roman" w:cs="Times New Roman"/>
                <w:color w:val="000000"/>
                <w:sz w:val="14"/>
                <w:szCs w:val="14"/>
              </w:rPr>
            </w:pPr>
          </w:p>
        </w:tc>
        <w:tc>
          <w:tcPr>
            <w:tcW w:w="617" w:type="dxa"/>
            <w:tcBorders>
              <w:top w:val="single" w:sz="4" w:space="0" w:color="000000"/>
            </w:tcBorders>
            <w:vAlign w:val="center"/>
          </w:tcPr>
          <w:p w14:paraId="7BE4A116" w14:textId="77777777" w:rsidR="007373F6" w:rsidRDefault="00000000">
            <w:pPr>
              <w:spacing w:before="74"/>
              <w:ind w:left="63" w:righ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0.269***</w:t>
            </w:r>
          </w:p>
        </w:tc>
        <w:tc>
          <w:tcPr>
            <w:tcW w:w="617" w:type="dxa"/>
            <w:tcBorders>
              <w:top w:val="single" w:sz="4" w:space="0" w:color="000000"/>
            </w:tcBorders>
            <w:vAlign w:val="center"/>
          </w:tcPr>
          <w:p w14:paraId="0D04B711" w14:textId="77777777" w:rsidR="007373F6" w:rsidRDefault="00000000">
            <w:pPr>
              <w:spacing w:before="74"/>
              <w:ind w:left="63" w:righ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0.283***</w:t>
            </w:r>
          </w:p>
        </w:tc>
        <w:tc>
          <w:tcPr>
            <w:tcW w:w="617" w:type="dxa"/>
            <w:tcBorders>
              <w:top w:val="single" w:sz="4" w:space="0" w:color="000000"/>
            </w:tcBorders>
            <w:vAlign w:val="center"/>
          </w:tcPr>
          <w:p w14:paraId="08EFB436" w14:textId="77777777" w:rsidR="007373F6" w:rsidRDefault="00000000">
            <w:pPr>
              <w:spacing w:before="74"/>
              <w:ind w:left="63" w:righ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0.141***</w:t>
            </w:r>
          </w:p>
        </w:tc>
        <w:tc>
          <w:tcPr>
            <w:tcW w:w="585" w:type="dxa"/>
            <w:tcBorders>
              <w:top w:val="single" w:sz="4" w:space="0" w:color="000000"/>
            </w:tcBorders>
            <w:vAlign w:val="center"/>
          </w:tcPr>
          <w:p w14:paraId="6EE13576" w14:textId="77777777" w:rsidR="007373F6" w:rsidRDefault="00000000">
            <w:pPr>
              <w:spacing w:before="74"/>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-0.056***</w:t>
            </w:r>
          </w:p>
        </w:tc>
        <w:tc>
          <w:tcPr>
            <w:tcW w:w="585" w:type="dxa"/>
            <w:tcBorders>
              <w:top w:val="single" w:sz="4" w:space="0" w:color="000000"/>
            </w:tcBorders>
            <w:vAlign w:val="center"/>
          </w:tcPr>
          <w:p w14:paraId="50CCD266" w14:textId="77777777" w:rsidR="007373F6" w:rsidRDefault="00000000">
            <w:pPr>
              <w:spacing w:before="74"/>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0.198***</w:t>
            </w:r>
          </w:p>
        </w:tc>
        <w:tc>
          <w:tcPr>
            <w:tcW w:w="595" w:type="dxa"/>
            <w:tcBorders>
              <w:top w:val="single" w:sz="4" w:space="0" w:color="000000"/>
            </w:tcBorders>
            <w:vAlign w:val="center"/>
          </w:tcPr>
          <w:p w14:paraId="5CB0677F" w14:textId="77777777" w:rsidR="007373F6" w:rsidRDefault="00000000">
            <w:pPr>
              <w:spacing w:before="74"/>
              <w:ind w:left="3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0.276***</w:t>
            </w:r>
          </w:p>
        </w:tc>
        <w:tc>
          <w:tcPr>
            <w:tcW w:w="617" w:type="dxa"/>
            <w:tcBorders>
              <w:top w:val="single" w:sz="4" w:space="0" w:color="000000"/>
            </w:tcBorders>
            <w:vAlign w:val="center"/>
          </w:tcPr>
          <w:p w14:paraId="767F682C" w14:textId="77777777" w:rsidR="007373F6" w:rsidRDefault="00000000">
            <w:pPr>
              <w:spacing w:before="74"/>
              <w:ind w:left="63" w:righ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0.070***</w:t>
            </w:r>
          </w:p>
        </w:tc>
        <w:tc>
          <w:tcPr>
            <w:tcW w:w="512" w:type="dxa"/>
            <w:tcBorders>
              <w:top w:val="single" w:sz="4" w:space="0" w:color="000000"/>
            </w:tcBorders>
            <w:vAlign w:val="center"/>
          </w:tcPr>
          <w:p w14:paraId="10CC558D" w14:textId="77777777" w:rsidR="007373F6" w:rsidRDefault="00000000">
            <w:pPr>
              <w:spacing w:before="74"/>
              <w:ind w:lef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-0.069***</w:t>
            </w:r>
          </w:p>
        </w:tc>
        <w:tc>
          <w:tcPr>
            <w:tcW w:w="616" w:type="dxa"/>
            <w:tcBorders>
              <w:top w:val="single" w:sz="4" w:space="0" w:color="000000"/>
            </w:tcBorders>
            <w:vAlign w:val="center"/>
          </w:tcPr>
          <w:p w14:paraId="09FAB58D" w14:textId="77777777" w:rsidR="007373F6" w:rsidRDefault="00000000">
            <w:pPr>
              <w:spacing w:before="74"/>
              <w:ind w:left="63" w:right="60"/>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0.037***</w:t>
            </w:r>
          </w:p>
        </w:tc>
        <w:tc>
          <w:tcPr>
            <w:tcW w:w="616" w:type="dxa"/>
            <w:tcBorders>
              <w:top w:val="single" w:sz="4" w:space="0" w:color="000000"/>
            </w:tcBorders>
            <w:vAlign w:val="center"/>
          </w:tcPr>
          <w:p w14:paraId="7213A5F5" w14:textId="77777777" w:rsidR="007373F6" w:rsidRDefault="00000000">
            <w:pPr>
              <w:spacing w:before="74"/>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0.016***</w:t>
            </w:r>
          </w:p>
        </w:tc>
        <w:tc>
          <w:tcPr>
            <w:tcW w:w="616" w:type="dxa"/>
            <w:tcBorders>
              <w:top w:val="single" w:sz="4" w:space="0" w:color="000000"/>
            </w:tcBorders>
            <w:vAlign w:val="center"/>
          </w:tcPr>
          <w:p w14:paraId="76D289A2" w14:textId="77777777" w:rsidR="007373F6" w:rsidRDefault="00000000">
            <w:pPr>
              <w:spacing w:before="74"/>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-0.158***</w:t>
            </w:r>
          </w:p>
        </w:tc>
        <w:tc>
          <w:tcPr>
            <w:tcW w:w="616" w:type="dxa"/>
            <w:tcBorders>
              <w:top w:val="single" w:sz="4" w:space="0" w:color="000000"/>
            </w:tcBorders>
            <w:vAlign w:val="center"/>
          </w:tcPr>
          <w:p w14:paraId="05F6FFC5" w14:textId="77777777" w:rsidR="007373F6" w:rsidRDefault="00000000">
            <w:pPr>
              <w:spacing w:before="74"/>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0.001</w:t>
            </w:r>
          </w:p>
        </w:tc>
        <w:tc>
          <w:tcPr>
            <w:tcW w:w="616" w:type="dxa"/>
            <w:tcBorders>
              <w:top w:val="single" w:sz="4" w:space="0" w:color="000000"/>
            </w:tcBorders>
            <w:vAlign w:val="center"/>
          </w:tcPr>
          <w:p w14:paraId="6FBEDC0A" w14:textId="77777777" w:rsidR="007373F6" w:rsidRDefault="00000000">
            <w:pPr>
              <w:spacing w:before="74"/>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0.002</w:t>
            </w:r>
          </w:p>
        </w:tc>
      </w:tr>
      <w:tr w:rsidR="007373F6" w14:paraId="7473CB1F" w14:textId="77777777">
        <w:trPr>
          <w:trHeight w:val="304"/>
        </w:trPr>
        <w:tc>
          <w:tcPr>
            <w:tcW w:w="584" w:type="dxa"/>
            <w:vAlign w:val="center"/>
          </w:tcPr>
          <w:p w14:paraId="5E5870A9" w14:textId="77777777" w:rsidR="007373F6" w:rsidRDefault="00000000">
            <w:pPr>
              <w:spacing w:before="38"/>
              <w:ind w:left="8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2"/>
                <w:szCs w:val="12"/>
              </w:rPr>
              <w:lastRenderedPageBreak/>
              <w:t>FOREIGN HELD</w:t>
            </w:r>
          </w:p>
        </w:tc>
        <w:tc>
          <w:tcPr>
            <w:tcW w:w="617" w:type="dxa"/>
            <w:vAlign w:val="center"/>
          </w:tcPr>
          <w:p w14:paraId="01E6DF8F" w14:textId="77777777" w:rsidR="007373F6" w:rsidRDefault="00000000">
            <w:pPr>
              <w:spacing w:before="38"/>
              <w:ind w:left="63" w:righ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0.298***</w:t>
            </w:r>
          </w:p>
        </w:tc>
        <w:tc>
          <w:tcPr>
            <w:tcW w:w="617" w:type="dxa"/>
            <w:vAlign w:val="center"/>
          </w:tcPr>
          <w:p w14:paraId="111B3476" w14:textId="77777777" w:rsidR="007373F6" w:rsidRDefault="007373F6">
            <w:pPr>
              <w:jc w:val="both"/>
              <w:rPr>
                <w:rFonts w:ascii="Times New Roman" w:eastAsia="Times New Roman" w:hAnsi="Times New Roman" w:cs="Times New Roman"/>
                <w:color w:val="000000"/>
                <w:sz w:val="14"/>
                <w:szCs w:val="14"/>
              </w:rPr>
            </w:pPr>
          </w:p>
        </w:tc>
        <w:tc>
          <w:tcPr>
            <w:tcW w:w="617" w:type="dxa"/>
            <w:vAlign w:val="center"/>
          </w:tcPr>
          <w:p w14:paraId="5BB85F98" w14:textId="77777777" w:rsidR="007373F6" w:rsidRDefault="00000000">
            <w:pPr>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0.201***</w:t>
            </w:r>
          </w:p>
        </w:tc>
        <w:tc>
          <w:tcPr>
            <w:tcW w:w="617" w:type="dxa"/>
            <w:vAlign w:val="center"/>
          </w:tcPr>
          <w:p w14:paraId="4B383B0F" w14:textId="77777777" w:rsidR="007373F6" w:rsidRDefault="00000000">
            <w:pPr>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0.242***</w:t>
            </w:r>
          </w:p>
        </w:tc>
        <w:tc>
          <w:tcPr>
            <w:tcW w:w="585" w:type="dxa"/>
            <w:vAlign w:val="center"/>
          </w:tcPr>
          <w:p w14:paraId="473E9D6B" w14:textId="77777777" w:rsidR="007373F6" w:rsidRDefault="00000000">
            <w:pPr>
              <w:spacing w:before="38"/>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0.036***</w:t>
            </w:r>
          </w:p>
        </w:tc>
        <w:tc>
          <w:tcPr>
            <w:tcW w:w="585" w:type="dxa"/>
            <w:vAlign w:val="center"/>
          </w:tcPr>
          <w:p w14:paraId="4829EC16" w14:textId="77777777" w:rsidR="007373F6" w:rsidRDefault="00000000">
            <w:pPr>
              <w:spacing w:before="38"/>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0.346***</w:t>
            </w:r>
          </w:p>
        </w:tc>
        <w:tc>
          <w:tcPr>
            <w:tcW w:w="595" w:type="dxa"/>
            <w:vAlign w:val="center"/>
          </w:tcPr>
          <w:p w14:paraId="0B52D625" w14:textId="77777777" w:rsidR="007373F6" w:rsidRDefault="00000000">
            <w:pPr>
              <w:spacing w:before="38"/>
              <w:ind w:left="3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0.630***</w:t>
            </w:r>
          </w:p>
        </w:tc>
        <w:tc>
          <w:tcPr>
            <w:tcW w:w="617" w:type="dxa"/>
            <w:vAlign w:val="center"/>
          </w:tcPr>
          <w:p w14:paraId="03EE0E3B"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0.264***</w:t>
            </w:r>
          </w:p>
        </w:tc>
        <w:tc>
          <w:tcPr>
            <w:tcW w:w="512" w:type="dxa"/>
            <w:vAlign w:val="center"/>
          </w:tcPr>
          <w:p w14:paraId="5EA4972B" w14:textId="77777777" w:rsidR="007373F6" w:rsidRDefault="00000000">
            <w:pPr>
              <w:spacing w:before="38"/>
              <w:ind w:lef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-0.269***</w:t>
            </w:r>
          </w:p>
        </w:tc>
        <w:tc>
          <w:tcPr>
            <w:tcW w:w="616" w:type="dxa"/>
            <w:vAlign w:val="center"/>
          </w:tcPr>
          <w:p w14:paraId="6B482D20" w14:textId="77777777" w:rsidR="007373F6" w:rsidRDefault="00000000">
            <w:pPr>
              <w:spacing w:before="38"/>
              <w:ind w:left="63" w:right="60"/>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-0.141***</w:t>
            </w:r>
          </w:p>
        </w:tc>
        <w:tc>
          <w:tcPr>
            <w:tcW w:w="616" w:type="dxa"/>
            <w:vAlign w:val="center"/>
          </w:tcPr>
          <w:p w14:paraId="4AF82307"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0.129***</w:t>
            </w:r>
          </w:p>
        </w:tc>
        <w:tc>
          <w:tcPr>
            <w:tcW w:w="616" w:type="dxa"/>
            <w:vAlign w:val="center"/>
          </w:tcPr>
          <w:p w14:paraId="2C64ADDE"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-0.203***</w:t>
            </w:r>
          </w:p>
        </w:tc>
        <w:tc>
          <w:tcPr>
            <w:tcW w:w="616" w:type="dxa"/>
            <w:vAlign w:val="center"/>
          </w:tcPr>
          <w:p w14:paraId="2D6EEDD3"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0.114***</w:t>
            </w:r>
          </w:p>
        </w:tc>
        <w:tc>
          <w:tcPr>
            <w:tcW w:w="616" w:type="dxa"/>
            <w:vAlign w:val="center"/>
          </w:tcPr>
          <w:p w14:paraId="13A678C5"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0.138***</w:t>
            </w:r>
          </w:p>
        </w:tc>
      </w:tr>
      <w:tr w:rsidR="007373F6" w14:paraId="791689E0" w14:textId="77777777">
        <w:trPr>
          <w:trHeight w:val="304"/>
        </w:trPr>
        <w:tc>
          <w:tcPr>
            <w:tcW w:w="584" w:type="dxa"/>
            <w:vAlign w:val="center"/>
          </w:tcPr>
          <w:p w14:paraId="19444EE3" w14:textId="77777777" w:rsidR="007373F6" w:rsidRDefault="00000000">
            <w:pPr>
              <w:spacing w:before="38"/>
              <w:ind w:left="8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GW</w:t>
            </w:r>
          </w:p>
        </w:tc>
        <w:tc>
          <w:tcPr>
            <w:tcW w:w="617" w:type="dxa"/>
            <w:vAlign w:val="center"/>
          </w:tcPr>
          <w:p w14:paraId="6C932038" w14:textId="77777777" w:rsidR="007373F6" w:rsidRDefault="00000000">
            <w:pPr>
              <w:spacing w:before="38"/>
              <w:ind w:left="63" w:right="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0.325***</w:t>
            </w:r>
          </w:p>
        </w:tc>
        <w:tc>
          <w:tcPr>
            <w:tcW w:w="617" w:type="dxa"/>
            <w:vAlign w:val="center"/>
          </w:tcPr>
          <w:p w14:paraId="634808AA" w14:textId="77777777" w:rsidR="007373F6" w:rsidRDefault="00000000">
            <w:pPr>
              <w:spacing w:before="38"/>
              <w:ind w:left="63" w:righ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0.129***</w:t>
            </w:r>
          </w:p>
        </w:tc>
        <w:tc>
          <w:tcPr>
            <w:tcW w:w="617" w:type="dxa"/>
            <w:vAlign w:val="center"/>
          </w:tcPr>
          <w:p w14:paraId="5D815991" w14:textId="77777777" w:rsidR="007373F6" w:rsidRDefault="007373F6">
            <w:pPr>
              <w:spacing w:before="38"/>
              <w:ind w:left="63" w:right="2"/>
              <w:jc w:val="both"/>
              <w:rPr>
                <w:rFonts w:ascii="Times New Roman" w:eastAsia="Times New Roman" w:hAnsi="Times New Roman" w:cs="Times New Roman"/>
                <w:color w:val="000000"/>
                <w:sz w:val="14"/>
                <w:szCs w:val="14"/>
              </w:rPr>
            </w:pPr>
          </w:p>
        </w:tc>
        <w:tc>
          <w:tcPr>
            <w:tcW w:w="617" w:type="dxa"/>
            <w:vAlign w:val="center"/>
          </w:tcPr>
          <w:p w14:paraId="4655FA86" w14:textId="77777777" w:rsidR="007373F6" w:rsidRDefault="00000000">
            <w:pPr>
              <w:spacing w:before="38"/>
              <w:ind w:left="63" w:righ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-0.052***</w:t>
            </w:r>
          </w:p>
        </w:tc>
        <w:tc>
          <w:tcPr>
            <w:tcW w:w="585" w:type="dxa"/>
            <w:vAlign w:val="center"/>
          </w:tcPr>
          <w:p w14:paraId="6B78C144" w14:textId="77777777" w:rsidR="007373F6" w:rsidRDefault="00000000">
            <w:pPr>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-0.153***</w:t>
            </w:r>
          </w:p>
        </w:tc>
        <w:tc>
          <w:tcPr>
            <w:tcW w:w="585" w:type="dxa"/>
            <w:vAlign w:val="center"/>
          </w:tcPr>
          <w:p w14:paraId="129B3EB3" w14:textId="77777777" w:rsidR="007373F6" w:rsidRDefault="00000000">
            <w:pPr>
              <w:spacing w:before="38"/>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0.039***</w:t>
            </w:r>
          </w:p>
        </w:tc>
        <w:tc>
          <w:tcPr>
            <w:tcW w:w="595" w:type="dxa"/>
            <w:vAlign w:val="center"/>
          </w:tcPr>
          <w:p w14:paraId="68C10934" w14:textId="77777777" w:rsidR="007373F6" w:rsidRDefault="00000000">
            <w:pPr>
              <w:spacing w:before="38"/>
              <w:ind w:left="9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0.137***</w:t>
            </w:r>
          </w:p>
        </w:tc>
        <w:tc>
          <w:tcPr>
            <w:tcW w:w="617" w:type="dxa"/>
            <w:vAlign w:val="center"/>
          </w:tcPr>
          <w:p w14:paraId="508B083A" w14:textId="77777777" w:rsidR="007373F6" w:rsidRDefault="00000000">
            <w:pPr>
              <w:spacing w:before="38"/>
              <w:ind w:left="63" w:righ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0.080***</w:t>
            </w:r>
          </w:p>
        </w:tc>
        <w:tc>
          <w:tcPr>
            <w:tcW w:w="512" w:type="dxa"/>
            <w:vAlign w:val="center"/>
          </w:tcPr>
          <w:p w14:paraId="00C767F9" w14:textId="77777777" w:rsidR="007373F6" w:rsidRDefault="00000000">
            <w:pPr>
              <w:spacing w:before="38"/>
              <w:ind w:lef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-0.004</w:t>
            </w:r>
          </w:p>
        </w:tc>
        <w:tc>
          <w:tcPr>
            <w:tcW w:w="616" w:type="dxa"/>
            <w:vAlign w:val="center"/>
          </w:tcPr>
          <w:p w14:paraId="7CEC7932"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0.089***</w:t>
            </w:r>
          </w:p>
        </w:tc>
        <w:tc>
          <w:tcPr>
            <w:tcW w:w="616" w:type="dxa"/>
            <w:vAlign w:val="center"/>
          </w:tcPr>
          <w:p w14:paraId="16F266C8" w14:textId="77777777" w:rsidR="007373F6" w:rsidRDefault="00000000">
            <w:pPr>
              <w:spacing w:before="38"/>
              <w:ind w:left="63" w:right="5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-0.170***</w:t>
            </w:r>
          </w:p>
        </w:tc>
        <w:tc>
          <w:tcPr>
            <w:tcW w:w="616" w:type="dxa"/>
            <w:vAlign w:val="center"/>
          </w:tcPr>
          <w:p w14:paraId="6C5DD029" w14:textId="77777777" w:rsidR="007373F6" w:rsidRDefault="00000000">
            <w:pPr>
              <w:spacing w:before="38"/>
              <w:ind w:left="63" w:right="5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-0.257***</w:t>
            </w:r>
          </w:p>
        </w:tc>
        <w:tc>
          <w:tcPr>
            <w:tcW w:w="616" w:type="dxa"/>
            <w:vAlign w:val="center"/>
          </w:tcPr>
          <w:p w14:paraId="66079600" w14:textId="77777777" w:rsidR="007373F6" w:rsidRDefault="00000000">
            <w:pPr>
              <w:spacing w:before="38"/>
              <w:ind w:left="63" w:right="5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0.035***</w:t>
            </w:r>
          </w:p>
        </w:tc>
        <w:tc>
          <w:tcPr>
            <w:tcW w:w="616" w:type="dxa"/>
            <w:vAlign w:val="center"/>
          </w:tcPr>
          <w:p w14:paraId="4C12676C" w14:textId="77777777" w:rsidR="007373F6" w:rsidRDefault="00000000">
            <w:pPr>
              <w:spacing w:before="38"/>
              <w:ind w:left="63" w:right="5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0.037***</w:t>
            </w:r>
          </w:p>
        </w:tc>
      </w:tr>
      <w:tr w:rsidR="007373F6" w14:paraId="0CE377DE" w14:textId="77777777">
        <w:trPr>
          <w:trHeight w:val="304"/>
        </w:trPr>
        <w:tc>
          <w:tcPr>
            <w:tcW w:w="584" w:type="dxa"/>
            <w:vAlign w:val="center"/>
          </w:tcPr>
          <w:p w14:paraId="70B448F0" w14:textId="77777777" w:rsidR="007373F6" w:rsidRDefault="00000000">
            <w:pPr>
              <w:spacing w:before="38"/>
              <w:ind w:left="8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RD</w:t>
            </w:r>
          </w:p>
        </w:tc>
        <w:tc>
          <w:tcPr>
            <w:tcW w:w="617" w:type="dxa"/>
            <w:vAlign w:val="center"/>
          </w:tcPr>
          <w:p w14:paraId="4F5F150D" w14:textId="77777777" w:rsidR="007373F6" w:rsidRDefault="00000000">
            <w:pPr>
              <w:spacing w:before="38"/>
              <w:ind w:left="63" w:righ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0.024***</w:t>
            </w:r>
          </w:p>
        </w:tc>
        <w:tc>
          <w:tcPr>
            <w:tcW w:w="617" w:type="dxa"/>
            <w:vAlign w:val="center"/>
          </w:tcPr>
          <w:p w14:paraId="0DB762ED" w14:textId="77777777" w:rsidR="007373F6" w:rsidRDefault="00000000">
            <w:pPr>
              <w:spacing w:before="38"/>
              <w:ind w:left="63" w:righ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0.001</w:t>
            </w:r>
          </w:p>
        </w:tc>
        <w:tc>
          <w:tcPr>
            <w:tcW w:w="617" w:type="dxa"/>
            <w:vAlign w:val="center"/>
          </w:tcPr>
          <w:p w14:paraId="4F5AD159" w14:textId="77777777" w:rsidR="007373F6" w:rsidRDefault="00000000">
            <w:pPr>
              <w:spacing w:before="38"/>
              <w:ind w:left="63" w:righ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-0.005</w:t>
            </w:r>
          </w:p>
        </w:tc>
        <w:tc>
          <w:tcPr>
            <w:tcW w:w="617" w:type="dxa"/>
            <w:vAlign w:val="center"/>
          </w:tcPr>
          <w:p w14:paraId="6A1E2676" w14:textId="77777777" w:rsidR="007373F6" w:rsidRDefault="007373F6">
            <w:pPr>
              <w:spacing w:before="38"/>
              <w:ind w:left="63" w:right="2"/>
              <w:jc w:val="both"/>
              <w:rPr>
                <w:rFonts w:ascii="Times New Roman" w:eastAsia="Times New Roman" w:hAnsi="Times New Roman" w:cs="Times New Roman"/>
                <w:color w:val="000000"/>
                <w:sz w:val="14"/>
                <w:szCs w:val="14"/>
              </w:rPr>
            </w:pPr>
          </w:p>
        </w:tc>
        <w:tc>
          <w:tcPr>
            <w:tcW w:w="585" w:type="dxa"/>
            <w:vAlign w:val="center"/>
          </w:tcPr>
          <w:p w14:paraId="21B6629F" w14:textId="77777777" w:rsidR="007373F6" w:rsidRDefault="00000000">
            <w:pPr>
              <w:spacing w:before="38"/>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0.181***</w:t>
            </w:r>
          </w:p>
        </w:tc>
        <w:tc>
          <w:tcPr>
            <w:tcW w:w="585" w:type="dxa"/>
            <w:vAlign w:val="center"/>
          </w:tcPr>
          <w:p w14:paraId="6CF23ADC" w14:textId="77777777" w:rsidR="007373F6" w:rsidRDefault="00000000">
            <w:pPr>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0.556***</w:t>
            </w:r>
          </w:p>
        </w:tc>
        <w:tc>
          <w:tcPr>
            <w:tcW w:w="595" w:type="dxa"/>
            <w:vAlign w:val="center"/>
          </w:tcPr>
          <w:p w14:paraId="23C9069B" w14:textId="77777777" w:rsidR="007373F6" w:rsidRDefault="00000000">
            <w:pPr>
              <w:spacing w:before="38"/>
              <w:ind w:left="9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0.206***</w:t>
            </w:r>
          </w:p>
        </w:tc>
        <w:tc>
          <w:tcPr>
            <w:tcW w:w="617" w:type="dxa"/>
            <w:vAlign w:val="center"/>
          </w:tcPr>
          <w:p w14:paraId="720F255F" w14:textId="77777777" w:rsidR="007373F6" w:rsidRDefault="00000000">
            <w:pPr>
              <w:spacing w:before="38"/>
              <w:ind w:left="63" w:righ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0.039***</w:t>
            </w:r>
          </w:p>
        </w:tc>
        <w:tc>
          <w:tcPr>
            <w:tcW w:w="512" w:type="dxa"/>
            <w:vAlign w:val="center"/>
          </w:tcPr>
          <w:p w14:paraId="4A19AF23" w14:textId="77777777" w:rsidR="007373F6" w:rsidRDefault="00000000">
            <w:pPr>
              <w:spacing w:before="38"/>
              <w:ind w:lef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-0.246***</w:t>
            </w:r>
          </w:p>
        </w:tc>
        <w:tc>
          <w:tcPr>
            <w:tcW w:w="616" w:type="dxa"/>
            <w:vAlign w:val="center"/>
          </w:tcPr>
          <w:p w14:paraId="5660B4D8" w14:textId="77777777" w:rsidR="007373F6" w:rsidRDefault="00000000">
            <w:pPr>
              <w:spacing w:before="38"/>
              <w:ind w:left="63" w:right="60"/>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-0.160***</w:t>
            </w:r>
          </w:p>
        </w:tc>
        <w:tc>
          <w:tcPr>
            <w:tcW w:w="616" w:type="dxa"/>
            <w:vAlign w:val="center"/>
          </w:tcPr>
          <w:p w14:paraId="5706A838" w14:textId="77777777" w:rsidR="007373F6" w:rsidRDefault="00000000">
            <w:pPr>
              <w:spacing w:before="38"/>
              <w:ind w:left="63" w:right="60"/>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0.286***</w:t>
            </w:r>
          </w:p>
        </w:tc>
        <w:tc>
          <w:tcPr>
            <w:tcW w:w="616" w:type="dxa"/>
            <w:vAlign w:val="center"/>
          </w:tcPr>
          <w:p w14:paraId="35705FCF" w14:textId="77777777" w:rsidR="007373F6" w:rsidRDefault="00000000">
            <w:pPr>
              <w:spacing w:before="38"/>
              <w:ind w:left="63" w:right="60"/>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0.036***</w:t>
            </w:r>
          </w:p>
        </w:tc>
        <w:tc>
          <w:tcPr>
            <w:tcW w:w="616" w:type="dxa"/>
            <w:vAlign w:val="center"/>
          </w:tcPr>
          <w:p w14:paraId="33185E85" w14:textId="77777777" w:rsidR="007373F6" w:rsidRDefault="00000000">
            <w:pPr>
              <w:spacing w:before="38"/>
              <w:ind w:left="63" w:right="60"/>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-0.019***</w:t>
            </w:r>
          </w:p>
        </w:tc>
        <w:tc>
          <w:tcPr>
            <w:tcW w:w="616" w:type="dxa"/>
            <w:vAlign w:val="center"/>
          </w:tcPr>
          <w:p w14:paraId="48EED162" w14:textId="77777777" w:rsidR="007373F6" w:rsidRDefault="00000000">
            <w:pPr>
              <w:spacing w:before="38"/>
              <w:ind w:left="63" w:right="60"/>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-0.019***</w:t>
            </w:r>
          </w:p>
        </w:tc>
      </w:tr>
      <w:tr w:rsidR="007373F6" w14:paraId="3DADBCE1" w14:textId="77777777">
        <w:trPr>
          <w:trHeight w:val="304"/>
        </w:trPr>
        <w:tc>
          <w:tcPr>
            <w:tcW w:w="584" w:type="dxa"/>
            <w:vAlign w:val="center"/>
          </w:tcPr>
          <w:p w14:paraId="0D7A3C45" w14:textId="77777777" w:rsidR="007373F6" w:rsidRDefault="00000000">
            <w:pPr>
              <w:spacing w:before="38"/>
              <w:ind w:left="8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CROSS</w:t>
            </w:r>
          </w:p>
        </w:tc>
        <w:tc>
          <w:tcPr>
            <w:tcW w:w="617" w:type="dxa"/>
            <w:vAlign w:val="center"/>
          </w:tcPr>
          <w:p w14:paraId="2566D485"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-0.067***</w:t>
            </w:r>
          </w:p>
        </w:tc>
        <w:tc>
          <w:tcPr>
            <w:tcW w:w="617" w:type="dxa"/>
            <w:vAlign w:val="center"/>
          </w:tcPr>
          <w:p w14:paraId="74F3C7A8"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-0.052***</w:t>
            </w:r>
          </w:p>
        </w:tc>
        <w:tc>
          <w:tcPr>
            <w:tcW w:w="617" w:type="dxa"/>
            <w:vAlign w:val="center"/>
          </w:tcPr>
          <w:p w14:paraId="473F73F6"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-0.130***</w:t>
            </w:r>
          </w:p>
        </w:tc>
        <w:tc>
          <w:tcPr>
            <w:tcW w:w="617" w:type="dxa"/>
            <w:vAlign w:val="center"/>
          </w:tcPr>
          <w:p w14:paraId="68508EFD"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-0.017***</w:t>
            </w:r>
          </w:p>
        </w:tc>
        <w:tc>
          <w:tcPr>
            <w:tcW w:w="585" w:type="dxa"/>
            <w:vAlign w:val="center"/>
          </w:tcPr>
          <w:p w14:paraId="758A6BF4" w14:textId="77777777" w:rsidR="007373F6" w:rsidRDefault="007373F6">
            <w:pPr>
              <w:spacing w:before="38"/>
              <w:ind w:right="86"/>
              <w:jc w:val="both"/>
              <w:rPr>
                <w:rFonts w:ascii="Times New Roman" w:eastAsia="Times New Roman" w:hAnsi="Times New Roman" w:cs="Times New Roman"/>
                <w:color w:val="000000"/>
                <w:sz w:val="14"/>
                <w:szCs w:val="14"/>
              </w:rPr>
            </w:pPr>
          </w:p>
        </w:tc>
        <w:tc>
          <w:tcPr>
            <w:tcW w:w="585" w:type="dxa"/>
            <w:vAlign w:val="center"/>
          </w:tcPr>
          <w:p w14:paraId="5A5C6CFF" w14:textId="77777777" w:rsidR="007373F6" w:rsidRDefault="00000000">
            <w:pPr>
              <w:spacing w:before="38"/>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0.134***</w:t>
            </w:r>
          </w:p>
        </w:tc>
        <w:tc>
          <w:tcPr>
            <w:tcW w:w="595" w:type="dxa"/>
            <w:vAlign w:val="center"/>
          </w:tcPr>
          <w:p w14:paraId="26CE4822" w14:textId="77777777" w:rsidR="007373F6" w:rsidRDefault="00000000">
            <w:pPr>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0.338***</w:t>
            </w:r>
          </w:p>
        </w:tc>
        <w:tc>
          <w:tcPr>
            <w:tcW w:w="617" w:type="dxa"/>
            <w:vAlign w:val="center"/>
          </w:tcPr>
          <w:p w14:paraId="52B1FD7E" w14:textId="77777777" w:rsidR="007373F6" w:rsidRDefault="00000000">
            <w:pPr>
              <w:spacing w:before="38"/>
              <w:ind w:left="63" w:righ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-0.098***</w:t>
            </w:r>
          </w:p>
        </w:tc>
        <w:tc>
          <w:tcPr>
            <w:tcW w:w="512" w:type="dxa"/>
            <w:vAlign w:val="center"/>
          </w:tcPr>
          <w:p w14:paraId="1156AD02" w14:textId="77777777" w:rsidR="007373F6" w:rsidRDefault="00000000">
            <w:pPr>
              <w:spacing w:before="38"/>
              <w:ind w:lef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-0.347***</w:t>
            </w:r>
          </w:p>
        </w:tc>
        <w:tc>
          <w:tcPr>
            <w:tcW w:w="616" w:type="dxa"/>
            <w:vAlign w:val="center"/>
          </w:tcPr>
          <w:p w14:paraId="4537DE39"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-0.008</w:t>
            </w:r>
          </w:p>
        </w:tc>
        <w:tc>
          <w:tcPr>
            <w:tcW w:w="616" w:type="dxa"/>
            <w:vAlign w:val="center"/>
          </w:tcPr>
          <w:p w14:paraId="0B5508E7" w14:textId="77777777" w:rsidR="007373F6" w:rsidRDefault="00000000">
            <w:pPr>
              <w:spacing w:before="38"/>
              <w:ind w:left="63" w:right="60"/>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0.562***</w:t>
            </w:r>
          </w:p>
        </w:tc>
        <w:tc>
          <w:tcPr>
            <w:tcW w:w="616" w:type="dxa"/>
            <w:vAlign w:val="center"/>
          </w:tcPr>
          <w:p w14:paraId="58433160" w14:textId="77777777" w:rsidR="007373F6" w:rsidRDefault="00000000">
            <w:pPr>
              <w:spacing w:before="38"/>
              <w:ind w:left="63" w:right="60"/>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0.373***</w:t>
            </w:r>
          </w:p>
        </w:tc>
        <w:tc>
          <w:tcPr>
            <w:tcW w:w="616" w:type="dxa"/>
            <w:vAlign w:val="center"/>
          </w:tcPr>
          <w:p w14:paraId="24CA1734" w14:textId="77777777" w:rsidR="007373F6" w:rsidRDefault="00000000">
            <w:pPr>
              <w:spacing w:before="38"/>
              <w:ind w:left="63" w:right="60"/>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0.047***</w:t>
            </w:r>
          </w:p>
        </w:tc>
        <w:tc>
          <w:tcPr>
            <w:tcW w:w="616" w:type="dxa"/>
            <w:vAlign w:val="center"/>
          </w:tcPr>
          <w:p w14:paraId="77E8EBDF" w14:textId="77777777" w:rsidR="007373F6" w:rsidRDefault="00000000">
            <w:pPr>
              <w:spacing w:before="38"/>
              <w:ind w:left="63" w:right="60"/>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0.022***</w:t>
            </w:r>
          </w:p>
        </w:tc>
      </w:tr>
      <w:tr w:rsidR="007373F6" w14:paraId="1FF0A770" w14:textId="77777777">
        <w:trPr>
          <w:trHeight w:val="304"/>
        </w:trPr>
        <w:tc>
          <w:tcPr>
            <w:tcW w:w="584" w:type="dxa"/>
            <w:vAlign w:val="center"/>
          </w:tcPr>
          <w:p w14:paraId="4D33C8BF" w14:textId="77777777" w:rsidR="007373F6" w:rsidRDefault="00000000">
            <w:pPr>
              <w:spacing w:before="38"/>
              <w:ind w:left="8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2"/>
                <w:szCs w:val="12"/>
              </w:rPr>
              <w:t>FOREIGN SALES</w:t>
            </w:r>
          </w:p>
        </w:tc>
        <w:tc>
          <w:tcPr>
            <w:tcW w:w="617" w:type="dxa"/>
            <w:vAlign w:val="center"/>
          </w:tcPr>
          <w:p w14:paraId="56A92C64"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0.227***</w:t>
            </w:r>
          </w:p>
        </w:tc>
        <w:tc>
          <w:tcPr>
            <w:tcW w:w="617" w:type="dxa"/>
            <w:vAlign w:val="center"/>
          </w:tcPr>
          <w:p w14:paraId="3318CC79"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0.356***</w:t>
            </w:r>
          </w:p>
        </w:tc>
        <w:tc>
          <w:tcPr>
            <w:tcW w:w="617" w:type="dxa"/>
            <w:vAlign w:val="center"/>
          </w:tcPr>
          <w:p w14:paraId="5969171F"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0.034***</w:t>
            </w:r>
          </w:p>
        </w:tc>
        <w:tc>
          <w:tcPr>
            <w:tcW w:w="617" w:type="dxa"/>
            <w:vAlign w:val="center"/>
          </w:tcPr>
          <w:p w14:paraId="2FA8DFF2"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0.006</w:t>
            </w:r>
          </w:p>
        </w:tc>
        <w:tc>
          <w:tcPr>
            <w:tcW w:w="585" w:type="dxa"/>
            <w:vAlign w:val="center"/>
          </w:tcPr>
          <w:p w14:paraId="7CA41F07" w14:textId="77777777" w:rsidR="007373F6" w:rsidRDefault="00000000">
            <w:pPr>
              <w:spacing w:before="38"/>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0.047***</w:t>
            </w:r>
          </w:p>
        </w:tc>
        <w:tc>
          <w:tcPr>
            <w:tcW w:w="585" w:type="dxa"/>
            <w:vAlign w:val="center"/>
          </w:tcPr>
          <w:p w14:paraId="3F4740C3" w14:textId="77777777" w:rsidR="007373F6" w:rsidRDefault="007373F6">
            <w:pPr>
              <w:spacing w:before="38"/>
              <w:ind w:right="86"/>
              <w:jc w:val="both"/>
              <w:rPr>
                <w:rFonts w:ascii="Times New Roman" w:eastAsia="Times New Roman" w:hAnsi="Times New Roman" w:cs="Times New Roman"/>
                <w:color w:val="000000"/>
                <w:sz w:val="14"/>
                <w:szCs w:val="14"/>
              </w:rPr>
            </w:pPr>
          </w:p>
        </w:tc>
        <w:tc>
          <w:tcPr>
            <w:tcW w:w="595" w:type="dxa"/>
            <w:vAlign w:val="center"/>
          </w:tcPr>
          <w:p w14:paraId="2B8C3E00" w14:textId="77777777" w:rsidR="007373F6" w:rsidRDefault="00000000">
            <w:pPr>
              <w:spacing w:before="38"/>
              <w:ind w:left="9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0.297***</w:t>
            </w:r>
          </w:p>
        </w:tc>
        <w:tc>
          <w:tcPr>
            <w:tcW w:w="617" w:type="dxa"/>
            <w:vAlign w:val="center"/>
          </w:tcPr>
          <w:p w14:paraId="3E335294" w14:textId="77777777" w:rsidR="007373F6" w:rsidRDefault="00000000">
            <w:pPr>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0.037***</w:t>
            </w:r>
          </w:p>
        </w:tc>
        <w:tc>
          <w:tcPr>
            <w:tcW w:w="512" w:type="dxa"/>
            <w:vAlign w:val="center"/>
          </w:tcPr>
          <w:p w14:paraId="51F3C3AB" w14:textId="77777777" w:rsidR="007373F6" w:rsidRDefault="00000000">
            <w:pPr>
              <w:spacing w:before="38"/>
              <w:ind w:lef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-0.224***</w:t>
            </w:r>
          </w:p>
        </w:tc>
        <w:tc>
          <w:tcPr>
            <w:tcW w:w="616" w:type="dxa"/>
            <w:vAlign w:val="center"/>
          </w:tcPr>
          <w:p w14:paraId="0FA6510A"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-0.022***</w:t>
            </w:r>
          </w:p>
        </w:tc>
        <w:tc>
          <w:tcPr>
            <w:tcW w:w="616" w:type="dxa"/>
            <w:vAlign w:val="center"/>
          </w:tcPr>
          <w:p w14:paraId="7A7F9EE8"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0.277***</w:t>
            </w:r>
          </w:p>
        </w:tc>
        <w:tc>
          <w:tcPr>
            <w:tcW w:w="616" w:type="dxa"/>
            <w:vAlign w:val="center"/>
          </w:tcPr>
          <w:p w14:paraId="0D0025EB"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0.028***</w:t>
            </w:r>
          </w:p>
        </w:tc>
        <w:tc>
          <w:tcPr>
            <w:tcW w:w="616" w:type="dxa"/>
            <w:vAlign w:val="center"/>
          </w:tcPr>
          <w:p w14:paraId="59BB50C2"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0.017***</w:t>
            </w:r>
          </w:p>
        </w:tc>
        <w:tc>
          <w:tcPr>
            <w:tcW w:w="616" w:type="dxa"/>
            <w:vAlign w:val="center"/>
          </w:tcPr>
          <w:p w14:paraId="0215F8A6"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0.027***</w:t>
            </w:r>
          </w:p>
        </w:tc>
      </w:tr>
      <w:tr w:rsidR="007373F6" w14:paraId="28D01B58" w14:textId="77777777">
        <w:trPr>
          <w:trHeight w:val="304"/>
        </w:trPr>
        <w:tc>
          <w:tcPr>
            <w:tcW w:w="584" w:type="dxa"/>
            <w:vAlign w:val="center"/>
          </w:tcPr>
          <w:p w14:paraId="6E5430D4" w14:textId="77777777" w:rsidR="007373F6" w:rsidRDefault="00000000">
            <w:pPr>
              <w:spacing w:before="38"/>
              <w:ind w:left="8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SIZE</w:t>
            </w:r>
          </w:p>
        </w:tc>
        <w:tc>
          <w:tcPr>
            <w:tcW w:w="617" w:type="dxa"/>
            <w:vAlign w:val="center"/>
          </w:tcPr>
          <w:p w14:paraId="2EE22E40"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0.325***</w:t>
            </w:r>
          </w:p>
        </w:tc>
        <w:tc>
          <w:tcPr>
            <w:tcW w:w="617" w:type="dxa"/>
            <w:vAlign w:val="center"/>
          </w:tcPr>
          <w:p w14:paraId="36152332"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0.567***</w:t>
            </w:r>
          </w:p>
        </w:tc>
        <w:tc>
          <w:tcPr>
            <w:tcW w:w="617" w:type="dxa"/>
            <w:vAlign w:val="center"/>
          </w:tcPr>
          <w:p w14:paraId="63F3F5C0"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0.033***</w:t>
            </w:r>
          </w:p>
        </w:tc>
        <w:tc>
          <w:tcPr>
            <w:tcW w:w="617" w:type="dxa"/>
            <w:vAlign w:val="center"/>
          </w:tcPr>
          <w:p w14:paraId="2127B69F"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-0.023***</w:t>
            </w:r>
          </w:p>
        </w:tc>
        <w:tc>
          <w:tcPr>
            <w:tcW w:w="585" w:type="dxa"/>
            <w:vAlign w:val="center"/>
          </w:tcPr>
          <w:p w14:paraId="0B95AC82" w14:textId="77777777" w:rsidR="007373F6" w:rsidRDefault="00000000">
            <w:pPr>
              <w:spacing w:before="38"/>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0.220***</w:t>
            </w:r>
          </w:p>
        </w:tc>
        <w:tc>
          <w:tcPr>
            <w:tcW w:w="585" w:type="dxa"/>
            <w:vAlign w:val="center"/>
          </w:tcPr>
          <w:p w14:paraId="0807BA4B" w14:textId="77777777" w:rsidR="007373F6" w:rsidRDefault="00000000">
            <w:pPr>
              <w:spacing w:before="38"/>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0.295***</w:t>
            </w:r>
          </w:p>
        </w:tc>
        <w:tc>
          <w:tcPr>
            <w:tcW w:w="595" w:type="dxa"/>
            <w:vAlign w:val="center"/>
          </w:tcPr>
          <w:p w14:paraId="2B82722A" w14:textId="77777777" w:rsidR="007373F6" w:rsidRDefault="007373F6">
            <w:pPr>
              <w:spacing w:before="38"/>
              <w:ind w:left="99"/>
              <w:jc w:val="both"/>
              <w:rPr>
                <w:rFonts w:ascii="Times New Roman" w:eastAsia="Times New Roman" w:hAnsi="Times New Roman" w:cs="Times New Roman"/>
                <w:color w:val="000000"/>
                <w:sz w:val="14"/>
                <w:szCs w:val="14"/>
              </w:rPr>
            </w:pPr>
          </w:p>
        </w:tc>
        <w:tc>
          <w:tcPr>
            <w:tcW w:w="617" w:type="dxa"/>
            <w:vAlign w:val="center"/>
          </w:tcPr>
          <w:p w14:paraId="46628176" w14:textId="77777777" w:rsidR="007373F6" w:rsidRDefault="00000000">
            <w:pPr>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0.004</w:t>
            </w:r>
          </w:p>
        </w:tc>
        <w:tc>
          <w:tcPr>
            <w:tcW w:w="512" w:type="dxa"/>
            <w:vAlign w:val="center"/>
          </w:tcPr>
          <w:p w14:paraId="4C0D5B4A" w14:textId="77777777" w:rsidR="007373F6" w:rsidRDefault="00000000">
            <w:pPr>
              <w:spacing w:before="38"/>
              <w:ind w:lef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-0.336***</w:t>
            </w:r>
          </w:p>
        </w:tc>
        <w:tc>
          <w:tcPr>
            <w:tcW w:w="616" w:type="dxa"/>
            <w:vAlign w:val="center"/>
          </w:tcPr>
          <w:p w14:paraId="37741467"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0.095***</w:t>
            </w:r>
          </w:p>
        </w:tc>
        <w:tc>
          <w:tcPr>
            <w:tcW w:w="616" w:type="dxa"/>
            <w:vAlign w:val="center"/>
          </w:tcPr>
          <w:p w14:paraId="7B3F8A2F"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0.411***</w:t>
            </w:r>
          </w:p>
        </w:tc>
        <w:tc>
          <w:tcPr>
            <w:tcW w:w="616" w:type="dxa"/>
            <w:vAlign w:val="center"/>
          </w:tcPr>
          <w:p w14:paraId="4FA513F3"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0.105***</w:t>
            </w:r>
          </w:p>
        </w:tc>
        <w:tc>
          <w:tcPr>
            <w:tcW w:w="616" w:type="dxa"/>
            <w:vAlign w:val="center"/>
          </w:tcPr>
          <w:p w14:paraId="0AFB3A41"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0.006</w:t>
            </w:r>
          </w:p>
        </w:tc>
        <w:tc>
          <w:tcPr>
            <w:tcW w:w="616" w:type="dxa"/>
            <w:vAlign w:val="center"/>
          </w:tcPr>
          <w:p w14:paraId="62F69572"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0.019***</w:t>
            </w:r>
          </w:p>
        </w:tc>
      </w:tr>
      <w:tr w:rsidR="007373F6" w14:paraId="098E7ABF" w14:textId="77777777">
        <w:trPr>
          <w:trHeight w:val="304"/>
        </w:trPr>
        <w:tc>
          <w:tcPr>
            <w:tcW w:w="584" w:type="dxa"/>
            <w:vAlign w:val="center"/>
          </w:tcPr>
          <w:p w14:paraId="52B5CC25" w14:textId="77777777" w:rsidR="007373F6" w:rsidRDefault="00000000">
            <w:pPr>
              <w:spacing w:before="38"/>
              <w:ind w:left="8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ROA</w:t>
            </w:r>
          </w:p>
        </w:tc>
        <w:tc>
          <w:tcPr>
            <w:tcW w:w="617" w:type="dxa"/>
            <w:vAlign w:val="center"/>
          </w:tcPr>
          <w:p w14:paraId="236584BB"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0.041***</w:t>
            </w:r>
          </w:p>
        </w:tc>
        <w:tc>
          <w:tcPr>
            <w:tcW w:w="617" w:type="dxa"/>
            <w:vAlign w:val="center"/>
          </w:tcPr>
          <w:p w14:paraId="08A1B2E2"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0.133***</w:t>
            </w:r>
          </w:p>
        </w:tc>
        <w:tc>
          <w:tcPr>
            <w:tcW w:w="617" w:type="dxa"/>
            <w:vAlign w:val="center"/>
          </w:tcPr>
          <w:p w14:paraId="3E583D60"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0.013**</w:t>
            </w:r>
          </w:p>
        </w:tc>
        <w:tc>
          <w:tcPr>
            <w:tcW w:w="617" w:type="dxa"/>
            <w:vAlign w:val="center"/>
          </w:tcPr>
          <w:p w14:paraId="5A376B55"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-0.126***</w:t>
            </w:r>
          </w:p>
        </w:tc>
        <w:tc>
          <w:tcPr>
            <w:tcW w:w="585" w:type="dxa"/>
            <w:vAlign w:val="center"/>
          </w:tcPr>
          <w:p w14:paraId="1B1D8575" w14:textId="77777777" w:rsidR="007373F6" w:rsidRDefault="00000000">
            <w:pPr>
              <w:spacing w:before="38"/>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-0.018***</w:t>
            </w:r>
          </w:p>
        </w:tc>
        <w:tc>
          <w:tcPr>
            <w:tcW w:w="585" w:type="dxa"/>
            <w:vAlign w:val="center"/>
          </w:tcPr>
          <w:p w14:paraId="56958A5B" w14:textId="77777777" w:rsidR="007373F6" w:rsidRDefault="00000000">
            <w:pPr>
              <w:spacing w:before="38"/>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0.012**</w:t>
            </w:r>
          </w:p>
        </w:tc>
        <w:tc>
          <w:tcPr>
            <w:tcW w:w="595" w:type="dxa"/>
            <w:vAlign w:val="center"/>
          </w:tcPr>
          <w:p w14:paraId="41E9AF62" w14:textId="77777777" w:rsidR="007373F6" w:rsidRDefault="00000000">
            <w:pPr>
              <w:spacing w:before="38"/>
              <w:ind w:left="9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0.057***</w:t>
            </w:r>
          </w:p>
        </w:tc>
        <w:tc>
          <w:tcPr>
            <w:tcW w:w="617" w:type="dxa"/>
            <w:vAlign w:val="center"/>
          </w:tcPr>
          <w:p w14:paraId="3CFA12C6" w14:textId="77777777" w:rsidR="007373F6" w:rsidRDefault="007373F6">
            <w:pPr>
              <w:jc w:val="both"/>
              <w:rPr>
                <w:rFonts w:ascii="Times New Roman" w:eastAsia="Times New Roman" w:hAnsi="Times New Roman" w:cs="Times New Roman"/>
                <w:color w:val="000000"/>
                <w:sz w:val="14"/>
                <w:szCs w:val="14"/>
              </w:rPr>
            </w:pPr>
          </w:p>
        </w:tc>
        <w:tc>
          <w:tcPr>
            <w:tcW w:w="512" w:type="dxa"/>
            <w:vAlign w:val="center"/>
          </w:tcPr>
          <w:p w14:paraId="60AF1D67" w14:textId="77777777" w:rsidR="007373F6" w:rsidRDefault="00000000">
            <w:pPr>
              <w:spacing w:before="38"/>
              <w:ind w:lef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0.128***</w:t>
            </w:r>
          </w:p>
        </w:tc>
        <w:tc>
          <w:tcPr>
            <w:tcW w:w="616" w:type="dxa"/>
            <w:vAlign w:val="center"/>
          </w:tcPr>
          <w:p w14:paraId="3907F2B4"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-0.331***</w:t>
            </w:r>
          </w:p>
        </w:tc>
        <w:tc>
          <w:tcPr>
            <w:tcW w:w="616" w:type="dxa"/>
            <w:vAlign w:val="center"/>
          </w:tcPr>
          <w:p w14:paraId="00F6A7A8"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-0.124***</w:t>
            </w:r>
          </w:p>
        </w:tc>
        <w:tc>
          <w:tcPr>
            <w:tcW w:w="616" w:type="dxa"/>
            <w:vAlign w:val="center"/>
          </w:tcPr>
          <w:p w14:paraId="118A775B"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-0.348***</w:t>
            </w:r>
          </w:p>
        </w:tc>
        <w:tc>
          <w:tcPr>
            <w:tcW w:w="616" w:type="dxa"/>
            <w:vAlign w:val="center"/>
          </w:tcPr>
          <w:p w14:paraId="08118EB1"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0.109***</w:t>
            </w:r>
          </w:p>
        </w:tc>
        <w:tc>
          <w:tcPr>
            <w:tcW w:w="616" w:type="dxa"/>
            <w:vAlign w:val="center"/>
          </w:tcPr>
          <w:p w14:paraId="249BD6DC"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0.133***</w:t>
            </w:r>
          </w:p>
        </w:tc>
      </w:tr>
      <w:tr w:rsidR="007373F6" w14:paraId="736284A9" w14:textId="77777777">
        <w:trPr>
          <w:trHeight w:val="304"/>
        </w:trPr>
        <w:tc>
          <w:tcPr>
            <w:tcW w:w="584" w:type="dxa"/>
            <w:vAlign w:val="center"/>
          </w:tcPr>
          <w:p w14:paraId="3A07B1CA" w14:textId="77777777" w:rsidR="007373F6" w:rsidRDefault="00000000">
            <w:pPr>
              <w:spacing w:before="38"/>
              <w:ind w:left="8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2"/>
                <w:szCs w:val="12"/>
              </w:rPr>
              <w:t xml:space="preserve">CLOSELY HELD </w:t>
            </w:r>
          </w:p>
        </w:tc>
        <w:tc>
          <w:tcPr>
            <w:tcW w:w="617" w:type="dxa"/>
            <w:vAlign w:val="center"/>
          </w:tcPr>
          <w:p w14:paraId="543C5DA6"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-0.066***</w:t>
            </w:r>
          </w:p>
        </w:tc>
        <w:tc>
          <w:tcPr>
            <w:tcW w:w="617" w:type="dxa"/>
            <w:vAlign w:val="center"/>
          </w:tcPr>
          <w:p w14:paraId="2AE18192"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-0.207***</w:t>
            </w:r>
          </w:p>
        </w:tc>
        <w:tc>
          <w:tcPr>
            <w:tcW w:w="617" w:type="dxa"/>
            <w:vAlign w:val="center"/>
          </w:tcPr>
          <w:p w14:paraId="283496D5"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0.012**</w:t>
            </w:r>
          </w:p>
        </w:tc>
        <w:tc>
          <w:tcPr>
            <w:tcW w:w="617" w:type="dxa"/>
            <w:vAlign w:val="center"/>
          </w:tcPr>
          <w:p w14:paraId="048B263A"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-0.029***</w:t>
            </w:r>
          </w:p>
        </w:tc>
        <w:tc>
          <w:tcPr>
            <w:tcW w:w="585" w:type="dxa"/>
            <w:vAlign w:val="center"/>
          </w:tcPr>
          <w:p w14:paraId="69461F10" w14:textId="77777777" w:rsidR="007373F6" w:rsidRDefault="00000000">
            <w:pPr>
              <w:spacing w:before="38"/>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-0.263***</w:t>
            </w:r>
          </w:p>
        </w:tc>
        <w:tc>
          <w:tcPr>
            <w:tcW w:w="585" w:type="dxa"/>
            <w:vAlign w:val="center"/>
          </w:tcPr>
          <w:p w14:paraId="42229828" w14:textId="77777777" w:rsidR="007373F6" w:rsidRDefault="00000000">
            <w:pPr>
              <w:spacing w:before="38"/>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-0.193***</w:t>
            </w:r>
          </w:p>
        </w:tc>
        <w:tc>
          <w:tcPr>
            <w:tcW w:w="595" w:type="dxa"/>
            <w:vAlign w:val="center"/>
          </w:tcPr>
          <w:p w14:paraId="44340D39" w14:textId="77777777" w:rsidR="007373F6" w:rsidRDefault="00000000">
            <w:pPr>
              <w:spacing w:before="38"/>
              <w:ind w:left="9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-0.333***</w:t>
            </w:r>
          </w:p>
        </w:tc>
        <w:tc>
          <w:tcPr>
            <w:tcW w:w="617" w:type="dxa"/>
            <w:vAlign w:val="center"/>
          </w:tcPr>
          <w:p w14:paraId="1BEC239E" w14:textId="77777777" w:rsidR="007373F6" w:rsidRDefault="00000000">
            <w:pPr>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0.121***</w:t>
            </w:r>
          </w:p>
        </w:tc>
        <w:tc>
          <w:tcPr>
            <w:tcW w:w="512" w:type="dxa"/>
            <w:vAlign w:val="center"/>
          </w:tcPr>
          <w:p w14:paraId="4D1F2B0E" w14:textId="77777777" w:rsidR="007373F6" w:rsidRDefault="007373F6">
            <w:pPr>
              <w:spacing w:before="38"/>
              <w:ind w:left="2"/>
              <w:jc w:val="both"/>
              <w:rPr>
                <w:rFonts w:ascii="Times New Roman" w:eastAsia="Times New Roman" w:hAnsi="Times New Roman" w:cs="Times New Roman"/>
                <w:color w:val="000000"/>
                <w:sz w:val="14"/>
                <w:szCs w:val="14"/>
              </w:rPr>
            </w:pPr>
          </w:p>
        </w:tc>
        <w:tc>
          <w:tcPr>
            <w:tcW w:w="616" w:type="dxa"/>
            <w:vAlign w:val="center"/>
          </w:tcPr>
          <w:p w14:paraId="3FC39CF1"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-0.091***</w:t>
            </w:r>
          </w:p>
        </w:tc>
        <w:tc>
          <w:tcPr>
            <w:tcW w:w="616" w:type="dxa"/>
            <w:vAlign w:val="center"/>
          </w:tcPr>
          <w:p w14:paraId="4E688FC2"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-0.355***</w:t>
            </w:r>
          </w:p>
        </w:tc>
        <w:tc>
          <w:tcPr>
            <w:tcW w:w="616" w:type="dxa"/>
            <w:vAlign w:val="center"/>
          </w:tcPr>
          <w:p w14:paraId="1C5FE6E3"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-0.079***</w:t>
            </w:r>
          </w:p>
        </w:tc>
        <w:tc>
          <w:tcPr>
            <w:tcW w:w="616" w:type="dxa"/>
            <w:vAlign w:val="center"/>
          </w:tcPr>
          <w:p w14:paraId="26294B0A"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0.010**</w:t>
            </w:r>
          </w:p>
        </w:tc>
        <w:tc>
          <w:tcPr>
            <w:tcW w:w="616" w:type="dxa"/>
            <w:vAlign w:val="center"/>
          </w:tcPr>
          <w:p w14:paraId="1930776E"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0.002</w:t>
            </w:r>
          </w:p>
        </w:tc>
      </w:tr>
      <w:tr w:rsidR="007373F6" w14:paraId="5F3237FC" w14:textId="77777777">
        <w:trPr>
          <w:trHeight w:val="304"/>
        </w:trPr>
        <w:tc>
          <w:tcPr>
            <w:tcW w:w="584" w:type="dxa"/>
            <w:vAlign w:val="center"/>
          </w:tcPr>
          <w:p w14:paraId="25882F19" w14:textId="77777777" w:rsidR="007373F6" w:rsidRDefault="00000000">
            <w:pPr>
              <w:spacing w:before="38"/>
              <w:ind w:left="8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 xml:space="preserve">DEBT </w:t>
            </w:r>
          </w:p>
        </w:tc>
        <w:tc>
          <w:tcPr>
            <w:tcW w:w="617" w:type="dxa"/>
            <w:vAlign w:val="center"/>
          </w:tcPr>
          <w:p w14:paraId="7483948A" w14:textId="77777777" w:rsidR="007373F6" w:rsidRDefault="00000000">
            <w:pPr>
              <w:spacing w:before="38"/>
              <w:ind w:left="63" w:righ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0.020***</w:t>
            </w:r>
          </w:p>
        </w:tc>
        <w:tc>
          <w:tcPr>
            <w:tcW w:w="617" w:type="dxa"/>
            <w:vAlign w:val="center"/>
          </w:tcPr>
          <w:p w14:paraId="76E676C1" w14:textId="77777777" w:rsidR="007373F6" w:rsidRDefault="00000000">
            <w:pPr>
              <w:spacing w:before="38"/>
              <w:ind w:left="63" w:righ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-0.103***</w:t>
            </w:r>
          </w:p>
        </w:tc>
        <w:tc>
          <w:tcPr>
            <w:tcW w:w="617" w:type="dxa"/>
            <w:vAlign w:val="center"/>
          </w:tcPr>
          <w:p w14:paraId="0266B770" w14:textId="77777777" w:rsidR="007373F6" w:rsidRDefault="00000000">
            <w:pPr>
              <w:spacing w:before="38"/>
              <w:ind w:left="63" w:righ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0.077***</w:t>
            </w:r>
          </w:p>
        </w:tc>
        <w:tc>
          <w:tcPr>
            <w:tcW w:w="617" w:type="dxa"/>
            <w:vAlign w:val="center"/>
          </w:tcPr>
          <w:p w14:paraId="3997F7C3" w14:textId="77777777" w:rsidR="007373F6" w:rsidRDefault="00000000">
            <w:pPr>
              <w:spacing w:before="38"/>
              <w:ind w:left="63" w:righ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0.035***</w:t>
            </w:r>
          </w:p>
        </w:tc>
        <w:tc>
          <w:tcPr>
            <w:tcW w:w="585" w:type="dxa"/>
            <w:vAlign w:val="center"/>
          </w:tcPr>
          <w:p w14:paraId="1608D6E6" w14:textId="77777777" w:rsidR="007373F6" w:rsidRDefault="00000000">
            <w:pPr>
              <w:spacing w:before="38"/>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-0.049***</w:t>
            </w:r>
          </w:p>
        </w:tc>
        <w:tc>
          <w:tcPr>
            <w:tcW w:w="585" w:type="dxa"/>
            <w:vAlign w:val="center"/>
          </w:tcPr>
          <w:p w14:paraId="6C2904FA" w14:textId="77777777" w:rsidR="007373F6" w:rsidRDefault="00000000">
            <w:pPr>
              <w:spacing w:before="38"/>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-0.042***</w:t>
            </w:r>
          </w:p>
        </w:tc>
        <w:tc>
          <w:tcPr>
            <w:tcW w:w="595" w:type="dxa"/>
            <w:vAlign w:val="center"/>
          </w:tcPr>
          <w:p w14:paraId="7CB0D956" w14:textId="77777777" w:rsidR="007373F6" w:rsidRDefault="00000000">
            <w:pPr>
              <w:spacing w:before="38"/>
              <w:ind w:left="9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0.093***</w:t>
            </w:r>
          </w:p>
        </w:tc>
        <w:tc>
          <w:tcPr>
            <w:tcW w:w="617" w:type="dxa"/>
            <w:vAlign w:val="center"/>
          </w:tcPr>
          <w:p w14:paraId="278EB573" w14:textId="77777777" w:rsidR="007373F6" w:rsidRDefault="00000000">
            <w:pPr>
              <w:spacing w:before="38"/>
              <w:ind w:left="63" w:righ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-0.181***</w:t>
            </w:r>
          </w:p>
        </w:tc>
        <w:tc>
          <w:tcPr>
            <w:tcW w:w="512" w:type="dxa"/>
            <w:vAlign w:val="center"/>
          </w:tcPr>
          <w:p w14:paraId="28D3C456" w14:textId="77777777" w:rsidR="007373F6" w:rsidRDefault="00000000">
            <w:pPr>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-0.050***</w:t>
            </w:r>
          </w:p>
        </w:tc>
        <w:tc>
          <w:tcPr>
            <w:tcW w:w="616" w:type="dxa"/>
            <w:vAlign w:val="center"/>
          </w:tcPr>
          <w:p w14:paraId="5F1FDCA0" w14:textId="77777777" w:rsidR="007373F6" w:rsidRDefault="007373F6">
            <w:pPr>
              <w:spacing w:before="38"/>
              <w:ind w:left="63"/>
              <w:jc w:val="both"/>
              <w:rPr>
                <w:rFonts w:ascii="Times New Roman" w:eastAsia="Times New Roman" w:hAnsi="Times New Roman" w:cs="Times New Roman"/>
                <w:color w:val="000000"/>
                <w:sz w:val="14"/>
                <w:szCs w:val="14"/>
              </w:rPr>
            </w:pPr>
          </w:p>
        </w:tc>
        <w:tc>
          <w:tcPr>
            <w:tcW w:w="616" w:type="dxa"/>
            <w:vAlign w:val="center"/>
          </w:tcPr>
          <w:p w14:paraId="645FC79B"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0.018***</w:t>
            </w:r>
          </w:p>
        </w:tc>
        <w:tc>
          <w:tcPr>
            <w:tcW w:w="616" w:type="dxa"/>
            <w:vAlign w:val="center"/>
          </w:tcPr>
          <w:p w14:paraId="49796B36"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-0.022***</w:t>
            </w:r>
          </w:p>
        </w:tc>
        <w:tc>
          <w:tcPr>
            <w:tcW w:w="616" w:type="dxa"/>
            <w:vAlign w:val="center"/>
          </w:tcPr>
          <w:p w14:paraId="5212D1A7"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-0.031***</w:t>
            </w:r>
          </w:p>
        </w:tc>
        <w:tc>
          <w:tcPr>
            <w:tcW w:w="616" w:type="dxa"/>
            <w:vAlign w:val="center"/>
          </w:tcPr>
          <w:p w14:paraId="3701E81B" w14:textId="77777777" w:rsidR="007373F6" w:rsidRDefault="00000000">
            <w:pPr>
              <w:spacing w:before="38"/>
              <w:ind w:left="63"/>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-0.035***</w:t>
            </w:r>
          </w:p>
        </w:tc>
      </w:tr>
      <w:tr w:rsidR="007373F6" w14:paraId="525049AB" w14:textId="77777777">
        <w:trPr>
          <w:trHeight w:val="304"/>
        </w:trPr>
        <w:tc>
          <w:tcPr>
            <w:tcW w:w="584" w:type="dxa"/>
            <w:vAlign w:val="center"/>
          </w:tcPr>
          <w:p w14:paraId="249AB922" w14:textId="77777777" w:rsidR="007373F6" w:rsidRDefault="00000000">
            <w:pPr>
              <w:spacing w:before="38"/>
              <w:ind w:left="8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AGE</w:t>
            </w:r>
          </w:p>
        </w:tc>
        <w:tc>
          <w:tcPr>
            <w:tcW w:w="617" w:type="dxa"/>
            <w:vAlign w:val="center"/>
          </w:tcPr>
          <w:p w14:paraId="5EBD071F"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-0.016***</w:t>
            </w:r>
          </w:p>
        </w:tc>
        <w:tc>
          <w:tcPr>
            <w:tcW w:w="617" w:type="dxa"/>
            <w:vAlign w:val="center"/>
          </w:tcPr>
          <w:p w14:paraId="14C70BD4"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0.059***</w:t>
            </w:r>
          </w:p>
        </w:tc>
        <w:tc>
          <w:tcPr>
            <w:tcW w:w="617" w:type="dxa"/>
            <w:vAlign w:val="center"/>
          </w:tcPr>
          <w:p w14:paraId="331D7625"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-0.210***</w:t>
            </w:r>
          </w:p>
        </w:tc>
        <w:tc>
          <w:tcPr>
            <w:tcW w:w="617" w:type="dxa"/>
            <w:vAlign w:val="center"/>
          </w:tcPr>
          <w:p w14:paraId="0C4A30C7"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-0.038***</w:t>
            </w:r>
          </w:p>
        </w:tc>
        <w:tc>
          <w:tcPr>
            <w:tcW w:w="585" w:type="dxa"/>
            <w:vAlign w:val="center"/>
          </w:tcPr>
          <w:p w14:paraId="153DF2C6" w14:textId="77777777" w:rsidR="007373F6" w:rsidRDefault="00000000">
            <w:pPr>
              <w:spacing w:before="38"/>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0.419***</w:t>
            </w:r>
          </w:p>
        </w:tc>
        <w:tc>
          <w:tcPr>
            <w:tcW w:w="585" w:type="dxa"/>
            <w:vAlign w:val="center"/>
          </w:tcPr>
          <w:p w14:paraId="04975D6A" w14:textId="77777777" w:rsidR="007373F6" w:rsidRDefault="00000000">
            <w:pPr>
              <w:spacing w:before="38"/>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0.199***</w:t>
            </w:r>
          </w:p>
        </w:tc>
        <w:tc>
          <w:tcPr>
            <w:tcW w:w="595" w:type="dxa"/>
            <w:vAlign w:val="center"/>
          </w:tcPr>
          <w:p w14:paraId="3DE769EC" w14:textId="77777777" w:rsidR="007373F6" w:rsidRDefault="00000000">
            <w:pPr>
              <w:spacing w:before="38"/>
              <w:ind w:left="9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0.337***</w:t>
            </w:r>
          </w:p>
        </w:tc>
        <w:tc>
          <w:tcPr>
            <w:tcW w:w="617" w:type="dxa"/>
            <w:vAlign w:val="center"/>
          </w:tcPr>
          <w:p w14:paraId="71D76856" w14:textId="77777777" w:rsidR="007373F6" w:rsidRDefault="00000000">
            <w:pPr>
              <w:spacing w:before="38"/>
              <w:ind w:left="63" w:righ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-0.029***</w:t>
            </w:r>
          </w:p>
        </w:tc>
        <w:tc>
          <w:tcPr>
            <w:tcW w:w="512" w:type="dxa"/>
            <w:vAlign w:val="center"/>
          </w:tcPr>
          <w:p w14:paraId="6FCA90C4" w14:textId="77777777" w:rsidR="007373F6" w:rsidRDefault="00000000">
            <w:pPr>
              <w:spacing w:before="38"/>
              <w:ind w:lef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-0.278***</w:t>
            </w:r>
          </w:p>
        </w:tc>
        <w:tc>
          <w:tcPr>
            <w:tcW w:w="616" w:type="dxa"/>
            <w:vAlign w:val="center"/>
          </w:tcPr>
          <w:p w14:paraId="4920B433" w14:textId="77777777" w:rsidR="007373F6" w:rsidRDefault="00000000">
            <w:pPr>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-0.060***</w:t>
            </w:r>
          </w:p>
        </w:tc>
        <w:tc>
          <w:tcPr>
            <w:tcW w:w="616" w:type="dxa"/>
            <w:vAlign w:val="center"/>
          </w:tcPr>
          <w:p w14:paraId="06ADF241" w14:textId="77777777" w:rsidR="007373F6" w:rsidRDefault="007373F6">
            <w:pPr>
              <w:spacing w:before="38"/>
              <w:ind w:left="63" w:right="60"/>
              <w:jc w:val="both"/>
              <w:rPr>
                <w:rFonts w:ascii="Times New Roman" w:eastAsia="Times New Roman" w:hAnsi="Times New Roman" w:cs="Times New Roman"/>
                <w:color w:val="000000"/>
                <w:sz w:val="14"/>
                <w:szCs w:val="14"/>
              </w:rPr>
            </w:pPr>
          </w:p>
        </w:tc>
        <w:tc>
          <w:tcPr>
            <w:tcW w:w="616" w:type="dxa"/>
            <w:vAlign w:val="center"/>
          </w:tcPr>
          <w:p w14:paraId="5A336667" w14:textId="77777777" w:rsidR="007373F6" w:rsidRDefault="00000000">
            <w:pPr>
              <w:spacing w:before="38"/>
              <w:ind w:left="63" w:right="60"/>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0.352***</w:t>
            </w:r>
          </w:p>
        </w:tc>
        <w:tc>
          <w:tcPr>
            <w:tcW w:w="616" w:type="dxa"/>
            <w:vAlign w:val="center"/>
          </w:tcPr>
          <w:p w14:paraId="00EC5F81" w14:textId="77777777" w:rsidR="007373F6" w:rsidRDefault="00000000">
            <w:pPr>
              <w:spacing w:before="38"/>
              <w:ind w:left="63" w:right="60"/>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0.024***</w:t>
            </w:r>
          </w:p>
        </w:tc>
        <w:tc>
          <w:tcPr>
            <w:tcW w:w="616" w:type="dxa"/>
            <w:vAlign w:val="center"/>
          </w:tcPr>
          <w:p w14:paraId="0718826D" w14:textId="77777777" w:rsidR="007373F6" w:rsidRDefault="00000000">
            <w:pPr>
              <w:spacing w:before="38"/>
              <w:ind w:left="63" w:right="60"/>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0.040***</w:t>
            </w:r>
          </w:p>
        </w:tc>
      </w:tr>
      <w:tr w:rsidR="007373F6" w14:paraId="092DABA7" w14:textId="77777777">
        <w:trPr>
          <w:trHeight w:val="304"/>
        </w:trPr>
        <w:tc>
          <w:tcPr>
            <w:tcW w:w="584" w:type="dxa"/>
            <w:vAlign w:val="center"/>
          </w:tcPr>
          <w:p w14:paraId="6D2701B1" w14:textId="77777777" w:rsidR="007373F6" w:rsidRDefault="00000000">
            <w:pPr>
              <w:spacing w:before="38"/>
              <w:ind w:left="8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BTM</w:t>
            </w:r>
          </w:p>
        </w:tc>
        <w:tc>
          <w:tcPr>
            <w:tcW w:w="617" w:type="dxa"/>
            <w:vAlign w:val="center"/>
          </w:tcPr>
          <w:p w14:paraId="0C78E049"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-0.144***</w:t>
            </w:r>
          </w:p>
        </w:tc>
        <w:tc>
          <w:tcPr>
            <w:tcW w:w="617" w:type="dxa"/>
            <w:vAlign w:val="center"/>
          </w:tcPr>
          <w:p w14:paraId="14410319"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-0.225***</w:t>
            </w:r>
          </w:p>
        </w:tc>
        <w:tc>
          <w:tcPr>
            <w:tcW w:w="617" w:type="dxa"/>
            <w:vAlign w:val="center"/>
          </w:tcPr>
          <w:p w14:paraId="1D20A0DD"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-0.187***</w:t>
            </w:r>
          </w:p>
        </w:tc>
        <w:tc>
          <w:tcPr>
            <w:tcW w:w="617" w:type="dxa"/>
            <w:vAlign w:val="center"/>
          </w:tcPr>
          <w:p w14:paraId="07C7FC68"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-0.026***</w:t>
            </w:r>
          </w:p>
        </w:tc>
        <w:tc>
          <w:tcPr>
            <w:tcW w:w="585" w:type="dxa"/>
            <w:vAlign w:val="center"/>
          </w:tcPr>
          <w:p w14:paraId="1E2AC526" w14:textId="77777777" w:rsidR="007373F6" w:rsidRDefault="00000000">
            <w:pPr>
              <w:spacing w:before="38"/>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0.269***</w:t>
            </w:r>
          </w:p>
        </w:tc>
        <w:tc>
          <w:tcPr>
            <w:tcW w:w="585" w:type="dxa"/>
            <w:vAlign w:val="center"/>
          </w:tcPr>
          <w:p w14:paraId="69DA1274" w14:textId="77777777" w:rsidR="007373F6" w:rsidRDefault="00000000">
            <w:pPr>
              <w:spacing w:before="38"/>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-0.025***</w:t>
            </w:r>
          </w:p>
        </w:tc>
        <w:tc>
          <w:tcPr>
            <w:tcW w:w="595" w:type="dxa"/>
            <w:vAlign w:val="center"/>
          </w:tcPr>
          <w:p w14:paraId="6E02C933" w14:textId="77777777" w:rsidR="007373F6" w:rsidRDefault="00000000">
            <w:pPr>
              <w:spacing w:before="38"/>
              <w:ind w:left="9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0.047***</w:t>
            </w:r>
          </w:p>
        </w:tc>
        <w:tc>
          <w:tcPr>
            <w:tcW w:w="617" w:type="dxa"/>
            <w:vAlign w:val="center"/>
          </w:tcPr>
          <w:p w14:paraId="7BED9A4B" w14:textId="77777777" w:rsidR="007373F6" w:rsidRDefault="00000000">
            <w:pPr>
              <w:spacing w:before="38"/>
              <w:ind w:left="63" w:righ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-0.125***</w:t>
            </w:r>
          </w:p>
        </w:tc>
        <w:tc>
          <w:tcPr>
            <w:tcW w:w="512" w:type="dxa"/>
            <w:vAlign w:val="center"/>
          </w:tcPr>
          <w:p w14:paraId="65451752" w14:textId="77777777" w:rsidR="007373F6" w:rsidRDefault="00000000">
            <w:pPr>
              <w:spacing w:before="38"/>
              <w:ind w:lef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-0.058***</w:t>
            </w:r>
          </w:p>
        </w:tc>
        <w:tc>
          <w:tcPr>
            <w:tcW w:w="616" w:type="dxa"/>
            <w:vAlign w:val="center"/>
          </w:tcPr>
          <w:p w14:paraId="269C8A2B" w14:textId="77777777" w:rsidR="007373F6" w:rsidRDefault="00000000">
            <w:pPr>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-0.065***</w:t>
            </w:r>
          </w:p>
        </w:tc>
        <w:tc>
          <w:tcPr>
            <w:tcW w:w="616" w:type="dxa"/>
            <w:vAlign w:val="center"/>
          </w:tcPr>
          <w:p w14:paraId="5E6D643E" w14:textId="77777777" w:rsidR="007373F6" w:rsidRDefault="00000000">
            <w:pPr>
              <w:spacing w:before="38"/>
              <w:ind w:left="63" w:right="60"/>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0.292***</w:t>
            </w:r>
          </w:p>
        </w:tc>
        <w:tc>
          <w:tcPr>
            <w:tcW w:w="616" w:type="dxa"/>
            <w:vAlign w:val="center"/>
          </w:tcPr>
          <w:p w14:paraId="25AB8973" w14:textId="77777777" w:rsidR="007373F6" w:rsidRDefault="007373F6">
            <w:pPr>
              <w:spacing w:before="38"/>
              <w:ind w:left="63" w:right="60"/>
              <w:jc w:val="both"/>
              <w:rPr>
                <w:rFonts w:ascii="Times New Roman" w:eastAsia="Times New Roman" w:hAnsi="Times New Roman" w:cs="Times New Roman"/>
                <w:color w:val="000000"/>
                <w:sz w:val="14"/>
                <w:szCs w:val="14"/>
              </w:rPr>
            </w:pPr>
          </w:p>
        </w:tc>
        <w:tc>
          <w:tcPr>
            <w:tcW w:w="616" w:type="dxa"/>
            <w:vAlign w:val="center"/>
          </w:tcPr>
          <w:p w14:paraId="40C4BBF9" w14:textId="77777777" w:rsidR="007373F6" w:rsidRDefault="00000000">
            <w:pPr>
              <w:spacing w:before="38"/>
              <w:ind w:left="63" w:right="60"/>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-0.122***</w:t>
            </w:r>
          </w:p>
        </w:tc>
        <w:tc>
          <w:tcPr>
            <w:tcW w:w="616" w:type="dxa"/>
            <w:vAlign w:val="center"/>
          </w:tcPr>
          <w:p w14:paraId="566C05F7" w14:textId="77777777" w:rsidR="007373F6" w:rsidRDefault="00000000">
            <w:pPr>
              <w:spacing w:before="38"/>
              <w:ind w:left="63" w:right="60"/>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-0.147***</w:t>
            </w:r>
          </w:p>
        </w:tc>
      </w:tr>
      <w:tr w:rsidR="007373F6" w14:paraId="60EB6432" w14:textId="77777777">
        <w:trPr>
          <w:trHeight w:val="304"/>
        </w:trPr>
        <w:tc>
          <w:tcPr>
            <w:tcW w:w="584" w:type="dxa"/>
            <w:vAlign w:val="center"/>
          </w:tcPr>
          <w:p w14:paraId="381ECDC1" w14:textId="77777777" w:rsidR="007373F6" w:rsidRDefault="00000000">
            <w:pPr>
              <w:spacing w:before="38"/>
              <w:ind w:left="89"/>
              <w:jc w:val="both"/>
              <w:rPr>
                <w:rFonts w:ascii="Palatino Linotype" w:eastAsia="Palatino Linotype" w:hAnsi="Palatino Linotype" w:cs="Palatino Linotype"/>
                <w:color w:val="000000"/>
                <w:sz w:val="14"/>
                <w:szCs w:val="14"/>
              </w:rPr>
            </w:pPr>
            <w:r>
              <w:rPr>
                <w:rFonts w:ascii="Times New Roman" w:eastAsia="Times New Roman" w:hAnsi="Times New Roman" w:cs="Times New Roman"/>
                <w:color w:val="000000"/>
                <w:sz w:val="14"/>
                <w:szCs w:val="14"/>
              </w:rPr>
              <w:t>IRD1</w:t>
            </w:r>
          </w:p>
        </w:tc>
        <w:tc>
          <w:tcPr>
            <w:tcW w:w="617" w:type="dxa"/>
            <w:vAlign w:val="center"/>
          </w:tcPr>
          <w:p w14:paraId="10C845C6"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-0.000</w:t>
            </w:r>
          </w:p>
        </w:tc>
        <w:tc>
          <w:tcPr>
            <w:tcW w:w="617" w:type="dxa"/>
            <w:vAlign w:val="center"/>
          </w:tcPr>
          <w:p w14:paraId="6E297C8B"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0.063***</w:t>
            </w:r>
          </w:p>
        </w:tc>
        <w:tc>
          <w:tcPr>
            <w:tcW w:w="617" w:type="dxa"/>
            <w:vAlign w:val="center"/>
          </w:tcPr>
          <w:p w14:paraId="489BC281"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0.042***</w:t>
            </w:r>
          </w:p>
        </w:tc>
        <w:tc>
          <w:tcPr>
            <w:tcW w:w="617" w:type="dxa"/>
            <w:vAlign w:val="center"/>
          </w:tcPr>
          <w:p w14:paraId="1A8198D2"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0.003</w:t>
            </w:r>
          </w:p>
        </w:tc>
        <w:tc>
          <w:tcPr>
            <w:tcW w:w="585" w:type="dxa"/>
            <w:vAlign w:val="center"/>
          </w:tcPr>
          <w:p w14:paraId="78D06E7A" w14:textId="77777777" w:rsidR="007373F6" w:rsidRDefault="00000000">
            <w:pPr>
              <w:spacing w:before="38"/>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0.020***</w:t>
            </w:r>
          </w:p>
        </w:tc>
        <w:tc>
          <w:tcPr>
            <w:tcW w:w="585" w:type="dxa"/>
            <w:vAlign w:val="center"/>
          </w:tcPr>
          <w:p w14:paraId="6F2B3561" w14:textId="77777777" w:rsidR="007373F6" w:rsidRDefault="00000000">
            <w:pPr>
              <w:spacing w:before="38"/>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0.009*</w:t>
            </w:r>
          </w:p>
        </w:tc>
        <w:tc>
          <w:tcPr>
            <w:tcW w:w="595" w:type="dxa"/>
            <w:vAlign w:val="center"/>
          </w:tcPr>
          <w:p w14:paraId="67ABBC34" w14:textId="77777777" w:rsidR="007373F6" w:rsidRDefault="00000000">
            <w:pPr>
              <w:spacing w:before="38"/>
              <w:ind w:left="9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-0.006</w:t>
            </w:r>
          </w:p>
        </w:tc>
        <w:tc>
          <w:tcPr>
            <w:tcW w:w="617" w:type="dxa"/>
            <w:vAlign w:val="center"/>
          </w:tcPr>
          <w:p w14:paraId="425FFB5F" w14:textId="77777777" w:rsidR="007373F6" w:rsidRDefault="00000000">
            <w:pPr>
              <w:spacing w:before="38"/>
              <w:ind w:left="63" w:righ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0.037***</w:t>
            </w:r>
          </w:p>
        </w:tc>
        <w:tc>
          <w:tcPr>
            <w:tcW w:w="512" w:type="dxa"/>
            <w:vAlign w:val="center"/>
          </w:tcPr>
          <w:p w14:paraId="773B353D" w14:textId="77777777" w:rsidR="007373F6" w:rsidRDefault="00000000">
            <w:pPr>
              <w:spacing w:before="38"/>
              <w:ind w:lef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0.005</w:t>
            </w:r>
          </w:p>
        </w:tc>
        <w:tc>
          <w:tcPr>
            <w:tcW w:w="616" w:type="dxa"/>
            <w:vAlign w:val="center"/>
          </w:tcPr>
          <w:p w14:paraId="35765B2C" w14:textId="77777777" w:rsidR="007373F6" w:rsidRDefault="00000000">
            <w:pPr>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-0.027***</w:t>
            </w:r>
          </w:p>
        </w:tc>
        <w:tc>
          <w:tcPr>
            <w:tcW w:w="616" w:type="dxa"/>
            <w:vAlign w:val="center"/>
          </w:tcPr>
          <w:p w14:paraId="1894841F" w14:textId="77777777" w:rsidR="007373F6" w:rsidRDefault="00000000">
            <w:pPr>
              <w:spacing w:before="38"/>
              <w:ind w:left="63" w:right="60"/>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-0.016***</w:t>
            </w:r>
          </w:p>
        </w:tc>
        <w:tc>
          <w:tcPr>
            <w:tcW w:w="616" w:type="dxa"/>
            <w:vAlign w:val="center"/>
          </w:tcPr>
          <w:p w14:paraId="149D6AA3" w14:textId="77777777" w:rsidR="007373F6" w:rsidRDefault="00000000">
            <w:pPr>
              <w:spacing w:before="38"/>
              <w:ind w:left="63" w:right="60"/>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-0.116***</w:t>
            </w:r>
          </w:p>
        </w:tc>
        <w:tc>
          <w:tcPr>
            <w:tcW w:w="616" w:type="dxa"/>
            <w:vAlign w:val="center"/>
          </w:tcPr>
          <w:p w14:paraId="7610ACBA" w14:textId="77777777" w:rsidR="007373F6" w:rsidRDefault="007373F6">
            <w:pPr>
              <w:spacing w:before="38"/>
              <w:ind w:left="63" w:right="60"/>
              <w:jc w:val="both"/>
              <w:rPr>
                <w:rFonts w:ascii="Times New Roman" w:eastAsia="Times New Roman" w:hAnsi="Times New Roman" w:cs="Times New Roman"/>
                <w:color w:val="000000"/>
                <w:sz w:val="14"/>
                <w:szCs w:val="14"/>
              </w:rPr>
            </w:pPr>
          </w:p>
        </w:tc>
        <w:tc>
          <w:tcPr>
            <w:tcW w:w="616" w:type="dxa"/>
            <w:vAlign w:val="center"/>
          </w:tcPr>
          <w:p w14:paraId="78BF60A4" w14:textId="77777777" w:rsidR="007373F6" w:rsidRDefault="00000000">
            <w:pPr>
              <w:spacing w:before="38"/>
              <w:ind w:left="63" w:right="60"/>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0.940***</w:t>
            </w:r>
          </w:p>
        </w:tc>
      </w:tr>
      <w:tr w:rsidR="007373F6" w14:paraId="359B9D39" w14:textId="77777777">
        <w:trPr>
          <w:trHeight w:val="304"/>
        </w:trPr>
        <w:tc>
          <w:tcPr>
            <w:tcW w:w="584" w:type="dxa"/>
            <w:tcBorders>
              <w:bottom w:val="single" w:sz="4" w:space="0" w:color="000000"/>
            </w:tcBorders>
            <w:vAlign w:val="center"/>
          </w:tcPr>
          <w:p w14:paraId="416FAC4E" w14:textId="77777777" w:rsidR="007373F6" w:rsidRDefault="00000000">
            <w:pPr>
              <w:spacing w:before="38"/>
              <w:ind w:left="89"/>
              <w:jc w:val="both"/>
              <w:rPr>
                <w:rFonts w:ascii="Palatino Linotype" w:eastAsia="Palatino Linotype" w:hAnsi="Palatino Linotype" w:cs="Palatino Linotype"/>
                <w:color w:val="000000"/>
                <w:sz w:val="14"/>
                <w:szCs w:val="14"/>
              </w:rPr>
            </w:pPr>
            <w:r>
              <w:rPr>
                <w:rFonts w:ascii="Times New Roman" w:eastAsia="Times New Roman" w:hAnsi="Times New Roman" w:cs="Times New Roman"/>
                <w:color w:val="000000"/>
                <w:sz w:val="14"/>
                <w:szCs w:val="14"/>
              </w:rPr>
              <w:t>IRD2</w:t>
            </w:r>
          </w:p>
        </w:tc>
        <w:tc>
          <w:tcPr>
            <w:tcW w:w="617" w:type="dxa"/>
            <w:tcBorders>
              <w:bottom w:val="single" w:sz="4" w:space="0" w:color="000000"/>
            </w:tcBorders>
            <w:vAlign w:val="center"/>
          </w:tcPr>
          <w:p w14:paraId="7431F384"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0.000</w:t>
            </w:r>
          </w:p>
        </w:tc>
        <w:tc>
          <w:tcPr>
            <w:tcW w:w="617" w:type="dxa"/>
            <w:tcBorders>
              <w:bottom w:val="single" w:sz="4" w:space="0" w:color="000000"/>
            </w:tcBorders>
            <w:vAlign w:val="center"/>
          </w:tcPr>
          <w:p w14:paraId="3B57FE39"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0.069***</w:t>
            </w:r>
          </w:p>
        </w:tc>
        <w:tc>
          <w:tcPr>
            <w:tcW w:w="617" w:type="dxa"/>
            <w:tcBorders>
              <w:bottom w:val="single" w:sz="4" w:space="0" w:color="000000"/>
            </w:tcBorders>
            <w:vAlign w:val="center"/>
          </w:tcPr>
          <w:p w14:paraId="39C0A082"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0.044***</w:t>
            </w:r>
          </w:p>
        </w:tc>
        <w:tc>
          <w:tcPr>
            <w:tcW w:w="617" w:type="dxa"/>
            <w:tcBorders>
              <w:bottom w:val="single" w:sz="4" w:space="0" w:color="000000"/>
            </w:tcBorders>
            <w:vAlign w:val="center"/>
          </w:tcPr>
          <w:p w14:paraId="2DDA5FDD" w14:textId="77777777" w:rsidR="007373F6" w:rsidRDefault="00000000">
            <w:pPr>
              <w:spacing w:before="38"/>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0.005</w:t>
            </w:r>
          </w:p>
        </w:tc>
        <w:tc>
          <w:tcPr>
            <w:tcW w:w="585" w:type="dxa"/>
            <w:tcBorders>
              <w:bottom w:val="single" w:sz="4" w:space="0" w:color="000000"/>
            </w:tcBorders>
            <w:vAlign w:val="center"/>
          </w:tcPr>
          <w:p w14:paraId="2D9C6373" w14:textId="77777777" w:rsidR="007373F6" w:rsidRDefault="00000000">
            <w:pPr>
              <w:spacing w:before="38"/>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0.020***</w:t>
            </w:r>
          </w:p>
        </w:tc>
        <w:tc>
          <w:tcPr>
            <w:tcW w:w="585" w:type="dxa"/>
            <w:tcBorders>
              <w:bottom w:val="single" w:sz="4" w:space="0" w:color="000000"/>
            </w:tcBorders>
            <w:vAlign w:val="center"/>
          </w:tcPr>
          <w:p w14:paraId="639FF529" w14:textId="77777777" w:rsidR="007373F6" w:rsidRDefault="00000000">
            <w:pPr>
              <w:spacing w:before="38"/>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0.013**</w:t>
            </w:r>
          </w:p>
        </w:tc>
        <w:tc>
          <w:tcPr>
            <w:tcW w:w="595" w:type="dxa"/>
            <w:tcBorders>
              <w:bottom w:val="single" w:sz="4" w:space="0" w:color="000000"/>
            </w:tcBorders>
            <w:vAlign w:val="center"/>
          </w:tcPr>
          <w:p w14:paraId="0A8D238E" w14:textId="77777777" w:rsidR="007373F6" w:rsidRDefault="00000000">
            <w:pPr>
              <w:spacing w:before="38"/>
              <w:ind w:left="9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-0.003</w:t>
            </w:r>
          </w:p>
        </w:tc>
        <w:tc>
          <w:tcPr>
            <w:tcW w:w="617" w:type="dxa"/>
            <w:tcBorders>
              <w:bottom w:val="single" w:sz="4" w:space="0" w:color="000000"/>
            </w:tcBorders>
            <w:vAlign w:val="center"/>
          </w:tcPr>
          <w:p w14:paraId="6399A326" w14:textId="77777777" w:rsidR="007373F6" w:rsidRDefault="00000000">
            <w:pPr>
              <w:spacing w:before="38"/>
              <w:ind w:left="63" w:righ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0.043***</w:t>
            </w:r>
          </w:p>
        </w:tc>
        <w:tc>
          <w:tcPr>
            <w:tcW w:w="512" w:type="dxa"/>
            <w:tcBorders>
              <w:bottom w:val="single" w:sz="4" w:space="0" w:color="000000"/>
            </w:tcBorders>
            <w:vAlign w:val="center"/>
          </w:tcPr>
          <w:p w14:paraId="1814DB39" w14:textId="77777777" w:rsidR="007373F6" w:rsidRDefault="00000000">
            <w:pPr>
              <w:spacing w:before="38"/>
              <w:ind w:left="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0.008</w:t>
            </w:r>
          </w:p>
        </w:tc>
        <w:tc>
          <w:tcPr>
            <w:tcW w:w="616" w:type="dxa"/>
            <w:tcBorders>
              <w:bottom w:val="single" w:sz="4" w:space="0" w:color="000000"/>
            </w:tcBorders>
            <w:vAlign w:val="center"/>
          </w:tcPr>
          <w:p w14:paraId="732ADB31" w14:textId="77777777" w:rsidR="007373F6" w:rsidRDefault="00000000">
            <w:pPr>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-0.028***</w:t>
            </w:r>
          </w:p>
        </w:tc>
        <w:tc>
          <w:tcPr>
            <w:tcW w:w="616" w:type="dxa"/>
            <w:tcBorders>
              <w:bottom w:val="single" w:sz="4" w:space="0" w:color="000000"/>
            </w:tcBorders>
            <w:vAlign w:val="center"/>
          </w:tcPr>
          <w:p w14:paraId="4E27DD90" w14:textId="77777777" w:rsidR="007373F6" w:rsidRDefault="00000000">
            <w:pPr>
              <w:spacing w:before="38"/>
              <w:ind w:left="63" w:right="60"/>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-0.013**</w:t>
            </w:r>
          </w:p>
        </w:tc>
        <w:tc>
          <w:tcPr>
            <w:tcW w:w="616" w:type="dxa"/>
            <w:tcBorders>
              <w:bottom w:val="single" w:sz="4" w:space="0" w:color="000000"/>
            </w:tcBorders>
            <w:vAlign w:val="center"/>
          </w:tcPr>
          <w:p w14:paraId="6A6BB367" w14:textId="77777777" w:rsidR="007373F6" w:rsidRDefault="00000000">
            <w:pPr>
              <w:spacing w:before="38"/>
              <w:ind w:left="63" w:right="60"/>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-0.129***</w:t>
            </w:r>
          </w:p>
        </w:tc>
        <w:tc>
          <w:tcPr>
            <w:tcW w:w="616" w:type="dxa"/>
            <w:tcBorders>
              <w:bottom w:val="single" w:sz="4" w:space="0" w:color="000000"/>
            </w:tcBorders>
            <w:vAlign w:val="center"/>
          </w:tcPr>
          <w:p w14:paraId="40CE6B4E" w14:textId="77777777" w:rsidR="007373F6" w:rsidRDefault="00000000">
            <w:pPr>
              <w:spacing w:before="38"/>
              <w:ind w:left="63" w:right="60"/>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0.989***</w:t>
            </w:r>
          </w:p>
        </w:tc>
        <w:tc>
          <w:tcPr>
            <w:tcW w:w="616" w:type="dxa"/>
            <w:tcBorders>
              <w:bottom w:val="single" w:sz="4" w:space="0" w:color="000000"/>
            </w:tcBorders>
            <w:vAlign w:val="center"/>
          </w:tcPr>
          <w:p w14:paraId="49F776F6" w14:textId="77777777" w:rsidR="007373F6" w:rsidRDefault="007373F6">
            <w:pPr>
              <w:spacing w:before="38"/>
              <w:ind w:left="63" w:right="60"/>
              <w:jc w:val="both"/>
              <w:rPr>
                <w:rFonts w:ascii="Times New Roman" w:eastAsia="Times New Roman" w:hAnsi="Times New Roman" w:cs="Times New Roman"/>
                <w:color w:val="000000"/>
                <w:sz w:val="14"/>
                <w:szCs w:val="14"/>
              </w:rPr>
            </w:pPr>
          </w:p>
        </w:tc>
      </w:tr>
    </w:tbl>
    <w:p w14:paraId="2DEB7617" w14:textId="77777777" w:rsidR="007373F6" w:rsidRDefault="00000000">
      <w:pPr>
        <w:widowControl w:val="0"/>
        <w:spacing w:before="4"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w:t>
      </w:r>
      <w:r>
        <w:rPr>
          <w:rFonts w:ascii="Times New Roman" w:eastAsia="Times New Roman" w:hAnsi="Times New Roman" w:cs="Times New Roman"/>
          <w:i/>
          <w:color w:val="000000"/>
          <w:sz w:val="20"/>
          <w:szCs w:val="20"/>
        </w:rPr>
        <w:t xml:space="preserve"> </w:t>
      </w:r>
      <w:r>
        <w:rPr>
          <w:rFonts w:ascii="Times New Roman" w:eastAsia="Times New Roman" w:hAnsi="Times New Roman" w:cs="Times New Roman"/>
          <w:color w:val="000000"/>
          <w:sz w:val="20"/>
          <w:szCs w:val="20"/>
        </w:rPr>
        <w:t>The correlation coefficient matrix provides Pearson’s product-moment correlation coefficient in the lower left and Spearman’s rank correlation coefficient in the upper right relative to the diagonal components. ***, **,  and ** indicate statistical significance at the 1%, 5%, and 10% levels, respectively.</w:t>
      </w:r>
    </w:p>
    <w:p w14:paraId="3D1E16CA" w14:textId="77777777" w:rsidR="007373F6" w:rsidRDefault="007373F6">
      <w:pPr>
        <w:pBdr>
          <w:top w:val="nil"/>
          <w:left w:val="nil"/>
          <w:bottom w:val="nil"/>
          <w:right w:val="nil"/>
          <w:between w:val="nil"/>
        </w:pBdr>
        <w:spacing w:before="240" w:after="120" w:line="240" w:lineRule="auto"/>
        <w:jc w:val="both"/>
        <w:rPr>
          <w:rFonts w:ascii="Times New Roman" w:eastAsia="Times New Roman" w:hAnsi="Times New Roman" w:cs="Times New Roman"/>
          <w:color w:val="000000"/>
          <w:sz w:val="24"/>
          <w:szCs w:val="24"/>
          <w:highlight w:val="yellow"/>
        </w:rPr>
      </w:pPr>
    </w:p>
    <w:p w14:paraId="465D1355" w14:textId="77777777" w:rsidR="007373F6" w:rsidRDefault="00000000">
      <w:pPr>
        <w:widowControl w:val="0"/>
        <w:spacing w:after="0" w:line="240" w:lineRule="auto"/>
        <w:jc w:val="both"/>
        <w:rPr>
          <w:rFonts w:ascii="游明朝" w:eastAsia="游明朝" w:hAnsi="游明朝" w:cs="游明朝"/>
          <w:color w:val="000000"/>
          <w:sz w:val="21"/>
          <w:szCs w:val="21"/>
        </w:rPr>
      </w:pPr>
      <w:r>
        <w:rPr>
          <w:rFonts w:ascii="Times New Roman" w:eastAsia="Times New Roman" w:hAnsi="Times New Roman" w:cs="Times New Roman"/>
          <w:b/>
          <w:color w:val="000000"/>
          <w:sz w:val="24"/>
          <w:szCs w:val="24"/>
        </w:rPr>
        <w:t xml:space="preserve">Table 2: </w:t>
      </w:r>
      <w:r w:rsidRPr="00CA3E0F">
        <w:rPr>
          <w:rFonts w:ascii="Times New Roman" w:eastAsia="Times New Roman" w:hAnsi="Times New Roman" w:cs="Times New Roman"/>
          <w:bCs/>
          <w:color w:val="000000"/>
          <w:sz w:val="24"/>
          <w:szCs w:val="24"/>
        </w:rPr>
        <w:t>Factors associated with IFRS adoption</w:t>
      </w:r>
    </w:p>
    <w:tbl>
      <w:tblPr>
        <w:tblStyle w:val="aa"/>
        <w:tblW w:w="9026" w:type="dxa"/>
        <w:tblLayout w:type="fixed"/>
        <w:tblLook w:val="0400" w:firstRow="0" w:lastRow="0" w:firstColumn="0" w:lastColumn="0" w:noHBand="0" w:noVBand="1"/>
      </w:tblPr>
      <w:tblGrid>
        <w:gridCol w:w="1960"/>
        <w:gridCol w:w="958"/>
        <w:gridCol w:w="583"/>
        <w:gridCol w:w="240"/>
        <w:gridCol w:w="975"/>
        <w:gridCol w:w="583"/>
        <w:gridCol w:w="240"/>
        <w:gridCol w:w="1018"/>
        <w:gridCol w:w="606"/>
        <w:gridCol w:w="240"/>
        <w:gridCol w:w="1041"/>
        <w:gridCol w:w="582"/>
      </w:tblGrid>
      <w:tr w:rsidR="007373F6" w14:paraId="04FE0D7C" w14:textId="77777777">
        <w:trPr>
          <w:trHeight w:val="280"/>
        </w:trPr>
        <w:tc>
          <w:tcPr>
            <w:tcW w:w="1960" w:type="dxa"/>
            <w:tcBorders>
              <w:left w:val="nil"/>
              <w:bottom w:val="single" w:sz="4" w:space="0" w:color="000000"/>
              <w:right w:val="nil"/>
            </w:tcBorders>
            <w:shd w:val="clear" w:color="auto" w:fill="FFFFFF"/>
          </w:tcPr>
          <w:p w14:paraId="7BBB7672"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0"/>
                <w:id w:val="-352248334"/>
              </w:sdtPr>
              <w:sdtContent>
                <w:r>
                  <w:rPr>
                    <w:rFonts w:ascii="Arial Unicode MS" w:eastAsia="Arial Unicode MS" w:hAnsi="Arial Unicode MS" w:cs="Arial Unicode MS"/>
                    <w:color w:val="000000"/>
                    <w:sz w:val="20"/>
                    <w:szCs w:val="20"/>
                  </w:rPr>
                  <w:t xml:space="preserve">　</w:t>
                </w:r>
              </w:sdtContent>
            </w:sdt>
          </w:p>
        </w:tc>
        <w:tc>
          <w:tcPr>
            <w:tcW w:w="958" w:type="dxa"/>
            <w:tcBorders>
              <w:left w:val="nil"/>
              <w:bottom w:val="single" w:sz="4" w:space="0" w:color="000000"/>
              <w:right w:val="nil"/>
            </w:tcBorders>
            <w:shd w:val="clear" w:color="auto" w:fill="FFFFFF"/>
          </w:tcPr>
          <w:p w14:paraId="61BBFA0F"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1"/>
                <w:id w:val="-823545375"/>
              </w:sdtPr>
              <w:sdtContent>
                <w:r>
                  <w:rPr>
                    <w:rFonts w:ascii="Arial Unicode MS" w:eastAsia="Arial Unicode MS" w:hAnsi="Arial Unicode MS" w:cs="Arial Unicode MS"/>
                    <w:color w:val="000000"/>
                    <w:sz w:val="20"/>
                    <w:szCs w:val="20"/>
                  </w:rPr>
                  <w:t xml:space="preserve">　</w:t>
                </w:r>
              </w:sdtContent>
            </w:sdt>
          </w:p>
        </w:tc>
        <w:tc>
          <w:tcPr>
            <w:tcW w:w="583" w:type="dxa"/>
            <w:tcBorders>
              <w:left w:val="nil"/>
              <w:bottom w:val="single" w:sz="4" w:space="0" w:color="000000"/>
              <w:right w:val="nil"/>
            </w:tcBorders>
            <w:shd w:val="clear" w:color="auto" w:fill="FFFFFF"/>
          </w:tcPr>
          <w:p w14:paraId="0374FB07"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2"/>
                <w:id w:val="-1070194177"/>
              </w:sdtPr>
              <w:sdtContent>
                <w:r>
                  <w:rPr>
                    <w:rFonts w:ascii="Arial Unicode MS" w:eastAsia="Arial Unicode MS" w:hAnsi="Arial Unicode MS" w:cs="Arial Unicode MS"/>
                    <w:color w:val="000000"/>
                    <w:sz w:val="20"/>
                    <w:szCs w:val="20"/>
                  </w:rPr>
                  <w:t xml:space="preserve">　</w:t>
                </w:r>
              </w:sdtContent>
            </w:sdt>
          </w:p>
        </w:tc>
        <w:tc>
          <w:tcPr>
            <w:tcW w:w="240" w:type="dxa"/>
            <w:tcBorders>
              <w:left w:val="nil"/>
              <w:bottom w:val="single" w:sz="4" w:space="0" w:color="000000"/>
              <w:right w:val="nil"/>
            </w:tcBorders>
            <w:shd w:val="clear" w:color="auto" w:fill="FFFFFF"/>
          </w:tcPr>
          <w:p w14:paraId="39CEEC66"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3"/>
                <w:id w:val="1571240659"/>
              </w:sdtPr>
              <w:sdtContent>
                <w:r>
                  <w:rPr>
                    <w:rFonts w:ascii="Arial Unicode MS" w:eastAsia="Arial Unicode MS" w:hAnsi="Arial Unicode MS" w:cs="Arial Unicode MS"/>
                    <w:color w:val="000000"/>
                    <w:sz w:val="20"/>
                    <w:szCs w:val="20"/>
                  </w:rPr>
                  <w:t xml:space="preserve">　</w:t>
                </w:r>
              </w:sdtContent>
            </w:sdt>
          </w:p>
        </w:tc>
        <w:tc>
          <w:tcPr>
            <w:tcW w:w="975" w:type="dxa"/>
            <w:tcBorders>
              <w:left w:val="nil"/>
              <w:bottom w:val="single" w:sz="4" w:space="0" w:color="000000"/>
              <w:right w:val="nil"/>
            </w:tcBorders>
            <w:shd w:val="clear" w:color="auto" w:fill="FFFFFF"/>
          </w:tcPr>
          <w:p w14:paraId="524FC904"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4"/>
                <w:id w:val="-1195875999"/>
              </w:sdtPr>
              <w:sdtContent>
                <w:r>
                  <w:rPr>
                    <w:rFonts w:ascii="Arial Unicode MS" w:eastAsia="Arial Unicode MS" w:hAnsi="Arial Unicode MS" w:cs="Arial Unicode MS"/>
                    <w:color w:val="000000"/>
                    <w:sz w:val="20"/>
                    <w:szCs w:val="20"/>
                  </w:rPr>
                  <w:t xml:space="preserve">　</w:t>
                </w:r>
              </w:sdtContent>
            </w:sdt>
          </w:p>
        </w:tc>
        <w:tc>
          <w:tcPr>
            <w:tcW w:w="583" w:type="dxa"/>
            <w:tcBorders>
              <w:left w:val="nil"/>
              <w:bottom w:val="single" w:sz="4" w:space="0" w:color="000000"/>
              <w:right w:val="nil"/>
            </w:tcBorders>
            <w:shd w:val="clear" w:color="auto" w:fill="FFFFFF"/>
          </w:tcPr>
          <w:p w14:paraId="59DF6EA0"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5"/>
                <w:id w:val="-321399968"/>
              </w:sdtPr>
              <w:sdtContent>
                <w:r>
                  <w:rPr>
                    <w:rFonts w:ascii="Arial Unicode MS" w:eastAsia="Arial Unicode MS" w:hAnsi="Arial Unicode MS" w:cs="Arial Unicode MS"/>
                    <w:color w:val="000000"/>
                    <w:sz w:val="20"/>
                    <w:szCs w:val="20"/>
                  </w:rPr>
                  <w:t xml:space="preserve">　</w:t>
                </w:r>
              </w:sdtContent>
            </w:sdt>
          </w:p>
        </w:tc>
        <w:tc>
          <w:tcPr>
            <w:tcW w:w="240" w:type="dxa"/>
            <w:tcBorders>
              <w:left w:val="nil"/>
              <w:bottom w:val="single" w:sz="4" w:space="0" w:color="000000"/>
              <w:right w:val="nil"/>
            </w:tcBorders>
            <w:shd w:val="clear" w:color="auto" w:fill="FFFFFF"/>
          </w:tcPr>
          <w:p w14:paraId="6BA3D799"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6"/>
                <w:id w:val="-688740414"/>
              </w:sdtPr>
              <w:sdtContent>
                <w:r>
                  <w:rPr>
                    <w:rFonts w:ascii="Arial Unicode MS" w:eastAsia="Arial Unicode MS" w:hAnsi="Arial Unicode MS" w:cs="Arial Unicode MS"/>
                    <w:color w:val="000000"/>
                    <w:sz w:val="20"/>
                    <w:szCs w:val="20"/>
                  </w:rPr>
                  <w:t xml:space="preserve">　</w:t>
                </w:r>
              </w:sdtContent>
            </w:sdt>
          </w:p>
        </w:tc>
        <w:tc>
          <w:tcPr>
            <w:tcW w:w="1018" w:type="dxa"/>
            <w:tcBorders>
              <w:left w:val="nil"/>
              <w:bottom w:val="single" w:sz="4" w:space="0" w:color="000000"/>
              <w:right w:val="nil"/>
            </w:tcBorders>
            <w:shd w:val="clear" w:color="auto" w:fill="FFFFFF"/>
          </w:tcPr>
          <w:p w14:paraId="079302DE"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7"/>
                <w:id w:val="1981825279"/>
              </w:sdtPr>
              <w:sdtContent>
                <w:r>
                  <w:rPr>
                    <w:rFonts w:ascii="Arial Unicode MS" w:eastAsia="Arial Unicode MS" w:hAnsi="Arial Unicode MS" w:cs="Arial Unicode MS"/>
                    <w:color w:val="000000"/>
                    <w:sz w:val="20"/>
                    <w:szCs w:val="20"/>
                  </w:rPr>
                  <w:t xml:space="preserve">　</w:t>
                </w:r>
              </w:sdtContent>
            </w:sdt>
          </w:p>
        </w:tc>
        <w:tc>
          <w:tcPr>
            <w:tcW w:w="606" w:type="dxa"/>
            <w:tcBorders>
              <w:left w:val="nil"/>
              <w:bottom w:val="single" w:sz="4" w:space="0" w:color="000000"/>
              <w:right w:val="nil"/>
            </w:tcBorders>
            <w:shd w:val="clear" w:color="auto" w:fill="FFFFFF"/>
          </w:tcPr>
          <w:p w14:paraId="2DE1C2E9"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8"/>
                <w:id w:val="1425619322"/>
              </w:sdtPr>
              <w:sdtContent>
                <w:r>
                  <w:rPr>
                    <w:rFonts w:ascii="Arial Unicode MS" w:eastAsia="Arial Unicode MS" w:hAnsi="Arial Unicode MS" w:cs="Arial Unicode MS"/>
                    <w:color w:val="000000"/>
                    <w:sz w:val="20"/>
                    <w:szCs w:val="20"/>
                  </w:rPr>
                  <w:t xml:space="preserve">　</w:t>
                </w:r>
              </w:sdtContent>
            </w:sdt>
          </w:p>
        </w:tc>
        <w:tc>
          <w:tcPr>
            <w:tcW w:w="240" w:type="dxa"/>
            <w:tcBorders>
              <w:left w:val="nil"/>
              <w:bottom w:val="single" w:sz="4" w:space="0" w:color="000000"/>
              <w:right w:val="nil"/>
            </w:tcBorders>
            <w:shd w:val="clear" w:color="auto" w:fill="FFFFFF"/>
          </w:tcPr>
          <w:p w14:paraId="48FF2A54"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9"/>
                <w:id w:val="192710661"/>
              </w:sdtPr>
              <w:sdtContent>
                <w:r>
                  <w:rPr>
                    <w:rFonts w:ascii="Arial Unicode MS" w:eastAsia="Arial Unicode MS" w:hAnsi="Arial Unicode MS" w:cs="Arial Unicode MS"/>
                    <w:color w:val="000000"/>
                    <w:sz w:val="20"/>
                    <w:szCs w:val="20"/>
                  </w:rPr>
                  <w:t xml:space="preserve">　</w:t>
                </w:r>
              </w:sdtContent>
            </w:sdt>
          </w:p>
        </w:tc>
        <w:tc>
          <w:tcPr>
            <w:tcW w:w="1041" w:type="dxa"/>
            <w:tcBorders>
              <w:left w:val="nil"/>
              <w:bottom w:val="single" w:sz="4" w:space="0" w:color="000000"/>
              <w:right w:val="nil"/>
            </w:tcBorders>
            <w:shd w:val="clear" w:color="auto" w:fill="FFFFFF"/>
          </w:tcPr>
          <w:p w14:paraId="0007AF83"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10"/>
                <w:id w:val="2011905735"/>
              </w:sdtPr>
              <w:sdtContent>
                <w:r>
                  <w:rPr>
                    <w:rFonts w:ascii="Arial Unicode MS" w:eastAsia="Arial Unicode MS" w:hAnsi="Arial Unicode MS" w:cs="Arial Unicode MS"/>
                    <w:color w:val="000000"/>
                    <w:sz w:val="20"/>
                    <w:szCs w:val="20"/>
                  </w:rPr>
                  <w:t xml:space="preserve">　</w:t>
                </w:r>
              </w:sdtContent>
            </w:sdt>
          </w:p>
        </w:tc>
        <w:tc>
          <w:tcPr>
            <w:tcW w:w="582" w:type="dxa"/>
            <w:tcBorders>
              <w:left w:val="nil"/>
              <w:bottom w:val="single" w:sz="4" w:space="0" w:color="000000"/>
              <w:right w:val="nil"/>
            </w:tcBorders>
            <w:shd w:val="clear" w:color="auto" w:fill="FFFFFF"/>
          </w:tcPr>
          <w:p w14:paraId="41E4E3A5"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11"/>
                <w:id w:val="-1846885103"/>
              </w:sdtPr>
              <w:sdtContent>
                <w:r>
                  <w:rPr>
                    <w:rFonts w:ascii="Arial Unicode MS" w:eastAsia="Arial Unicode MS" w:hAnsi="Arial Unicode MS" w:cs="Arial Unicode MS"/>
                    <w:color w:val="000000"/>
                    <w:sz w:val="20"/>
                    <w:szCs w:val="20"/>
                  </w:rPr>
                  <w:t xml:space="preserve">　</w:t>
                </w:r>
              </w:sdtContent>
            </w:sdt>
          </w:p>
        </w:tc>
      </w:tr>
      <w:tr w:rsidR="007373F6" w14:paraId="2B501728" w14:textId="77777777">
        <w:trPr>
          <w:trHeight w:val="280"/>
        </w:trPr>
        <w:tc>
          <w:tcPr>
            <w:tcW w:w="2918" w:type="dxa"/>
            <w:gridSpan w:val="2"/>
            <w:tcBorders>
              <w:left w:val="nil"/>
              <w:right w:val="nil"/>
            </w:tcBorders>
            <w:shd w:val="clear" w:color="auto" w:fill="FFFFFF"/>
            <w:vAlign w:val="center"/>
          </w:tcPr>
          <w:p w14:paraId="2157F55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Dependent variable=IFRS</w:t>
            </w:r>
          </w:p>
        </w:tc>
        <w:tc>
          <w:tcPr>
            <w:tcW w:w="583" w:type="dxa"/>
            <w:tcBorders>
              <w:left w:val="nil"/>
              <w:right w:val="nil"/>
            </w:tcBorders>
            <w:shd w:val="clear" w:color="auto" w:fill="FFFFFF"/>
          </w:tcPr>
          <w:p w14:paraId="466AB86E"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12"/>
                <w:id w:val="1645783828"/>
              </w:sdtPr>
              <w:sdtContent>
                <w:r>
                  <w:rPr>
                    <w:rFonts w:ascii="Arial Unicode MS" w:eastAsia="Arial Unicode MS" w:hAnsi="Arial Unicode MS" w:cs="Arial Unicode MS"/>
                    <w:color w:val="000000"/>
                    <w:sz w:val="18"/>
                    <w:szCs w:val="18"/>
                  </w:rPr>
                  <w:t xml:space="preserve">　</w:t>
                </w:r>
              </w:sdtContent>
            </w:sdt>
          </w:p>
        </w:tc>
        <w:tc>
          <w:tcPr>
            <w:tcW w:w="240" w:type="dxa"/>
            <w:tcBorders>
              <w:left w:val="nil"/>
              <w:right w:val="nil"/>
            </w:tcBorders>
            <w:shd w:val="clear" w:color="auto" w:fill="FFFFFF"/>
          </w:tcPr>
          <w:p w14:paraId="073240E9"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13"/>
                <w:id w:val="-1084367958"/>
              </w:sdtPr>
              <w:sdtContent>
                <w:r>
                  <w:rPr>
                    <w:rFonts w:ascii="Arial Unicode MS" w:eastAsia="Arial Unicode MS" w:hAnsi="Arial Unicode MS" w:cs="Arial Unicode MS"/>
                    <w:color w:val="000000"/>
                    <w:sz w:val="18"/>
                    <w:szCs w:val="18"/>
                  </w:rPr>
                  <w:t xml:space="preserve">　</w:t>
                </w:r>
              </w:sdtContent>
            </w:sdt>
          </w:p>
        </w:tc>
        <w:tc>
          <w:tcPr>
            <w:tcW w:w="975" w:type="dxa"/>
            <w:tcBorders>
              <w:left w:val="nil"/>
              <w:right w:val="nil"/>
            </w:tcBorders>
            <w:shd w:val="clear" w:color="auto" w:fill="FFFFFF"/>
          </w:tcPr>
          <w:p w14:paraId="2DF0E22B"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14"/>
                <w:id w:val="601086343"/>
              </w:sdtPr>
              <w:sdtContent>
                <w:r>
                  <w:rPr>
                    <w:rFonts w:ascii="Arial Unicode MS" w:eastAsia="Arial Unicode MS" w:hAnsi="Arial Unicode MS" w:cs="Arial Unicode MS"/>
                    <w:color w:val="000000"/>
                    <w:sz w:val="18"/>
                    <w:szCs w:val="18"/>
                  </w:rPr>
                  <w:t xml:space="preserve">　</w:t>
                </w:r>
              </w:sdtContent>
            </w:sdt>
          </w:p>
        </w:tc>
        <w:tc>
          <w:tcPr>
            <w:tcW w:w="583" w:type="dxa"/>
            <w:tcBorders>
              <w:left w:val="nil"/>
              <w:right w:val="nil"/>
            </w:tcBorders>
            <w:shd w:val="clear" w:color="auto" w:fill="FFFFFF"/>
          </w:tcPr>
          <w:p w14:paraId="0D2155F4"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15"/>
                <w:id w:val="444258942"/>
              </w:sdtPr>
              <w:sdtContent>
                <w:r>
                  <w:rPr>
                    <w:rFonts w:ascii="Arial Unicode MS" w:eastAsia="Arial Unicode MS" w:hAnsi="Arial Unicode MS" w:cs="Arial Unicode MS"/>
                    <w:color w:val="000000"/>
                    <w:sz w:val="18"/>
                    <w:szCs w:val="18"/>
                  </w:rPr>
                  <w:t xml:space="preserve">　</w:t>
                </w:r>
              </w:sdtContent>
            </w:sdt>
          </w:p>
        </w:tc>
        <w:tc>
          <w:tcPr>
            <w:tcW w:w="240" w:type="dxa"/>
            <w:tcBorders>
              <w:left w:val="nil"/>
              <w:right w:val="nil"/>
            </w:tcBorders>
            <w:shd w:val="clear" w:color="auto" w:fill="FFFFFF"/>
          </w:tcPr>
          <w:p w14:paraId="52EB2C4F"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16"/>
                <w:id w:val="-880382069"/>
              </w:sdtPr>
              <w:sdtContent>
                <w:r>
                  <w:rPr>
                    <w:rFonts w:ascii="Arial Unicode MS" w:eastAsia="Arial Unicode MS" w:hAnsi="Arial Unicode MS" w:cs="Arial Unicode MS"/>
                    <w:color w:val="000000"/>
                    <w:sz w:val="18"/>
                    <w:szCs w:val="18"/>
                  </w:rPr>
                  <w:t xml:space="preserve">　</w:t>
                </w:r>
              </w:sdtContent>
            </w:sdt>
          </w:p>
        </w:tc>
        <w:tc>
          <w:tcPr>
            <w:tcW w:w="1018" w:type="dxa"/>
            <w:tcBorders>
              <w:left w:val="nil"/>
              <w:right w:val="nil"/>
            </w:tcBorders>
            <w:shd w:val="clear" w:color="auto" w:fill="FFFFFF"/>
          </w:tcPr>
          <w:p w14:paraId="230FB528"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17"/>
                <w:id w:val="1701722307"/>
              </w:sdtPr>
              <w:sdtContent>
                <w:r>
                  <w:rPr>
                    <w:rFonts w:ascii="Arial Unicode MS" w:eastAsia="Arial Unicode MS" w:hAnsi="Arial Unicode MS" w:cs="Arial Unicode MS"/>
                    <w:color w:val="000000"/>
                    <w:sz w:val="18"/>
                    <w:szCs w:val="18"/>
                  </w:rPr>
                  <w:t xml:space="preserve">　</w:t>
                </w:r>
              </w:sdtContent>
            </w:sdt>
          </w:p>
        </w:tc>
        <w:tc>
          <w:tcPr>
            <w:tcW w:w="606" w:type="dxa"/>
            <w:tcBorders>
              <w:left w:val="nil"/>
              <w:right w:val="nil"/>
            </w:tcBorders>
            <w:shd w:val="clear" w:color="auto" w:fill="FFFFFF"/>
          </w:tcPr>
          <w:p w14:paraId="2CA58CEF"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18"/>
                <w:id w:val="689258869"/>
              </w:sdtPr>
              <w:sdtContent>
                <w:r>
                  <w:rPr>
                    <w:rFonts w:ascii="Arial Unicode MS" w:eastAsia="Arial Unicode MS" w:hAnsi="Arial Unicode MS" w:cs="Arial Unicode MS"/>
                    <w:color w:val="000000"/>
                    <w:sz w:val="18"/>
                    <w:szCs w:val="18"/>
                  </w:rPr>
                  <w:t xml:space="preserve">　</w:t>
                </w:r>
              </w:sdtContent>
            </w:sdt>
          </w:p>
        </w:tc>
        <w:tc>
          <w:tcPr>
            <w:tcW w:w="240" w:type="dxa"/>
            <w:tcBorders>
              <w:left w:val="nil"/>
              <w:right w:val="nil"/>
            </w:tcBorders>
            <w:shd w:val="clear" w:color="auto" w:fill="FFFFFF"/>
          </w:tcPr>
          <w:p w14:paraId="661C78A6"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19"/>
                <w:id w:val="1112822661"/>
              </w:sdtPr>
              <w:sdtContent>
                <w:r>
                  <w:rPr>
                    <w:rFonts w:ascii="Arial Unicode MS" w:eastAsia="Arial Unicode MS" w:hAnsi="Arial Unicode MS" w:cs="Arial Unicode MS"/>
                    <w:color w:val="000000"/>
                    <w:sz w:val="18"/>
                    <w:szCs w:val="18"/>
                  </w:rPr>
                  <w:t xml:space="preserve">　</w:t>
                </w:r>
              </w:sdtContent>
            </w:sdt>
          </w:p>
        </w:tc>
        <w:tc>
          <w:tcPr>
            <w:tcW w:w="1041" w:type="dxa"/>
            <w:tcBorders>
              <w:left w:val="nil"/>
              <w:right w:val="nil"/>
            </w:tcBorders>
            <w:shd w:val="clear" w:color="auto" w:fill="FFFFFF"/>
          </w:tcPr>
          <w:p w14:paraId="6D4D719C"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20"/>
                <w:id w:val="1192705493"/>
              </w:sdtPr>
              <w:sdtContent>
                <w:r>
                  <w:rPr>
                    <w:rFonts w:ascii="Arial Unicode MS" w:eastAsia="Arial Unicode MS" w:hAnsi="Arial Unicode MS" w:cs="Arial Unicode MS"/>
                    <w:color w:val="000000"/>
                    <w:sz w:val="18"/>
                    <w:szCs w:val="18"/>
                  </w:rPr>
                  <w:t xml:space="preserve">　</w:t>
                </w:r>
              </w:sdtContent>
            </w:sdt>
          </w:p>
        </w:tc>
        <w:tc>
          <w:tcPr>
            <w:tcW w:w="582" w:type="dxa"/>
            <w:tcBorders>
              <w:left w:val="nil"/>
              <w:right w:val="nil"/>
            </w:tcBorders>
            <w:shd w:val="clear" w:color="auto" w:fill="FFFFFF"/>
          </w:tcPr>
          <w:p w14:paraId="4F0C70CC"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21"/>
                <w:id w:val="-1048392857"/>
              </w:sdtPr>
              <w:sdtContent>
                <w:r>
                  <w:rPr>
                    <w:rFonts w:ascii="Arial Unicode MS" w:eastAsia="Arial Unicode MS" w:hAnsi="Arial Unicode MS" w:cs="Arial Unicode MS"/>
                    <w:color w:val="000000"/>
                    <w:sz w:val="18"/>
                    <w:szCs w:val="18"/>
                  </w:rPr>
                  <w:t xml:space="preserve">　</w:t>
                </w:r>
              </w:sdtContent>
            </w:sdt>
          </w:p>
        </w:tc>
      </w:tr>
      <w:tr w:rsidR="007373F6" w14:paraId="697848D1" w14:textId="77777777">
        <w:trPr>
          <w:trHeight w:val="280"/>
        </w:trPr>
        <w:tc>
          <w:tcPr>
            <w:tcW w:w="1960" w:type="dxa"/>
            <w:tcBorders>
              <w:left w:val="nil"/>
              <w:bottom w:val="single" w:sz="4" w:space="0" w:color="000000"/>
              <w:right w:val="nil"/>
            </w:tcBorders>
            <w:shd w:val="clear" w:color="auto" w:fill="FFFFFF"/>
          </w:tcPr>
          <w:p w14:paraId="3A95133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Pr>
                <w:rFonts w:ascii="ＭＳ 明朝" w:hAnsi="ＭＳ 明朝" w:cs="ＭＳ 明朝"/>
                <w:color w:val="000000"/>
                <w:sz w:val="18"/>
                <w:szCs w:val="18"/>
              </w:rPr>
              <w:t xml:space="preserve">　</w:t>
            </w:r>
            <w:r>
              <w:rPr>
                <w:rFonts w:ascii="Times New Roman" w:eastAsia="Times New Roman" w:hAnsi="Times New Roman" w:cs="Times New Roman"/>
                <w:color w:val="000000"/>
                <w:sz w:val="18"/>
                <w:szCs w:val="18"/>
              </w:rPr>
              <w:t xml:space="preserve"> Probit model</w:t>
            </w:r>
          </w:p>
        </w:tc>
        <w:tc>
          <w:tcPr>
            <w:tcW w:w="958" w:type="dxa"/>
            <w:tcBorders>
              <w:top w:val="single" w:sz="4" w:space="0" w:color="000000"/>
              <w:left w:val="nil"/>
              <w:bottom w:val="single" w:sz="4" w:space="0" w:color="000000"/>
              <w:right w:val="nil"/>
            </w:tcBorders>
            <w:shd w:val="clear" w:color="auto" w:fill="FFFFFF"/>
            <w:vAlign w:val="center"/>
          </w:tcPr>
          <w:p w14:paraId="040F6CA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583" w:type="dxa"/>
            <w:tcBorders>
              <w:top w:val="single" w:sz="4" w:space="0" w:color="000000"/>
              <w:left w:val="nil"/>
              <w:bottom w:val="single" w:sz="4" w:space="0" w:color="000000"/>
              <w:right w:val="nil"/>
            </w:tcBorders>
            <w:shd w:val="clear" w:color="auto" w:fill="FFFFFF"/>
          </w:tcPr>
          <w:p w14:paraId="5EC8925E"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22"/>
                <w:id w:val="1914677828"/>
              </w:sdtPr>
              <w:sdtContent>
                <w:r>
                  <w:rPr>
                    <w:rFonts w:ascii="Arial Unicode MS" w:eastAsia="Arial Unicode MS" w:hAnsi="Arial Unicode MS" w:cs="Arial Unicode MS"/>
                    <w:color w:val="000000"/>
                    <w:sz w:val="18"/>
                    <w:szCs w:val="18"/>
                  </w:rPr>
                  <w:t xml:space="preserve">　</w:t>
                </w:r>
              </w:sdtContent>
            </w:sdt>
          </w:p>
        </w:tc>
        <w:tc>
          <w:tcPr>
            <w:tcW w:w="240" w:type="dxa"/>
            <w:tcBorders>
              <w:top w:val="single" w:sz="4" w:space="0" w:color="000000"/>
              <w:left w:val="nil"/>
              <w:bottom w:val="single" w:sz="4" w:space="0" w:color="000000"/>
              <w:right w:val="nil"/>
            </w:tcBorders>
            <w:shd w:val="clear" w:color="auto" w:fill="FFFFFF"/>
          </w:tcPr>
          <w:p w14:paraId="4FA40D78"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23"/>
                <w:id w:val="-1900631623"/>
              </w:sdtPr>
              <w:sdtContent>
                <w:r>
                  <w:rPr>
                    <w:rFonts w:ascii="Arial Unicode MS" w:eastAsia="Arial Unicode MS" w:hAnsi="Arial Unicode MS" w:cs="Arial Unicode MS"/>
                    <w:color w:val="000000"/>
                    <w:sz w:val="18"/>
                    <w:szCs w:val="18"/>
                  </w:rPr>
                  <w:t xml:space="preserve">　</w:t>
                </w:r>
              </w:sdtContent>
            </w:sdt>
          </w:p>
        </w:tc>
        <w:tc>
          <w:tcPr>
            <w:tcW w:w="975" w:type="dxa"/>
            <w:tcBorders>
              <w:top w:val="single" w:sz="4" w:space="0" w:color="000000"/>
              <w:left w:val="nil"/>
              <w:bottom w:val="single" w:sz="4" w:space="0" w:color="000000"/>
              <w:right w:val="nil"/>
            </w:tcBorders>
            <w:shd w:val="clear" w:color="auto" w:fill="FFFFFF"/>
            <w:vAlign w:val="center"/>
          </w:tcPr>
          <w:p w14:paraId="63A58EF5"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583" w:type="dxa"/>
            <w:tcBorders>
              <w:top w:val="single" w:sz="4" w:space="0" w:color="000000"/>
              <w:left w:val="nil"/>
              <w:bottom w:val="single" w:sz="4" w:space="0" w:color="000000"/>
              <w:right w:val="nil"/>
            </w:tcBorders>
            <w:shd w:val="clear" w:color="auto" w:fill="FFFFFF"/>
          </w:tcPr>
          <w:p w14:paraId="616A2917"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24"/>
                <w:id w:val="-1281611468"/>
              </w:sdtPr>
              <w:sdtContent>
                <w:r>
                  <w:rPr>
                    <w:rFonts w:ascii="Arial Unicode MS" w:eastAsia="Arial Unicode MS" w:hAnsi="Arial Unicode MS" w:cs="Arial Unicode MS"/>
                    <w:color w:val="000000"/>
                    <w:sz w:val="18"/>
                    <w:szCs w:val="18"/>
                  </w:rPr>
                  <w:t xml:space="preserve">　</w:t>
                </w:r>
              </w:sdtContent>
            </w:sdt>
          </w:p>
        </w:tc>
        <w:tc>
          <w:tcPr>
            <w:tcW w:w="240" w:type="dxa"/>
            <w:tcBorders>
              <w:top w:val="single" w:sz="4" w:space="0" w:color="000000"/>
              <w:left w:val="nil"/>
              <w:bottom w:val="single" w:sz="4" w:space="0" w:color="000000"/>
              <w:right w:val="nil"/>
            </w:tcBorders>
            <w:shd w:val="clear" w:color="auto" w:fill="FFFFFF"/>
          </w:tcPr>
          <w:p w14:paraId="40B73A43"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25"/>
                <w:id w:val="1678077995"/>
              </w:sdtPr>
              <w:sdtContent>
                <w:r>
                  <w:rPr>
                    <w:rFonts w:ascii="Arial Unicode MS" w:eastAsia="Arial Unicode MS" w:hAnsi="Arial Unicode MS" w:cs="Arial Unicode MS"/>
                    <w:color w:val="000000"/>
                    <w:sz w:val="18"/>
                    <w:szCs w:val="18"/>
                  </w:rPr>
                  <w:t xml:space="preserve">　</w:t>
                </w:r>
              </w:sdtContent>
            </w:sdt>
          </w:p>
        </w:tc>
        <w:tc>
          <w:tcPr>
            <w:tcW w:w="1018" w:type="dxa"/>
            <w:tcBorders>
              <w:top w:val="single" w:sz="4" w:space="0" w:color="000000"/>
              <w:left w:val="nil"/>
              <w:bottom w:val="single" w:sz="4" w:space="0" w:color="000000"/>
              <w:right w:val="nil"/>
            </w:tcBorders>
            <w:shd w:val="clear" w:color="auto" w:fill="FFFFFF"/>
            <w:vAlign w:val="center"/>
          </w:tcPr>
          <w:p w14:paraId="5042ED3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p>
        </w:tc>
        <w:tc>
          <w:tcPr>
            <w:tcW w:w="606" w:type="dxa"/>
            <w:tcBorders>
              <w:top w:val="single" w:sz="4" w:space="0" w:color="000000"/>
              <w:left w:val="nil"/>
              <w:bottom w:val="single" w:sz="4" w:space="0" w:color="000000"/>
              <w:right w:val="nil"/>
            </w:tcBorders>
            <w:shd w:val="clear" w:color="auto" w:fill="FFFFFF"/>
          </w:tcPr>
          <w:p w14:paraId="329223E7"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26"/>
                <w:id w:val="1590384997"/>
              </w:sdtPr>
              <w:sdtContent>
                <w:r>
                  <w:rPr>
                    <w:rFonts w:ascii="Arial Unicode MS" w:eastAsia="Arial Unicode MS" w:hAnsi="Arial Unicode MS" w:cs="Arial Unicode MS"/>
                    <w:color w:val="000000"/>
                    <w:sz w:val="18"/>
                    <w:szCs w:val="18"/>
                  </w:rPr>
                  <w:t xml:space="preserve">　</w:t>
                </w:r>
              </w:sdtContent>
            </w:sdt>
          </w:p>
        </w:tc>
        <w:tc>
          <w:tcPr>
            <w:tcW w:w="240" w:type="dxa"/>
            <w:tcBorders>
              <w:top w:val="single" w:sz="4" w:space="0" w:color="000000"/>
              <w:left w:val="nil"/>
              <w:bottom w:val="single" w:sz="4" w:space="0" w:color="000000"/>
              <w:right w:val="nil"/>
            </w:tcBorders>
            <w:shd w:val="clear" w:color="auto" w:fill="FFFFFF"/>
          </w:tcPr>
          <w:p w14:paraId="2B782A1D"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27"/>
                <w:id w:val="1991079270"/>
              </w:sdtPr>
              <w:sdtContent>
                <w:r>
                  <w:rPr>
                    <w:rFonts w:ascii="Arial Unicode MS" w:eastAsia="Arial Unicode MS" w:hAnsi="Arial Unicode MS" w:cs="Arial Unicode MS"/>
                    <w:color w:val="000000"/>
                    <w:sz w:val="18"/>
                    <w:szCs w:val="18"/>
                  </w:rPr>
                  <w:t xml:space="preserve">　</w:t>
                </w:r>
              </w:sdtContent>
            </w:sdt>
          </w:p>
        </w:tc>
        <w:tc>
          <w:tcPr>
            <w:tcW w:w="1041" w:type="dxa"/>
            <w:tcBorders>
              <w:top w:val="single" w:sz="4" w:space="0" w:color="000000"/>
              <w:left w:val="nil"/>
              <w:bottom w:val="single" w:sz="4" w:space="0" w:color="000000"/>
              <w:right w:val="nil"/>
            </w:tcBorders>
            <w:shd w:val="clear" w:color="auto" w:fill="FFFFFF"/>
            <w:vAlign w:val="center"/>
          </w:tcPr>
          <w:p w14:paraId="3BF4622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w:t>
            </w:r>
          </w:p>
        </w:tc>
        <w:tc>
          <w:tcPr>
            <w:tcW w:w="582" w:type="dxa"/>
            <w:tcBorders>
              <w:top w:val="single" w:sz="4" w:space="0" w:color="000000"/>
              <w:left w:val="nil"/>
              <w:bottom w:val="single" w:sz="4" w:space="0" w:color="000000"/>
              <w:right w:val="nil"/>
            </w:tcBorders>
            <w:shd w:val="clear" w:color="auto" w:fill="FFFFFF"/>
          </w:tcPr>
          <w:p w14:paraId="2966D7FA"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28"/>
                <w:id w:val="727256049"/>
              </w:sdtPr>
              <w:sdtContent>
                <w:r>
                  <w:rPr>
                    <w:rFonts w:ascii="Arial Unicode MS" w:eastAsia="Arial Unicode MS" w:hAnsi="Arial Unicode MS" w:cs="Arial Unicode MS"/>
                    <w:color w:val="000000"/>
                    <w:sz w:val="18"/>
                    <w:szCs w:val="18"/>
                  </w:rPr>
                  <w:t xml:space="preserve">　</w:t>
                </w:r>
              </w:sdtContent>
            </w:sdt>
          </w:p>
        </w:tc>
      </w:tr>
      <w:tr w:rsidR="007373F6" w14:paraId="116B6892" w14:textId="77777777">
        <w:trPr>
          <w:trHeight w:val="280"/>
        </w:trPr>
        <w:tc>
          <w:tcPr>
            <w:tcW w:w="1960" w:type="dxa"/>
            <w:tcBorders>
              <w:left w:val="nil"/>
              <w:right w:val="nil"/>
            </w:tcBorders>
            <w:shd w:val="clear" w:color="auto" w:fill="FFFFFF"/>
            <w:vAlign w:val="center"/>
          </w:tcPr>
          <w:p w14:paraId="468E603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FOREIGN HELD</w:t>
            </w:r>
          </w:p>
        </w:tc>
        <w:tc>
          <w:tcPr>
            <w:tcW w:w="958" w:type="dxa"/>
            <w:tcBorders>
              <w:left w:val="nil"/>
              <w:right w:val="nil"/>
            </w:tcBorders>
            <w:shd w:val="clear" w:color="auto" w:fill="FFFFFF"/>
          </w:tcPr>
          <w:p w14:paraId="5F0D826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583" w:type="dxa"/>
            <w:tcBorders>
              <w:left w:val="nil"/>
              <w:right w:val="nil"/>
            </w:tcBorders>
            <w:shd w:val="clear" w:color="auto" w:fill="FFFFFF"/>
          </w:tcPr>
          <w:p w14:paraId="2450AF9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466E001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tcPr>
          <w:p w14:paraId="050634F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583" w:type="dxa"/>
            <w:tcBorders>
              <w:left w:val="nil"/>
              <w:right w:val="nil"/>
            </w:tcBorders>
            <w:shd w:val="clear" w:color="auto" w:fill="FFFFFF"/>
          </w:tcPr>
          <w:p w14:paraId="5A2AD3E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3811100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01A0A9B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0.2448</w:t>
            </w:r>
          </w:p>
        </w:tc>
        <w:tc>
          <w:tcPr>
            <w:tcW w:w="606" w:type="dxa"/>
            <w:tcBorders>
              <w:left w:val="nil"/>
              <w:right w:val="nil"/>
            </w:tcBorders>
            <w:shd w:val="clear" w:color="auto" w:fill="FFFFFF"/>
            <w:vAlign w:val="center"/>
          </w:tcPr>
          <w:p w14:paraId="0B9BD52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744C324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2A3274C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0.2488</w:t>
            </w:r>
          </w:p>
        </w:tc>
        <w:tc>
          <w:tcPr>
            <w:tcW w:w="582" w:type="dxa"/>
            <w:tcBorders>
              <w:left w:val="nil"/>
              <w:right w:val="nil"/>
            </w:tcBorders>
            <w:shd w:val="clear" w:color="auto" w:fill="FFFFFF"/>
            <w:vAlign w:val="center"/>
          </w:tcPr>
          <w:p w14:paraId="6CB5B19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0E4230C8" w14:textId="77777777">
        <w:trPr>
          <w:trHeight w:val="280"/>
        </w:trPr>
        <w:tc>
          <w:tcPr>
            <w:tcW w:w="1960" w:type="dxa"/>
            <w:tcBorders>
              <w:left w:val="nil"/>
              <w:right w:val="nil"/>
            </w:tcBorders>
            <w:shd w:val="clear" w:color="auto" w:fill="FFFFFF"/>
          </w:tcPr>
          <w:p w14:paraId="609753D2"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29"/>
                <w:id w:val="-1933298272"/>
              </w:sdtPr>
              <w:sdtContent>
                <w:r>
                  <w:rPr>
                    <w:rFonts w:ascii="Arial Unicode MS" w:eastAsia="Arial Unicode MS" w:hAnsi="Arial Unicode MS" w:cs="Arial Unicode MS"/>
                    <w:color w:val="000000"/>
                    <w:sz w:val="18"/>
                    <w:szCs w:val="18"/>
                  </w:rPr>
                  <w:t xml:space="preserve">　</w:t>
                </w:r>
              </w:sdtContent>
            </w:sdt>
          </w:p>
        </w:tc>
        <w:tc>
          <w:tcPr>
            <w:tcW w:w="958" w:type="dxa"/>
            <w:tcBorders>
              <w:left w:val="nil"/>
              <w:right w:val="nil"/>
            </w:tcBorders>
            <w:shd w:val="clear" w:color="auto" w:fill="FFFFFF"/>
          </w:tcPr>
          <w:p w14:paraId="287794A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583" w:type="dxa"/>
            <w:tcBorders>
              <w:left w:val="nil"/>
              <w:right w:val="nil"/>
            </w:tcBorders>
            <w:shd w:val="clear" w:color="auto" w:fill="FFFFFF"/>
          </w:tcPr>
          <w:p w14:paraId="0E8DA93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6BA0D2A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tcPr>
          <w:p w14:paraId="13BE5BA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583" w:type="dxa"/>
            <w:tcBorders>
              <w:left w:val="nil"/>
              <w:right w:val="nil"/>
            </w:tcBorders>
            <w:shd w:val="clear" w:color="auto" w:fill="FFFFFF"/>
          </w:tcPr>
          <w:p w14:paraId="08CF3A2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10F61F1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4D138F0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(0.035)</w:t>
            </w:r>
          </w:p>
        </w:tc>
        <w:tc>
          <w:tcPr>
            <w:tcW w:w="606" w:type="dxa"/>
            <w:tcBorders>
              <w:left w:val="nil"/>
              <w:right w:val="nil"/>
            </w:tcBorders>
            <w:shd w:val="clear" w:color="auto" w:fill="FFFFFF"/>
          </w:tcPr>
          <w:p w14:paraId="0263831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3EA9115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770B772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(0.032)</w:t>
            </w:r>
          </w:p>
        </w:tc>
        <w:tc>
          <w:tcPr>
            <w:tcW w:w="582" w:type="dxa"/>
            <w:tcBorders>
              <w:left w:val="nil"/>
              <w:right w:val="nil"/>
            </w:tcBorders>
            <w:shd w:val="clear" w:color="auto" w:fill="FFFFFF"/>
          </w:tcPr>
          <w:p w14:paraId="0DE7BCC9"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64FA7421" w14:textId="77777777">
        <w:trPr>
          <w:trHeight w:val="280"/>
        </w:trPr>
        <w:tc>
          <w:tcPr>
            <w:tcW w:w="1960" w:type="dxa"/>
            <w:tcBorders>
              <w:left w:val="nil"/>
              <w:right w:val="nil"/>
            </w:tcBorders>
            <w:shd w:val="clear" w:color="auto" w:fill="FFFFFF"/>
            <w:vAlign w:val="center"/>
          </w:tcPr>
          <w:p w14:paraId="1C56204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GW</w:t>
            </w:r>
          </w:p>
        </w:tc>
        <w:tc>
          <w:tcPr>
            <w:tcW w:w="958" w:type="dxa"/>
            <w:tcBorders>
              <w:left w:val="nil"/>
              <w:right w:val="nil"/>
            </w:tcBorders>
            <w:shd w:val="clear" w:color="auto" w:fill="FFFFFF"/>
            <w:vAlign w:val="center"/>
          </w:tcPr>
          <w:p w14:paraId="2F202EE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6.6831</w:t>
            </w:r>
          </w:p>
        </w:tc>
        <w:tc>
          <w:tcPr>
            <w:tcW w:w="583" w:type="dxa"/>
            <w:tcBorders>
              <w:left w:val="nil"/>
              <w:right w:val="nil"/>
            </w:tcBorders>
            <w:shd w:val="clear" w:color="auto" w:fill="FFFFFF"/>
            <w:vAlign w:val="center"/>
          </w:tcPr>
          <w:p w14:paraId="00B47D8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2741936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19C139C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6.6908</w:t>
            </w:r>
          </w:p>
        </w:tc>
        <w:tc>
          <w:tcPr>
            <w:tcW w:w="583" w:type="dxa"/>
            <w:tcBorders>
              <w:left w:val="nil"/>
              <w:right w:val="nil"/>
            </w:tcBorders>
            <w:shd w:val="clear" w:color="auto" w:fill="FFFFFF"/>
            <w:vAlign w:val="center"/>
          </w:tcPr>
          <w:p w14:paraId="24D163D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0FEFEC3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02459F3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6.6698</w:t>
            </w:r>
          </w:p>
        </w:tc>
        <w:tc>
          <w:tcPr>
            <w:tcW w:w="606" w:type="dxa"/>
            <w:tcBorders>
              <w:left w:val="nil"/>
              <w:right w:val="nil"/>
            </w:tcBorders>
            <w:shd w:val="clear" w:color="auto" w:fill="FFFFFF"/>
            <w:vAlign w:val="center"/>
          </w:tcPr>
          <w:p w14:paraId="43F89BD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337E529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10326F3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6.6774</w:t>
            </w:r>
          </w:p>
        </w:tc>
        <w:tc>
          <w:tcPr>
            <w:tcW w:w="582" w:type="dxa"/>
            <w:tcBorders>
              <w:left w:val="nil"/>
              <w:right w:val="nil"/>
            </w:tcBorders>
            <w:shd w:val="clear" w:color="auto" w:fill="FFFFFF"/>
            <w:vAlign w:val="center"/>
          </w:tcPr>
          <w:p w14:paraId="79E1C2C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6C6937C9" w14:textId="77777777">
        <w:trPr>
          <w:trHeight w:val="280"/>
        </w:trPr>
        <w:tc>
          <w:tcPr>
            <w:tcW w:w="1960" w:type="dxa"/>
            <w:tcBorders>
              <w:left w:val="nil"/>
              <w:right w:val="nil"/>
            </w:tcBorders>
            <w:shd w:val="clear" w:color="auto" w:fill="FFFFFF"/>
          </w:tcPr>
          <w:p w14:paraId="77461164"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30"/>
                <w:id w:val="377050809"/>
              </w:sdtPr>
              <w:sdtContent>
                <w:r>
                  <w:rPr>
                    <w:rFonts w:ascii="Arial Unicode MS" w:eastAsia="Arial Unicode MS" w:hAnsi="Arial Unicode MS" w:cs="Arial Unicode MS"/>
                    <w:color w:val="000000"/>
                    <w:sz w:val="18"/>
                    <w:szCs w:val="18"/>
                  </w:rPr>
                  <w:t xml:space="preserve">　</w:t>
                </w:r>
              </w:sdtContent>
            </w:sdt>
          </w:p>
        </w:tc>
        <w:tc>
          <w:tcPr>
            <w:tcW w:w="958" w:type="dxa"/>
            <w:tcBorders>
              <w:left w:val="nil"/>
              <w:right w:val="nil"/>
            </w:tcBorders>
            <w:shd w:val="clear" w:color="auto" w:fill="FFFFFF"/>
            <w:vAlign w:val="center"/>
          </w:tcPr>
          <w:p w14:paraId="56162FC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3" w:type="dxa"/>
            <w:tcBorders>
              <w:left w:val="nil"/>
              <w:right w:val="nil"/>
            </w:tcBorders>
            <w:shd w:val="clear" w:color="auto" w:fill="FFFFFF"/>
          </w:tcPr>
          <w:p w14:paraId="2C32AD7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2F36A55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5E711FD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3" w:type="dxa"/>
            <w:tcBorders>
              <w:left w:val="nil"/>
              <w:right w:val="nil"/>
            </w:tcBorders>
            <w:shd w:val="clear" w:color="auto" w:fill="FFFFFF"/>
          </w:tcPr>
          <w:p w14:paraId="34E062C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1F39A7E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01EA692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606" w:type="dxa"/>
            <w:tcBorders>
              <w:left w:val="nil"/>
              <w:right w:val="nil"/>
            </w:tcBorders>
            <w:shd w:val="clear" w:color="auto" w:fill="FFFFFF"/>
          </w:tcPr>
          <w:p w14:paraId="18D11E7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298B7E0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676E8A2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2" w:type="dxa"/>
            <w:tcBorders>
              <w:left w:val="nil"/>
              <w:right w:val="nil"/>
            </w:tcBorders>
            <w:shd w:val="clear" w:color="auto" w:fill="FFFFFF"/>
          </w:tcPr>
          <w:p w14:paraId="16B65861"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1F880D78" w14:textId="77777777">
        <w:trPr>
          <w:trHeight w:val="280"/>
        </w:trPr>
        <w:tc>
          <w:tcPr>
            <w:tcW w:w="1960" w:type="dxa"/>
            <w:tcBorders>
              <w:left w:val="nil"/>
              <w:right w:val="nil"/>
            </w:tcBorders>
            <w:shd w:val="clear" w:color="auto" w:fill="FFFFFF"/>
          </w:tcPr>
          <w:p w14:paraId="1B8DFCD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RD</w:t>
            </w:r>
          </w:p>
        </w:tc>
        <w:tc>
          <w:tcPr>
            <w:tcW w:w="958" w:type="dxa"/>
            <w:tcBorders>
              <w:left w:val="nil"/>
              <w:right w:val="nil"/>
            </w:tcBorders>
            <w:shd w:val="clear" w:color="auto" w:fill="FFFFFF"/>
            <w:vAlign w:val="center"/>
          </w:tcPr>
          <w:p w14:paraId="312A012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0.0198</w:t>
            </w:r>
          </w:p>
        </w:tc>
        <w:tc>
          <w:tcPr>
            <w:tcW w:w="583" w:type="dxa"/>
            <w:tcBorders>
              <w:left w:val="nil"/>
              <w:right w:val="nil"/>
            </w:tcBorders>
            <w:shd w:val="clear" w:color="auto" w:fill="FFFFFF"/>
          </w:tcPr>
          <w:p w14:paraId="337AF35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0ED6E11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64872DC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0.0200</w:t>
            </w:r>
          </w:p>
        </w:tc>
        <w:tc>
          <w:tcPr>
            <w:tcW w:w="583" w:type="dxa"/>
            <w:tcBorders>
              <w:left w:val="nil"/>
              <w:right w:val="nil"/>
            </w:tcBorders>
            <w:shd w:val="clear" w:color="auto" w:fill="FFFFFF"/>
          </w:tcPr>
          <w:p w14:paraId="30F47BD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2E3EEE2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3F43E16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0.0194</w:t>
            </w:r>
          </w:p>
        </w:tc>
        <w:tc>
          <w:tcPr>
            <w:tcW w:w="606" w:type="dxa"/>
            <w:tcBorders>
              <w:left w:val="nil"/>
              <w:right w:val="nil"/>
            </w:tcBorders>
            <w:shd w:val="clear" w:color="auto" w:fill="FFFFFF"/>
          </w:tcPr>
          <w:p w14:paraId="2A2A267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2E11C5F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7AE3A94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0.0195</w:t>
            </w:r>
          </w:p>
        </w:tc>
        <w:tc>
          <w:tcPr>
            <w:tcW w:w="582" w:type="dxa"/>
            <w:tcBorders>
              <w:left w:val="nil"/>
              <w:right w:val="nil"/>
            </w:tcBorders>
            <w:shd w:val="clear" w:color="auto" w:fill="FFFFFF"/>
          </w:tcPr>
          <w:p w14:paraId="0AE21D3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5EE7755E" w14:textId="77777777">
        <w:trPr>
          <w:trHeight w:val="280"/>
        </w:trPr>
        <w:tc>
          <w:tcPr>
            <w:tcW w:w="1960" w:type="dxa"/>
            <w:tcBorders>
              <w:left w:val="nil"/>
              <w:right w:val="nil"/>
            </w:tcBorders>
            <w:shd w:val="clear" w:color="auto" w:fill="FFFFFF"/>
          </w:tcPr>
          <w:p w14:paraId="41796E7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58" w:type="dxa"/>
            <w:tcBorders>
              <w:left w:val="nil"/>
              <w:right w:val="nil"/>
            </w:tcBorders>
            <w:shd w:val="clear" w:color="auto" w:fill="FFFFFF"/>
            <w:vAlign w:val="center"/>
          </w:tcPr>
          <w:p w14:paraId="6A8EA13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3" w:type="dxa"/>
            <w:tcBorders>
              <w:left w:val="nil"/>
              <w:right w:val="nil"/>
            </w:tcBorders>
            <w:shd w:val="clear" w:color="auto" w:fill="FFFFFF"/>
          </w:tcPr>
          <w:p w14:paraId="7CCBB5B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2E06F53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5BF905D5"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3" w:type="dxa"/>
            <w:tcBorders>
              <w:left w:val="nil"/>
              <w:right w:val="nil"/>
            </w:tcBorders>
            <w:shd w:val="clear" w:color="auto" w:fill="FFFFFF"/>
          </w:tcPr>
          <w:p w14:paraId="7B619C9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6AC1090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0A83FFA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606" w:type="dxa"/>
            <w:tcBorders>
              <w:left w:val="nil"/>
              <w:right w:val="nil"/>
            </w:tcBorders>
            <w:shd w:val="clear" w:color="auto" w:fill="FFFFFF"/>
          </w:tcPr>
          <w:p w14:paraId="04F26BC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631E66A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2055AE1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2" w:type="dxa"/>
            <w:tcBorders>
              <w:left w:val="nil"/>
              <w:right w:val="nil"/>
            </w:tcBorders>
            <w:shd w:val="clear" w:color="auto" w:fill="FFFFFF"/>
          </w:tcPr>
          <w:p w14:paraId="1204D837"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1DF195D6" w14:textId="77777777">
        <w:trPr>
          <w:trHeight w:val="280"/>
        </w:trPr>
        <w:tc>
          <w:tcPr>
            <w:tcW w:w="1960" w:type="dxa"/>
            <w:tcBorders>
              <w:left w:val="nil"/>
              <w:right w:val="nil"/>
            </w:tcBorders>
            <w:shd w:val="clear" w:color="auto" w:fill="FFFFFF"/>
            <w:vAlign w:val="center"/>
          </w:tcPr>
          <w:p w14:paraId="708E8A9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CROSS</w:t>
            </w:r>
          </w:p>
        </w:tc>
        <w:tc>
          <w:tcPr>
            <w:tcW w:w="958" w:type="dxa"/>
            <w:tcBorders>
              <w:left w:val="nil"/>
              <w:right w:val="nil"/>
            </w:tcBorders>
            <w:shd w:val="clear" w:color="auto" w:fill="FFFFFF"/>
            <w:vAlign w:val="center"/>
          </w:tcPr>
          <w:p w14:paraId="27687F5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-1.6888</w:t>
            </w:r>
          </w:p>
        </w:tc>
        <w:tc>
          <w:tcPr>
            <w:tcW w:w="583" w:type="dxa"/>
            <w:tcBorders>
              <w:left w:val="nil"/>
              <w:right w:val="nil"/>
            </w:tcBorders>
            <w:shd w:val="clear" w:color="auto" w:fill="FFFFFF"/>
            <w:vAlign w:val="center"/>
          </w:tcPr>
          <w:p w14:paraId="6EEA831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35B53DE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0514109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-1.6812</w:t>
            </w:r>
          </w:p>
        </w:tc>
        <w:tc>
          <w:tcPr>
            <w:tcW w:w="583" w:type="dxa"/>
            <w:tcBorders>
              <w:left w:val="nil"/>
              <w:right w:val="nil"/>
            </w:tcBorders>
            <w:shd w:val="clear" w:color="auto" w:fill="FFFFFF"/>
            <w:vAlign w:val="center"/>
          </w:tcPr>
          <w:p w14:paraId="6DCD7CF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7F40298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5B87295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-1.6290</w:t>
            </w:r>
          </w:p>
        </w:tc>
        <w:tc>
          <w:tcPr>
            <w:tcW w:w="606" w:type="dxa"/>
            <w:tcBorders>
              <w:left w:val="nil"/>
              <w:right w:val="nil"/>
            </w:tcBorders>
            <w:shd w:val="clear" w:color="auto" w:fill="FFFFFF"/>
            <w:vAlign w:val="center"/>
          </w:tcPr>
          <w:p w14:paraId="6B49D91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0B19B26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73DCEC1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-1.6202</w:t>
            </w:r>
          </w:p>
        </w:tc>
        <w:tc>
          <w:tcPr>
            <w:tcW w:w="582" w:type="dxa"/>
            <w:tcBorders>
              <w:left w:val="nil"/>
              <w:right w:val="nil"/>
            </w:tcBorders>
            <w:shd w:val="clear" w:color="auto" w:fill="FFFFFF"/>
            <w:vAlign w:val="center"/>
          </w:tcPr>
          <w:p w14:paraId="7D5AC2D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6391217D" w14:textId="77777777">
        <w:trPr>
          <w:trHeight w:val="280"/>
        </w:trPr>
        <w:tc>
          <w:tcPr>
            <w:tcW w:w="1960" w:type="dxa"/>
            <w:tcBorders>
              <w:left w:val="nil"/>
              <w:right w:val="nil"/>
            </w:tcBorders>
            <w:shd w:val="clear" w:color="auto" w:fill="FFFFFF"/>
          </w:tcPr>
          <w:p w14:paraId="580E0397"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31"/>
                <w:id w:val="159872848"/>
              </w:sdtPr>
              <w:sdtContent>
                <w:r>
                  <w:rPr>
                    <w:rFonts w:ascii="Arial Unicode MS" w:eastAsia="Arial Unicode MS" w:hAnsi="Arial Unicode MS" w:cs="Arial Unicode MS"/>
                    <w:color w:val="000000"/>
                    <w:sz w:val="18"/>
                    <w:szCs w:val="18"/>
                  </w:rPr>
                  <w:t xml:space="preserve">　</w:t>
                </w:r>
              </w:sdtContent>
            </w:sdt>
          </w:p>
        </w:tc>
        <w:tc>
          <w:tcPr>
            <w:tcW w:w="958" w:type="dxa"/>
            <w:tcBorders>
              <w:left w:val="nil"/>
              <w:right w:val="nil"/>
            </w:tcBorders>
            <w:shd w:val="clear" w:color="auto" w:fill="FFFFFF"/>
            <w:vAlign w:val="center"/>
          </w:tcPr>
          <w:p w14:paraId="2CAC915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3" w:type="dxa"/>
            <w:tcBorders>
              <w:left w:val="nil"/>
              <w:right w:val="nil"/>
            </w:tcBorders>
            <w:shd w:val="clear" w:color="auto" w:fill="FFFFFF"/>
          </w:tcPr>
          <w:p w14:paraId="734FCBF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57514A2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6497931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3" w:type="dxa"/>
            <w:tcBorders>
              <w:left w:val="nil"/>
              <w:right w:val="nil"/>
            </w:tcBorders>
            <w:shd w:val="clear" w:color="auto" w:fill="FFFFFF"/>
          </w:tcPr>
          <w:p w14:paraId="25F1AA2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431A404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612021D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606" w:type="dxa"/>
            <w:tcBorders>
              <w:left w:val="nil"/>
              <w:right w:val="nil"/>
            </w:tcBorders>
            <w:shd w:val="clear" w:color="auto" w:fill="FFFFFF"/>
          </w:tcPr>
          <w:p w14:paraId="28BFAE6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5C92186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6BBE2A3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2" w:type="dxa"/>
            <w:tcBorders>
              <w:left w:val="nil"/>
              <w:right w:val="nil"/>
            </w:tcBorders>
            <w:shd w:val="clear" w:color="auto" w:fill="FFFFFF"/>
          </w:tcPr>
          <w:p w14:paraId="796645CF"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4C2E22F8" w14:textId="77777777">
        <w:trPr>
          <w:trHeight w:val="280"/>
        </w:trPr>
        <w:tc>
          <w:tcPr>
            <w:tcW w:w="1960" w:type="dxa"/>
            <w:tcBorders>
              <w:left w:val="nil"/>
              <w:right w:val="nil"/>
            </w:tcBorders>
            <w:shd w:val="clear" w:color="auto" w:fill="FFFFFF"/>
            <w:vAlign w:val="center"/>
          </w:tcPr>
          <w:p w14:paraId="51BEAC0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FOREIGN SALES</w:t>
            </w:r>
          </w:p>
        </w:tc>
        <w:tc>
          <w:tcPr>
            <w:tcW w:w="958" w:type="dxa"/>
            <w:tcBorders>
              <w:left w:val="nil"/>
              <w:right w:val="nil"/>
            </w:tcBorders>
            <w:shd w:val="clear" w:color="auto" w:fill="FFFFFF"/>
            <w:vAlign w:val="center"/>
          </w:tcPr>
          <w:p w14:paraId="1ADA467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0.6907</w:t>
            </w:r>
          </w:p>
        </w:tc>
        <w:tc>
          <w:tcPr>
            <w:tcW w:w="583" w:type="dxa"/>
            <w:tcBorders>
              <w:left w:val="nil"/>
              <w:right w:val="nil"/>
            </w:tcBorders>
            <w:shd w:val="clear" w:color="auto" w:fill="FFFFFF"/>
            <w:vAlign w:val="center"/>
          </w:tcPr>
          <w:p w14:paraId="42CCEB8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4A73DC9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59E2DBE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0.6952</w:t>
            </w:r>
          </w:p>
        </w:tc>
        <w:tc>
          <w:tcPr>
            <w:tcW w:w="583" w:type="dxa"/>
            <w:tcBorders>
              <w:left w:val="nil"/>
              <w:right w:val="nil"/>
            </w:tcBorders>
            <w:shd w:val="clear" w:color="auto" w:fill="FFFFFF"/>
            <w:vAlign w:val="center"/>
          </w:tcPr>
          <w:p w14:paraId="6F1A421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5D6585A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1AC44A4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0.6678</w:t>
            </w:r>
          </w:p>
        </w:tc>
        <w:tc>
          <w:tcPr>
            <w:tcW w:w="606" w:type="dxa"/>
            <w:tcBorders>
              <w:left w:val="nil"/>
              <w:right w:val="nil"/>
            </w:tcBorders>
            <w:shd w:val="clear" w:color="auto" w:fill="FFFFFF"/>
            <w:vAlign w:val="center"/>
          </w:tcPr>
          <w:p w14:paraId="776268F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1562EB5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0EEBF17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0.6720</w:t>
            </w:r>
          </w:p>
        </w:tc>
        <w:tc>
          <w:tcPr>
            <w:tcW w:w="582" w:type="dxa"/>
            <w:tcBorders>
              <w:left w:val="nil"/>
              <w:right w:val="nil"/>
            </w:tcBorders>
            <w:shd w:val="clear" w:color="auto" w:fill="FFFFFF"/>
            <w:vAlign w:val="center"/>
          </w:tcPr>
          <w:p w14:paraId="0C9BB2F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29BF5BCB" w14:textId="77777777">
        <w:trPr>
          <w:trHeight w:val="280"/>
        </w:trPr>
        <w:tc>
          <w:tcPr>
            <w:tcW w:w="1960" w:type="dxa"/>
            <w:tcBorders>
              <w:left w:val="nil"/>
              <w:right w:val="nil"/>
            </w:tcBorders>
            <w:shd w:val="clear" w:color="auto" w:fill="FFFFFF"/>
          </w:tcPr>
          <w:p w14:paraId="2100717E"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32"/>
                <w:id w:val="556533211"/>
              </w:sdtPr>
              <w:sdtContent>
                <w:r>
                  <w:rPr>
                    <w:rFonts w:ascii="Arial Unicode MS" w:eastAsia="Arial Unicode MS" w:hAnsi="Arial Unicode MS" w:cs="Arial Unicode MS"/>
                    <w:color w:val="000000"/>
                    <w:sz w:val="18"/>
                    <w:szCs w:val="18"/>
                  </w:rPr>
                  <w:t xml:space="preserve">　</w:t>
                </w:r>
              </w:sdtContent>
            </w:sdt>
          </w:p>
        </w:tc>
        <w:tc>
          <w:tcPr>
            <w:tcW w:w="958" w:type="dxa"/>
            <w:tcBorders>
              <w:left w:val="nil"/>
              <w:right w:val="nil"/>
            </w:tcBorders>
            <w:shd w:val="clear" w:color="auto" w:fill="FFFFFF"/>
            <w:vAlign w:val="center"/>
          </w:tcPr>
          <w:p w14:paraId="290EA9B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3" w:type="dxa"/>
            <w:tcBorders>
              <w:left w:val="nil"/>
              <w:right w:val="nil"/>
            </w:tcBorders>
            <w:shd w:val="clear" w:color="auto" w:fill="FFFFFF"/>
          </w:tcPr>
          <w:p w14:paraId="3292B5F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415C8E3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16C7BB2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3" w:type="dxa"/>
            <w:tcBorders>
              <w:left w:val="nil"/>
              <w:right w:val="nil"/>
            </w:tcBorders>
            <w:shd w:val="clear" w:color="auto" w:fill="FFFFFF"/>
          </w:tcPr>
          <w:p w14:paraId="0762A5D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6E814CE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716FEFF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606" w:type="dxa"/>
            <w:tcBorders>
              <w:left w:val="nil"/>
              <w:right w:val="nil"/>
            </w:tcBorders>
            <w:shd w:val="clear" w:color="auto" w:fill="FFFFFF"/>
          </w:tcPr>
          <w:p w14:paraId="6E54C90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45B1726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437EB74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2" w:type="dxa"/>
            <w:tcBorders>
              <w:left w:val="nil"/>
              <w:right w:val="nil"/>
            </w:tcBorders>
            <w:shd w:val="clear" w:color="auto" w:fill="FFFFFF"/>
          </w:tcPr>
          <w:p w14:paraId="6F4AF5AA"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090D05C3" w14:textId="77777777">
        <w:trPr>
          <w:trHeight w:val="280"/>
        </w:trPr>
        <w:tc>
          <w:tcPr>
            <w:tcW w:w="1960" w:type="dxa"/>
            <w:tcBorders>
              <w:left w:val="nil"/>
              <w:right w:val="nil"/>
            </w:tcBorders>
            <w:shd w:val="clear" w:color="auto" w:fill="FFFFFF"/>
            <w:vAlign w:val="center"/>
          </w:tcPr>
          <w:p w14:paraId="2D3136E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SIZE</w:t>
            </w:r>
          </w:p>
        </w:tc>
        <w:tc>
          <w:tcPr>
            <w:tcW w:w="958" w:type="dxa"/>
            <w:tcBorders>
              <w:left w:val="nil"/>
              <w:right w:val="nil"/>
            </w:tcBorders>
            <w:shd w:val="clear" w:color="auto" w:fill="FFFFFF"/>
            <w:vAlign w:val="center"/>
          </w:tcPr>
          <w:p w14:paraId="5414836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0.4059</w:t>
            </w:r>
          </w:p>
        </w:tc>
        <w:tc>
          <w:tcPr>
            <w:tcW w:w="583" w:type="dxa"/>
            <w:tcBorders>
              <w:left w:val="nil"/>
              <w:right w:val="nil"/>
            </w:tcBorders>
            <w:shd w:val="clear" w:color="auto" w:fill="FFFFFF"/>
            <w:vAlign w:val="center"/>
          </w:tcPr>
          <w:p w14:paraId="3200E7F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67CF023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0B95910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0.4063</w:t>
            </w:r>
          </w:p>
        </w:tc>
        <w:tc>
          <w:tcPr>
            <w:tcW w:w="583" w:type="dxa"/>
            <w:tcBorders>
              <w:left w:val="nil"/>
              <w:right w:val="nil"/>
            </w:tcBorders>
            <w:shd w:val="clear" w:color="auto" w:fill="FFFFFF"/>
            <w:vAlign w:val="center"/>
          </w:tcPr>
          <w:p w14:paraId="03E9ECE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4032EDB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7CD6EA2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0.3959</w:t>
            </w:r>
          </w:p>
        </w:tc>
        <w:tc>
          <w:tcPr>
            <w:tcW w:w="606" w:type="dxa"/>
            <w:tcBorders>
              <w:left w:val="nil"/>
              <w:right w:val="nil"/>
            </w:tcBorders>
            <w:shd w:val="clear" w:color="auto" w:fill="FFFFFF"/>
            <w:vAlign w:val="center"/>
          </w:tcPr>
          <w:p w14:paraId="5BE20ED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0A5F65B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08CE8FC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0.3960</w:t>
            </w:r>
          </w:p>
        </w:tc>
        <w:tc>
          <w:tcPr>
            <w:tcW w:w="582" w:type="dxa"/>
            <w:tcBorders>
              <w:left w:val="nil"/>
              <w:right w:val="nil"/>
            </w:tcBorders>
            <w:shd w:val="clear" w:color="auto" w:fill="FFFFFF"/>
            <w:vAlign w:val="center"/>
          </w:tcPr>
          <w:p w14:paraId="776F6F4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4ED44314" w14:textId="77777777">
        <w:trPr>
          <w:trHeight w:val="280"/>
        </w:trPr>
        <w:tc>
          <w:tcPr>
            <w:tcW w:w="1960" w:type="dxa"/>
            <w:tcBorders>
              <w:left w:val="nil"/>
              <w:right w:val="nil"/>
            </w:tcBorders>
            <w:shd w:val="clear" w:color="auto" w:fill="FFFFFF"/>
          </w:tcPr>
          <w:p w14:paraId="53A2ACD5"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33"/>
                <w:id w:val="1526754369"/>
              </w:sdtPr>
              <w:sdtContent>
                <w:r>
                  <w:rPr>
                    <w:rFonts w:ascii="Arial Unicode MS" w:eastAsia="Arial Unicode MS" w:hAnsi="Arial Unicode MS" w:cs="Arial Unicode MS"/>
                    <w:color w:val="000000"/>
                    <w:sz w:val="18"/>
                    <w:szCs w:val="18"/>
                  </w:rPr>
                  <w:t xml:space="preserve">　</w:t>
                </w:r>
              </w:sdtContent>
            </w:sdt>
          </w:p>
        </w:tc>
        <w:tc>
          <w:tcPr>
            <w:tcW w:w="958" w:type="dxa"/>
            <w:tcBorders>
              <w:left w:val="nil"/>
              <w:right w:val="nil"/>
            </w:tcBorders>
            <w:shd w:val="clear" w:color="auto" w:fill="FFFFFF"/>
            <w:vAlign w:val="center"/>
          </w:tcPr>
          <w:p w14:paraId="22CD3A8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3" w:type="dxa"/>
            <w:tcBorders>
              <w:left w:val="nil"/>
              <w:right w:val="nil"/>
            </w:tcBorders>
            <w:shd w:val="clear" w:color="auto" w:fill="FFFFFF"/>
          </w:tcPr>
          <w:p w14:paraId="364BFE8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1C70499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1AC35FA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3" w:type="dxa"/>
            <w:tcBorders>
              <w:left w:val="nil"/>
              <w:right w:val="nil"/>
            </w:tcBorders>
            <w:shd w:val="clear" w:color="auto" w:fill="FFFFFF"/>
          </w:tcPr>
          <w:p w14:paraId="5439359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31C9332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0EBD18F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606" w:type="dxa"/>
            <w:tcBorders>
              <w:left w:val="nil"/>
              <w:right w:val="nil"/>
            </w:tcBorders>
            <w:shd w:val="clear" w:color="auto" w:fill="FFFFFF"/>
          </w:tcPr>
          <w:p w14:paraId="0773B0D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7C5424A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430E56B5"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2" w:type="dxa"/>
            <w:tcBorders>
              <w:left w:val="nil"/>
              <w:right w:val="nil"/>
            </w:tcBorders>
            <w:shd w:val="clear" w:color="auto" w:fill="FFFFFF"/>
          </w:tcPr>
          <w:p w14:paraId="18214156"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2B237179" w14:textId="77777777">
        <w:trPr>
          <w:trHeight w:val="280"/>
        </w:trPr>
        <w:tc>
          <w:tcPr>
            <w:tcW w:w="1960" w:type="dxa"/>
            <w:tcBorders>
              <w:left w:val="nil"/>
              <w:right w:val="nil"/>
            </w:tcBorders>
            <w:shd w:val="clear" w:color="auto" w:fill="FFFFFF"/>
          </w:tcPr>
          <w:p w14:paraId="401E310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ROA</w:t>
            </w:r>
          </w:p>
        </w:tc>
        <w:tc>
          <w:tcPr>
            <w:tcW w:w="958" w:type="dxa"/>
            <w:tcBorders>
              <w:left w:val="nil"/>
              <w:right w:val="nil"/>
            </w:tcBorders>
            <w:shd w:val="clear" w:color="auto" w:fill="FFFFFF"/>
            <w:vAlign w:val="center"/>
          </w:tcPr>
          <w:p w14:paraId="614ACBE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0.3938</w:t>
            </w:r>
          </w:p>
        </w:tc>
        <w:tc>
          <w:tcPr>
            <w:tcW w:w="583" w:type="dxa"/>
            <w:tcBorders>
              <w:left w:val="nil"/>
              <w:right w:val="nil"/>
            </w:tcBorders>
            <w:shd w:val="clear" w:color="auto" w:fill="FFFFFF"/>
          </w:tcPr>
          <w:p w14:paraId="0D7E37C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3E2E069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06BE8A2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0.3943</w:t>
            </w:r>
          </w:p>
        </w:tc>
        <w:tc>
          <w:tcPr>
            <w:tcW w:w="583" w:type="dxa"/>
            <w:tcBorders>
              <w:left w:val="nil"/>
              <w:right w:val="nil"/>
            </w:tcBorders>
            <w:shd w:val="clear" w:color="auto" w:fill="FFFFFF"/>
          </w:tcPr>
          <w:p w14:paraId="56C774E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3CDBACB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527E8FB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0.3565</w:t>
            </w:r>
          </w:p>
        </w:tc>
        <w:tc>
          <w:tcPr>
            <w:tcW w:w="606" w:type="dxa"/>
            <w:tcBorders>
              <w:left w:val="nil"/>
              <w:right w:val="nil"/>
            </w:tcBorders>
            <w:shd w:val="clear" w:color="auto" w:fill="FFFFFF"/>
          </w:tcPr>
          <w:p w14:paraId="5C5B92F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40226F9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041ED2F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0.3567</w:t>
            </w:r>
          </w:p>
        </w:tc>
        <w:tc>
          <w:tcPr>
            <w:tcW w:w="582" w:type="dxa"/>
            <w:tcBorders>
              <w:left w:val="nil"/>
              <w:right w:val="nil"/>
            </w:tcBorders>
            <w:shd w:val="clear" w:color="auto" w:fill="FFFFFF"/>
          </w:tcPr>
          <w:p w14:paraId="2D90E81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355B40B6" w14:textId="77777777">
        <w:trPr>
          <w:trHeight w:val="280"/>
        </w:trPr>
        <w:tc>
          <w:tcPr>
            <w:tcW w:w="1960" w:type="dxa"/>
            <w:tcBorders>
              <w:left w:val="nil"/>
              <w:right w:val="nil"/>
            </w:tcBorders>
            <w:shd w:val="clear" w:color="auto" w:fill="FFFFFF"/>
          </w:tcPr>
          <w:p w14:paraId="09C509A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58" w:type="dxa"/>
            <w:tcBorders>
              <w:left w:val="nil"/>
              <w:right w:val="nil"/>
            </w:tcBorders>
            <w:shd w:val="clear" w:color="auto" w:fill="FFFFFF"/>
            <w:vAlign w:val="center"/>
          </w:tcPr>
          <w:p w14:paraId="670EEA5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(0.042)</w:t>
            </w:r>
          </w:p>
        </w:tc>
        <w:tc>
          <w:tcPr>
            <w:tcW w:w="583" w:type="dxa"/>
            <w:tcBorders>
              <w:left w:val="nil"/>
              <w:right w:val="nil"/>
            </w:tcBorders>
            <w:shd w:val="clear" w:color="auto" w:fill="FFFFFF"/>
          </w:tcPr>
          <w:p w14:paraId="42419DD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6A5139D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4923D24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(0.041)</w:t>
            </w:r>
          </w:p>
        </w:tc>
        <w:tc>
          <w:tcPr>
            <w:tcW w:w="583" w:type="dxa"/>
            <w:tcBorders>
              <w:left w:val="nil"/>
              <w:right w:val="nil"/>
            </w:tcBorders>
            <w:shd w:val="clear" w:color="auto" w:fill="FFFFFF"/>
          </w:tcPr>
          <w:p w14:paraId="7E47C9D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2316E5D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407D484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(0.075)</w:t>
            </w:r>
          </w:p>
        </w:tc>
        <w:tc>
          <w:tcPr>
            <w:tcW w:w="606" w:type="dxa"/>
            <w:tcBorders>
              <w:left w:val="nil"/>
              <w:right w:val="nil"/>
            </w:tcBorders>
            <w:shd w:val="clear" w:color="auto" w:fill="FFFFFF"/>
          </w:tcPr>
          <w:p w14:paraId="214B4C8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60C2898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22225D9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(0.075)</w:t>
            </w:r>
          </w:p>
        </w:tc>
        <w:tc>
          <w:tcPr>
            <w:tcW w:w="582" w:type="dxa"/>
            <w:tcBorders>
              <w:left w:val="nil"/>
              <w:right w:val="nil"/>
            </w:tcBorders>
            <w:shd w:val="clear" w:color="auto" w:fill="FFFFFF"/>
          </w:tcPr>
          <w:p w14:paraId="1B6CBB54"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52356FCF" w14:textId="77777777">
        <w:trPr>
          <w:trHeight w:val="280"/>
        </w:trPr>
        <w:tc>
          <w:tcPr>
            <w:tcW w:w="1960" w:type="dxa"/>
            <w:tcBorders>
              <w:left w:val="nil"/>
              <w:right w:val="nil"/>
            </w:tcBorders>
            <w:shd w:val="clear" w:color="auto" w:fill="FFFFFF"/>
            <w:vAlign w:val="center"/>
          </w:tcPr>
          <w:p w14:paraId="08CE4CA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BTM</w:t>
            </w:r>
          </w:p>
        </w:tc>
        <w:tc>
          <w:tcPr>
            <w:tcW w:w="958" w:type="dxa"/>
            <w:tcBorders>
              <w:left w:val="nil"/>
              <w:right w:val="nil"/>
            </w:tcBorders>
            <w:shd w:val="clear" w:color="auto" w:fill="FFFFFF"/>
            <w:vAlign w:val="center"/>
          </w:tcPr>
          <w:p w14:paraId="6D5E6D0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-0.4006</w:t>
            </w:r>
          </w:p>
        </w:tc>
        <w:tc>
          <w:tcPr>
            <w:tcW w:w="583" w:type="dxa"/>
            <w:tcBorders>
              <w:left w:val="nil"/>
              <w:right w:val="nil"/>
            </w:tcBorders>
            <w:shd w:val="clear" w:color="auto" w:fill="FFFFFF"/>
            <w:vAlign w:val="center"/>
          </w:tcPr>
          <w:p w14:paraId="5A8A0D7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7D32AF2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1C760B6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-0.4035</w:t>
            </w:r>
          </w:p>
        </w:tc>
        <w:tc>
          <w:tcPr>
            <w:tcW w:w="583" w:type="dxa"/>
            <w:tcBorders>
              <w:left w:val="nil"/>
              <w:right w:val="nil"/>
            </w:tcBorders>
            <w:shd w:val="clear" w:color="auto" w:fill="FFFFFF"/>
            <w:vAlign w:val="center"/>
          </w:tcPr>
          <w:p w14:paraId="779FB2F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44A2DF4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375C0CA5"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-0.3894</w:t>
            </w:r>
          </w:p>
        </w:tc>
        <w:tc>
          <w:tcPr>
            <w:tcW w:w="606" w:type="dxa"/>
            <w:tcBorders>
              <w:left w:val="nil"/>
              <w:right w:val="nil"/>
            </w:tcBorders>
            <w:shd w:val="clear" w:color="auto" w:fill="FFFFFF"/>
            <w:vAlign w:val="center"/>
          </w:tcPr>
          <w:p w14:paraId="615DE0B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6982D75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5B8B54E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-0.3922</w:t>
            </w:r>
          </w:p>
        </w:tc>
        <w:tc>
          <w:tcPr>
            <w:tcW w:w="582" w:type="dxa"/>
            <w:tcBorders>
              <w:left w:val="nil"/>
              <w:right w:val="nil"/>
            </w:tcBorders>
            <w:shd w:val="clear" w:color="auto" w:fill="FFFFFF"/>
            <w:vAlign w:val="center"/>
          </w:tcPr>
          <w:p w14:paraId="0B4431C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07AFA06B" w14:textId="77777777">
        <w:trPr>
          <w:trHeight w:val="280"/>
        </w:trPr>
        <w:tc>
          <w:tcPr>
            <w:tcW w:w="1960" w:type="dxa"/>
            <w:tcBorders>
              <w:left w:val="nil"/>
              <w:right w:val="nil"/>
            </w:tcBorders>
            <w:shd w:val="clear" w:color="auto" w:fill="FFFFFF"/>
          </w:tcPr>
          <w:p w14:paraId="670F48F7"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34"/>
                <w:id w:val="82195450"/>
              </w:sdtPr>
              <w:sdtContent>
                <w:r>
                  <w:rPr>
                    <w:rFonts w:ascii="Arial Unicode MS" w:eastAsia="Arial Unicode MS" w:hAnsi="Arial Unicode MS" w:cs="Arial Unicode MS"/>
                    <w:color w:val="000000"/>
                    <w:sz w:val="18"/>
                    <w:szCs w:val="18"/>
                  </w:rPr>
                  <w:t xml:space="preserve">　</w:t>
                </w:r>
              </w:sdtContent>
            </w:sdt>
          </w:p>
        </w:tc>
        <w:tc>
          <w:tcPr>
            <w:tcW w:w="958" w:type="dxa"/>
            <w:tcBorders>
              <w:left w:val="nil"/>
              <w:right w:val="nil"/>
            </w:tcBorders>
            <w:shd w:val="clear" w:color="auto" w:fill="FFFFFF"/>
            <w:vAlign w:val="center"/>
          </w:tcPr>
          <w:p w14:paraId="506F13B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3" w:type="dxa"/>
            <w:tcBorders>
              <w:left w:val="nil"/>
              <w:right w:val="nil"/>
            </w:tcBorders>
            <w:shd w:val="clear" w:color="auto" w:fill="FFFFFF"/>
          </w:tcPr>
          <w:p w14:paraId="5054CB4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6006E3D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035F9DC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3" w:type="dxa"/>
            <w:tcBorders>
              <w:left w:val="nil"/>
              <w:right w:val="nil"/>
            </w:tcBorders>
            <w:shd w:val="clear" w:color="auto" w:fill="FFFFFF"/>
          </w:tcPr>
          <w:p w14:paraId="063499A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2AF6BA7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565D10B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606" w:type="dxa"/>
            <w:tcBorders>
              <w:left w:val="nil"/>
              <w:right w:val="nil"/>
            </w:tcBorders>
            <w:shd w:val="clear" w:color="auto" w:fill="FFFFFF"/>
          </w:tcPr>
          <w:p w14:paraId="4B565AD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4AE81D0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45AEB2D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2" w:type="dxa"/>
            <w:tcBorders>
              <w:left w:val="nil"/>
              <w:right w:val="nil"/>
            </w:tcBorders>
            <w:shd w:val="clear" w:color="auto" w:fill="FFFFFF"/>
          </w:tcPr>
          <w:p w14:paraId="5A0EDFE1"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076907AA" w14:textId="77777777">
        <w:trPr>
          <w:trHeight w:val="280"/>
        </w:trPr>
        <w:tc>
          <w:tcPr>
            <w:tcW w:w="1960" w:type="dxa"/>
            <w:tcBorders>
              <w:left w:val="nil"/>
              <w:right w:val="nil"/>
            </w:tcBorders>
            <w:shd w:val="clear" w:color="auto" w:fill="FFFFFF"/>
          </w:tcPr>
          <w:p w14:paraId="77A9EF0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lastRenderedPageBreak/>
              <w:t>CLOSELY HELD</w:t>
            </w:r>
          </w:p>
        </w:tc>
        <w:tc>
          <w:tcPr>
            <w:tcW w:w="958" w:type="dxa"/>
            <w:tcBorders>
              <w:left w:val="nil"/>
              <w:right w:val="nil"/>
            </w:tcBorders>
            <w:shd w:val="clear" w:color="auto" w:fill="FFFFFF"/>
            <w:vAlign w:val="center"/>
          </w:tcPr>
          <w:p w14:paraId="4D42D3C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0.4289</w:t>
            </w:r>
          </w:p>
        </w:tc>
        <w:tc>
          <w:tcPr>
            <w:tcW w:w="583" w:type="dxa"/>
            <w:tcBorders>
              <w:left w:val="nil"/>
              <w:right w:val="nil"/>
            </w:tcBorders>
            <w:shd w:val="clear" w:color="auto" w:fill="FFFFFF"/>
          </w:tcPr>
          <w:p w14:paraId="17C4429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5F3BF3B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1A00E72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0.4352</w:t>
            </w:r>
          </w:p>
        </w:tc>
        <w:tc>
          <w:tcPr>
            <w:tcW w:w="583" w:type="dxa"/>
            <w:tcBorders>
              <w:left w:val="nil"/>
              <w:right w:val="nil"/>
            </w:tcBorders>
            <w:shd w:val="clear" w:color="auto" w:fill="FFFFFF"/>
          </w:tcPr>
          <w:p w14:paraId="2FAFB34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027E9AC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4E042C7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0.4623</w:t>
            </w:r>
          </w:p>
        </w:tc>
        <w:tc>
          <w:tcPr>
            <w:tcW w:w="606" w:type="dxa"/>
            <w:tcBorders>
              <w:left w:val="nil"/>
              <w:right w:val="nil"/>
            </w:tcBorders>
            <w:shd w:val="clear" w:color="auto" w:fill="FFFFFF"/>
          </w:tcPr>
          <w:p w14:paraId="112AB43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2E506A7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5E1016F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0.4692</w:t>
            </w:r>
          </w:p>
        </w:tc>
        <w:tc>
          <w:tcPr>
            <w:tcW w:w="582" w:type="dxa"/>
            <w:tcBorders>
              <w:left w:val="nil"/>
              <w:right w:val="nil"/>
            </w:tcBorders>
            <w:shd w:val="clear" w:color="auto" w:fill="FFFFFF"/>
          </w:tcPr>
          <w:p w14:paraId="2A4DD82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5B7D96D2" w14:textId="77777777">
        <w:trPr>
          <w:trHeight w:val="280"/>
        </w:trPr>
        <w:tc>
          <w:tcPr>
            <w:tcW w:w="1960" w:type="dxa"/>
            <w:tcBorders>
              <w:left w:val="nil"/>
              <w:right w:val="nil"/>
            </w:tcBorders>
            <w:shd w:val="clear" w:color="auto" w:fill="FFFFFF"/>
          </w:tcPr>
          <w:p w14:paraId="6357B58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58" w:type="dxa"/>
            <w:tcBorders>
              <w:left w:val="nil"/>
              <w:right w:val="nil"/>
            </w:tcBorders>
            <w:shd w:val="clear" w:color="auto" w:fill="FFFFFF"/>
            <w:vAlign w:val="center"/>
          </w:tcPr>
          <w:p w14:paraId="36DC2C2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3" w:type="dxa"/>
            <w:tcBorders>
              <w:left w:val="nil"/>
              <w:right w:val="nil"/>
            </w:tcBorders>
            <w:shd w:val="clear" w:color="auto" w:fill="FFFFFF"/>
          </w:tcPr>
          <w:p w14:paraId="37959BE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018B6D7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5CF3926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3" w:type="dxa"/>
            <w:tcBorders>
              <w:left w:val="nil"/>
              <w:right w:val="nil"/>
            </w:tcBorders>
            <w:shd w:val="clear" w:color="auto" w:fill="FFFFFF"/>
          </w:tcPr>
          <w:p w14:paraId="07442BE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5D55CC0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3F80494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606" w:type="dxa"/>
            <w:tcBorders>
              <w:left w:val="nil"/>
              <w:right w:val="nil"/>
            </w:tcBorders>
            <w:shd w:val="clear" w:color="auto" w:fill="FFFFFF"/>
          </w:tcPr>
          <w:p w14:paraId="37893AB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269E17E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1A0702A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2" w:type="dxa"/>
            <w:tcBorders>
              <w:left w:val="nil"/>
              <w:right w:val="nil"/>
            </w:tcBorders>
            <w:shd w:val="clear" w:color="auto" w:fill="FFFFFF"/>
          </w:tcPr>
          <w:p w14:paraId="19FEB54A"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1817DE65" w14:textId="77777777">
        <w:trPr>
          <w:trHeight w:val="280"/>
        </w:trPr>
        <w:tc>
          <w:tcPr>
            <w:tcW w:w="1960" w:type="dxa"/>
            <w:tcBorders>
              <w:left w:val="nil"/>
              <w:right w:val="nil"/>
            </w:tcBorders>
            <w:shd w:val="clear" w:color="auto" w:fill="FFFFFF"/>
            <w:vAlign w:val="center"/>
          </w:tcPr>
          <w:p w14:paraId="7C0FE64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DEBT</w:t>
            </w:r>
          </w:p>
        </w:tc>
        <w:tc>
          <w:tcPr>
            <w:tcW w:w="958" w:type="dxa"/>
            <w:tcBorders>
              <w:left w:val="nil"/>
              <w:right w:val="nil"/>
            </w:tcBorders>
            <w:shd w:val="clear" w:color="auto" w:fill="FFFFFF"/>
            <w:vAlign w:val="center"/>
          </w:tcPr>
          <w:p w14:paraId="09032D6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-0.0216</w:t>
            </w:r>
          </w:p>
        </w:tc>
        <w:tc>
          <w:tcPr>
            <w:tcW w:w="583" w:type="dxa"/>
            <w:tcBorders>
              <w:left w:val="nil"/>
              <w:right w:val="nil"/>
            </w:tcBorders>
            <w:shd w:val="clear" w:color="auto" w:fill="FFFFFF"/>
            <w:vAlign w:val="center"/>
          </w:tcPr>
          <w:p w14:paraId="59F0C39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048B900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792059A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-0.0227</w:t>
            </w:r>
          </w:p>
        </w:tc>
        <w:tc>
          <w:tcPr>
            <w:tcW w:w="583" w:type="dxa"/>
            <w:tcBorders>
              <w:left w:val="nil"/>
              <w:right w:val="nil"/>
            </w:tcBorders>
            <w:shd w:val="clear" w:color="auto" w:fill="FFFFFF"/>
            <w:vAlign w:val="center"/>
          </w:tcPr>
          <w:p w14:paraId="691BDC4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6CDE07E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1CE2E62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0.0108</w:t>
            </w:r>
          </w:p>
        </w:tc>
        <w:tc>
          <w:tcPr>
            <w:tcW w:w="606" w:type="dxa"/>
            <w:tcBorders>
              <w:left w:val="nil"/>
              <w:right w:val="nil"/>
            </w:tcBorders>
            <w:shd w:val="clear" w:color="auto" w:fill="FFFFFF"/>
            <w:vAlign w:val="center"/>
          </w:tcPr>
          <w:p w14:paraId="47A4B5C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14DF131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4CEC849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0.0104</w:t>
            </w:r>
          </w:p>
        </w:tc>
        <w:tc>
          <w:tcPr>
            <w:tcW w:w="582" w:type="dxa"/>
            <w:tcBorders>
              <w:left w:val="nil"/>
              <w:right w:val="nil"/>
            </w:tcBorders>
            <w:shd w:val="clear" w:color="auto" w:fill="FFFFFF"/>
            <w:vAlign w:val="center"/>
          </w:tcPr>
          <w:p w14:paraId="28A68A64"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73AE4C2F" w14:textId="77777777">
        <w:trPr>
          <w:trHeight w:val="280"/>
        </w:trPr>
        <w:tc>
          <w:tcPr>
            <w:tcW w:w="1960" w:type="dxa"/>
            <w:tcBorders>
              <w:left w:val="nil"/>
              <w:right w:val="nil"/>
            </w:tcBorders>
            <w:shd w:val="clear" w:color="auto" w:fill="FFFFFF"/>
          </w:tcPr>
          <w:p w14:paraId="66BB87C7"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35"/>
                <w:id w:val="217460814"/>
              </w:sdtPr>
              <w:sdtContent>
                <w:r>
                  <w:rPr>
                    <w:rFonts w:ascii="Arial Unicode MS" w:eastAsia="Arial Unicode MS" w:hAnsi="Arial Unicode MS" w:cs="Arial Unicode MS"/>
                    <w:color w:val="000000"/>
                    <w:sz w:val="18"/>
                    <w:szCs w:val="18"/>
                  </w:rPr>
                  <w:t xml:space="preserve">　</w:t>
                </w:r>
              </w:sdtContent>
            </w:sdt>
          </w:p>
        </w:tc>
        <w:tc>
          <w:tcPr>
            <w:tcW w:w="958" w:type="dxa"/>
            <w:tcBorders>
              <w:left w:val="nil"/>
              <w:right w:val="nil"/>
            </w:tcBorders>
            <w:shd w:val="clear" w:color="auto" w:fill="FFFFFF"/>
            <w:vAlign w:val="center"/>
          </w:tcPr>
          <w:p w14:paraId="4354DB3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(0.774)</w:t>
            </w:r>
          </w:p>
        </w:tc>
        <w:tc>
          <w:tcPr>
            <w:tcW w:w="583" w:type="dxa"/>
            <w:tcBorders>
              <w:left w:val="nil"/>
              <w:right w:val="nil"/>
            </w:tcBorders>
            <w:shd w:val="clear" w:color="auto" w:fill="FFFFFF"/>
          </w:tcPr>
          <w:p w14:paraId="296BE6B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2B7DCFD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149C610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(0.764)</w:t>
            </w:r>
          </w:p>
        </w:tc>
        <w:tc>
          <w:tcPr>
            <w:tcW w:w="583" w:type="dxa"/>
            <w:tcBorders>
              <w:left w:val="nil"/>
              <w:right w:val="nil"/>
            </w:tcBorders>
            <w:shd w:val="clear" w:color="auto" w:fill="FFFFFF"/>
          </w:tcPr>
          <w:p w14:paraId="4E41FF5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54EC706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0DA05505"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(0.888)</w:t>
            </w:r>
          </w:p>
        </w:tc>
        <w:tc>
          <w:tcPr>
            <w:tcW w:w="606" w:type="dxa"/>
            <w:tcBorders>
              <w:left w:val="nil"/>
              <w:right w:val="nil"/>
            </w:tcBorders>
            <w:shd w:val="clear" w:color="auto" w:fill="FFFFFF"/>
          </w:tcPr>
          <w:p w14:paraId="5AEA462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68914B5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2904ED6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(0.893)</w:t>
            </w:r>
          </w:p>
        </w:tc>
        <w:tc>
          <w:tcPr>
            <w:tcW w:w="582" w:type="dxa"/>
            <w:tcBorders>
              <w:left w:val="nil"/>
              <w:right w:val="nil"/>
            </w:tcBorders>
            <w:shd w:val="clear" w:color="auto" w:fill="FFFFFF"/>
          </w:tcPr>
          <w:p w14:paraId="3D1542BE"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5925EE00" w14:textId="77777777">
        <w:trPr>
          <w:trHeight w:val="280"/>
        </w:trPr>
        <w:tc>
          <w:tcPr>
            <w:tcW w:w="1960" w:type="dxa"/>
            <w:tcBorders>
              <w:left w:val="nil"/>
              <w:right w:val="nil"/>
            </w:tcBorders>
            <w:shd w:val="clear" w:color="auto" w:fill="FFFFFF"/>
            <w:vAlign w:val="center"/>
          </w:tcPr>
          <w:p w14:paraId="00ADAD2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AGE</w:t>
            </w:r>
          </w:p>
        </w:tc>
        <w:tc>
          <w:tcPr>
            <w:tcW w:w="958" w:type="dxa"/>
            <w:tcBorders>
              <w:left w:val="nil"/>
              <w:right w:val="nil"/>
            </w:tcBorders>
            <w:shd w:val="clear" w:color="auto" w:fill="FFFFFF"/>
            <w:vAlign w:val="center"/>
          </w:tcPr>
          <w:p w14:paraId="21D7567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-0.1666</w:t>
            </w:r>
          </w:p>
        </w:tc>
        <w:tc>
          <w:tcPr>
            <w:tcW w:w="583" w:type="dxa"/>
            <w:tcBorders>
              <w:left w:val="nil"/>
              <w:right w:val="nil"/>
            </w:tcBorders>
            <w:shd w:val="clear" w:color="auto" w:fill="FFFFFF"/>
            <w:vAlign w:val="center"/>
          </w:tcPr>
          <w:p w14:paraId="5D1C71F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274CDD3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4ACE9BD5"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-0.1667</w:t>
            </w:r>
          </w:p>
        </w:tc>
        <w:tc>
          <w:tcPr>
            <w:tcW w:w="583" w:type="dxa"/>
            <w:tcBorders>
              <w:left w:val="nil"/>
              <w:right w:val="nil"/>
            </w:tcBorders>
            <w:shd w:val="clear" w:color="auto" w:fill="FFFFFF"/>
            <w:vAlign w:val="center"/>
          </w:tcPr>
          <w:p w14:paraId="733D1DF5"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0AB3293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16408AA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-0.1657</w:t>
            </w:r>
          </w:p>
        </w:tc>
        <w:tc>
          <w:tcPr>
            <w:tcW w:w="606" w:type="dxa"/>
            <w:tcBorders>
              <w:left w:val="nil"/>
              <w:right w:val="nil"/>
            </w:tcBorders>
            <w:shd w:val="clear" w:color="auto" w:fill="FFFFFF"/>
            <w:vAlign w:val="center"/>
          </w:tcPr>
          <w:p w14:paraId="45131B0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0901B66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21BEC6B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-0.1657</w:t>
            </w:r>
          </w:p>
        </w:tc>
        <w:tc>
          <w:tcPr>
            <w:tcW w:w="582" w:type="dxa"/>
            <w:tcBorders>
              <w:left w:val="nil"/>
              <w:right w:val="nil"/>
            </w:tcBorders>
            <w:shd w:val="clear" w:color="auto" w:fill="FFFFFF"/>
            <w:vAlign w:val="center"/>
          </w:tcPr>
          <w:p w14:paraId="2ED915C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0D29DCF0" w14:textId="77777777">
        <w:trPr>
          <w:trHeight w:val="280"/>
        </w:trPr>
        <w:tc>
          <w:tcPr>
            <w:tcW w:w="1960" w:type="dxa"/>
            <w:tcBorders>
              <w:left w:val="nil"/>
              <w:right w:val="nil"/>
            </w:tcBorders>
            <w:shd w:val="clear" w:color="auto" w:fill="FFFFFF"/>
          </w:tcPr>
          <w:p w14:paraId="1F286D5D"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36"/>
                <w:id w:val="662177655"/>
              </w:sdtPr>
              <w:sdtContent>
                <w:r>
                  <w:rPr>
                    <w:rFonts w:ascii="Arial Unicode MS" w:eastAsia="Arial Unicode MS" w:hAnsi="Arial Unicode MS" w:cs="Arial Unicode MS"/>
                    <w:color w:val="000000"/>
                    <w:sz w:val="18"/>
                    <w:szCs w:val="18"/>
                  </w:rPr>
                  <w:t xml:space="preserve">　</w:t>
                </w:r>
              </w:sdtContent>
            </w:sdt>
          </w:p>
        </w:tc>
        <w:tc>
          <w:tcPr>
            <w:tcW w:w="958" w:type="dxa"/>
            <w:tcBorders>
              <w:left w:val="nil"/>
              <w:right w:val="nil"/>
            </w:tcBorders>
            <w:shd w:val="clear" w:color="auto" w:fill="FFFFFF"/>
            <w:vAlign w:val="center"/>
          </w:tcPr>
          <w:p w14:paraId="6CF849D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3" w:type="dxa"/>
            <w:tcBorders>
              <w:left w:val="nil"/>
              <w:right w:val="nil"/>
            </w:tcBorders>
            <w:shd w:val="clear" w:color="auto" w:fill="FFFFFF"/>
          </w:tcPr>
          <w:p w14:paraId="0C34F09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65FF32C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0A4B557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3" w:type="dxa"/>
            <w:tcBorders>
              <w:left w:val="nil"/>
              <w:right w:val="nil"/>
            </w:tcBorders>
            <w:shd w:val="clear" w:color="auto" w:fill="FFFFFF"/>
          </w:tcPr>
          <w:p w14:paraId="071B261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3790914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40230E1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606" w:type="dxa"/>
            <w:tcBorders>
              <w:left w:val="nil"/>
              <w:right w:val="nil"/>
            </w:tcBorders>
            <w:shd w:val="clear" w:color="auto" w:fill="FFFFFF"/>
          </w:tcPr>
          <w:p w14:paraId="1BE151E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2E0F6C2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20B3C85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2" w:type="dxa"/>
            <w:tcBorders>
              <w:left w:val="nil"/>
              <w:right w:val="nil"/>
            </w:tcBorders>
            <w:shd w:val="clear" w:color="auto" w:fill="FFFFFF"/>
          </w:tcPr>
          <w:p w14:paraId="2C1A6F3A"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3943F4BF" w14:textId="77777777">
        <w:trPr>
          <w:trHeight w:val="280"/>
        </w:trPr>
        <w:tc>
          <w:tcPr>
            <w:tcW w:w="1960" w:type="dxa"/>
            <w:tcBorders>
              <w:left w:val="nil"/>
              <w:right w:val="nil"/>
            </w:tcBorders>
            <w:shd w:val="clear" w:color="auto" w:fill="FFFFFF"/>
            <w:vAlign w:val="center"/>
          </w:tcPr>
          <w:p w14:paraId="1A0DA70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IRD1</w:t>
            </w:r>
          </w:p>
        </w:tc>
        <w:tc>
          <w:tcPr>
            <w:tcW w:w="958" w:type="dxa"/>
            <w:tcBorders>
              <w:left w:val="nil"/>
              <w:right w:val="nil"/>
            </w:tcBorders>
            <w:shd w:val="clear" w:color="auto" w:fill="FFFFFF"/>
            <w:vAlign w:val="center"/>
          </w:tcPr>
          <w:p w14:paraId="18CC6D3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-0.0833</w:t>
            </w:r>
          </w:p>
        </w:tc>
        <w:tc>
          <w:tcPr>
            <w:tcW w:w="583" w:type="dxa"/>
            <w:tcBorders>
              <w:left w:val="nil"/>
              <w:right w:val="nil"/>
            </w:tcBorders>
            <w:shd w:val="clear" w:color="auto" w:fill="FFFFFF"/>
            <w:vAlign w:val="center"/>
          </w:tcPr>
          <w:p w14:paraId="7587868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6B40491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tcPr>
          <w:p w14:paraId="1C421C1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583" w:type="dxa"/>
            <w:tcBorders>
              <w:left w:val="nil"/>
              <w:right w:val="nil"/>
            </w:tcBorders>
            <w:shd w:val="clear" w:color="auto" w:fill="FFFFFF"/>
          </w:tcPr>
          <w:p w14:paraId="2F3C01C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2C1E342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1DC44AE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-0.0845</w:t>
            </w:r>
          </w:p>
        </w:tc>
        <w:tc>
          <w:tcPr>
            <w:tcW w:w="606" w:type="dxa"/>
            <w:tcBorders>
              <w:left w:val="nil"/>
              <w:right w:val="nil"/>
            </w:tcBorders>
            <w:shd w:val="clear" w:color="auto" w:fill="FFFFFF"/>
            <w:vAlign w:val="center"/>
          </w:tcPr>
          <w:p w14:paraId="0E79A43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6B9D528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tcPr>
          <w:p w14:paraId="0D73031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582" w:type="dxa"/>
            <w:tcBorders>
              <w:left w:val="nil"/>
              <w:right w:val="nil"/>
            </w:tcBorders>
            <w:shd w:val="clear" w:color="auto" w:fill="FFFFFF"/>
          </w:tcPr>
          <w:p w14:paraId="104B713D"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5D689A89" w14:textId="77777777">
        <w:trPr>
          <w:trHeight w:val="280"/>
        </w:trPr>
        <w:tc>
          <w:tcPr>
            <w:tcW w:w="1960" w:type="dxa"/>
            <w:tcBorders>
              <w:left w:val="nil"/>
              <w:right w:val="nil"/>
            </w:tcBorders>
            <w:shd w:val="clear" w:color="auto" w:fill="FFFFFF"/>
          </w:tcPr>
          <w:p w14:paraId="7F111714"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37"/>
                <w:id w:val="1025460249"/>
              </w:sdtPr>
              <w:sdtContent>
                <w:r>
                  <w:rPr>
                    <w:rFonts w:ascii="Arial Unicode MS" w:eastAsia="Arial Unicode MS" w:hAnsi="Arial Unicode MS" w:cs="Arial Unicode MS"/>
                    <w:color w:val="000000"/>
                    <w:sz w:val="18"/>
                    <w:szCs w:val="18"/>
                  </w:rPr>
                  <w:t xml:space="preserve">　</w:t>
                </w:r>
              </w:sdtContent>
            </w:sdt>
          </w:p>
        </w:tc>
        <w:tc>
          <w:tcPr>
            <w:tcW w:w="958" w:type="dxa"/>
            <w:tcBorders>
              <w:left w:val="nil"/>
              <w:right w:val="nil"/>
            </w:tcBorders>
            <w:shd w:val="clear" w:color="auto" w:fill="FFFFFF"/>
            <w:vAlign w:val="center"/>
          </w:tcPr>
          <w:p w14:paraId="4DAF565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3" w:type="dxa"/>
            <w:tcBorders>
              <w:left w:val="nil"/>
              <w:right w:val="nil"/>
            </w:tcBorders>
            <w:shd w:val="clear" w:color="auto" w:fill="FFFFFF"/>
          </w:tcPr>
          <w:p w14:paraId="5A90666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70B46D1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tcPr>
          <w:p w14:paraId="54CA84C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583" w:type="dxa"/>
            <w:tcBorders>
              <w:left w:val="nil"/>
              <w:right w:val="nil"/>
            </w:tcBorders>
            <w:shd w:val="clear" w:color="auto" w:fill="FFFFFF"/>
          </w:tcPr>
          <w:p w14:paraId="78552D7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76BD561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589D7F5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606" w:type="dxa"/>
            <w:tcBorders>
              <w:left w:val="nil"/>
              <w:right w:val="nil"/>
            </w:tcBorders>
            <w:shd w:val="clear" w:color="auto" w:fill="FFFFFF"/>
          </w:tcPr>
          <w:p w14:paraId="2D2BCAC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040E424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tcPr>
          <w:p w14:paraId="32107FE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582" w:type="dxa"/>
            <w:tcBorders>
              <w:left w:val="nil"/>
              <w:right w:val="nil"/>
            </w:tcBorders>
            <w:shd w:val="clear" w:color="auto" w:fill="FFFFFF"/>
          </w:tcPr>
          <w:p w14:paraId="3E083F13"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708D590E" w14:textId="77777777">
        <w:trPr>
          <w:trHeight w:val="280"/>
        </w:trPr>
        <w:tc>
          <w:tcPr>
            <w:tcW w:w="1960" w:type="dxa"/>
            <w:tcBorders>
              <w:left w:val="nil"/>
              <w:right w:val="nil"/>
            </w:tcBorders>
            <w:shd w:val="clear" w:color="auto" w:fill="FFFFFF"/>
            <w:vAlign w:val="center"/>
          </w:tcPr>
          <w:p w14:paraId="10FD636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IRD2</w:t>
            </w:r>
          </w:p>
        </w:tc>
        <w:tc>
          <w:tcPr>
            <w:tcW w:w="958" w:type="dxa"/>
            <w:tcBorders>
              <w:left w:val="nil"/>
              <w:right w:val="nil"/>
            </w:tcBorders>
            <w:shd w:val="clear" w:color="auto" w:fill="FFFFFF"/>
          </w:tcPr>
          <w:p w14:paraId="63DBDE0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583" w:type="dxa"/>
            <w:tcBorders>
              <w:left w:val="nil"/>
              <w:right w:val="nil"/>
            </w:tcBorders>
            <w:shd w:val="clear" w:color="auto" w:fill="FFFFFF"/>
          </w:tcPr>
          <w:p w14:paraId="04E2A54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05EBD86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43DAD7E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-0.0858</w:t>
            </w:r>
          </w:p>
        </w:tc>
        <w:tc>
          <w:tcPr>
            <w:tcW w:w="583" w:type="dxa"/>
            <w:tcBorders>
              <w:left w:val="nil"/>
              <w:right w:val="nil"/>
            </w:tcBorders>
            <w:shd w:val="clear" w:color="auto" w:fill="FFFFFF"/>
            <w:vAlign w:val="center"/>
          </w:tcPr>
          <w:p w14:paraId="3D9A11B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5AA5531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tcPr>
          <w:p w14:paraId="1370B3F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606" w:type="dxa"/>
            <w:tcBorders>
              <w:left w:val="nil"/>
              <w:right w:val="nil"/>
            </w:tcBorders>
            <w:shd w:val="clear" w:color="auto" w:fill="FFFFFF"/>
          </w:tcPr>
          <w:p w14:paraId="65B560E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7A52502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42DA061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-0.0870</w:t>
            </w:r>
          </w:p>
        </w:tc>
        <w:tc>
          <w:tcPr>
            <w:tcW w:w="582" w:type="dxa"/>
            <w:tcBorders>
              <w:left w:val="nil"/>
              <w:right w:val="nil"/>
            </w:tcBorders>
            <w:shd w:val="clear" w:color="auto" w:fill="FFFFFF"/>
            <w:vAlign w:val="center"/>
          </w:tcPr>
          <w:p w14:paraId="412982D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51E5EC42" w14:textId="77777777">
        <w:trPr>
          <w:trHeight w:val="280"/>
        </w:trPr>
        <w:tc>
          <w:tcPr>
            <w:tcW w:w="1960" w:type="dxa"/>
            <w:tcBorders>
              <w:left w:val="nil"/>
              <w:right w:val="nil"/>
            </w:tcBorders>
            <w:shd w:val="clear" w:color="auto" w:fill="FFFFFF"/>
          </w:tcPr>
          <w:p w14:paraId="799E5DF3"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38"/>
                <w:id w:val="-1075781702"/>
              </w:sdtPr>
              <w:sdtContent>
                <w:r>
                  <w:rPr>
                    <w:rFonts w:ascii="Arial Unicode MS" w:eastAsia="Arial Unicode MS" w:hAnsi="Arial Unicode MS" w:cs="Arial Unicode MS"/>
                    <w:color w:val="000000"/>
                    <w:sz w:val="18"/>
                    <w:szCs w:val="18"/>
                  </w:rPr>
                  <w:t xml:space="preserve">　</w:t>
                </w:r>
              </w:sdtContent>
            </w:sdt>
          </w:p>
        </w:tc>
        <w:tc>
          <w:tcPr>
            <w:tcW w:w="958" w:type="dxa"/>
            <w:tcBorders>
              <w:left w:val="nil"/>
              <w:right w:val="nil"/>
            </w:tcBorders>
            <w:shd w:val="clear" w:color="auto" w:fill="FFFFFF"/>
          </w:tcPr>
          <w:p w14:paraId="4B873AD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583" w:type="dxa"/>
            <w:tcBorders>
              <w:left w:val="nil"/>
              <w:right w:val="nil"/>
            </w:tcBorders>
            <w:shd w:val="clear" w:color="auto" w:fill="FFFFFF"/>
          </w:tcPr>
          <w:p w14:paraId="1DE87AC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7ABA309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53E772C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3" w:type="dxa"/>
            <w:tcBorders>
              <w:left w:val="nil"/>
              <w:right w:val="nil"/>
            </w:tcBorders>
            <w:shd w:val="clear" w:color="auto" w:fill="FFFFFF"/>
          </w:tcPr>
          <w:p w14:paraId="712A958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09B845F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tcPr>
          <w:p w14:paraId="7D603B5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606" w:type="dxa"/>
            <w:tcBorders>
              <w:left w:val="nil"/>
              <w:right w:val="nil"/>
            </w:tcBorders>
            <w:shd w:val="clear" w:color="auto" w:fill="FFFFFF"/>
          </w:tcPr>
          <w:p w14:paraId="6FD15E0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4E123D3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2CC24F4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2" w:type="dxa"/>
            <w:tcBorders>
              <w:left w:val="nil"/>
              <w:right w:val="nil"/>
            </w:tcBorders>
            <w:shd w:val="clear" w:color="auto" w:fill="FFFFFF"/>
          </w:tcPr>
          <w:p w14:paraId="35672AE9"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27D41AE8" w14:textId="77777777">
        <w:trPr>
          <w:trHeight w:val="280"/>
        </w:trPr>
        <w:tc>
          <w:tcPr>
            <w:tcW w:w="1960" w:type="dxa"/>
            <w:tcBorders>
              <w:left w:val="nil"/>
              <w:right w:val="nil"/>
            </w:tcBorders>
            <w:shd w:val="clear" w:color="auto" w:fill="FFFFFF"/>
            <w:vAlign w:val="center"/>
          </w:tcPr>
          <w:p w14:paraId="7CA581F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Intercept</w:t>
            </w:r>
          </w:p>
        </w:tc>
        <w:tc>
          <w:tcPr>
            <w:tcW w:w="958" w:type="dxa"/>
            <w:tcBorders>
              <w:left w:val="nil"/>
              <w:right w:val="nil"/>
            </w:tcBorders>
            <w:shd w:val="clear" w:color="auto" w:fill="FFFFFF"/>
            <w:vAlign w:val="center"/>
          </w:tcPr>
          <w:p w14:paraId="74786A8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-5.2068</w:t>
            </w:r>
          </w:p>
        </w:tc>
        <w:tc>
          <w:tcPr>
            <w:tcW w:w="583" w:type="dxa"/>
            <w:tcBorders>
              <w:left w:val="nil"/>
              <w:right w:val="nil"/>
            </w:tcBorders>
            <w:shd w:val="clear" w:color="auto" w:fill="FFFFFF"/>
            <w:vAlign w:val="center"/>
          </w:tcPr>
          <w:p w14:paraId="4A9A952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2757EAB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72D4D64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-5.2048</w:t>
            </w:r>
          </w:p>
        </w:tc>
        <w:tc>
          <w:tcPr>
            <w:tcW w:w="583" w:type="dxa"/>
            <w:tcBorders>
              <w:left w:val="nil"/>
              <w:right w:val="nil"/>
            </w:tcBorders>
            <w:shd w:val="clear" w:color="auto" w:fill="FFFFFF"/>
            <w:vAlign w:val="center"/>
          </w:tcPr>
          <w:p w14:paraId="6A2E6E6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124DB62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4A51455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-5.1557</w:t>
            </w:r>
          </w:p>
        </w:tc>
        <w:tc>
          <w:tcPr>
            <w:tcW w:w="606" w:type="dxa"/>
            <w:tcBorders>
              <w:left w:val="nil"/>
              <w:right w:val="nil"/>
            </w:tcBorders>
            <w:shd w:val="clear" w:color="auto" w:fill="FFFFFF"/>
            <w:vAlign w:val="center"/>
          </w:tcPr>
          <w:p w14:paraId="2ADCFDC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240" w:type="dxa"/>
            <w:tcBorders>
              <w:left w:val="nil"/>
              <w:right w:val="nil"/>
            </w:tcBorders>
            <w:shd w:val="clear" w:color="auto" w:fill="FFFFFF"/>
          </w:tcPr>
          <w:p w14:paraId="7B00B4D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6525F45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-5.1529</w:t>
            </w:r>
          </w:p>
        </w:tc>
        <w:tc>
          <w:tcPr>
            <w:tcW w:w="582" w:type="dxa"/>
            <w:tcBorders>
              <w:left w:val="nil"/>
              <w:right w:val="nil"/>
            </w:tcBorders>
            <w:shd w:val="clear" w:color="auto" w:fill="FFFFFF"/>
            <w:vAlign w:val="center"/>
          </w:tcPr>
          <w:p w14:paraId="7C1AB66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7A4F3540" w14:textId="77777777">
        <w:trPr>
          <w:trHeight w:val="280"/>
        </w:trPr>
        <w:tc>
          <w:tcPr>
            <w:tcW w:w="1960" w:type="dxa"/>
            <w:tcBorders>
              <w:left w:val="nil"/>
              <w:right w:val="nil"/>
            </w:tcBorders>
            <w:shd w:val="clear" w:color="auto" w:fill="FFFFFF"/>
          </w:tcPr>
          <w:p w14:paraId="0F19046F"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39"/>
                <w:id w:val="156764708"/>
              </w:sdtPr>
              <w:sdtContent>
                <w:r>
                  <w:rPr>
                    <w:rFonts w:ascii="Arial Unicode MS" w:eastAsia="Arial Unicode MS" w:hAnsi="Arial Unicode MS" w:cs="Arial Unicode MS"/>
                    <w:color w:val="000000"/>
                    <w:sz w:val="18"/>
                    <w:szCs w:val="18"/>
                  </w:rPr>
                  <w:t xml:space="preserve">　</w:t>
                </w:r>
              </w:sdtContent>
            </w:sdt>
          </w:p>
        </w:tc>
        <w:tc>
          <w:tcPr>
            <w:tcW w:w="958" w:type="dxa"/>
            <w:tcBorders>
              <w:left w:val="nil"/>
              <w:right w:val="nil"/>
            </w:tcBorders>
            <w:shd w:val="clear" w:color="auto" w:fill="FFFFFF"/>
            <w:vAlign w:val="center"/>
          </w:tcPr>
          <w:p w14:paraId="4DCBDB1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3" w:type="dxa"/>
            <w:tcBorders>
              <w:left w:val="nil"/>
              <w:right w:val="nil"/>
            </w:tcBorders>
            <w:shd w:val="clear" w:color="auto" w:fill="FFFFFF"/>
          </w:tcPr>
          <w:p w14:paraId="20A1914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714EE49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7AA3B37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3" w:type="dxa"/>
            <w:tcBorders>
              <w:left w:val="nil"/>
              <w:right w:val="nil"/>
            </w:tcBorders>
            <w:shd w:val="clear" w:color="auto" w:fill="FFFFFF"/>
          </w:tcPr>
          <w:p w14:paraId="7527E05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15D7932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0A33FAC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606" w:type="dxa"/>
            <w:tcBorders>
              <w:left w:val="nil"/>
              <w:right w:val="nil"/>
            </w:tcBorders>
            <w:shd w:val="clear" w:color="auto" w:fill="FFFFFF"/>
          </w:tcPr>
          <w:p w14:paraId="0728A16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3CC5931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02A9821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582" w:type="dxa"/>
            <w:tcBorders>
              <w:left w:val="nil"/>
              <w:right w:val="nil"/>
            </w:tcBorders>
            <w:shd w:val="clear" w:color="auto" w:fill="FFFFFF"/>
          </w:tcPr>
          <w:p w14:paraId="3BEFD1C5"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742196C5" w14:textId="77777777">
        <w:trPr>
          <w:trHeight w:val="280"/>
        </w:trPr>
        <w:tc>
          <w:tcPr>
            <w:tcW w:w="1960" w:type="dxa"/>
            <w:tcBorders>
              <w:left w:val="nil"/>
              <w:bottom w:val="single" w:sz="4" w:space="0" w:color="000000"/>
              <w:right w:val="nil"/>
            </w:tcBorders>
            <w:shd w:val="clear" w:color="auto" w:fill="FFFFFF"/>
            <w:vAlign w:val="center"/>
          </w:tcPr>
          <w:p w14:paraId="4BBAE26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INDUSTRY</w:t>
            </w:r>
          </w:p>
        </w:tc>
        <w:tc>
          <w:tcPr>
            <w:tcW w:w="958" w:type="dxa"/>
            <w:tcBorders>
              <w:left w:val="nil"/>
              <w:bottom w:val="single" w:sz="4" w:space="0" w:color="000000"/>
              <w:right w:val="nil"/>
            </w:tcBorders>
            <w:shd w:val="clear" w:color="auto" w:fill="FFFFFF"/>
            <w:vAlign w:val="center"/>
          </w:tcPr>
          <w:p w14:paraId="5B8CFA9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Yes</w:t>
            </w:r>
          </w:p>
        </w:tc>
        <w:tc>
          <w:tcPr>
            <w:tcW w:w="583" w:type="dxa"/>
            <w:tcBorders>
              <w:left w:val="nil"/>
              <w:bottom w:val="single" w:sz="4" w:space="0" w:color="000000"/>
              <w:right w:val="nil"/>
            </w:tcBorders>
            <w:shd w:val="clear" w:color="auto" w:fill="FFFFFF"/>
          </w:tcPr>
          <w:p w14:paraId="4A77276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bottom w:val="single" w:sz="4" w:space="0" w:color="000000"/>
              <w:right w:val="nil"/>
            </w:tcBorders>
            <w:shd w:val="clear" w:color="auto" w:fill="FFFFFF"/>
          </w:tcPr>
          <w:p w14:paraId="582FC0D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bottom w:val="single" w:sz="4" w:space="0" w:color="000000"/>
              <w:right w:val="nil"/>
            </w:tcBorders>
            <w:shd w:val="clear" w:color="auto" w:fill="FFFFFF"/>
            <w:vAlign w:val="center"/>
          </w:tcPr>
          <w:p w14:paraId="3B05957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Yes</w:t>
            </w:r>
          </w:p>
        </w:tc>
        <w:tc>
          <w:tcPr>
            <w:tcW w:w="583" w:type="dxa"/>
            <w:tcBorders>
              <w:left w:val="nil"/>
              <w:bottom w:val="single" w:sz="4" w:space="0" w:color="000000"/>
              <w:right w:val="nil"/>
            </w:tcBorders>
            <w:shd w:val="clear" w:color="auto" w:fill="FFFFFF"/>
          </w:tcPr>
          <w:p w14:paraId="60444AF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bottom w:val="single" w:sz="4" w:space="0" w:color="000000"/>
              <w:right w:val="nil"/>
            </w:tcBorders>
            <w:shd w:val="clear" w:color="auto" w:fill="FFFFFF"/>
          </w:tcPr>
          <w:p w14:paraId="36FC401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bottom w:val="single" w:sz="4" w:space="0" w:color="000000"/>
              <w:right w:val="nil"/>
            </w:tcBorders>
            <w:shd w:val="clear" w:color="auto" w:fill="FFFFFF"/>
            <w:vAlign w:val="center"/>
          </w:tcPr>
          <w:p w14:paraId="063491B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Yes</w:t>
            </w:r>
          </w:p>
        </w:tc>
        <w:tc>
          <w:tcPr>
            <w:tcW w:w="606" w:type="dxa"/>
            <w:tcBorders>
              <w:left w:val="nil"/>
              <w:bottom w:val="single" w:sz="4" w:space="0" w:color="000000"/>
              <w:right w:val="nil"/>
            </w:tcBorders>
            <w:shd w:val="clear" w:color="auto" w:fill="FFFFFF"/>
          </w:tcPr>
          <w:p w14:paraId="29C6287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bottom w:val="single" w:sz="4" w:space="0" w:color="000000"/>
              <w:right w:val="nil"/>
            </w:tcBorders>
            <w:shd w:val="clear" w:color="auto" w:fill="FFFFFF"/>
          </w:tcPr>
          <w:p w14:paraId="320C208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bottom w:val="single" w:sz="4" w:space="0" w:color="000000"/>
              <w:right w:val="nil"/>
            </w:tcBorders>
            <w:shd w:val="clear" w:color="auto" w:fill="FFFFFF"/>
            <w:vAlign w:val="center"/>
          </w:tcPr>
          <w:p w14:paraId="16496C3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Yes</w:t>
            </w:r>
          </w:p>
        </w:tc>
        <w:tc>
          <w:tcPr>
            <w:tcW w:w="582" w:type="dxa"/>
            <w:tcBorders>
              <w:left w:val="nil"/>
              <w:bottom w:val="single" w:sz="4" w:space="0" w:color="000000"/>
              <w:right w:val="nil"/>
            </w:tcBorders>
            <w:shd w:val="clear" w:color="auto" w:fill="FFFFFF"/>
          </w:tcPr>
          <w:p w14:paraId="19C9F751"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12E52642" w14:textId="77777777">
        <w:trPr>
          <w:trHeight w:val="280"/>
        </w:trPr>
        <w:tc>
          <w:tcPr>
            <w:tcW w:w="1960" w:type="dxa"/>
            <w:tcBorders>
              <w:left w:val="nil"/>
              <w:right w:val="nil"/>
            </w:tcBorders>
            <w:shd w:val="clear" w:color="auto" w:fill="FFFFFF"/>
            <w:vAlign w:val="center"/>
          </w:tcPr>
          <w:p w14:paraId="47A1F42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Observations</w:t>
            </w:r>
          </w:p>
        </w:tc>
        <w:tc>
          <w:tcPr>
            <w:tcW w:w="958" w:type="dxa"/>
            <w:tcBorders>
              <w:left w:val="nil"/>
              <w:right w:val="nil"/>
            </w:tcBorders>
            <w:shd w:val="clear" w:color="auto" w:fill="FFFFFF"/>
            <w:vAlign w:val="center"/>
          </w:tcPr>
          <w:p w14:paraId="2B21893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35,473</w:t>
            </w:r>
          </w:p>
        </w:tc>
        <w:tc>
          <w:tcPr>
            <w:tcW w:w="583" w:type="dxa"/>
            <w:tcBorders>
              <w:left w:val="nil"/>
              <w:right w:val="nil"/>
            </w:tcBorders>
            <w:shd w:val="clear" w:color="auto" w:fill="FFFFFF"/>
          </w:tcPr>
          <w:p w14:paraId="4099CA2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66ED762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right w:val="nil"/>
            </w:tcBorders>
            <w:shd w:val="clear" w:color="auto" w:fill="FFFFFF"/>
            <w:vAlign w:val="center"/>
          </w:tcPr>
          <w:p w14:paraId="3EDAF8F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35,435</w:t>
            </w:r>
          </w:p>
        </w:tc>
        <w:tc>
          <w:tcPr>
            <w:tcW w:w="583" w:type="dxa"/>
            <w:tcBorders>
              <w:left w:val="nil"/>
              <w:right w:val="nil"/>
            </w:tcBorders>
            <w:shd w:val="clear" w:color="auto" w:fill="FFFFFF"/>
          </w:tcPr>
          <w:p w14:paraId="718E993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0698994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right w:val="nil"/>
            </w:tcBorders>
            <w:shd w:val="clear" w:color="auto" w:fill="FFFFFF"/>
            <w:vAlign w:val="center"/>
          </w:tcPr>
          <w:p w14:paraId="273C87D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35,473</w:t>
            </w:r>
          </w:p>
        </w:tc>
        <w:tc>
          <w:tcPr>
            <w:tcW w:w="606" w:type="dxa"/>
            <w:tcBorders>
              <w:left w:val="nil"/>
              <w:right w:val="nil"/>
            </w:tcBorders>
            <w:shd w:val="clear" w:color="auto" w:fill="FFFFFF"/>
          </w:tcPr>
          <w:p w14:paraId="5835120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right w:val="nil"/>
            </w:tcBorders>
            <w:shd w:val="clear" w:color="auto" w:fill="FFFFFF"/>
          </w:tcPr>
          <w:p w14:paraId="0701BA9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right w:val="nil"/>
            </w:tcBorders>
            <w:shd w:val="clear" w:color="auto" w:fill="FFFFFF"/>
            <w:vAlign w:val="center"/>
          </w:tcPr>
          <w:p w14:paraId="685EF13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35,435</w:t>
            </w:r>
          </w:p>
        </w:tc>
        <w:tc>
          <w:tcPr>
            <w:tcW w:w="582" w:type="dxa"/>
            <w:tcBorders>
              <w:left w:val="nil"/>
              <w:right w:val="nil"/>
            </w:tcBorders>
            <w:shd w:val="clear" w:color="auto" w:fill="FFFFFF"/>
          </w:tcPr>
          <w:p w14:paraId="1D59A394"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4FAC1009" w14:textId="77777777">
        <w:trPr>
          <w:trHeight w:val="280"/>
        </w:trPr>
        <w:tc>
          <w:tcPr>
            <w:tcW w:w="1960" w:type="dxa"/>
            <w:tcBorders>
              <w:left w:val="nil"/>
              <w:bottom w:val="single" w:sz="4" w:space="0" w:color="000000"/>
              <w:right w:val="nil"/>
            </w:tcBorders>
            <w:shd w:val="clear" w:color="auto" w:fill="FFFFFF"/>
            <w:vAlign w:val="center"/>
          </w:tcPr>
          <w:p w14:paraId="7BF95C0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Pseudo R</w:t>
            </w:r>
            <w:r>
              <w:rPr>
                <w:rFonts w:ascii="Times New Roman" w:eastAsia="Times New Roman" w:hAnsi="Times New Roman" w:cs="Times New Roman"/>
                <w:color w:val="000000"/>
                <w:sz w:val="18"/>
                <w:szCs w:val="18"/>
                <w:vertAlign w:val="superscript"/>
              </w:rPr>
              <w:t>2</w:t>
            </w:r>
          </w:p>
        </w:tc>
        <w:tc>
          <w:tcPr>
            <w:tcW w:w="958" w:type="dxa"/>
            <w:tcBorders>
              <w:left w:val="nil"/>
              <w:bottom w:val="single" w:sz="4" w:space="0" w:color="000000"/>
              <w:right w:val="nil"/>
            </w:tcBorders>
            <w:shd w:val="clear" w:color="auto" w:fill="FFFFFF"/>
            <w:vAlign w:val="center"/>
          </w:tcPr>
          <w:p w14:paraId="284BB51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0.4039</w:t>
            </w:r>
          </w:p>
        </w:tc>
        <w:tc>
          <w:tcPr>
            <w:tcW w:w="583" w:type="dxa"/>
            <w:tcBorders>
              <w:left w:val="nil"/>
              <w:bottom w:val="single" w:sz="4" w:space="0" w:color="000000"/>
              <w:right w:val="nil"/>
            </w:tcBorders>
            <w:shd w:val="clear" w:color="auto" w:fill="FFFFFF"/>
          </w:tcPr>
          <w:p w14:paraId="7B6FBAB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bottom w:val="single" w:sz="4" w:space="0" w:color="000000"/>
              <w:right w:val="nil"/>
            </w:tcBorders>
            <w:shd w:val="clear" w:color="auto" w:fill="FFFFFF"/>
          </w:tcPr>
          <w:p w14:paraId="085B5D5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975" w:type="dxa"/>
            <w:tcBorders>
              <w:left w:val="nil"/>
              <w:bottom w:val="single" w:sz="4" w:space="0" w:color="000000"/>
              <w:right w:val="nil"/>
            </w:tcBorders>
            <w:shd w:val="clear" w:color="auto" w:fill="FFFFFF"/>
            <w:vAlign w:val="center"/>
          </w:tcPr>
          <w:p w14:paraId="3417CE0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0.4042</w:t>
            </w:r>
          </w:p>
        </w:tc>
        <w:tc>
          <w:tcPr>
            <w:tcW w:w="583" w:type="dxa"/>
            <w:tcBorders>
              <w:left w:val="nil"/>
              <w:bottom w:val="single" w:sz="4" w:space="0" w:color="000000"/>
              <w:right w:val="nil"/>
            </w:tcBorders>
            <w:shd w:val="clear" w:color="auto" w:fill="FFFFFF"/>
          </w:tcPr>
          <w:p w14:paraId="1048E2E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bottom w:val="single" w:sz="4" w:space="0" w:color="000000"/>
              <w:right w:val="nil"/>
            </w:tcBorders>
            <w:shd w:val="clear" w:color="auto" w:fill="FFFFFF"/>
          </w:tcPr>
          <w:p w14:paraId="573670E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18" w:type="dxa"/>
            <w:tcBorders>
              <w:left w:val="nil"/>
              <w:bottom w:val="single" w:sz="4" w:space="0" w:color="000000"/>
              <w:right w:val="nil"/>
            </w:tcBorders>
            <w:shd w:val="clear" w:color="auto" w:fill="FFFFFF"/>
            <w:vAlign w:val="center"/>
          </w:tcPr>
          <w:p w14:paraId="5E95D00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0.4041</w:t>
            </w:r>
          </w:p>
        </w:tc>
        <w:tc>
          <w:tcPr>
            <w:tcW w:w="606" w:type="dxa"/>
            <w:tcBorders>
              <w:left w:val="nil"/>
              <w:bottom w:val="single" w:sz="4" w:space="0" w:color="000000"/>
              <w:right w:val="nil"/>
            </w:tcBorders>
            <w:shd w:val="clear" w:color="auto" w:fill="FFFFFF"/>
          </w:tcPr>
          <w:p w14:paraId="345A069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40" w:type="dxa"/>
            <w:tcBorders>
              <w:left w:val="nil"/>
              <w:bottom w:val="single" w:sz="4" w:space="0" w:color="000000"/>
              <w:right w:val="nil"/>
            </w:tcBorders>
            <w:shd w:val="clear" w:color="auto" w:fill="FFFFFF"/>
          </w:tcPr>
          <w:p w14:paraId="7CBBA03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041" w:type="dxa"/>
            <w:tcBorders>
              <w:left w:val="nil"/>
              <w:bottom w:val="single" w:sz="4" w:space="0" w:color="000000"/>
              <w:right w:val="nil"/>
            </w:tcBorders>
            <w:shd w:val="clear" w:color="auto" w:fill="FFFFFF"/>
            <w:vAlign w:val="center"/>
          </w:tcPr>
          <w:p w14:paraId="44FEB4F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0.4043</w:t>
            </w:r>
          </w:p>
        </w:tc>
        <w:tc>
          <w:tcPr>
            <w:tcW w:w="582" w:type="dxa"/>
            <w:tcBorders>
              <w:left w:val="nil"/>
              <w:bottom w:val="single" w:sz="4" w:space="0" w:color="000000"/>
              <w:right w:val="nil"/>
            </w:tcBorders>
            <w:shd w:val="clear" w:color="auto" w:fill="FFFFFF"/>
          </w:tcPr>
          <w:p w14:paraId="7A70AD0F"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bl>
    <w:p w14:paraId="16EFFF37" w14:textId="77777777" w:rsidR="007373F6" w:rsidRDefault="00000000">
      <w:pPr>
        <w:widowControl w:val="0"/>
        <w:spacing w:before="4"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Notes: The estimation results are based on the probit model and show a heteroscedasticity-robust estimator based on the results of the White and Brochu-Pagan tests. p-values are given in parentheses. *** and ** indicate statistical significance at the 1% and 5%, respectively.</w:t>
      </w:r>
    </w:p>
    <w:p w14:paraId="101EA192" w14:textId="77777777" w:rsidR="007373F6" w:rsidRDefault="007373F6">
      <w:pPr>
        <w:widowControl w:val="0"/>
        <w:spacing w:after="0" w:line="240" w:lineRule="auto"/>
        <w:jc w:val="both"/>
        <w:rPr>
          <w:rFonts w:ascii="Times New Roman" w:eastAsia="Times New Roman" w:hAnsi="Times New Roman" w:cs="Times New Roman"/>
          <w:b/>
          <w:color w:val="000000"/>
          <w:sz w:val="24"/>
          <w:szCs w:val="24"/>
        </w:rPr>
      </w:pPr>
    </w:p>
    <w:p w14:paraId="0229278C" w14:textId="77777777" w:rsidR="007373F6" w:rsidRDefault="00000000">
      <w:pPr>
        <w:widowControl w:val="0"/>
        <w:spacing w:before="139"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Table 3: </w:t>
      </w:r>
      <w:r w:rsidRPr="00CA3E0F">
        <w:rPr>
          <w:rFonts w:ascii="Times New Roman" w:eastAsia="Times New Roman" w:hAnsi="Times New Roman" w:cs="Times New Roman"/>
          <w:bCs/>
          <w:color w:val="000000"/>
          <w:sz w:val="24"/>
          <w:szCs w:val="24"/>
        </w:rPr>
        <w:t>Basic statistics and correlation coeﬃcient matrix after matching</w:t>
      </w:r>
    </w:p>
    <w:p w14:paraId="7FDEE099" w14:textId="0E419AA0" w:rsidR="007373F6" w:rsidRDefault="00000000">
      <w:pPr>
        <w:widowControl w:val="0"/>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Pane</w:t>
      </w:r>
      <w:r w:rsidR="000B03D5">
        <w:rPr>
          <w:rFonts w:ascii="Times New Roman" w:eastAsia="Times New Roman" w:hAnsi="Times New Roman" w:cs="Times New Roman"/>
          <w:b/>
          <w:color w:val="000000"/>
        </w:rPr>
        <w:t>l</w:t>
      </w:r>
      <w:r>
        <w:rPr>
          <w:rFonts w:ascii="Times New Roman" w:eastAsia="Times New Roman" w:hAnsi="Times New Roman" w:cs="Times New Roman"/>
          <w:b/>
          <w:color w:val="000000"/>
        </w:rPr>
        <w:t xml:space="preserve"> A: </w:t>
      </w:r>
      <w:r w:rsidRPr="00CA3E0F">
        <w:rPr>
          <w:rFonts w:ascii="Times New Roman" w:eastAsia="Times New Roman" w:hAnsi="Times New Roman" w:cs="Times New Roman"/>
          <w:bCs/>
          <w:color w:val="000000"/>
        </w:rPr>
        <w:t>Covariate balance after matching</w:t>
      </w:r>
    </w:p>
    <w:tbl>
      <w:tblPr>
        <w:tblStyle w:val="ab"/>
        <w:tblW w:w="9026" w:type="dxa"/>
        <w:tblLayout w:type="fixed"/>
        <w:tblLook w:val="0000" w:firstRow="0" w:lastRow="0" w:firstColumn="0" w:lastColumn="0" w:noHBand="0" w:noVBand="0"/>
      </w:tblPr>
      <w:tblGrid>
        <w:gridCol w:w="2259"/>
        <w:gridCol w:w="2254"/>
        <w:gridCol w:w="2238"/>
        <w:gridCol w:w="2254"/>
        <w:gridCol w:w="21"/>
      </w:tblGrid>
      <w:tr w:rsidR="007373F6" w14:paraId="6E435EA3" w14:textId="77777777">
        <w:trPr>
          <w:trHeight w:val="340"/>
        </w:trPr>
        <w:tc>
          <w:tcPr>
            <w:tcW w:w="2259" w:type="dxa"/>
            <w:tcBorders>
              <w:top w:val="single" w:sz="4" w:space="0" w:color="000000"/>
              <w:bottom w:val="single" w:sz="4" w:space="0" w:color="000000"/>
            </w:tcBorders>
            <w:vAlign w:val="center"/>
          </w:tcPr>
          <w:p w14:paraId="245B5D60" w14:textId="77777777" w:rsidR="007373F6" w:rsidRDefault="00000000">
            <w:pPr>
              <w:ind w:firstLine="90"/>
              <w:jc w:val="both"/>
              <w:rPr>
                <w:rFonts w:ascii="Times New Roman" w:eastAsia="Times New Roman" w:hAnsi="Times New Roman" w:cs="Times New Roman"/>
                <w:color w:val="000000"/>
              </w:rPr>
            </w:pPr>
            <w:r>
              <w:rPr>
                <w:rFonts w:ascii="Times New Roman" w:eastAsia="Times New Roman" w:hAnsi="Times New Roman" w:cs="Times New Roman"/>
                <w:color w:val="000000"/>
              </w:rPr>
              <w:t>Variable</w:t>
            </w:r>
          </w:p>
          <w:p w14:paraId="6019E5CB" w14:textId="77777777" w:rsidR="007373F6" w:rsidRDefault="007373F6">
            <w:pPr>
              <w:jc w:val="both"/>
              <w:rPr>
                <w:rFonts w:ascii="Times New Roman" w:eastAsia="Times New Roman" w:hAnsi="Times New Roman" w:cs="Times New Roman"/>
                <w:color w:val="000000"/>
              </w:rPr>
            </w:pPr>
          </w:p>
        </w:tc>
        <w:tc>
          <w:tcPr>
            <w:tcW w:w="2254" w:type="dxa"/>
            <w:tcBorders>
              <w:top w:val="single" w:sz="4" w:space="0" w:color="000000"/>
              <w:bottom w:val="single" w:sz="4" w:space="0" w:color="000000"/>
            </w:tcBorders>
            <w:vAlign w:val="center"/>
          </w:tcPr>
          <w:p w14:paraId="5C91863E" w14:textId="77777777" w:rsidR="007373F6" w:rsidRDefault="00000000">
            <w:pPr>
              <w:spacing w:before="72"/>
              <w:ind w:right="87"/>
              <w:jc w:val="both"/>
              <w:rPr>
                <w:rFonts w:ascii="Times New Roman" w:eastAsia="Times New Roman" w:hAnsi="Times New Roman" w:cs="Times New Roman"/>
                <w:color w:val="000000"/>
              </w:rPr>
            </w:pPr>
            <w:r>
              <w:rPr>
                <w:rFonts w:ascii="Times New Roman" w:eastAsia="Times New Roman" w:hAnsi="Times New Roman" w:cs="Times New Roman"/>
                <w:color w:val="000000"/>
              </w:rPr>
              <w:t>Treatment</w:t>
            </w:r>
          </w:p>
          <w:p w14:paraId="55D7EF22" w14:textId="77777777" w:rsidR="007373F6" w:rsidRDefault="00000000">
            <w:pPr>
              <w:spacing w:before="72"/>
              <w:ind w:right="87"/>
              <w:jc w:val="both"/>
              <w:rPr>
                <w:rFonts w:ascii="Times New Roman" w:eastAsia="Times New Roman" w:hAnsi="Times New Roman" w:cs="Times New Roman"/>
                <w:color w:val="000000"/>
              </w:rPr>
            </w:pPr>
            <w:r>
              <w:rPr>
                <w:rFonts w:ascii="Times New Roman" w:eastAsia="Times New Roman" w:hAnsi="Times New Roman" w:cs="Times New Roman"/>
                <w:color w:val="000000"/>
              </w:rPr>
              <w:t>(a)</w:t>
            </w:r>
          </w:p>
        </w:tc>
        <w:tc>
          <w:tcPr>
            <w:tcW w:w="2238" w:type="dxa"/>
            <w:tcBorders>
              <w:top w:val="single" w:sz="4" w:space="0" w:color="000000"/>
              <w:bottom w:val="single" w:sz="4" w:space="0" w:color="000000"/>
            </w:tcBorders>
            <w:vAlign w:val="center"/>
          </w:tcPr>
          <w:p w14:paraId="57FDD9CB" w14:textId="77777777" w:rsidR="007373F6" w:rsidRDefault="00000000">
            <w:pPr>
              <w:spacing w:before="72"/>
              <w:ind w:right="28"/>
              <w:jc w:val="both"/>
              <w:rPr>
                <w:rFonts w:ascii="Times New Roman" w:eastAsia="Times New Roman" w:hAnsi="Times New Roman" w:cs="Times New Roman"/>
                <w:color w:val="000000"/>
              </w:rPr>
            </w:pPr>
            <w:r>
              <w:rPr>
                <w:rFonts w:ascii="Times New Roman" w:eastAsia="Times New Roman" w:hAnsi="Times New Roman" w:cs="Times New Roman"/>
                <w:color w:val="000000"/>
              </w:rPr>
              <w:t>Control</w:t>
            </w:r>
          </w:p>
          <w:p w14:paraId="409936E9" w14:textId="77777777" w:rsidR="007373F6" w:rsidRDefault="00000000">
            <w:pPr>
              <w:spacing w:before="72"/>
              <w:ind w:right="28"/>
              <w:jc w:val="both"/>
              <w:rPr>
                <w:rFonts w:ascii="Times New Roman" w:eastAsia="Times New Roman" w:hAnsi="Times New Roman" w:cs="Times New Roman"/>
                <w:color w:val="000000"/>
              </w:rPr>
            </w:pPr>
            <w:r>
              <w:rPr>
                <w:rFonts w:ascii="Times New Roman" w:eastAsia="Times New Roman" w:hAnsi="Times New Roman" w:cs="Times New Roman"/>
                <w:color w:val="000000"/>
              </w:rPr>
              <w:t>(b)</w:t>
            </w:r>
          </w:p>
        </w:tc>
        <w:tc>
          <w:tcPr>
            <w:tcW w:w="2254" w:type="dxa"/>
            <w:tcBorders>
              <w:top w:val="single" w:sz="4" w:space="0" w:color="000000"/>
              <w:bottom w:val="single" w:sz="4" w:space="0" w:color="000000"/>
            </w:tcBorders>
            <w:vAlign w:val="center"/>
          </w:tcPr>
          <w:p w14:paraId="50DC4D47" w14:textId="77777777" w:rsidR="007373F6" w:rsidRDefault="00000000">
            <w:pPr>
              <w:spacing w:before="68"/>
              <w:ind w:right="46"/>
              <w:jc w:val="both"/>
              <w:rPr>
                <w:rFonts w:ascii="Times New Roman" w:eastAsia="Times New Roman" w:hAnsi="Times New Roman" w:cs="Times New Roman"/>
                <w:color w:val="000000"/>
              </w:rPr>
            </w:pPr>
            <w:r>
              <w:rPr>
                <w:rFonts w:ascii="Times New Roman" w:eastAsia="Times New Roman" w:hAnsi="Times New Roman" w:cs="Times New Roman"/>
                <w:color w:val="000000"/>
              </w:rPr>
              <w:t>Difference (a) – (b)</w:t>
            </w:r>
          </w:p>
          <w:p w14:paraId="2E8D8552" w14:textId="77777777" w:rsidR="007373F6" w:rsidRDefault="00000000">
            <w:pPr>
              <w:spacing w:before="68"/>
              <w:ind w:right="46"/>
              <w:jc w:val="both"/>
              <w:rPr>
                <w:rFonts w:ascii="Times New Roman" w:eastAsia="Times New Roman" w:hAnsi="Times New Roman" w:cs="Times New Roman"/>
                <w:color w:val="000000"/>
              </w:rPr>
            </w:pPr>
            <w:r>
              <w:rPr>
                <w:rFonts w:ascii="Times New Roman" w:eastAsia="Times New Roman" w:hAnsi="Times New Roman" w:cs="Times New Roman"/>
                <w:color w:val="000000"/>
              </w:rPr>
              <w:t>t-statistics (p-value)</w:t>
            </w:r>
          </w:p>
        </w:tc>
        <w:tc>
          <w:tcPr>
            <w:tcW w:w="21" w:type="dxa"/>
            <w:tcBorders>
              <w:bottom w:val="single" w:sz="4" w:space="0" w:color="000000"/>
            </w:tcBorders>
          </w:tcPr>
          <w:p w14:paraId="06405D2E" w14:textId="77777777" w:rsidR="007373F6" w:rsidRDefault="007373F6">
            <w:pPr>
              <w:jc w:val="both"/>
              <w:rPr>
                <w:rFonts w:ascii="Times New Roman" w:eastAsia="Times New Roman" w:hAnsi="Times New Roman" w:cs="Times New Roman"/>
                <w:color w:val="000000"/>
                <w:sz w:val="20"/>
                <w:szCs w:val="20"/>
              </w:rPr>
            </w:pPr>
          </w:p>
        </w:tc>
      </w:tr>
      <w:tr w:rsidR="007373F6" w14:paraId="06F89F5E" w14:textId="77777777">
        <w:trPr>
          <w:trHeight w:val="227"/>
        </w:trPr>
        <w:tc>
          <w:tcPr>
            <w:tcW w:w="2259" w:type="dxa"/>
            <w:tcBorders>
              <w:top w:val="single" w:sz="4" w:space="0" w:color="000000"/>
            </w:tcBorders>
          </w:tcPr>
          <w:p w14:paraId="29928482" w14:textId="77777777" w:rsidR="007373F6" w:rsidRDefault="00000000">
            <w:pPr>
              <w:spacing w:before="74"/>
              <w:ind w:left="89"/>
              <w:jc w:val="both"/>
              <w:rPr>
                <w:rFonts w:ascii="Times New Roman" w:eastAsia="Times New Roman" w:hAnsi="Times New Roman" w:cs="Times New Roman"/>
                <w:color w:val="000000"/>
              </w:rPr>
            </w:pPr>
            <w:r>
              <w:rPr>
                <w:rFonts w:ascii="Times New Roman" w:eastAsia="Times New Roman" w:hAnsi="Times New Roman" w:cs="Times New Roman"/>
                <w:color w:val="000000"/>
              </w:rPr>
              <w:t>FOREIGN HELD</w:t>
            </w:r>
          </w:p>
        </w:tc>
        <w:tc>
          <w:tcPr>
            <w:tcW w:w="2254" w:type="dxa"/>
            <w:tcBorders>
              <w:top w:val="single" w:sz="4" w:space="0" w:color="000000"/>
            </w:tcBorders>
          </w:tcPr>
          <w:p w14:paraId="74F23B47" w14:textId="77777777" w:rsidR="007373F6" w:rsidRDefault="00000000">
            <w:pPr>
              <w:spacing w:before="74"/>
              <w:ind w:right="96"/>
              <w:jc w:val="both"/>
              <w:rPr>
                <w:rFonts w:ascii="Times New Roman" w:eastAsia="Times New Roman" w:hAnsi="Times New Roman" w:cs="Times New Roman"/>
                <w:color w:val="000000"/>
              </w:rPr>
            </w:pPr>
            <w:r>
              <w:rPr>
                <w:rFonts w:ascii="Times New Roman" w:eastAsia="Times New Roman" w:hAnsi="Times New Roman" w:cs="Times New Roman"/>
                <w:color w:val="000000"/>
              </w:rPr>
              <w:t>0.2435</w:t>
            </w:r>
          </w:p>
        </w:tc>
        <w:tc>
          <w:tcPr>
            <w:tcW w:w="2238" w:type="dxa"/>
            <w:tcBorders>
              <w:top w:val="single" w:sz="4" w:space="0" w:color="000000"/>
            </w:tcBorders>
          </w:tcPr>
          <w:p w14:paraId="0BD8FAA6" w14:textId="77777777" w:rsidR="007373F6" w:rsidRDefault="00000000">
            <w:pPr>
              <w:spacing w:before="74"/>
              <w:ind w:left="96"/>
              <w:jc w:val="both"/>
              <w:rPr>
                <w:rFonts w:ascii="Times New Roman" w:eastAsia="Times New Roman" w:hAnsi="Times New Roman" w:cs="Times New Roman"/>
                <w:color w:val="000000"/>
              </w:rPr>
            </w:pPr>
            <w:r>
              <w:rPr>
                <w:rFonts w:ascii="Times New Roman" w:eastAsia="Times New Roman" w:hAnsi="Times New Roman" w:cs="Times New Roman"/>
                <w:color w:val="000000"/>
              </w:rPr>
              <w:t>0.2360</w:t>
            </w:r>
          </w:p>
        </w:tc>
        <w:tc>
          <w:tcPr>
            <w:tcW w:w="2254" w:type="dxa"/>
            <w:tcBorders>
              <w:top w:val="single" w:sz="4" w:space="0" w:color="000000"/>
            </w:tcBorders>
          </w:tcPr>
          <w:p w14:paraId="1E145C7E" w14:textId="77777777" w:rsidR="007373F6" w:rsidRDefault="00000000">
            <w:pPr>
              <w:spacing w:before="74"/>
              <w:ind w:right="50"/>
              <w:jc w:val="both"/>
              <w:rPr>
                <w:rFonts w:ascii="Times New Roman" w:eastAsia="Times New Roman" w:hAnsi="Times New Roman" w:cs="Times New Roman"/>
                <w:color w:val="000000"/>
              </w:rPr>
            </w:pPr>
            <w:r>
              <w:rPr>
                <w:rFonts w:ascii="Times New Roman" w:eastAsia="Times New Roman" w:hAnsi="Times New Roman" w:cs="Times New Roman"/>
                <w:color w:val="000000"/>
              </w:rPr>
              <w:t>0.0075</w:t>
            </w:r>
          </w:p>
          <w:p w14:paraId="0E2D0B5E" w14:textId="77777777" w:rsidR="007373F6" w:rsidRDefault="00000000">
            <w:pPr>
              <w:spacing w:before="74"/>
              <w:ind w:right="50"/>
              <w:jc w:val="both"/>
              <w:rPr>
                <w:rFonts w:ascii="Times New Roman" w:eastAsia="Times New Roman" w:hAnsi="Times New Roman" w:cs="Times New Roman"/>
                <w:color w:val="000000"/>
              </w:rPr>
            </w:pPr>
            <w:r>
              <w:rPr>
                <w:rFonts w:ascii="Times New Roman" w:eastAsia="Times New Roman" w:hAnsi="Times New Roman" w:cs="Times New Roman"/>
                <w:color w:val="000000"/>
              </w:rPr>
              <w:t>0.4721 (0.637)</w:t>
            </w:r>
          </w:p>
        </w:tc>
        <w:tc>
          <w:tcPr>
            <w:tcW w:w="21" w:type="dxa"/>
            <w:tcBorders>
              <w:top w:val="single" w:sz="4" w:space="0" w:color="000000"/>
            </w:tcBorders>
          </w:tcPr>
          <w:p w14:paraId="7119D476" w14:textId="77777777" w:rsidR="007373F6" w:rsidRDefault="007373F6">
            <w:pPr>
              <w:jc w:val="both"/>
              <w:rPr>
                <w:rFonts w:ascii="Times New Roman" w:eastAsia="Times New Roman" w:hAnsi="Times New Roman" w:cs="Times New Roman"/>
                <w:color w:val="000000"/>
                <w:sz w:val="20"/>
                <w:szCs w:val="20"/>
              </w:rPr>
            </w:pPr>
          </w:p>
        </w:tc>
      </w:tr>
      <w:tr w:rsidR="007373F6" w14:paraId="797EC51A" w14:textId="77777777">
        <w:trPr>
          <w:trHeight w:val="227"/>
        </w:trPr>
        <w:tc>
          <w:tcPr>
            <w:tcW w:w="2259" w:type="dxa"/>
          </w:tcPr>
          <w:p w14:paraId="0B068D3A" w14:textId="77777777" w:rsidR="007373F6" w:rsidRDefault="00000000">
            <w:pPr>
              <w:spacing w:before="38"/>
              <w:ind w:left="89"/>
              <w:jc w:val="both"/>
              <w:rPr>
                <w:rFonts w:ascii="Times New Roman" w:eastAsia="Times New Roman" w:hAnsi="Times New Roman" w:cs="Times New Roman"/>
                <w:color w:val="000000"/>
              </w:rPr>
            </w:pPr>
            <w:r>
              <w:rPr>
                <w:rFonts w:ascii="Times New Roman" w:eastAsia="Times New Roman" w:hAnsi="Times New Roman" w:cs="Times New Roman"/>
                <w:color w:val="000000"/>
              </w:rPr>
              <w:t>CROSS</w:t>
            </w:r>
          </w:p>
        </w:tc>
        <w:tc>
          <w:tcPr>
            <w:tcW w:w="2254" w:type="dxa"/>
          </w:tcPr>
          <w:p w14:paraId="1564A6C4" w14:textId="77777777" w:rsidR="007373F6" w:rsidRDefault="00000000">
            <w:pPr>
              <w:spacing w:before="38"/>
              <w:ind w:right="96"/>
              <w:jc w:val="both"/>
              <w:rPr>
                <w:rFonts w:ascii="Times New Roman" w:eastAsia="Times New Roman" w:hAnsi="Times New Roman" w:cs="Times New Roman"/>
                <w:color w:val="000000"/>
              </w:rPr>
            </w:pPr>
            <w:r>
              <w:rPr>
                <w:rFonts w:ascii="Times New Roman" w:eastAsia="Times New Roman" w:hAnsi="Times New Roman" w:cs="Times New Roman"/>
                <w:color w:val="000000"/>
              </w:rPr>
              <w:t>0.0494</w:t>
            </w:r>
          </w:p>
        </w:tc>
        <w:tc>
          <w:tcPr>
            <w:tcW w:w="2238" w:type="dxa"/>
          </w:tcPr>
          <w:p w14:paraId="515E65A0" w14:textId="77777777" w:rsidR="007373F6" w:rsidRDefault="00000000">
            <w:pPr>
              <w:spacing w:before="38"/>
              <w:ind w:left="95"/>
              <w:jc w:val="both"/>
              <w:rPr>
                <w:rFonts w:ascii="Times New Roman" w:eastAsia="Times New Roman" w:hAnsi="Times New Roman" w:cs="Times New Roman"/>
                <w:color w:val="000000"/>
              </w:rPr>
            </w:pPr>
            <w:r>
              <w:rPr>
                <w:rFonts w:ascii="Times New Roman" w:eastAsia="Times New Roman" w:hAnsi="Times New Roman" w:cs="Times New Roman"/>
                <w:color w:val="000000"/>
              </w:rPr>
              <w:t>0.0496</w:t>
            </w:r>
          </w:p>
        </w:tc>
        <w:tc>
          <w:tcPr>
            <w:tcW w:w="2254" w:type="dxa"/>
          </w:tcPr>
          <w:p w14:paraId="2D6D7C59" w14:textId="77777777" w:rsidR="007373F6" w:rsidRDefault="00000000">
            <w:pPr>
              <w:spacing w:before="38"/>
              <w:ind w:right="50"/>
              <w:jc w:val="both"/>
              <w:rPr>
                <w:rFonts w:ascii="Times New Roman" w:eastAsia="Times New Roman" w:hAnsi="Times New Roman" w:cs="Times New Roman"/>
                <w:color w:val="000000"/>
              </w:rPr>
            </w:pPr>
            <w:r>
              <w:rPr>
                <w:rFonts w:ascii="Times New Roman" w:eastAsia="Times New Roman" w:hAnsi="Times New Roman" w:cs="Times New Roman"/>
                <w:color w:val="000000"/>
              </w:rPr>
              <w:t>-0.0002</w:t>
            </w:r>
          </w:p>
          <w:p w14:paraId="5C483846" w14:textId="77777777" w:rsidR="007373F6" w:rsidRDefault="00000000">
            <w:pPr>
              <w:spacing w:before="38"/>
              <w:ind w:right="50"/>
              <w:jc w:val="both"/>
              <w:rPr>
                <w:rFonts w:ascii="Times New Roman" w:eastAsia="Times New Roman" w:hAnsi="Times New Roman" w:cs="Times New Roman"/>
                <w:color w:val="000000"/>
              </w:rPr>
            </w:pPr>
            <w:r>
              <w:rPr>
                <w:rFonts w:ascii="Times New Roman" w:eastAsia="Times New Roman" w:hAnsi="Times New Roman" w:cs="Times New Roman"/>
                <w:color w:val="000000"/>
              </w:rPr>
              <w:t>-0.0309 (0.975)</w:t>
            </w:r>
          </w:p>
        </w:tc>
        <w:tc>
          <w:tcPr>
            <w:tcW w:w="21" w:type="dxa"/>
          </w:tcPr>
          <w:p w14:paraId="59A3BC61" w14:textId="77777777" w:rsidR="007373F6" w:rsidRDefault="007373F6">
            <w:pPr>
              <w:jc w:val="both"/>
              <w:rPr>
                <w:rFonts w:ascii="Times New Roman" w:eastAsia="Times New Roman" w:hAnsi="Times New Roman" w:cs="Times New Roman"/>
                <w:color w:val="000000"/>
                <w:sz w:val="20"/>
                <w:szCs w:val="20"/>
              </w:rPr>
            </w:pPr>
          </w:p>
        </w:tc>
      </w:tr>
      <w:tr w:rsidR="007373F6" w14:paraId="5B5C4D70" w14:textId="77777777">
        <w:trPr>
          <w:trHeight w:val="227"/>
        </w:trPr>
        <w:tc>
          <w:tcPr>
            <w:tcW w:w="2259" w:type="dxa"/>
          </w:tcPr>
          <w:p w14:paraId="0F5C7DEB" w14:textId="77777777" w:rsidR="007373F6" w:rsidRDefault="00000000">
            <w:pP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GW</w:t>
            </w:r>
          </w:p>
        </w:tc>
        <w:tc>
          <w:tcPr>
            <w:tcW w:w="2254" w:type="dxa"/>
          </w:tcPr>
          <w:p w14:paraId="6A57636E" w14:textId="77777777" w:rsidR="007373F6" w:rsidRDefault="00000000">
            <w:pPr>
              <w:jc w:val="both"/>
              <w:rPr>
                <w:rFonts w:ascii="Times New Roman" w:eastAsia="Times New Roman" w:hAnsi="Times New Roman" w:cs="Times New Roman"/>
                <w:color w:val="000000"/>
              </w:rPr>
            </w:pPr>
            <w:r>
              <w:rPr>
                <w:rFonts w:ascii="Times New Roman" w:eastAsia="Times New Roman" w:hAnsi="Times New Roman" w:cs="Times New Roman"/>
                <w:color w:val="000000"/>
              </w:rPr>
              <w:t>0.0488</w:t>
            </w:r>
          </w:p>
        </w:tc>
        <w:tc>
          <w:tcPr>
            <w:tcW w:w="2238" w:type="dxa"/>
          </w:tcPr>
          <w:p w14:paraId="358E629B" w14:textId="77777777" w:rsidR="007373F6" w:rsidRDefault="00000000">
            <w:pPr>
              <w:jc w:val="both"/>
              <w:rPr>
                <w:rFonts w:ascii="Times New Roman" w:eastAsia="Times New Roman" w:hAnsi="Times New Roman" w:cs="Times New Roman"/>
                <w:color w:val="000000"/>
              </w:rPr>
            </w:pPr>
            <w:r>
              <w:rPr>
                <w:rFonts w:ascii="Times New Roman" w:eastAsia="Times New Roman" w:hAnsi="Times New Roman" w:cs="Times New Roman"/>
                <w:color w:val="000000"/>
              </w:rPr>
              <w:t>0.0523</w:t>
            </w:r>
          </w:p>
        </w:tc>
        <w:tc>
          <w:tcPr>
            <w:tcW w:w="2254" w:type="dxa"/>
          </w:tcPr>
          <w:p w14:paraId="3269A083" w14:textId="77777777" w:rsidR="007373F6" w:rsidRDefault="00000000">
            <w:pPr>
              <w:spacing w:before="38"/>
              <w:ind w:right="41"/>
              <w:jc w:val="both"/>
              <w:rPr>
                <w:rFonts w:ascii="Times New Roman" w:eastAsia="Times New Roman" w:hAnsi="Times New Roman" w:cs="Times New Roman"/>
                <w:color w:val="000000"/>
              </w:rPr>
            </w:pPr>
            <w:r>
              <w:rPr>
                <w:rFonts w:ascii="Times New Roman" w:eastAsia="Times New Roman" w:hAnsi="Times New Roman" w:cs="Times New Roman"/>
                <w:color w:val="000000"/>
              </w:rPr>
              <w:t>-0.0035</w:t>
            </w:r>
          </w:p>
          <w:p w14:paraId="193F9104" w14:textId="77777777" w:rsidR="007373F6" w:rsidRDefault="00000000">
            <w:pPr>
              <w:spacing w:before="38"/>
              <w:ind w:right="41"/>
              <w:jc w:val="both"/>
              <w:rPr>
                <w:rFonts w:ascii="Times New Roman" w:eastAsia="Times New Roman" w:hAnsi="Times New Roman" w:cs="Times New Roman"/>
                <w:color w:val="000000"/>
              </w:rPr>
            </w:pPr>
            <w:r>
              <w:rPr>
                <w:rFonts w:ascii="Times New Roman" w:eastAsia="Times New Roman" w:hAnsi="Times New Roman" w:cs="Times New Roman"/>
                <w:color w:val="000000"/>
              </w:rPr>
              <w:t>-0.4066 (0.685)</w:t>
            </w:r>
          </w:p>
        </w:tc>
        <w:tc>
          <w:tcPr>
            <w:tcW w:w="21" w:type="dxa"/>
          </w:tcPr>
          <w:p w14:paraId="36AB0E9C" w14:textId="77777777" w:rsidR="007373F6" w:rsidRDefault="007373F6">
            <w:pPr>
              <w:jc w:val="both"/>
              <w:rPr>
                <w:rFonts w:ascii="Times New Roman" w:eastAsia="Times New Roman" w:hAnsi="Times New Roman" w:cs="Times New Roman"/>
                <w:color w:val="000000"/>
                <w:sz w:val="20"/>
                <w:szCs w:val="20"/>
              </w:rPr>
            </w:pPr>
          </w:p>
        </w:tc>
      </w:tr>
      <w:tr w:rsidR="007373F6" w14:paraId="0C58834F" w14:textId="77777777">
        <w:trPr>
          <w:trHeight w:val="227"/>
        </w:trPr>
        <w:tc>
          <w:tcPr>
            <w:tcW w:w="2259" w:type="dxa"/>
          </w:tcPr>
          <w:p w14:paraId="7F13A88F" w14:textId="77777777" w:rsidR="007373F6" w:rsidRDefault="00000000">
            <w:pP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RD</w:t>
            </w:r>
          </w:p>
        </w:tc>
        <w:tc>
          <w:tcPr>
            <w:tcW w:w="2254" w:type="dxa"/>
          </w:tcPr>
          <w:p w14:paraId="30368537" w14:textId="77777777" w:rsidR="007373F6" w:rsidRDefault="00000000">
            <w:pPr>
              <w:jc w:val="both"/>
              <w:rPr>
                <w:rFonts w:ascii="Times New Roman" w:eastAsia="Times New Roman" w:hAnsi="Times New Roman" w:cs="Times New Roman"/>
                <w:color w:val="000000"/>
              </w:rPr>
            </w:pPr>
            <w:r>
              <w:rPr>
                <w:rFonts w:ascii="Times New Roman" w:eastAsia="Times New Roman" w:hAnsi="Times New Roman" w:cs="Times New Roman"/>
                <w:color w:val="000000"/>
              </w:rPr>
              <w:t>0.0353</w:t>
            </w:r>
          </w:p>
        </w:tc>
        <w:tc>
          <w:tcPr>
            <w:tcW w:w="2238" w:type="dxa"/>
          </w:tcPr>
          <w:p w14:paraId="36A14DD9" w14:textId="77777777" w:rsidR="007373F6" w:rsidRDefault="00000000">
            <w:pPr>
              <w:jc w:val="both"/>
              <w:rPr>
                <w:rFonts w:ascii="Times New Roman" w:eastAsia="Times New Roman" w:hAnsi="Times New Roman" w:cs="Times New Roman"/>
                <w:color w:val="000000"/>
              </w:rPr>
            </w:pPr>
            <w:r>
              <w:rPr>
                <w:rFonts w:ascii="Times New Roman" w:eastAsia="Times New Roman" w:hAnsi="Times New Roman" w:cs="Times New Roman"/>
                <w:color w:val="000000"/>
              </w:rPr>
              <w:t>0.0196</w:t>
            </w:r>
          </w:p>
        </w:tc>
        <w:tc>
          <w:tcPr>
            <w:tcW w:w="2254" w:type="dxa"/>
          </w:tcPr>
          <w:p w14:paraId="65344084" w14:textId="77777777" w:rsidR="007373F6" w:rsidRDefault="00000000">
            <w:pPr>
              <w:spacing w:before="38"/>
              <w:ind w:right="41"/>
              <w:jc w:val="both"/>
              <w:rPr>
                <w:rFonts w:ascii="Times New Roman" w:eastAsia="Times New Roman" w:hAnsi="Times New Roman" w:cs="Times New Roman"/>
                <w:color w:val="000000"/>
              </w:rPr>
            </w:pPr>
            <w:r>
              <w:rPr>
                <w:rFonts w:ascii="Times New Roman" w:eastAsia="Times New Roman" w:hAnsi="Times New Roman" w:cs="Times New Roman"/>
                <w:color w:val="000000"/>
              </w:rPr>
              <w:t>0.0157 ***</w:t>
            </w:r>
          </w:p>
          <w:p w14:paraId="209BFB1F" w14:textId="77777777" w:rsidR="007373F6" w:rsidRDefault="00000000">
            <w:pPr>
              <w:spacing w:before="38"/>
              <w:ind w:right="41"/>
              <w:jc w:val="both"/>
              <w:rPr>
                <w:rFonts w:ascii="Times New Roman" w:eastAsia="Times New Roman" w:hAnsi="Times New Roman" w:cs="Times New Roman"/>
                <w:color w:val="000000"/>
              </w:rPr>
            </w:pPr>
            <w:r>
              <w:rPr>
                <w:rFonts w:ascii="Times New Roman" w:eastAsia="Times New Roman" w:hAnsi="Times New Roman" w:cs="Times New Roman"/>
                <w:color w:val="000000"/>
              </w:rPr>
              <w:t>2.9407 (0.004)</w:t>
            </w:r>
          </w:p>
        </w:tc>
        <w:tc>
          <w:tcPr>
            <w:tcW w:w="21" w:type="dxa"/>
          </w:tcPr>
          <w:p w14:paraId="1AFD8EB5" w14:textId="77777777" w:rsidR="007373F6" w:rsidRDefault="007373F6">
            <w:pPr>
              <w:jc w:val="both"/>
              <w:rPr>
                <w:rFonts w:ascii="Times New Roman" w:eastAsia="Times New Roman" w:hAnsi="Times New Roman" w:cs="Times New Roman"/>
                <w:color w:val="000000"/>
                <w:sz w:val="20"/>
                <w:szCs w:val="20"/>
              </w:rPr>
            </w:pPr>
          </w:p>
        </w:tc>
      </w:tr>
      <w:tr w:rsidR="007373F6" w14:paraId="3F79157C" w14:textId="77777777">
        <w:trPr>
          <w:trHeight w:val="227"/>
        </w:trPr>
        <w:tc>
          <w:tcPr>
            <w:tcW w:w="2259" w:type="dxa"/>
          </w:tcPr>
          <w:p w14:paraId="3AB2211A" w14:textId="77777777" w:rsidR="007373F6" w:rsidRDefault="00000000">
            <w:pPr>
              <w:ind w:firstLine="90"/>
              <w:jc w:val="both"/>
              <w:rPr>
                <w:rFonts w:ascii="Times New Roman" w:eastAsia="Times New Roman" w:hAnsi="Times New Roman" w:cs="Times New Roman"/>
                <w:color w:val="000000"/>
              </w:rPr>
            </w:pPr>
            <w:r>
              <w:rPr>
                <w:rFonts w:ascii="Times New Roman" w:eastAsia="Times New Roman" w:hAnsi="Times New Roman" w:cs="Times New Roman"/>
                <w:color w:val="000000"/>
              </w:rPr>
              <w:t>FOREIGN SALES</w:t>
            </w:r>
          </w:p>
        </w:tc>
        <w:tc>
          <w:tcPr>
            <w:tcW w:w="2254" w:type="dxa"/>
          </w:tcPr>
          <w:p w14:paraId="5EACAD26" w14:textId="77777777" w:rsidR="007373F6" w:rsidRDefault="00000000">
            <w:pPr>
              <w:jc w:val="both"/>
              <w:rPr>
                <w:rFonts w:ascii="Times New Roman" w:eastAsia="Times New Roman" w:hAnsi="Times New Roman" w:cs="Times New Roman"/>
                <w:color w:val="000000"/>
              </w:rPr>
            </w:pPr>
            <w:r>
              <w:rPr>
                <w:rFonts w:ascii="Times New Roman" w:eastAsia="Times New Roman" w:hAnsi="Times New Roman" w:cs="Times New Roman"/>
                <w:color w:val="000000"/>
              </w:rPr>
              <w:t>0.3374</w:t>
            </w:r>
          </w:p>
        </w:tc>
        <w:tc>
          <w:tcPr>
            <w:tcW w:w="2238" w:type="dxa"/>
          </w:tcPr>
          <w:p w14:paraId="217B6851" w14:textId="77777777" w:rsidR="007373F6" w:rsidRDefault="00000000">
            <w:pPr>
              <w:jc w:val="both"/>
              <w:rPr>
                <w:rFonts w:ascii="Times New Roman" w:eastAsia="Times New Roman" w:hAnsi="Times New Roman" w:cs="Times New Roman"/>
                <w:color w:val="000000"/>
              </w:rPr>
            </w:pPr>
            <w:r>
              <w:rPr>
                <w:rFonts w:ascii="Times New Roman" w:eastAsia="Times New Roman" w:hAnsi="Times New Roman" w:cs="Times New Roman"/>
                <w:color w:val="000000"/>
              </w:rPr>
              <w:t>0.3164</w:t>
            </w:r>
          </w:p>
        </w:tc>
        <w:tc>
          <w:tcPr>
            <w:tcW w:w="2254" w:type="dxa"/>
          </w:tcPr>
          <w:p w14:paraId="165DB947" w14:textId="77777777" w:rsidR="007373F6" w:rsidRDefault="00000000">
            <w:pPr>
              <w:spacing w:before="38"/>
              <w:ind w:right="41"/>
              <w:jc w:val="both"/>
              <w:rPr>
                <w:rFonts w:ascii="Times New Roman" w:eastAsia="Times New Roman" w:hAnsi="Times New Roman" w:cs="Times New Roman"/>
                <w:color w:val="000000"/>
              </w:rPr>
            </w:pPr>
            <w:r>
              <w:rPr>
                <w:rFonts w:ascii="Times New Roman" w:eastAsia="Times New Roman" w:hAnsi="Times New Roman" w:cs="Times New Roman"/>
                <w:color w:val="000000"/>
              </w:rPr>
              <w:t>0.0210</w:t>
            </w:r>
          </w:p>
          <w:p w14:paraId="2499A812" w14:textId="77777777" w:rsidR="007373F6" w:rsidRDefault="00000000">
            <w:pPr>
              <w:spacing w:before="38"/>
              <w:ind w:right="41"/>
              <w:jc w:val="both"/>
              <w:rPr>
                <w:rFonts w:ascii="Times New Roman" w:eastAsia="Times New Roman" w:hAnsi="Times New Roman" w:cs="Times New Roman"/>
                <w:color w:val="000000"/>
              </w:rPr>
            </w:pPr>
            <w:r>
              <w:rPr>
                <w:rFonts w:ascii="Times New Roman" w:eastAsia="Times New Roman" w:hAnsi="Times New Roman" w:cs="Times New Roman"/>
                <w:color w:val="000000"/>
              </w:rPr>
              <w:t>0.6367 (0.525)</w:t>
            </w:r>
          </w:p>
        </w:tc>
        <w:tc>
          <w:tcPr>
            <w:tcW w:w="21" w:type="dxa"/>
          </w:tcPr>
          <w:p w14:paraId="35D174C2" w14:textId="77777777" w:rsidR="007373F6" w:rsidRDefault="007373F6">
            <w:pPr>
              <w:jc w:val="both"/>
              <w:rPr>
                <w:rFonts w:ascii="Times New Roman" w:eastAsia="Times New Roman" w:hAnsi="Times New Roman" w:cs="Times New Roman"/>
                <w:color w:val="000000"/>
                <w:sz w:val="20"/>
                <w:szCs w:val="20"/>
              </w:rPr>
            </w:pPr>
          </w:p>
        </w:tc>
      </w:tr>
      <w:tr w:rsidR="007373F6" w14:paraId="47A11EBF" w14:textId="77777777">
        <w:trPr>
          <w:trHeight w:val="227"/>
        </w:trPr>
        <w:tc>
          <w:tcPr>
            <w:tcW w:w="2259" w:type="dxa"/>
          </w:tcPr>
          <w:p w14:paraId="233A1C2D" w14:textId="77777777" w:rsidR="007373F6" w:rsidRDefault="00000000">
            <w:pPr>
              <w:ind w:firstLine="90"/>
              <w:jc w:val="both"/>
              <w:rPr>
                <w:rFonts w:ascii="Times New Roman" w:eastAsia="Times New Roman" w:hAnsi="Times New Roman" w:cs="Times New Roman"/>
                <w:color w:val="000000"/>
              </w:rPr>
            </w:pPr>
            <w:r>
              <w:rPr>
                <w:rFonts w:ascii="Times New Roman" w:eastAsia="Times New Roman" w:hAnsi="Times New Roman" w:cs="Times New Roman"/>
                <w:color w:val="000000"/>
              </w:rPr>
              <w:t>SIZE</w:t>
            </w:r>
          </w:p>
        </w:tc>
        <w:tc>
          <w:tcPr>
            <w:tcW w:w="2254" w:type="dxa"/>
          </w:tcPr>
          <w:p w14:paraId="0757B3EE" w14:textId="77777777" w:rsidR="007373F6" w:rsidRDefault="00000000">
            <w:pPr>
              <w:jc w:val="both"/>
              <w:rPr>
                <w:rFonts w:ascii="Times New Roman" w:eastAsia="Times New Roman" w:hAnsi="Times New Roman" w:cs="Times New Roman"/>
                <w:color w:val="000000"/>
              </w:rPr>
            </w:pPr>
            <w:r>
              <w:rPr>
                <w:rFonts w:ascii="Times New Roman" w:eastAsia="Times New Roman" w:hAnsi="Times New Roman" w:cs="Times New Roman"/>
                <w:color w:val="000000"/>
              </w:rPr>
              <w:t>12.4515</w:t>
            </w:r>
          </w:p>
        </w:tc>
        <w:tc>
          <w:tcPr>
            <w:tcW w:w="2238" w:type="dxa"/>
          </w:tcPr>
          <w:p w14:paraId="4A9E732C" w14:textId="77777777" w:rsidR="007373F6" w:rsidRDefault="00000000">
            <w:pPr>
              <w:jc w:val="both"/>
              <w:rPr>
                <w:rFonts w:ascii="Times New Roman" w:eastAsia="Times New Roman" w:hAnsi="Times New Roman" w:cs="Times New Roman"/>
                <w:color w:val="000000"/>
              </w:rPr>
            </w:pPr>
            <w:r>
              <w:rPr>
                <w:rFonts w:ascii="Times New Roman" w:eastAsia="Times New Roman" w:hAnsi="Times New Roman" w:cs="Times New Roman"/>
                <w:color w:val="000000"/>
              </w:rPr>
              <w:t>12.3552</w:t>
            </w:r>
          </w:p>
        </w:tc>
        <w:tc>
          <w:tcPr>
            <w:tcW w:w="2254" w:type="dxa"/>
          </w:tcPr>
          <w:p w14:paraId="3BB5444A" w14:textId="77777777" w:rsidR="007373F6" w:rsidRDefault="00000000">
            <w:pPr>
              <w:spacing w:before="38"/>
              <w:ind w:right="41"/>
              <w:jc w:val="both"/>
              <w:rPr>
                <w:rFonts w:ascii="Times New Roman" w:eastAsia="Times New Roman" w:hAnsi="Times New Roman" w:cs="Times New Roman"/>
                <w:color w:val="000000"/>
              </w:rPr>
            </w:pPr>
            <w:r>
              <w:rPr>
                <w:rFonts w:ascii="Times New Roman" w:eastAsia="Times New Roman" w:hAnsi="Times New Roman" w:cs="Times New Roman"/>
                <w:color w:val="000000"/>
              </w:rPr>
              <w:t>0.0963</w:t>
            </w:r>
          </w:p>
          <w:p w14:paraId="3409948A" w14:textId="77777777" w:rsidR="007373F6" w:rsidRDefault="00000000">
            <w:pPr>
              <w:spacing w:before="38"/>
              <w:ind w:right="41"/>
              <w:jc w:val="both"/>
              <w:rPr>
                <w:rFonts w:ascii="Times New Roman" w:eastAsia="Times New Roman" w:hAnsi="Times New Roman" w:cs="Times New Roman"/>
                <w:color w:val="000000"/>
              </w:rPr>
            </w:pPr>
            <w:r>
              <w:rPr>
                <w:rFonts w:ascii="Times New Roman" w:eastAsia="Times New Roman" w:hAnsi="Times New Roman" w:cs="Times New Roman"/>
                <w:color w:val="000000"/>
              </w:rPr>
              <w:t>0.4914 (0.623)</w:t>
            </w:r>
          </w:p>
        </w:tc>
        <w:tc>
          <w:tcPr>
            <w:tcW w:w="21" w:type="dxa"/>
          </w:tcPr>
          <w:p w14:paraId="6E943AD0" w14:textId="77777777" w:rsidR="007373F6" w:rsidRDefault="007373F6">
            <w:pPr>
              <w:jc w:val="both"/>
              <w:rPr>
                <w:rFonts w:ascii="Times New Roman" w:eastAsia="Times New Roman" w:hAnsi="Times New Roman" w:cs="Times New Roman"/>
                <w:color w:val="000000"/>
                <w:sz w:val="20"/>
                <w:szCs w:val="20"/>
              </w:rPr>
            </w:pPr>
          </w:p>
        </w:tc>
      </w:tr>
      <w:tr w:rsidR="007373F6" w14:paraId="59F4D479" w14:textId="77777777">
        <w:trPr>
          <w:trHeight w:val="227"/>
        </w:trPr>
        <w:tc>
          <w:tcPr>
            <w:tcW w:w="2259" w:type="dxa"/>
          </w:tcPr>
          <w:p w14:paraId="0B254F7F" w14:textId="77777777" w:rsidR="007373F6" w:rsidRDefault="00000000">
            <w:pPr>
              <w:ind w:firstLine="90"/>
              <w:jc w:val="both"/>
              <w:rPr>
                <w:rFonts w:ascii="Times New Roman" w:eastAsia="Times New Roman" w:hAnsi="Times New Roman" w:cs="Times New Roman"/>
                <w:color w:val="000000"/>
              </w:rPr>
            </w:pPr>
            <w:r>
              <w:rPr>
                <w:rFonts w:ascii="Times New Roman" w:eastAsia="Times New Roman" w:hAnsi="Times New Roman" w:cs="Times New Roman"/>
                <w:color w:val="000000"/>
              </w:rPr>
              <w:t>ROA</w:t>
            </w:r>
          </w:p>
        </w:tc>
        <w:tc>
          <w:tcPr>
            <w:tcW w:w="2254" w:type="dxa"/>
          </w:tcPr>
          <w:p w14:paraId="316760E7" w14:textId="77777777" w:rsidR="007373F6" w:rsidRDefault="00000000">
            <w:pPr>
              <w:jc w:val="both"/>
              <w:rPr>
                <w:rFonts w:ascii="Times New Roman" w:eastAsia="Times New Roman" w:hAnsi="Times New Roman" w:cs="Times New Roman"/>
                <w:color w:val="000000"/>
              </w:rPr>
            </w:pPr>
            <w:r>
              <w:rPr>
                <w:rFonts w:ascii="Times New Roman" w:eastAsia="Times New Roman" w:hAnsi="Times New Roman" w:cs="Times New Roman"/>
                <w:color w:val="000000"/>
              </w:rPr>
              <w:t>0.0552</w:t>
            </w:r>
          </w:p>
        </w:tc>
        <w:tc>
          <w:tcPr>
            <w:tcW w:w="2238" w:type="dxa"/>
          </w:tcPr>
          <w:p w14:paraId="65FD465F" w14:textId="77777777" w:rsidR="007373F6" w:rsidRDefault="00000000">
            <w:pPr>
              <w:jc w:val="both"/>
              <w:rPr>
                <w:rFonts w:ascii="Times New Roman" w:eastAsia="Times New Roman" w:hAnsi="Times New Roman" w:cs="Times New Roman"/>
                <w:color w:val="000000"/>
              </w:rPr>
            </w:pPr>
            <w:r>
              <w:rPr>
                <w:rFonts w:ascii="Times New Roman" w:eastAsia="Times New Roman" w:hAnsi="Times New Roman" w:cs="Times New Roman"/>
                <w:color w:val="000000"/>
              </w:rPr>
              <w:t>0.0471</w:t>
            </w:r>
          </w:p>
        </w:tc>
        <w:tc>
          <w:tcPr>
            <w:tcW w:w="2254" w:type="dxa"/>
          </w:tcPr>
          <w:p w14:paraId="40819D27" w14:textId="77777777" w:rsidR="007373F6" w:rsidRDefault="00000000">
            <w:pPr>
              <w:spacing w:before="38"/>
              <w:ind w:right="41"/>
              <w:jc w:val="both"/>
              <w:rPr>
                <w:rFonts w:ascii="Times New Roman" w:eastAsia="Times New Roman" w:hAnsi="Times New Roman" w:cs="Times New Roman"/>
                <w:color w:val="000000"/>
              </w:rPr>
            </w:pPr>
            <w:r>
              <w:rPr>
                <w:rFonts w:ascii="Times New Roman" w:eastAsia="Times New Roman" w:hAnsi="Times New Roman" w:cs="Times New Roman"/>
                <w:color w:val="000000"/>
              </w:rPr>
              <w:t>0.0081</w:t>
            </w:r>
          </w:p>
          <w:p w14:paraId="4776B78F" w14:textId="77777777" w:rsidR="007373F6" w:rsidRDefault="00000000">
            <w:pPr>
              <w:spacing w:before="38"/>
              <w:ind w:right="41"/>
              <w:jc w:val="both"/>
              <w:rPr>
                <w:rFonts w:ascii="Times New Roman" w:eastAsia="Times New Roman" w:hAnsi="Times New Roman" w:cs="Times New Roman"/>
                <w:color w:val="000000"/>
              </w:rPr>
            </w:pPr>
            <w:r>
              <w:rPr>
                <w:rFonts w:ascii="Times New Roman" w:eastAsia="Times New Roman" w:hAnsi="Times New Roman" w:cs="Times New Roman"/>
                <w:color w:val="000000"/>
              </w:rPr>
              <w:t>0.7299 (0.466)</w:t>
            </w:r>
          </w:p>
        </w:tc>
        <w:tc>
          <w:tcPr>
            <w:tcW w:w="21" w:type="dxa"/>
          </w:tcPr>
          <w:p w14:paraId="306CD359" w14:textId="77777777" w:rsidR="007373F6" w:rsidRDefault="007373F6">
            <w:pPr>
              <w:jc w:val="both"/>
              <w:rPr>
                <w:rFonts w:ascii="Times New Roman" w:eastAsia="Times New Roman" w:hAnsi="Times New Roman" w:cs="Times New Roman"/>
                <w:color w:val="000000"/>
                <w:sz w:val="20"/>
                <w:szCs w:val="20"/>
              </w:rPr>
            </w:pPr>
          </w:p>
        </w:tc>
      </w:tr>
      <w:tr w:rsidR="007373F6" w14:paraId="5D3816C8" w14:textId="77777777">
        <w:trPr>
          <w:trHeight w:val="227"/>
        </w:trPr>
        <w:tc>
          <w:tcPr>
            <w:tcW w:w="2259" w:type="dxa"/>
          </w:tcPr>
          <w:p w14:paraId="20880950" w14:textId="77777777" w:rsidR="007373F6" w:rsidRDefault="00000000">
            <w:pP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BTM</w:t>
            </w:r>
          </w:p>
        </w:tc>
        <w:tc>
          <w:tcPr>
            <w:tcW w:w="2254" w:type="dxa"/>
          </w:tcPr>
          <w:p w14:paraId="1DDA165C" w14:textId="77777777" w:rsidR="007373F6" w:rsidRDefault="00000000">
            <w:pPr>
              <w:jc w:val="both"/>
              <w:rPr>
                <w:rFonts w:ascii="Times New Roman" w:eastAsia="Times New Roman" w:hAnsi="Times New Roman" w:cs="Times New Roman"/>
                <w:color w:val="000000"/>
              </w:rPr>
            </w:pPr>
            <w:r>
              <w:rPr>
                <w:rFonts w:ascii="Times New Roman" w:eastAsia="Times New Roman" w:hAnsi="Times New Roman" w:cs="Times New Roman"/>
                <w:color w:val="000000"/>
              </w:rPr>
              <w:t>0.7697</w:t>
            </w:r>
          </w:p>
        </w:tc>
        <w:tc>
          <w:tcPr>
            <w:tcW w:w="2238" w:type="dxa"/>
          </w:tcPr>
          <w:p w14:paraId="52988829" w14:textId="77777777" w:rsidR="007373F6" w:rsidRDefault="00000000">
            <w:pPr>
              <w:jc w:val="both"/>
              <w:rPr>
                <w:rFonts w:ascii="Times New Roman" w:eastAsia="Times New Roman" w:hAnsi="Times New Roman" w:cs="Times New Roman"/>
                <w:color w:val="000000"/>
              </w:rPr>
            </w:pPr>
            <w:r>
              <w:rPr>
                <w:rFonts w:ascii="Times New Roman" w:eastAsia="Times New Roman" w:hAnsi="Times New Roman" w:cs="Times New Roman"/>
                <w:color w:val="000000"/>
              </w:rPr>
              <w:t>0.7751</w:t>
            </w:r>
          </w:p>
        </w:tc>
        <w:tc>
          <w:tcPr>
            <w:tcW w:w="2254" w:type="dxa"/>
          </w:tcPr>
          <w:p w14:paraId="40AC6456" w14:textId="77777777" w:rsidR="007373F6" w:rsidRDefault="00000000">
            <w:pPr>
              <w:spacing w:before="38"/>
              <w:ind w:right="41"/>
              <w:jc w:val="both"/>
              <w:rPr>
                <w:rFonts w:ascii="Times New Roman" w:eastAsia="Times New Roman" w:hAnsi="Times New Roman" w:cs="Times New Roman"/>
                <w:color w:val="000000"/>
              </w:rPr>
            </w:pPr>
            <w:r>
              <w:rPr>
                <w:rFonts w:ascii="Times New Roman" w:eastAsia="Times New Roman" w:hAnsi="Times New Roman" w:cs="Times New Roman"/>
                <w:color w:val="000000"/>
              </w:rPr>
              <w:t>-0.0054</w:t>
            </w:r>
          </w:p>
          <w:p w14:paraId="3092101C" w14:textId="77777777" w:rsidR="007373F6" w:rsidRDefault="00000000">
            <w:pPr>
              <w:spacing w:before="38"/>
              <w:ind w:right="41"/>
              <w:jc w:val="both"/>
              <w:rPr>
                <w:rFonts w:ascii="Times New Roman" w:eastAsia="Times New Roman" w:hAnsi="Times New Roman" w:cs="Times New Roman"/>
                <w:color w:val="000000"/>
              </w:rPr>
            </w:pPr>
            <w:r>
              <w:rPr>
                <w:rFonts w:ascii="Times New Roman" w:eastAsia="Times New Roman" w:hAnsi="Times New Roman" w:cs="Times New Roman"/>
                <w:color w:val="000000"/>
              </w:rPr>
              <w:t>-0.0881 (0.930)</w:t>
            </w:r>
          </w:p>
        </w:tc>
        <w:tc>
          <w:tcPr>
            <w:tcW w:w="21" w:type="dxa"/>
          </w:tcPr>
          <w:p w14:paraId="6E80C5FB" w14:textId="77777777" w:rsidR="007373F6" w:rsidRDefault="007373F6">
            <w:pPr>
              <w:jc w:val="both"/>
              <w:rPr>
                <w:rFonts w:ascii="Times New Roman" w:eastAsia="Times New Roman" w:hAnsi="Times New Roman" w:cs="Times New Roman"/>
                <w:color w:val="000000"/>
                <w:sz w:val="20"/>
                <w:szCs w:val="20"/>
              </w:rPr>
            </w:pPr>
          </w:p>
        </w:tc>
      </w:tr>
      <w:tr w:rsidR="007373F6" w14:paraId="0615A1A0" w14:textId="77777777">
        <w:trPr>
          <w:trHeight w:val="227"/>
        </w:trPr>
        <w:tc>
          <w:tcPr>
            <w:tcW w:w="2259" w:type="dxa"/>
          </w:tcPr>
          <w:p w14:paraId="4BCEE660" w14:textId="77777777" w:rsidR="007373F6" w:rsidRDefault="00000000">
            <w:pPr>
              <w:ind w:firstLine="9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CLOSELY </w:t>
            </w:r>
            <w:proofErr w:type="spellStart"/>
            <w:r>
              <w:rPr>
                <w:rFonts w:ascii="Times New Roman" w:eastAsia="Times New Roman" w:hAnsi="Times New Roman" w:cs="Times New Roman"/>
                <w:color w:val="000000"/>
              </w:rPr>
              <w:t>HElD</w:t>
            </w:r>
            <w:proofErr w:type="spellEnd"/>
          </w:p>
        </w:tc>
        <w:tc>
          <w:tcPr>
            <w:tcW w:w="2254" w:type="dxa"/>
          </w:tcPr>
          <w:p w14:paraId="5B68C40B" w14:textId="77777777" w:rsidR="007373F6" w:rsidRDefault="00000000">
            <w:pPr>
              <w:jc w:val="both"/>
              <w:rPr>
                <w:rFonts w:ascii="Times New Roman" w:eastAsia="Times New Roman" w:hAnsi="Times New Roman" w:cs="Times New Roman"/>
                <w:color w:val="000000"/>
              </w:rPr>
            </w:pPr>
            <w:r>
              <w:rPr>
                <w:rFonts w:ascii="Times New Roman" w:eastAsia="Times New Roman" w:hAnsi="Times New Roman" w:cs="Times New Roman"/>
                <w:color w:val="000000"/>
              </w:rPr>
              <w:t>0.5001</w:t>
            </w:r>
          </w:p>
        </w:tc>
        <w:tc>
          <w:tcPr>
            <w:tcW w:w="2238" w:type="dxa"/>
          </w:tcPr>
          <w:p w14:paraId="5D35CBA9" w14:textId="77777777" w:rsidR="007373F6" w:rsidRDefault="00000000">
            <w:pPr>
              <w:jc w:val="both"/>
              <w:rPr>
                <w:rFonts w:ascii="Times New Roman" w:eastAsia="Times New Roman" w:hAnsi="Times New Roman" w:cs="Times New Roman"/>
                <w:color w:val="000000"/>
              </w:rPr>
            </w:pPr>
            <w:r>
              <w:rPr>
                <w:rFonts w:ascii="Times New Roman" w:eastAsia="Times New Roman" w:hAnsi="Times New Roman" w:cs="Times New Roman"/>
                <w:color w:val="000000"/>
              </w:rPr>
              <w:t>0.5125</w:t>
            </w:r>
          </w:p>
        </w:tc>
        <w:tc>
          <w:tcPr>
            <w:tcW w:w="2254" w:type="dxa"/>
          </w:tcPr>
          <w:p w14:paraId="73D30149" w14:textId="77777777" w:rsidR="007373F6" w:rsidRDefault="00000000">
            <w:pPr>
              <w:spacing w:before="38"/>
              <w:ind w:right="41"/>
              <w:jc w:val="both"/>
              <w:rPr>
                <w:rFonts w:ascii="Times New Roman" w:eastAsia="Times New Roman" w:hAnsi="Times New Roman" w:cs="Times New Roman"/>
                <w:color w:val="000000"/>
              </w:rPr>
            </w:pPr>
            <w:r>
              <w:rPr>
                <w:rFonts w:ascii="Times New Roman" w:eastAsia="Times New Roman" w:hAnsi="Times New Roman" w:cs="Times New Roman"/>
                <w:color w:val="000000"/>
              </w:rPr>
              <w:t>-0.0124</w:t>
            </w:r>
          </w:p>
          <w:p w14:paraId="00E54722" w14:textId="77777777" w:rsidR="007373F6" w:rsidRDefault="00000000">
            <w:pPr>
              <w:spacing w:before="38"/>
              <w:ind w:right="41"/>
              <w:jc w:val="both"/>
              <w:rPr>
                <w:rFonts w:ascii="Times New Roman" w:eastAsia="Times New Roman" w:hAnsi="Times New Roman" w:cs="Times New Roman"/>
                <w:color w:val="000000"/>
              </w:rPr>
            </w:pPr>
            <w:r>
              <w:rPr>
                <w:rFonts w:ascii="Times New Roman" w:eastAsia="Times New Roman" w:hAnsi="Times New Roman" w:cs="Times New Roman"/>
                <w:color w:val="000000"/>
              </w:rPr>
              <w:t>-0.6899 (0.491)</w:t>
            </w:r>
          </w:p>
        </w:tc>
        <w:tc>
          <w:tcPr>
            <w:tcW w:w="21" w:type="dxa"/>
          </w:tcPr>
          <w:p w14:paraId="76E68F55" w14:textId="77777777" w:rsidR="007373F6" w:rsidRDefault="007373F6">
            <w:pPr>
              <w:jc w:val="both"/>
              <w:rPr>
                <w:rFonts w:ascii="Times New Roman" w:eastAsia="Times New Roman" w:hAnsi="Times New Roman" w:cs="Times New Roman"/>
                <w:color w:val="000000"/>
                <w:sz w:val="20"/>
                <w:szCs w:val="20"/>
              </w:rPr>
            </w:pPr>
          </w:p>
        </w:tc>
      </w:tr>
      <w:tr w:rsidR="007373F6" w14:paraId="663853C1" w14:textId="77777777">
        <w:trPr>
          <w:trHeight w:val="227"/>
        </w:trPr>
        <w:tc>
          <w:tcPr>
            <w:tcW w:w="2259" w:type="dxa"/>
          </w:tcPr>
          <w:p w14:paraId="06E62BCE" w14:textId="77777777" w:rsidR="007373F6" w:rsidRDefault="00000000">
            <w:pPr>
              <w:ind w:firstLine="90"/>
              <w:jc w:val="both"/>
              <w:rPr>
                <w:rFonts w:ascii="Times New Roman" w:eastAsia="Times New Roman" w:hAnsi="Times New Roman" w:cs="Times New Roman"/>
                <w:color w:val="000000"/>
              </w:rPr>
            </w:pPr>
            <w:r>
              <w:rPr>
                <w:rFonts w:ascii="Times New Roman" w:eastAsia="Times New Roman" w:hAnsi="Times New Roman" w:cs="Times New Roman"/>
                <w:color w:val="000000"/>
              </w:rPr>
              <w:t>DEBT</w:t>
            </w:r>
          </w:p>
        </w:tc>
        <w:tc>
          <w:tcPr>
            <w:tcW w:w="2254" w:type="dxa"/>
          </w:tcPr>
          <w:p w14:paraId="472B258C" w14:textId="77777777" w:rsidR="007373F6" w:rsidRDefault="00000000">
            <w:pPr>
              <w:jc w:val="both"/>
              <w:rPr>
                <w:rFonts w:ascii="Times New Roman" w:eastAsia="Times New Roman" w:hAnsi="Times New Roman" w:cs="Times New Roman"/>
                <w:color w:val="000000"/>
              </w:rPr>
            </w:pPr>
            <w:r>
              <w:rPr>
                <w:rFonts w:ascii="Times New Roman" w:eastAsia="Times New Roman" w:hAnsi="Times New Roman" w:cs="Times New Roman"/>
                <w:color w:val="000000"/>
              </w:rPr>
              <w:t>0.2158</w:t>
            </w:r>
          </w:p>
        </w:tc>
        <w:tc>
          <w:tcPr>
            <w:tcW w:w="2238" w:type="dxa"/>
          </w:tcPr>
          <w:p w14:paraId="5D4C5009" w14:textId="77777777" w:rsidR="007373F6" w:rsidRDefault="00000000">
            <w:pPr>
              <w:jc w:val="both"/>
              <w:rPr>
                <w:rFonts w:ascii="Times New Roman" w:eastAsia="Times New Roman" w:hAnsi="Times New Roman" w:cs="Times New Roman"/>
                <w:color w:val="000000"/>
              </w:rPr>
            </w:pPr>
            <w:r>
              <w:rPr>
                <w:rFonts w:ascii="Times New Roman" w:eastAsia="Times New Roman" w:hAnsi="Times New Roman" w:cs="Times New Roman"/>
                <w:color w:val="000000"/>
              </w:rPr>
              <w:t>0.1853</w:t>
            </w:r>
          </w:p>
        </w:tc>
        <w:tc>
          <w:tcPr>
            <w:tcW w:w="2254" w:type="dxa"/>
          </w:tcPr>
          <w:p w14:paraId="53A763DA" w14:textId="77777777" w:rsidR="007373F6" w:rsidRDefault="00000000">
            <w:pPr>
              <w:spacing w:before="38"/>
              <w:ind w:right="41"/>
              <w:jc w:val="both"/>
              <w:rPr>
                <w:rFonts w:ascii="Times New Roman" w:eastAsia="Times New Roman" w:hAnsi="Times New Roman" w:cs="Times New Roman"/>
                <w:color w:val="000000"/>
              </w:rPr>
            </w:pPr>
            <w:r>
              <w:rPr>
                <w:rFonts w:ascii="Times New Roman" w:eastAsia="Times New Roman" w:hAnsi="Times New Roman" w:cs="Times New Roman"/>
                <w:color w:val="000000"/>
              </w:rPr>
              <w:t>0.0305</w:t>
            </w:r>
          </w:p>
          <w:p w14:paraId="57AE8254" w14:textId="77777777" w:rsidR="007373F6" w:rsidRDefault="00000000">
            <w:pPr>
              <w:spacing w:before="38"/>
              <w:ind w:right="41"/>
              <w:jc w:val="both"/>
              <w:rPr>
                <w:rFonts w:ascii="Times New Roman" w:eastAsia="Times New Roman" w:hAnsi="Times New Roman" w:cs="Times New Roman"/>
                <w:color w:val="000000"/>
              </w:rPr>
            </w:pPr>
            <w:r>
              <w:rPr>
                <w:rFonts w:ascii="Times New Roman" w:eastAsia="Times New Roman" w:hAnsi="Times New Roman" w:cs="Times New Roman"/>
                <w:color w:val="000000"/>
              </w:rPr>
              <w:t>1.5918 (0.112)</w:t>
            </w:r>
          </w:p>
        </w:tc>
        <w:tc>
          <w:tcPr>
            <w:tcW w:w="21" w:type="dxa"/>
          </w:tcPr>
          <w:p w14:paraId="5CCAAC14" w14:textId="77777777" w:rsidR="007373F6" w:rsidRDefault="007373F6">
            <w:pPr>
              <w:jc w:val="both"/>
              <w:rPr>
                <w:rFonts w:ascii="Times New Roman" w:eastAsia="Times New Roman" w:hAnsi="Times New Roman" w:cs="Times New Roman"/>
                <w:color w:val="000000"/>
                <w:sz w:val="20"/>
                <w:szCs w:val="20"/>
              </w:rPr>
            </w:pPr>
          </w:p>
        </w:tc>
      </w:tr>
      <w:tr w:rsidR="007373F6" w14:paraId="3ED103DF" w14:textId="77777777">
        <w:trPr>
          <w:trHeight w:val="227"/>
        </w:trPr>
        <w:tc>
          <w:tcPr>
            <w:tcW w:w="2259" w:type="dxa"/>
            <w:tcBorders>
              <w:bottom w:val="single" w:sz="4" w:space="0" w:color="000000"/>
            </w:tcBorders>
          </w:tcPr>
          <w:p w14:paraId="19F200D0" w14:textId="77777777" w:rsidR="007373F6" w:rsidRDefault="00000000">
            <w:pPr>
              <w:ind w:firstLine="90"/>
              <w:jc w:val="both"/>
              <w:rPr>
                <w:rFonts w:ascii="Times New Roman" w:eastAsia="Times New Roman" w:hAnsi="Times New Roman" w:cs="Times New Roman"/>
                <w:color w:val="000000"/>
              </w:rPr>
            </w:pPr>
            <w:r>
              <w:rPr>
                <w:rFonts w:ascii="Times New Roman" w:eastAsia="Times New Roman" w:hAnsi="Times New Roman" w:cs="Times New Roman"/>
                <w:color w:val="000000"/>
              </w:rPr>
              <w:t>AGE</w:t>
            </w:r>
          </w:p>
        </w:tc>
        <w:tc>
          <w:tcPr>
            <w:tcW w:w="2254" w:type="dxa"/>
            <w:tcBorders>
              <w:bottom w:val="single" w:sz="4" w:space="0" w:color="000000"/>
            </w:tcBorders>
          </w:tcPr>
          <w:p w14:paraId="7415DC0A" w14:textId="77777777" w:rsidR="007373F6" w:rsidRDefault="00000000">
            <w:pPr>
              <w:jc w:val="both"/>
              <w:rPr>
                <w:rFonts w:ascii="Times New Roman" w:eastAsia="Times New Roman" w:hAnsi="Times New Roman" w:cs="Times New Roman"/>
                <w:color w:val="000000"/>
              </w:rPr>
            </w:pPr>
            <w:r>
              <w:rPr>
                <w:rFonts w:ascii="Times New Roman" w:eastAsia="Times New Roman" w:hAnsi="Times New Roman" w:cs="Times New Roman"/>
                <w:color w:val="000000"/>
              </w:rPr>
              <w:t>3.8186</w:t>
            </w:r>
          </w:p>
        </w:tc>
        <w:tc>
          <w:tcPr>
            <w:tcW w:w="2238" w:type="dxa"/>
            <w:tcBorders>
              <w:bottom w:val="single" w:sz="4" w:space="0" w:color="000000"/>
            </w:tcBorders>
          </w:tcPr>
          <w:p w14:paraId="05A7597B" w14:textId="77777777" w:rsidR="007373F6" w:rsidRDefault="00000000">
            <w:pPr>
              <w:jc w:val="both"/>
              <w:rPr>
                <w:rFonts w:ascii="Times New Roman" w:eastAsia="Times New Roman" w:hAnsi="Times New Roman" w:cs="Times New Roman"/>
                <w:color w:val="000000"/>
              </w:rPr>
            </w:pPr>
            <w:r>
              <w:rPr>
                <w:rFonts w:ascii="Times New Roman" w:eastAsia="Times New Roman" w:hAnsi="Times New Roman" w:cs="Times New Roman"/>
                <w:color w:val="000000"/>
              </w:rPr>
              <w:t>3.7615</w:t>
            </w:r>
          </w:p>
        </w:tc>
        <w:tc>
          <w:tcPr>
            <w:tcW w:w="2254" w:type="dxa"/>
            <w:tcBorders>
              <w:bottom w:val="single" w:sz="4" w:space="0" w:color="000000"/>
            </w:tcBorders>
          </w:tcPr>
          <w:p w14:paraId="00208241" w14:textId="77777777" w:rsidR="007373F6" w:rsidRDefault="00000000">
            <w:pPr>
              <w:spacing w:before="38"/>
              <w:ind w:right="41"/>
              <w:jc w:val="both"/>
              <w:rPr>
                <w:rFonts w:ascii="Times New Roman" w:eastAsia="Times New Roman" w:hAnsi="Times New Roman" w:cs="Times New Roman"/>
                <w:color w:val="000000"/>
              </w:rPr>
            </w:pPr>
            <w:r>
              <w:rPr>
                <w:rFonts w:ascii="Times New Roman" w:eastAsia="Times New Roman" w:hAnsi="Times New Roman" w:cs="Times New Roman"/>
                <w:color w:val="000000"/>
              </w:rPr>
              <w:t>0.0571</w:t>
            </w:r>
          </w:p>
          <w:p w14:paraId="7A319E6C" w14:textId="77777777" w:rsidR="007373F6" w:rsidRDefault="00000000">
            <w:pPr>
              <w:spacing w:before="38"/>
              <w:ind w:right="41"/>
              <w:jc w:val="both"/>
              <w:rPr>
                <w:rFonts w:ascii="Times New Roman" w:eastAsia="Times New Roman" w:hAnsi="Times New Roman" w:cs="Times New Roman"/>
                <w:color w:val="000000"/>
              </w:rPr>
            </w:pPr>
            <w:r>
              <w:rPr>
                <w:rFonts w:ascii="Times New Roman" w:eastAsia="Times New Roman" w:hAnsi="Times New Roman" w:cs="Times New Roman"/>
                <w:color w:val="000000"/>
              </w:rPr>
              <w:t>0.6934 (0.489)</w:t>
            </w:r>
          </w:p>
        </w:tc>
        <w:tc>
          <w:tcPr>
            <w:tcW w:w="21" w:type="dxa"/>
          </w:tcPr>
          <w:p w14:paraId="5C9798E2" w14:textId="77777777" w:rsidR="007373F6" w:rsidRDefault="007373F6">
            <w:pPr>
              <w:jc w:val="both"/>
              <w:rPr>
                <w:rFonts w:ascii="Times New Roman" w:eastAsia="Times New Roman" w:hAnsi="Times New Roman" w:cs="Times New Roman"/>
                <w:color w:val="000000"/>
                <w:sz w:val="20"/>
                <w:szCs w:val="20"/>
              </w:rPr>
            </w:pPr>
          </w:p>
        </w:tc>
      </w:tr>
    </w:tbl>
    <w:p w14:paraId="738E5FD2" w14:textId="77777777" w:rsidR="007373F6" w:rsidRDefault="00000000">
      <w:pPr>
        <w:widowControl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 This table reports the means of each covariate in the treatment and control groups after propensity score matching as well as the difference in means and corresponding p-values from Welch’s t-test. p-values are reported in parentheses. *** indicates statistical significance at the 1% level.</w:t>
      </w:r>
    </w:p>
    <w:p w14:paraId="37FEE504" w14:textId="77777777" w:rsidR="007373F6" w:rsidRDefault="007373F6">
      <w:pPr>
        <w:pBdr>
          <w:top w:val="nil"/>
          <w:left w:val="nil"/>
          <w:bottom w:val="nil"/>
          <w:right w:val="nil"/>
          <w:between w:val="nil"/>
        </w:pBdr>
        <w:spacing w:before="240" w:after="120" w:line="240" w:lineRule="auto"/>
        <w:jc w:val="both"/>
        <w:rPr>
          <w:rFonts w:ascii="Times New Roman" w:eastAsia="Times New Roman" w:hAnsi="Times New Roman" w:cs="Times New Roman"/>
          <w:color w:val="000000"/>
          <w:sz w:val="24"/>
          <w:szCs w:val="24"/>
          <w:highlight w:val="yellow"/>
        </w:rPr>
      </w:pPr>
    </w:p>
    <w:p w14:paraId="48A48951" w14:textId="77777777" w:rsidR="007373F6" w:rsidRDefault="00000000">
      <w:pPr>
        <w:widowControl w:val="0"/>
        <w:spacing w:before="74" w:after="5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Panel B: </w:t>
      </w:r>
      <w:r w:rsidRPr="00CA3E0F">
        <w:rPr>
          <w:rFonts w:ascii="Times New Roman" w:eastAsia="Times New Roman" w:hAnsi="Times New Roman" w:cs="Times New Roman"/>
          <w:bCs/>
          <w:color w:val="000000"/>
        </w:rPr>
        <w:t>Descriptive statistics of the main variables</w:t>
      </w:r>
    </w:p>
    <w:tbl>
      <w:tblPr>
        <w:tblStyle w:val="ac"/>
        <w:tblW w:w="9026" w:type="dxa"/>
        <w:tblLayout w:type="fixed"/>
        <w:tblLook w:val="0000" w:firstRow="0" w:lastRow="0" w:firstColumn="0" w:lastColumn="0" w:noHBand="0" w:noVBand="0"/>
      </w:tblPr>
      <w:tblGrid>
        <w:gridCol w:w="2181"/>
        <w:gridCol w:w="1030"/>
        <w:gridCol w:w="909"/>
        <w:gridCol w:w="909"/>
        <w:gridCol w:w="909"/>
        <w:gridCol w:w="1030"/>
        <w:gridCol w:w="1030"/>
        <w:gridCol w:w="1028"/>
      </w:tblGrid>
      <w:tr w:rsidR="007373F6" w14:paraId="70854A4D" w14:textId="77777777">
        <w:trPr>
          <w:trHeight w:val="323"/>
        </w:trPr>
        <w:tc>
          <w:tcPr>
            <w:tcW w:w="2181" w:type="dxa"/>
            <w:tcBorders>
              <w:top w:val="single" w:sz="4" w:space="0" w:color="000000"/>
              <w:bottom w:val="single" w:sz="4" w:space="0" w:color="000000"/>
            </w:tcBorders>
            <w:vAlign w:val="center"/>
          </w:tcPr>
          <w:p w14:paraId="6B34D179" w14:textId="77777777" w:rsidR="007373F6" w:rsidRDefault="00000000">
            <w:pPr>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Variable</w:t>
            </w:r>
          </w:p>
        </w:tc>
        <w:tc>
          <w:tcPr>
            <w:tcW w:w="1030" w:type="dxa"/>
            <w:tcBorders>
              <w:top w:val="single" w:sz="4" w:space="0" w:color="000000"/>
              <w:bottom w:val="single" w:sz="4" w:space="0" w:color="000000"/>
            </w:tcBorders>
            <w:vAlign w:val="center"/>
          </w:tcPr>
          <w:p w14:paraId="6455021F" w14:textId="77777777" w:rsidR="007373F6" w:rsidRDefault="00000000">
            <w:pPr>
              <w:spacing w:before="13"/>
              <w:jc w:val="both"/>
              <w:rPr>
                <w:rFonts w:ascii="Times New Roman" w:eastAsia="Times New Roman" w:hAnsi="Times New Roman" w:cs="Times New Roman"/>
                <w:color w:val="000000"/>
              </w:rPr>
            </w:pPr>
            <w:r>
              <w:rPr>
                <w:rFonts w:ascii="Times New Roman" w:eastAsia="Times New Roman" w:hAnsi="Times New Roman" w:cs="Times New Roman"/>
                <w:color w:val="000000"/>
              </w:rPr>
              <w:t>Mean</w:t>
            </w:r>
          </w:p>
        </w:tc>
        <w:tc>
          <w:tcPr>
            <w:tcW w:w="909" w:type="dxa"/>
            <w:tcBorders>
              <w:top w:val="single" w:sz="4" w:space="0" w:color="000000"/>
              <w:bottom w:val="single" w:sz="4" w:space="0" w:color="000000"/>
            </w:tcBorders>
            <w:vAlign w:val="center"/>
          </w:tcPr>
          <w:p w14:paraId="2C3F4025" w14:textId="77777777" w:rsidR="007373F6" w:rsidRDefault="00000000">
            <w:pPr>
              <w:spacing w:before="13"/>
              <w:ind w:left="4"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Std</w:t>
            </w:r>
          </w:p>
        </w:tc>
        <w:tc>
          <w:tcPr>
            <w:tcW w:w="909" w:type="dxa"/>
            <w:tcBorders>
              <w:top w:val="single" w:sz="4" w:space="0" w:color="000000"/>
              <w:bottom w:val="single" w:sz="4" w:space="0" w:color="000000"/>
            </w:tcBorders>
            <w:vAlign w:val="center"/>
          </w:tcPr>
          <w:p w14:paraId="118C9FF7" w14:textId="77777777" w:rsidR="007373F6" w:rsidRDefault="00000000">
            <w:pPr>
              <w:spacing w:before="13"/>
              <w:ind w:left="3"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Min</w:t>
            </w:r>
          </w:p>
        </w:tc>
        <w:tc>
          <w:tcPr>
            <w:tcW w:w="909" w:type="dxa"/>
            <w:tcBorders>
              <w:top w:val="single" w:sz="4" w:space="0" w:color="000000"/>
              <w:bottom w:val="single" w:sz="4" w:space="0" w:color="000000"/>
            </w:tcBorders>
            <w:vAlign w:val="center"/>
          </w:tcPr>
          <w:p w14:paraId="5AE17602" w14:textId="77777777" w:rsidR="007373F6" w:rsidRDefault="00000000">
            <w:pPr>
              <w:spacing w:before="13"/>
              <w:ind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25%</w:t>
            </w:r>
          </w:p>
        </w:tc>
        <w:tc>
          <w:tcPr>
            <w:tcW w:w="1030" w:type="dxa"/>
            <w:tcBorders>
              <w:top w:val="single" w:sz="4" w:space="0" w:color="000000"/>
              <w:bottom w:val="single" w:sz="4" w:space="0" w:color="000000"/>
            </w:tcBorders>
            <w:vAlign w:val="center"/>
          </w:tcPr>
          <w:p w14:paraId="16791C2C" w14:textId="77777777" w:rsidR="007373F6" w:rsidRDefault="00000000">
            <w:pPr>
              <w:spacing w:before="13"/>
              <w:ind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50%</w:t>
            </w:r>
          </w:p>
        </w:tc>
        <w:tc>
          <w:tcPr>
            <w:tcW w:w="1030" w:type="dxa"/>
            <w:tcBorders>
              <w:top w:val="single" w:sz="4" w:space="0" w:color="000000"/>
              <w:bottom w:val="single" w:sz="4" w:space="0" w:color="000000"/>
            </w:tcBorders>
            <w:vAlign w:val="center"/>
          </w:tcPr>
          <w:p w14:paraId="3F3A779C" w14:textId="77777777" w:rsidR="007373F6" w:rsidRDefault="00000000">
            <w:pPr>
              <w:spacing w:before="13"/>
              <w:ind w:right="6"/>
              <w:jc w:val="both"/>
              <w:rPr>
                <w:rFonts w:ascii="Times New Roman" w:eastAsia="Times New Roman" w:hAnsi="Times New Roman" w:cs="Times New Roman"/>
                <w:color w:val="000000"/>
              </w:rPr>
            </w:pPr>
            <w:r>
              <w:rPr>
                <w:rFonts w:ascii="Times New Roman" w:eastAsia="Times New Roman" w:hAnsi="Times New Roman" w:cs="Times New Roman"/>
                <w:color w:val="000000"/>
              </w:rPr>
              <w:t>75%</w:t>
            </w:r>
          </w:p>
        </w:tc>
        <w:tc>
          <w:tcPr>
            <w:tcW w:w="1028" w:type="dxa"/>
            <w:tcBorders>
              <w:top w:val="single" w:sz="4" w:space="0" w:color="000000"/>
              <w:bottom w:val="single" w:sz="4" w:space="0" w:color="000000"/>
            </w:tcBorders>
            <w:vAlign w:val="center"/>
          </w:tcPr>
          <w:p w14:paraId="410B7B48" w14:textId="77777777" w:rsidR="007373F6" w:rsidRDefault="00000000">
            <w:pPr>
              <w:spacing w:before="13"/>
              <w:ind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Max</w:t>
            </w:r>
          </w:p>
        </w:tc>
      </w:tr>
      <w:tr w:rsidR="007373F6" w14:paraId="363AF5E3" w14:textId="77777777">
        <w:trPr>
          <w:trHeight w:val="340"/>
        </w:trPr>
        <w:tc>
          <w:tcPr>
            <w:tcW w:w="2181" w:type="dxa"/>
            <w:tcBorders>
              <w:top w:val="single" w:sz="4" w:space="0" w:color="000000"/>
            </w:tcBorders>
            <w:vAlign w:val="center"/>
          </w:tcPr>
          <w:p w14:paraId="4480614F" w14:textId="77777777" w:rsidR="007373F6" w:rsidRDefault="00000000">
            <w:pPr>
              <w:spacing w:before="74"/>
              <w:ind w:left="89"/>
              <w:jc w:val="both"/>
              <w:rPr>
                <w:rFonts w:ascii="Times New Roman" w:eastAsia="Times New Roman" w:hAnsi="Times New Roman" w:cs="Times New Roman"/>
                <w:color w:val="000000"/>
              </w:rPr>
            </w:pPr>
            <w:r>
              <w:rPr>
                <w:rFonts w:ascii="Times New Roman" w:eastAsia="Times New Roman" w:hAnsi="Times New Roman" w:cs="Times New Roman"/>
                <w:color w:val="000000"/>
              </w:rPr>
              <w:t>FOREIGN HELD</w:t>
            </w:r>
          </w:p>
        </w:tc>
        <w:tc>
          <w:tcPr>
            <w:tcW w:w="1030" w:type="dxa"/>
            <w:tcBorders>
              <w:top w:val="single" w:sz="4" w:space="0" w:color="000000"/>
            </w:tcBorders>
          </w:tcPr>
          <w:p w14:paraId="0C21FEED" w14:textId="77777777" w:rsidR="007373F6" w:rsidRDefault="00000000">
            <w:pPr>
              <w:spacing w:before="74"/>
              <w:ind w:left="95"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0.2323</w:t>
            </w:r>
          </w:p>
        </w:tc>
        <w:tc>
          <w:tcPr>
            <w:tcW w:w="909" w:type="dxa"/>
            <w:tcBorders>
              <w:top w:val="single" w:sz="4" w:space="0" w:color="000000"/>
            </w:tcBorders>
          </w:tcPr>
          <w:p w14:paraId="0F3D7ACE" w14:textId="77777777" w:rsidR="007373F6" w:rsidRDefault="00000000">
            <w:pPr>
              <w:spacing w:before="74"/>
              <w:ind w:left="4"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0.1418</w:t>
            </w:r>
          </w:p>
        </w:tc>
        <w:tc>
          <w:tcPr>
            <w:tcW w:w="909" w:type="dxa"/>
            <w:tcBorders>
              <w:top w:val="single" w:sz="4" w:space="0" w:color="000000"/>
            </w:tcBorders>
          </w:tcPr>
          <w:p w14:paraId="449CE6DC" w14:textId="77777777" w:rsidR="007373F6" w:rsidRDefault="00000000">
            <w:pPr>
              <w:spacing w:before="74"/>
              <w:ind w:left="3"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0.0000</w:t>
            </w:r>
          </w:p>
        </w:tc>
        <w:tc>
          <w:tcPr>
            <w:tcW w:w="909" w:type="dxa"/>
            <w:tcBorders>
              <w:top w:val="single" w:sz="4" w:space="0" w:color="000000"/>
            </w:tcBorders>
          </w:tcPr>
          <w:p w14:paraId="52515E56" w14:textId="77777777" w:rsidR="007373F6" w:rsidRDefault="00000000">
            <w:pPr>
              <w:spacing w:before="74"/>
              <w:ind w:left="2"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0.124</w:t>
            </w:r>
          </w:p>
        </w:tc>
        <w:tc>
          <w:tcPr>
            <w:tcW w:w="1030" w:type="dxa"/>
            <w:tcBorders>
              <w:top w:val="single" w:sz="4" w:space="0" w:color="000000"/>
            </w:tcBorders>
          </w:tcPr>
          <w:p w14:paraId="169CEFF9" w14:textId="77777777" w:rsidR="007373F6" w:rsidRDefault="00000000">
            <w:pPr>
              <w:spacing w:before="74"/>
              <w:ind w:left="90"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0.2251</w:t>
            </w:r>
          </w:p>
        </w:tc>
        <w:tc>
          <w:tcPr>
            <w:tcW w:w="1030" w:type="dxa"/>
            <w:tcBorders>
              <w:top w:val="single" w:sz="4" w:space="0" w:color="000000"/>
            </w:tcBorders>
          </w:tcPr>
          <w:p w14:paraId="1DAED80F" w14:textId="77777777" w:rsidR="007373F6" w:rsidRDefault="00000000">
            <w:pPr>
              <w:spacing w:before="74"/>
              <w:ind w:left="89"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0.3258</w:t>
            </w:r>
          </w:p>
        </w:tc>
        <w:tc>
          <w:tcPr>
            <w:tcW w:w="1028" w:type="dxa"/>
            <w:tcBorders>
              <w:top w:val="single" w:sz="4" w:space="0" w:color="000000"/>
            </w:tcBorders>
          </w:tcPr>
          <w:p w14:paraId="57A37E8E" w14:textId="77777777" w:rsidR="007373F6" w:rsidRDefault="00000000">
            <w:pPr>
              <w:spacing w:before="74"/>
              <w:ind w:left="87"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0.7808</w:t>
            </w:r>
          </w:p>
        </w:tc>
      </w:tr>
      <w:tr w:rsidR="007373F6" w14:paraId="76BA84DA" w14:textId="77777777">
        <w:trPr>
          <w:trHeight w:val="304"/>
        </w:trPr>
        <w:tc>
          <w:tcPr>
            <w:tcW w:w="2181" w:type="dxa"/>
            <w:vAlign w:val="center"/>
          </w:tcPr>
          <w:p w14:paraId="0EF7D950" w14:textId="77777777" w:rsidR="007373F6" w:rsidRDefault="00000000">
            <w:pPr>
              <w:spacing w:before="38"/>
              <w:ind w:left="89"/>
              <w:jc w:val="both"/>
              <w:rPr>
                <w:rFonts w:ascii="Times New Roman" w:eastAsia="Times New Roman" w:hAnsi="Times New Roman" w:cs="Times New Roman"/>
                <w:color w:val="000000"/>
              </w:rPr>
            </w:pPr>
            <w:r>
              <w:rPr>
                <w:rFonts w:ascii="Times New Roman" w:eastAsia="Times New Roman" w:hAnsi="Times New Roman" w:cs="Times New Roman"/>
                <w:color w:val="000000"/>
              </w:rPr>
              <w:t>IFRS</w:t>
            </w:r>
          </w:p>
        </w:tc>
        <w:tc>
          <w:tcPr>
            <w:tcW w:w="1030" w:type="dxa"/>
          </w:tcPr>
          <w:p w14:paraId="55588F5A" w14:textId="77777777" w:rsidR="007373F6" w:rsidRDefault="00000000">
            <w:pPr>
              <w:spacing w:before="38"/>
              <w:ind w:left="95"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0.4940</w:t>
            </w:r>
          </w:p>
        </w:tc>
        <w:tc>
          <w:tcPr>
            <w:tcW w:w="909" w:type="dxa"/>
          </w:tcPr>
          <w:p w14:paraId="41805FDD" w14:textId="77777777" w:rsidR="007373F6" w:rsidRDefault="00000000">
            <w:pPr>
              <w:spacing w:before="38"/>
              <w:ind w:left="4"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0.5000</w:t>
            </w:r>
          </w:p>
        </w:tc>
        <w:tc>
          <w:tcPr>
            <w:tcW w:w="909" w:type="dxa"/>
          </w:tcPr>
          <w:p w14:paraId="74EA77E6" w14:textId="77777777" w:rsidR="007373F6" w:rsidRDefault="00000000">
            <w:pPr>
              <w:spacing w:before="38"/>
              <w:ind w:left="3"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0.0000</w:t>
            </w:r>
          </w:p>
        </w:tc>
        <w:tc>
          <w:tcPr>
            <w:tcW w:w="909" w:type="dxa"/>
          </w:tcPr>
          <w:p w14:paraId="6206B1DB" w14:textId="77777777" w:rsidR="007373F6" w:rsidRDefault="00000000">
            <w:pPr>
              <w:spacing w:before="38"/>
              <w:ind w:left="2"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0.0000</w:t>
            </w:r>
          </w:p>
        </w:tc>
        <w:tc>
          <w:tcPr>
            <w:tcW w:w="1030" w:type="dxa"/>
          </w:tcPr>
          <w:p w14:paraId="35E20FC7" w14:textId="77777777" w:rsidR="007373F6" w:rsidRDefault="00000000">
            <w:pPr>
              <w:spacing w:before="38"/>
              <w:ind w:left="90"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0.0000</w:t>
            </w:r>
          </w:p>
        </w:tc>
        <w:tc>
          <w:tcPr>
            <w:tcW w:w="1030" w:type="dxa"/>
          </w:tcPr>
          <w:p w14:paraId="3C840A61" w14:textId="77777777" w:rsidR="007373F6" w:rsidRDefault="00000000">
            <w:pPr>
              <w:spacing w:before="38"/>
              <w:ind w:left="89"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1.0000</w:t>
            </w:r>
          </w:p>
        </w:tc>
        <w:tc>
          <w:tcPr>
            <w:tcW w:w="1028" w:type="dxa"/>
          </w:tcPr>
          <w:p w14:paraId="308EF0D9" w14:textId="77777777" w:rsidR="007373F6" w:rsidRDefault="00000000">
            <w:pPr>
              <w:spacing w:before="38"/>
              <w:ind w:left="87"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1.0000</w:t>
            </w:r>
          </w:p>
        </w:tc>
      </w:tr>
      <w:tr w:rsidR="007373F6" w14:paraId="4A4739BD" w14:textId="77777777">
        <w:trPr>
          <w:trHeight w:val="304"/>
        </w:trPr>
        <w:tc>
          <w:tcPr>
            <w:tcW w:w="2181" w:type="dxa"/>
            <w:vAlign w:val="center"/>
          </w:tcPr>
          <w:p w14:paraId="6C879F18" w14:textId="77777777" w:rsidR="007373F6" w:rsidRDefault="00000000">
            <w:pPr>
              <w:spacing w:before="38"/>
              <w:ind w:left="89"/>
              <w:jc w:val="both"/>
              <w:rPr>
                <w:rFonts w:ascii="Times New Roman" w:eastAsia="Times New Roman" w:hAnsi="Times New Roman" w:cs="Times New Roman"/>
                <w:color w:val="000000"/>
              </w:rPr>
            </w:pPr>
            <w:r>
              <w:rPr>
                <w:rFonts w:ascii="Times New Roman" w:eastAsia="Times New Roman" w:hAnsi="Times New Roman" w:cs="Times New Roman"/>
                <w:color w:val="000000"/>
              </w:rPr>
              <w:t>POST</w:t>
            </w:r>
          </w:p>
        </w:tc>
        <w:tc>
          <w:tcPr>
            <w:tcW w:w="1030" w:type="dxa"/>
          </w:tcPr>
          <w:p w14:paraId="29EF5E52" w14:textId="77777777" w:rsidR="007373F6" w:rsidRDefault="00000000">
            <w:pPr>
              <w:spacing w:before="38"/>
              <w:ind w:left="95"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0.4476</w:t>
            </w:r>
          </w:p>
        </w:tc>
        <w:tc>
          <w:tcPr>
            <w:tcW w:w="909" w:type="dxa"/>
          </w:tcPr>
          <w:p w14:paraId="5F023A57" w14:textId="77777777" w:rsidR="007373F6" w:rsidRDefault="00000000">
            <w:pPr>
              <w:spacing w:before="38"/>
              <w:ind w:left="4"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0.4973</w:t>
            </w:r>
          </w:p>
        </w:tc>
        <w:tc>
          <w:tcPr>
            <w:tcW w:w="909" w:type="dxa"/>
          </w:tcPr>
          <w:p w14:paraId="7385118A" w14:textId="77777777" w:rsidR="007373F6" w:rsidRDefault="00000000">
            <w:pPr>
              <w:spacing w:before="38"/>
              <w:ind w:left="3"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0.0000</w:t>
            </w:r>
          </w:p>
        </w:tc>
        <w:tc>
          <w:tcPr>
            <w:tcW w:w="909" w:type="dxa"/>
          </w:tcPr>
          <w:p w14:paraId="52FED796" w14:textId="77777777" w:rsidR="007373F6" w:rsidRDefault="00000000">
            <w:pPr>
              <w:spacing w:before="38"/>
              <w:ind w:left="2"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0.0000</w:t>
            </w:r>
          </w:p>
        </w:tc>
        <w:tc>
          <w:tcPr>
            <w:tcW w:w="1030" w:type="dxa"/>
          </w:tcPr>
          <w:p w14:paraId="15A18A75" w14:textId="77777777" w:rsidR="007373F6" w:rsidRDefault="00000000">
            <w:pPr>
              <w:spacing w:before="38"/>
              <w:ind w:left="90"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0.0000</w:t>
            </w:r>
          </w:p>
        </w:tc>
        <w:tc>
          <w:tcPr>
            <w:tcW w:w="1030" w:type="dxa"/>
          </w:tcPr>
          <w:p w14:paraId="714972BB" w14:textId="77777777" w:rsidR="007373F6" w:rsidRDefault="00000000">
            <w:pPr>
              <w:spacing w:before="38"/>
              <w:ind w:left="89"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1.0000</w:t>
            </w:r>
          </w:p>
        </w:tc>
        <w:tc>
          <w:tcPr>
            <w:tcW w:w="1028" w:type="dxa"/>
          </w:tcPr>
          <w:p w14:paraId="29C37409" w14:textId="77777777" w:rsidR="007373F6" w:rsidRDefault="00000000">
            <w:pPr>
              <w:spacing w:before="38"/>
              <w:ind w:left="87"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1.0000</w:t>
            </w:r>
          </w:p>
        </w:tc>
      </w:tr>
      <w:tr w:rsidR="007373F6" w14:paraId="6D1D3DE5" w14:textId="77777777">
        <w:trPr>
          <w:trHeight w:val="304"/>
        </w:trPr>
        <w:tc>
          <w:tcPr>
            <w:tcW w:w="2181" w:type="dxa"/>
            <w:vAlign w:val="center"/>
          </w:tcPr>
          <w:p w14:paraId="297ED18B" w14:textId="77777777" w:rsidR="007373F6" w:rsidRDefault="00000000">
            <w:pPr>
              <w:spacing w:before="38"/>
              <w:ind w:left="89"/>
              <w:jc w:val="both"/>
              <w:rPr>
                <w:rFonts w:ascii="Times New Roman" w:eastAsia="Times New Roman" w:hAnsi="Times New Roman" w:cs="Times New Roman"/>
                <w:color w:val="000000"/>
              </w:rPr>
            </w:pPr>
            <w:r>
              <w:rPr>
                <w:rFonts w:ascii="Times New Roman" w:eastAsia="Times New Roman" w:hAnsi="Times New Roman" w:cs="Times New Roman"/>
                <w:color w:val="000000"/>
              </w:rPr>
              <w:t>CROSS</w:t>
            </w:r>
          </w:p>
        </w:tc>
        <w:tc>
          <w:tcPr>
            <w:tcW w:w="1030" w:type="dxa"/>
          </w:tcPr>
          <w:p w14:paraId="013978B9" w14:textId="77777777" w:rsidR="007373F6" w:rsidRDefault="00000000">
            <w:pPr>
              <w:spacing w:before="38"/>
              <w:ind w:left="95"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0.0512</w:t>
            </w:r>
          </w:p>
        </w:tc>
        <w:tc>
          <w:tcPr>
            <w:tcW w:w="909" w:type="dxa"/>
          </w:tcPr>
          <w:p w14:paraId="14D8FFAA" w14:textId="77777777" w:rsidR="007373F6" w:rsidRDefault="00000000">
            <w:pPr>
              <w:spacing w:before="38"/>
              <w:ind w:left="4"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0.0677</w:t>
            </w:r>
          </w:p>
        </w:tc>
        <w:tc>
          <w:tcPr>
            <w:tcW w:w="909" w:type="dxa"/>
          </w:tcPr>
          <w:p w14:paraId="63D4E7E9" w14:textId="77777777" w:rsidR="007373F6" w:rsidRDefault="00000000">
            <w:pPr>
              <w:spacing w:before="38"/>
              <w:ind w:left="3"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0.0000</w:t>
            </w:r>
          </w:p>
        </w:tc>
        <w:tc>
          <w:tcPr>
            <w:tcW w:w="909" w:type="dxa"/>
          </w:tcPr>
          <w:p w14:paraId="79D1C21A" w14:textId="77777777" w:rsidR="007373F6" w:rsidRDefault="00000000">
            <w:pPr>
              <w:spacing w:before="38"/>
              <w:ind w:left="2"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0.0000</w:t>
            </w:r>
          </w:p>
        </w:tc>
        <w:tc>
          <w:tcPr>
            <w:tcW w:w="1030" w:type="dxa"/>
          </w:tcPr>
          <w:p w14:paraId="7F10498A" w14:textId="77777777" w:rsidR="007373F6" w:rsidRDefault="00000000">
            <w:pPr>
              <w:spacing w:before="38"/>
              <w:ind w:left="90"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0.0230</w:t>
            </w:r>
          </w:p>
        </w:tc>
        <w:tc>
          <w:tcPr>
            <w:tcW w:w="1030" w:type="dxa"/>
          </w:tcPr>
          <w:p w14:paraId="2EE23B21" w14:textId="77777777" w:rsidR="007373F6" w:rsidRDefault="00000000">
            <w:pPr>
              <w:spacing w:before="38"/>
              <w:ind w:left="89"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0.0798</w:t>
            </w:r>
          </w:p>
        </w:tc>
        <w:tc>
          <w:tcPr>
            <w:tcW w:w="1028" w:type="dxa"/>
          </w:tcPr>
          <w:p w14:paraId="38032E8A" w14:textId="77777777" w:rsidR="007373F6" w:rsidRDefault="00000000">
            <w:pPr>
              <w:spacing w:before="38"/>
              <w:ind w:left="87"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0.4520</w:t>
            </w:r>
          </w:p>
        </w:tc>
      </w:tr>
      <w:tr w:rsidR="007373F6" w14:paraId="03B75A01" w14:textId="77777777">
        <w:trPr>
          <w:trHeight w:val="304"/>
        </w:trPr>
        <w:tc>
          <w:tcPr>
            <w:tcW w:w="2181" w:type="dxa"/>
            <w:vAlign w:val="center"/>
          </w:tcPr>
          <w:p w14:paraId="15DC6B43" w14:textId="77777777" w:rsidR="007373F6" w:rsidRDefault="00000000">
            <w:pPr>
              <w:spacing w:before="38"/>
              <w:ind w:left="89"/>
              <w:jc w:val="both"/>
              <w:rPr>
                <w:rFonts w:ascii="Times New Roman" w:eastAsia="Times New Roman" w:hAnsi="Times New Roman" w:cs="Times New Roman"/>
                <w:color w:val="000000"/>
              </w:rPr>
            </w:pPr>
            <w:r>
              <w:rPr>
                <w:rFonts w:ascii="Times New Roman" w:eastAsia="Times New Roman" w:hAnsi="Times New Roman" w:cs="Times New Roman"/>
                <w:color w:val="000000"/>
              </w:rPr>
              <w:t>BUYBACK</w:t>
            </w:r>
          </w:p>
        </w:tc>
        <w:tc>
          <w:tcPr>
            <w:tcW w:w="1030" w:type="dxa"/>
          </w:tcPr>
          <w:p w14:paraId="440BA090" w14:textId="77777777" w:rsidR="007373F6" w:rsidRDefault="00000000">
            <w:pPr>
              <w:spacing w:before="38"/>
              <w:ind w:left="95"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0.0321</w:t>
            </w:r>
          </w:p>
        </w:tc>
        <w:tc>
          <w:tcPr>
            <w:tcW w:w="909" w:type="dxa"/>
          </w:tcPr>
          <w:p w14:paraId="0D1B8922" w14:textId="77777777" w:rsidR="007373F6" w:rsidRDefault="00000000">
            <w:pPr>
              <w:spacing w:before="38"/>
              <w:ind w:left="4"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0.0455</w:t>
            </w:r>
          </w:p>
        </w:tc>
        <w:tc>
          <w:tcPr>
            <w:tcW w:w="909" w:type="dxa"/>
          </w:tcPr>
          <w:p w14:paraId="7468A880" w14:textId="77777777" w:rsidR="007373F6" w:rsidRDefault="00000000">
            <w:pPr>
              <w:spacing w:before="38"/>
              <w:ind w:left="3"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0.0000</w:t>
            </w:r>
          </w:p>
        </w:tc>
        <w:tc>
          <w:tcPr>
            <w:tcW w:w="909" w:type="dxa"/>
          </w:tcPr>
          <w:p w14:paraId="6E153DD1" w14:textId="77777777" w:rsidR="007373F6" w:rsidRDefault="00000000">
            <w:pPr>
              <w:spacing w:before="38"/>
              <w:ind w:left="2"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0.0021</w:t>
            </w:r>
          </w:p>
        </w:tc>
        <w:tc>
          <w:tcPr>
            <w:tcW w:w="1030" w:type="dxa"/>
          </w:tcPr>
          <w:p w14:paraId="3FF17CED" w14:textId="77777777" w:rsidR="007373F6" w:rsidRDefault="00000000">
            <w:pPr>
              <w:spacing w:before="38"/>
              <w:ind w:left="90"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0.0149</w:t>
            </w:r>
          </w:p>
        </w:tc>
        <w:tc>
          <w:tcPr>
            <w:tcW w:w="1030" w:type="dxa"/>
          </w:tcPr>
          <w:p w14:paraId="2E526FA2" w14:textId="77777777" w:rsidR="007373F6" w:rsidRDefault="00000000">
            <w:pPr>
              <w:spacing w:before="38"/>
              <w:ind w:left="89"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0.0464</w:t>
            </w:r>
          </w:p>
        </w:tc>
        <w:tc>
          <w:tcPr>
            <w:tcW w:w="1028" w:type="dxa"/>
          </w:tcPr>
          <w:p w14:paraId="2B916408" w14:textId="77777777" w:rsidR="007373F6" w:rsidRDefault="00000000">
            <w:pPr>
              <w:spacing w:before="38"/>
              <w:ind w:left="87"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0.4386</w:t>
            </w:r>
          </w:p>
        </w:tc>
      </w:tr>
      <w:tr w:rsidR="007373F6" w14:paraId="03491728" w14:textId="77777777">
        <w:trPr>
          <w:trHeight w:val="304"/>
        </w:trPr>
        <w:tc>
          <w:tcPr>
            <w:tcW w:w="2181" w:type="dxa"/>
            <w:vAlign w:val="center"/>
          </w:tcPr>
          <w:p w14:paraId="2C049CB3" w14:textId="77777777" w:rsidR="007373F6" w:rsidRDefault="00000000">
            <w:pPr>
              <w:spacing w:before="38"/>
              <w:ind w:left="89"/>
              <w:jc w:val="both"/>
              <w:rPr>
                <w:rFonts w:ascii="Times New Roman" w:eastAsia="Times New Roman" w:hAnsi="Times New Roman" w:cs="Times New Roman"/>
                <w:color w:val="000000"/>
              </w:rPr>
            </w:pPr>
            <w:r>
              <w:rPr>
                <w:rFonts w:ascii="Times New Roman" w:eastAsia="Times New Roman" w:hAnsi="Times New Roman" w:cs="Times New Roman"/>
                <w:color w:val="000000"/>
              </w:rPr>
              <w:t>BTM</w:t>
            </w:r>
          </w:p>
        </w:tc>
        <w:tc>
          <w:tcPr>
            <w:tcW w:w="1030" w:type="dxa"/>
          </w:tcPr>
          <w:p w14:paraId="47FC4BAE" w14:textId="77777777" w:rsidR="007373F6" w:rsidRDefault="00000000">
            <w:pPr>
              <w:spacing w:before="38"/>
              <w:ind w:left="95"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0.8528</w:t>
            </w:r>
          </w:p>
        </w:tc>
        <w:tc>
          <w:tcPr>
            <w:tcW w:w="909" w:type="dxa"/>
          </w:tcPr>
          <w:p w14:paraId="34F02515" w14:textId="77777777" w:rsidR="007373F6" w:rsidRDefault="00000000">
            <w:pPr>
              <w:spacing w:before="38"/>
              <w:ind w:left="4"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0.5527</w:t>
            </w:r>
          </w:p>
        </w:tc>
        <w:tc>
          <w:tcPr>
            <w:tcW w:w="909" w:type="dxa"/>
          </w:tcPr>
          <w:p w14:paraId="7BCB6C6B" w14:textId="77777777" w:rsidR="007373F6" w:rsidRDefault="00000000">
            <w:pPr>
              <w:spacing w:before="38"/>
              <w:ind w:left="3"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0.0058</w:t>
            </w:r>
          </w:p>
        </w:tc>
        <w:tc>
          <w:tcPr>
            <w:tcW w:w="909" w:type="dxa"/>
          </w:tcPr>
          <w:p w14:paraId="460B4440" w14:textId="77777777" w:rsidR="007373F6" w:rsidRDefault="00000000">
            <w:pPr>
              <w:spacing w:before="38"/>
              <w:ind w:left="2"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0.4476</w:t>
            </w:r>
          </w:p>
        </w:tc>
        <w:tc>
          <w:tcPr>
            <w:tcW w:w="1030" w:type="dxa"/>
          </w:tcPr>
          <w:p w14:paraId="39461CFF" w14:textId="77777777" w:rsidR="007373F6" w:rsidRDefault="00000000">
            <w:pPr>
              <w:spacing w:before="38"/>
              <w:ind w:left="91"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0.7662</w:t>
            </w:r>
          </w:p>
        </w:tc>
        <w:tc>
          <w:tcPr>
            <w:tcW w:w="1030" w:type="dxa"/>
          </w:tcPr>
          <w:p w14:paraId="51D342FE" w14:textId="77777777" w:rsidR="007373F6" w:rsidRDefault="00000000">
            <w:pPr>
              <w:spacing w:before="38"/>
              <w:ind w:left="89"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1.1303</w:t>
            </w:r>
          </w:p>
        </w:tc>
        <w:tc>
          <w:tcPr>
            <w:tcW w:w="1028" w:type="dxa"/>
          </w:tcPr>
          <w:p w14:paraId="30BDFABE" w14:textId="77777777" w:rsidR="007373F6" w:rsidRDefault="00000000">
            <w:pPr>
              <w:spacing w:before="38"/>
              <w:ind w:left="87"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4.9520</w:t>
            </w:r>
          </w:p>
        </w:tc>
      </w:tr>
      <w:tr w:rsidR="007373F6" w14:paraId="255BA860" w14:textId="77777777">
        <w:trPr>
          <w:trHeight w:val="304"/>
        </w:trPr>
        <w:tc>
          <w:tcPr>
            <w:tcW w:w="2181" w:type="dxa"/>
            <w:vAlign w:val="center"/>
          </w:tcPr>
          <w:p w14:paraId="2609FBA0" w14:textId="77777777" w:rsidR="007373F6" w:rsidRDefault="00000000">
            <w:pPr>
              <w:spacing w:before="38"/>
              <w:ind w:left="89"/>
              <w:jc w:val="both"/>
              <w:rPr>
                <w:rFonts w:ascii="Times New Roman" w:eastAsia="Times New Roman" w:hAnsi="Times New Roman" w:cs="Times New Roman"/>
                <w:color w:val="000000"/>
              </w:rPr>
            </w:pPr>
            <w:r>
              <w:rPr>
                <w:rFonts w:ascii="Times New Roman" w:eastAsia="Times New Roman" w:hAnsi="Times New Roman" w:cs="Times New Roman"/>
                <w:color w:val="000000"/>
              </w:rPr>
              <w:t>IRD1</w:t>
            </w:r>
          </w:p>
        </w:tc>
        <w:tc>
          <w:tcPr>
            <w:tcW w:w="1030" w:type="dxa"/>
          </w:tcPr>
          <w:p w14:paraId="6806F567" w14:textId="77777777" w:rsidR="007373F6" w:rsidRDefault="00000000">
            <w:pPr>
              <w:spacing w:before="38"/>
              <w:ind w:left="95"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0.5327</w:t>
            </w:r>
          </w:p>
        </w:tc>
        <w:tc>
          <w:tcPr>
            <w:tcW w:w="909" w:type="dxa"/>
          </w:tcPr>
          <w:p w14:paraId="6E015DD0" w14:textId="77777777" w:rsidR="007373F6" w:rsidRDefault="00000000">
            <w:pPr>
              <w:spacing w:before="38"/>
              <w:ind w:left="4"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0.7442</w:t>
            </w:r>
          </w:p>
        </w:tc>
        <w:tc>
          <w:tcPr>
            <w:tcW w:w="909" w:type="dxa"/>
          </w:tcPr>
          <w:p w14:paraId="4578D5E5" w14:textId="77777777" w:rsidR="007373F6" w:rsidRDefault="00000000">
            <w:pPr>
              <w:spacing w:before="38"/>
              <w:ind w:left="3"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-0.0114</w:t>
            </w:r>
          </w:p>
        </w:tc>
        <w:tc>
          <w:tcPr>
            <w:tcW w:w="909" w:type="dxa"/>
          </w:tcPr>
          <w:p w14:paraId="47B28A3B" w14:textId="77777777" w:rsidR="007373F6" w:rsidRDefault="00000000">
            <w:pPr>
              <w:spacing w:before="38"/>
              <w:ind w:left="2"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0.0554</w:t>
            </w:r>
          </w:p>
        </w:tc>
        <w:tc>
          <w:tcPr>
            <w:tcW w:w="1030" w:type="dxa"/>
          </w:tcPr>
          <w:p w14:paraId="276DE3AF" w14:textId="77777777" w:rsidR="007373F6" w:rsidRDefault="00000000">
            <w:pPr>
              <w:spacing w:before="38"/>
              <w:ind w:left="91"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0.0955</w:t>
            </w:r>
          </w:p>
        </w:tc>
        <w:tc>
          <w:tcPr>
            <w:tcW w:w="1030" w:type="dxa"/>
          </w:tcPr>
          <w:p w14:paraId="3DC479C8" w14:textId="77777777" w:rsidR="007373F6" w:rsidRDefault="00000000">
            <w:pPr>
              <w:spacing w:before="38"/>
              <w:ind w:left="89"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0.6981</w:t>
            </w:r>
          </w:p>
        </w:tc>
        <w:tc>
          <w:tcPr>
            <w:tcW w:w="1028" w:type="dxa"/>
          </w:tcPr>
          <w:p w14:paraId="3580B2E4" w14:textId="77777777" w:rsidR="007373F6" w:rsidRDefault="00000000">
            <w:pPr>
              <w:spacing w:before="38"/>
              <w:ind w:left="87"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3.1295</w:t>
            </w:r>
          </w:p>
        </w:tc>
      </w:tr>
      <w:tr w:rsidR="007373F6" w14:paraId="2C120E3D" w14:textId="77777777">
        <w:trPr>
          <w:trHeight w:val="304"/>
        </w:trPr>
        <w:tc>
          <w:tcPr>
            <w:tcW w:w="2181" w:type="dxa"/>
            <w:vAlign w:val="center"/>
          </w:tcPr>
          <w:p w14:paraId="485732A8" w14:textId="77777777" w:rsidR="007373F6" w:rsidRDefault="00000000">
            <w:pPr>
              <w:spacing w:before="38"/>
              <w:ind w:left="89"/>
              <w:jc w:val="both"/>
              <w:rPr>
                <w:rFonts w:ascii="Times New Roman" w:eastAsia="Times New Roman" w:hAnsi="Times New Roman" w:cs="Times New Roman"/>
                <w:color w:val="000000"/>
              </w:rPr>
            </w:pPr>
            <w:r>
              <w:rPr>
                <w:rFonts w:ascii="Times New Roman" w:eastAsia="Times New Roman" w:hAnsi="Times New Roman" w:cs="Times New Roman"/>
                <w:color w:val="000000"/>
              </w:rPr>
              <w:t>IRD2</w:t>
            </w:r>
          </w:p>
        </w:tc>
        <w:tc>
          <w:tcPr>
            <w:tcW w:w="1030" w:type="dxa"/>
          </w:tcPr>
          <w:p w14:paraId="543F3152" w14:textId="77777777" w:rsidR="007373F6" w:rsidRDefault="00000000">
            <w:pPr>
              <w:spacing w:before="38"/>
              <w:ind w:left="95"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0.5974</w:t>
            </w:r>
          </w:p>
        </w:tc>
        <w:tc>
          <w:tcPr>
            <w:tcW w:w="909" w:type="dxa"/>
          </w:tcPr>
          <w:p w14:paraId="1753EBE9" w14:textId="77777777" w:rsidR="007373F6" w:rsidRDefault="00000000">
            <w:pPr>
              <w:spacing w:before="38"/>
              <w:ind w:left="4"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0.8224</w:t>
            </w:r>
          </w:p>
        </w:tc>
        <w:tc>
          <w:tcPr>
            <w:tcW w:w="909" w:type="dxa"/>
          </w:tcPr>
          <w:p w14:paraId="098E0A50" w14:textId="77777777" w:rsidR="007373F6" w:rsidRDefault="00000000">
            <w:pPr>
              <w:spacing w:before="38"/>
              <w:ind w:left="3"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-0.0900</w:t>
            </w:r>
          </w:p>
        </w:tc>
        <w:tc>
          <w:tcPr>
            <w:tcW w:w="909" w:type="dxa"/>
          </w:tcPr>
          <w:p w14:paraId="292E492D" w14:textId="77777777" w:rsidR="007373F6" w:rsidRDefault="00000000">
            <w:pPr>
              <w:spacing w:before="38"/>
              <w:ind w:left="2"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0.0280</w:t>
            </w:r>
          </w:p>
        </w:tc>
        <w:tc>
          <w:tcPr>
            <w:tcW w:w="1030" w:type="dxa"/>
          </w:tcPr>
          <w:p w14:paraId="6FB9F9F8" w14:textId="77777777" w:rsidR="007373F6" w:rsidRDefault="00000000">
            <w:pPr>
              <w:spacing w:before="38"/>
              <w:ind w:left="90"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0.1390</w:t>
            </w:r>
          </w:p>
        </w:tc>
        <w:tc>
          <w:tcPr>
            <w:tcW w:w="1030" w:type="dxa"/>
          </w:tcPr>
          <w:p w14:paraId="4CB788E4" w14:textId="77777777" w:rsidR="007373F6" w:rsidRDefault="00000000">
            <w:pPr>
              <w:spacing w:before="38"/>
              <w:ind w:left="89"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0.9250</w:t>
            </w:r>
          </w:p>
        </w:tc>
        <w:tc>
          <w:tcPr>
            <w:tcW w:w="1028" w:type="dxa"/>
          </w:tcPr>
          <w:p w14:paraId="380B7EF3" w14:textId="77777777" w:rsidR="007373F6" w:rsidRDefault="00000000">
            <w:pPr>
              <w:spacing w:before="38"/>
              <w:ind w:left="87"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3.9110</w:t>
            </w:r>
          </w:p>
        </w:tc>
      </w:tr>
      <w:tr w:rsidR="007373F6" w14:paraId="4284BD91" w14:textId="77777777">
        <w:trPr>
          <w:trHeight w:val="304"/>
        </w:trPr>
        <w:tc>
          <w:tcPr>
            <w:tcW w:w="2181" w:type="dxa"/>
            <w:vAlign w:val="center"/>
          </w:tcPr>
          <w:p w14:paraId="4BB90B75" w14:textId="77777777" w:rsidR="007373F6" w:rsidRDefault="00000000">
            <w:pPr>
              <w:spacing w:before="38"/>
              <w:ind w:left="89"/>
              <w:jc w:val="both"/>
              <w:rPr>
                <w:rFonts w:ascii="Times New Roman" w:eastAsia="Times New Roman" w:hAnsi="Times New Roman" w:cs="Times New Roman"/>
                <w:color w:val="000000"/>
              </w:rPr>
            </w:pPr>
            <w:r>
              <w:rPr>
                <w:rFonts w:ascii="Times New Roman" w:eastAsia="Times New Roman" w:hAnsi="Times New Roman" w:cs="Times New Roman"/>
                <w:color w:val="000000"/>
              </w:rPr>
              <w:t>ERD1</w:t>
            </w:r>
          </w:p>
        </w:tc>
        <w:tc>
          <w:tcPr>
            <w:tcW w:w="1030" w:type="dxa"/>
          </w:tcPr>
          <w:p w14:paraId="14F9646B" w14:textId="77777777" w:rsidR="007373F6" w:rsidRDefault="00000000">
            <w:pPr>
              <w:spacing w:before="38"/>
              <w:ind w:left="95"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0.0169</w:t>
            </w:r>
          </w:p>
        </w:tc>
        <w:tc>
          <w:tcPr>
            <w:tcW w:w="909" w:type="dxa"/>
          </w:tcPr>
          <w:p w14:paraId="3E8E1957" w14:textId="77777777" w:rsidR="007373F6" w:rsidRDefault="00000000">
            <w:pPr>
              <w:spacing w:before="38"/>
              <w:ind w:left="4"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0.0845</w:t>
            </w:r>
          </w:p>
        </w:tc>
        <w:tc>
          <w:tcPr>
            <w:tcW w:w="909" w:type="dxa"/>
          </w:tcPr>
          <w:p w14:paraId="6C6EE87B" w14:textId="77777777" w:rsidR="007373F6" w:rsidRDefault="00000000">
            <w:pPr>
              <w:spacing w:before="38"/>
              <w:ind w:left="3"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-0.1963</w:t>
            </w:r>
          </w:p>
        </w:tc>
        <w:tc>
          <w:tcPr>
            <w:tcW w:w="909" w:type="dxa"/>
          </w:tcPr>
          <w:p w14:paraId="75D9BAA1" w14:textId="77777777" w:rsidR="007373F6" w:rsidRDefault="00000000">
            <w:pPr>
              <w:spacing w:before="38"/>
              <w:ind w:left="2"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-0.0627</w:t>
            </w:r>
          </w:p>
        </w:tc>
        <w:tc>
          <w:tcPr>
            <w:tcW w:w="1030" w:type="dxa"/>
          </w:tcPr>
          <w:p w14:paraId="3CD9ADBF" w14:textId="77777777" w:rsidR="007373F6" w:rsidRDefault="00000000">
            <w:pPr>
              <w:spacing w:before="38"/>
              <w:ind w:left="90"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0.0078</w:t>
            </w:r>
          </w:p>
        </w:tc>
        <w:tc>
          <w:tcPr>
            <w:tcW w:w="1030" w:type="dxa"/>
          </w:tcPr>
          <w:p w14:paraId="05EB4A96" w14:textId="77777777" w:rsidR="007373F6" w:rsidRDefault="00000000">
            <w:pPr>
              <w:spacing w:before="38"/>
              <w:ind w:left="89"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0.0764</w:t>
            </w:r>
          </w:p>
        </w:tc>
        <w:tc>
          <w:tcPr>
            <w:tcW w:w="1028" w:type="dxa"/>
          </w:tcPr>
          <w:p w14:paraId="2E9919EF" w14:textId="77777777" w:rsidR="007373F6" w:rsidRDefault="00000000">
            <w:pPr>
              <w:spacing w:before="38"/>
              <w:ind w:left="87"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0.3471</w:t>
            </w:r>
          </w:p>
        </w:tc>
      </w:tr>
      <w:tr w:rsidR="007373F6" w14:paraId="5F953D86" w14:textId="77777777">
        <w:trPr>
          <w:trHeight w:val="349"/>
        </w:trPr>
        <w:tc>
          <w:tcPr>
            <w:tcW w:w="2181" w:type="dxa"/>
            <w:tcBorders>
              <w:bottom w:val="single" w:sz="6" w:space="0" w:color="000000"/>
            </w:tcBorders>
            <w:vAlign w:val="center"/>
          </w:tcPr>
          <w:p w14:paraId="7969320C" w14:textId="77777777" w:rsidR="007373F6" w:rsidRDefault="00000000">
            <w:pPr>
              <w:spacing w:before="38"/>
              <w:ind w:left="89"/>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ERD2 </w:t>
            </w:r>
          </w:p>
        </w:tc>
        <w:tc>
          <w:tcPr>
            <w:tcW w:w="1030" w:type="dxa"/>
            <w:tcBorders>
              <w:bottom w:val="single" w:sz="6" w:space="0" w:color="000000"/>
            </w:tcBorders>
          </w:tcPr>
          <w:p w14:paraId="53B1F669" w14:textId="77777777" w:rsidR="007373F6" w:rsidRDefault="00000000">
            <w:pPr>
              <w:spacing w:before="38"/>
              <w:ind w:left="95"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0.0207</w:t>
            </w:r>
          </w:p>
        </w:tc>
        <w:tc>
          <w:tcPr>
            <w:tcW w:w="909" w:type="dxa"/>
            <w:tcBorders>
              <w:bottom w:val="single" w:sz="6" w:space="0" w:color="000000"/>
            </w:tcBorders>
          </w:tcPr>
          <w:p w14:paraId="6D470451" w14:textId="77777777" w:rsidR="007373F6" w:rsidRDefault="00000000">
            <w:pPr>
              <w:spacing w:before="38"/>
              <w:ind w:left="4"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0.0881</w:t>
            </w:r>
          </w:p>
        </w:tc>
        <w:tc>
          <w:tcPr>
            <w:tcW w:w="909" w:type="dxa"/>
            <w:tcBorders>
              <w:bottom w:val="single" w:sz="6" w:space="0" w:color="000000"/>
            </w:tcBorders>
          </w:tcPr>
          <w:p w14:paraId="587D8006" w14:textId="77777777" w:rsidR="007373F6" w:rsidRDefault="00000000">
            <w:pPr>
              <w:spacing w:before="38"/>
              <w:ind w:left="3"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-0.1782</w:t>
            </w:r>
          </w:p>
        </w:tc>
        <w:tc>
          <w:tcPr>
            <w:tcW w:w="909" w:type="dxa"/>
            <w:tcBorders>
              <w:bottom w:val="single" w:sz="6" w:space="0" w:color="000000"/>
            </w:tcBorders>
          </w:tcPr>
          <w:p w14:paraId="61A555E5" w14:textId="77777777" w:rsidR="007373F6" w:rsidRDefault="00000000">
            <w:pPr>
              <w:spacing w:before="38"/>
              <w:ind w:left="2" w:right="5"/>
              <w:jc w:val="both"/>
              <w:rPr>
                <w:rFonts w:ascii="Times New Roman" w:eastAsia="Times New Roman" w:hAnsi="Times New Roman" w:cs="Times New Roman"/>
                <w:color w:val="000000"/>
              </w:rPr>
            </w:pPr>
            <w:r>
              <w:rPr>
                <w:rFonts w:ascii="Times New Roman" w:eastAsia="Times New Roman" w:hAnsi="Times New Roman" w:cs="Times New Roman"/>
                <w:color w:val="000000"/>
              </w:rPr>
              <w:t>-0.0608</w:t>
            </w:r>
          </w:p>
        </w:tc>
        <w:tc>
          <w:tcPr>
            <w:tcW w:w="1030" w:type="dxa"/>
            <w:tcBorders>
              <w:bottom w:val="single" w:sz="6" w:space="0" w:color="000000"/>
            </w:tcBorders>
          </w:tcPr>
          <w:p w14:paraId="1EDD2BBA" w14:textId="77777777" w:rsidR="007373F6" w:rsidRDefault="00000000">
            <w:pPr>
              <w:spacing w:before="38"/>
              <w:ind w:left="90"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0.0078</w:t>
            </w:r>
          </w:p>
        </w:tc>
        <w:tc>
          <w:tcPr>
            <w:tcW w:w="1030" w:type="dxa"/>
            <w:tcBorders>
              <w:bottom w:val="single" w:sz="6" w:space="0" w:color="000000"/>
            </w:tcBorders>
          </w:tcPr>
          <w:p w14:paraId="25E349E0" w14:textId="77777777" w:rsidR="007373F6" w:rsidRDefault="00000000">
            <w:pPr>
              <w:spacing w:before="38"/>
              <w:ind w:left="89"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0.0794</w:t>
            </w:r>
          </w:p>
        </w:tc>
        <w:tc>
          <w:tcPr>
            <w:tcW w:w="1028" w:type="dxa"/>
            <w:tcBorders>
              <w:bottom w:val="single" w:sz="6" w:space="0" w:color="000000"/>
            </w:tcBorders>
          </w:tcPr>
          <w:p w14:paraId="1B95DEE8" w14:textId="77777777" w:rsidR="007373F6" w:rsidRDefault="00000000">
            <w:pPr>
              <w:spacing w:before="38"/>
              <w:ind w:left="87" w:right="8"/>
              <w:jc w:val="both"/>
              <w:rPr>
                <w:rFonts w:ascii="Times New Roman" w:eastAsia="Times New Roman" w:hAnsi="Times New Roman" w:cs="Times New Roman"/>
                <w:color w:val="000000"/>
              </w:rPr>
            </w:pPr>
            <w:r>
              <w:rPr>
                <w:rFonts w:ascii="Times New Roman" w:eastAsia="Times New Roman" w:hAnsi="Times New Roman" w:cs="Times New Roman"/>
                <w:color w:val="000000"/>
              </w:rPr>
              <w:t>0.4149</w:t>
            </w:r>
          </w:p>
        </w:tc>
      </w:tr>
    </w:tbl>
    <w:p w14:paraId="7B663650" w14:textId="77777777" w:rsidR="007373F6" w:rsidRDefault="007373F6">
      <w:pPr>
        <w:widowControl w:val="0"/>
        <w:spacing w:before="74" w:after="50" w:line="240" w:lineRule="auto"/>
        <w:jc w:val="both"/>
        <w:rPr>
          <w:rFonts w:ascii="Times New Roman" w:eastAsia="Times New Roman" w:hAnsi="Times New Roman" w:cs="Times New Roman"/>
          <w:b/>
          <w:color w:val="000000"/>
          <w:sz w:val="24"/>
          <w:szCs w:val="24"/>
        </w:rPr>
      </w:pPr>
    </w:p>
    <w:p w14:paraId="1B3E85D7" w14:textId="77777777" w:rsidR="007373F6" w:rsidRDefault="00000000">
      <w:pPr>
        <w:widowControl w:val="0"/>
        <w:spacing w:before="74" w:after="5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rPr>
        <w:t xml:space="preserve">Panel C: </w:t>
      </w:r>
      <w:r w:rsidRPr="00CA3E0F">
        <w:rPr>
          <w:rFonts w:ascii="Times New Roman" w:eastAsia="Times New Roman" w:hAnsi="Times New Roman" w:cs="Times New Roman"/>
          <w:bCs/>
          <w:color w:val="000000"/>
        </w:rPr>
        <w:t>Correlation coeﬃcient matrix</w:t>
      </w:r>
    </w:p>
    <w:tbl>
      <w:tblPr>
        <w:tblStyle w:val="ad"/>
        <w:tblW w:w="9021" w:type="dxa"/>
        <w:tblLayout w:type="fixed"/>
        <w:tblLook w:val="0000" w:firstRow="0" w:lastRow="0" w:firstColumn="0" w:lastColumn="0" w:noHBand="0" w:noVBand="0"/>
      </w:tblPr>
      <w:tblGrid>
        <w:gridCol w:w="961"/>
        <w:gridCol w:w="807"/>
        <w:gridCol w:w="807"/>
        <w:gridCol w:w="807"/>
        <w:gridCol w:w="806"/>
        <w:gridCol w:w="806"/>
        <w:gridCol w:w="806"/>
        <w:gridCol w:w="806"/>
        <w:gridCol w:w="806"/>
        <w:gridCol w:w="806"/>
        <w:gridCol w:w="803"/>
      </w:tblGrid>
      <w:tr w:rsidR="007373F6" w14:paraId="2F9D6533" w14:textId="77777777">
        <w:trPr>
          <w:trHeight w:val="323"/>
        </w:trPr>
        <w:tc>
          <w:tcPr>
            <w:tcW w:w="961" w:type="dxa"/>
            <w:tcBorders>
              <w:top w:val="single" w:sz="4" w:space="0" w:color="000000"/>
              <w:bottom w:val="single" w:sz="4" w:space="0" w:color="000000"/>
            </w:tcBorders>
          </w:tcPr>
          <w:p w14:paraId="48A13670" w14:textId="77777777" w:rsidR="007373F6" w:rsidRDefault="00000000">
            <w:pPr>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Variable</w:t>
            </w:r>
          </w:p>
        </w:tc>
        <w:tc>
          <w:tcPr>
            <w:tcW w:w="807" w:type="dxa"/>
            <w:tcBorders>
              <w:top w:val="single" w:sz="4" w:space="0" w:color="000000"/>
              <w:bottom w:val="single" w:sz="4" w:space="0" w:color="000000"/>
            </w:tcBorders>
            <w:vAlign w:val="center"/>
          </w:tcPr>
          <w:p w14:paraId="6BB23C67" w14:textId="77777777" w:rsidR="007373F6" w:rsidRDefault="00000000">
            <w:pPr>
              <w:spacing w:before="13"/>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FOREIGN HELD</w:t>
            </w:r>
          </w:p>
        </w:tc>
        <w:tc>
          <w:tcPr>
            <w:tcW w:w="807" w:type="dxa"/>
            <w:tcBorders>
              <w:top w:val="single" w:sz="4" w:space="0" w:color="000000"/>
              <w:bottom w:val="single" w:sz="4" w:space="0" w:color="000000"/>
            </w:tcBorders>
            <w:vAlign w:val="center"/>
          </w:tcPr>
          <w:p w14:paraId="2FC433D4" w14:textId="77777777" w:rsidR="007373F6" w:rsidRDefault="00000000">
            <w:pPr>
              <w:spacing w:before="13"/>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IFRS</w:t>
            </w:r>
          </w:p>
        </w:tc>
        <w:tc>
          <w:tcPr>
            <w:tcW w:w="807" w:type="dxa"/>
            <w:tcBorders>
              <w:top w:val="single" w:sz="4" w:space="0" w:color="000000"/>
              <w:bottom w:val="single" w:sz="4" w:space="0" w:color="000000"/>
            </w:tcBorders>
            <w:vAlign w:val="center"/>
          </w:tcPr>
          <w:p w14:paraId="150521F6" w14:textId="77777777" w:rsidR="007373F6" w:rsidRDefault="00000000">
            <w:pPr>
              <w:spacing w:before="13"/>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POST</w:t>
            </w:r>
          </w:p>
        </w:tc>
        <w:tc>
          <w:tcPr>
            <w:tcW w:w="806" w:type="dxa"/>
            <w:tcBorders>
              <w:top w:val="single" w:sz="4" w:space="0" w:color="000000"/>
              <w:bottom w:val="single" w:sz="4" w:space="0" w:color="000000"/>
            </w:tcBorders>
            <w:vAlign w:val="center"/>
          </w:tcPr>
          <w:p w14:paraId="00F49AF6" w14:textId="77777777" w:rsidR="007373F6" w:rsidRDefault="00000000">
            <w:pPr>
              <w:spacing w:before="13"/>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CROSS</w:t>
            </w:r>
          </w:p>
        </w:tc>
        <w:tc>
          <w:tcPr>
            <w:tcW w:w="806" w:type="dxa"/>
            <w:tcBorders>
              <w:top w:val="single" w:sz="4" w:space="0" w:color="000000"/>
              <w:bottom w:val="single" w:sz="4" w:space="0" w:color="000000"/>
            </w:tcBorders>
            <w:vAlign w:val="center"/>
          </w:tcPr>
          <w:p w14:paraId="42E97282" w14:textId="77777777" w:rsidR="007373F6" w:rsidRDefault="00000000">
            <w:pPr>
              <w:spacing w:before="13"/>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2"/>
                <w:szCs w:val="12"/>
              </w:rPr>
              <w:t>BUYBACK</w:t>
            </w:r>
          </w:p>
        </w:tc>
        <w:tc>
          <w:tcPr>
            <w:tcW w:w="806" w:type="dxa"/>
            <w:tcBorders>
              <w:top w:val="single" w:sz="4" w:space="0" w:color="000000"/>
              <w:bottom w:val="single" w:sz="4" w:space="0" w:color="000000"/>
            </w:tcBorders>
            <w:vAlign w:val="center"/>
          </w:tcPr>
          <w:p w14:paraId="10DAC657" w14:textId="77777777" w:rsidR="007373F6" w:rsidRDefault="00000000">
            <w:pPr>
              <w:spacing w:before="13"/>
              <w:ind w:right="86"/>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BTM</w:t>
            </w:r>
          </w:p>
        </w:tc>
        <w:tc>
          <w:tcPr>
            <w:tcW w:w="806" w:type="dxa"/>
            <w:tcBorders>
              <w:top w:val="single" w:sz="4" w:space="0" w:color="000000"/>
              <w:bottom w:val="single" w:sz="4" w:space="0" w:color="000000"/>
            </w:tcBorders>
            <w:vAlign w:val="center"/>
          </w:tcPr>
          <w:p w14:paraId="33F79FC5" w14:textId="77777777" w:rsidR="007373F6" w:rsidRDefault="00000000">
            <w:pPr>
              <w:spacing w:before="13"/>
              <w:ind w:left="2" w:right="1"/>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IRD1</w:t>
            </w:r>
          </w:p>
        </w:tc>
        <w:tc>
          <w:tcPr>
            <w:tcW w:w="806" w:type="dxa"/>
            <w:tcBorders>
              <w:top w:val="single" w:sz="4" w:space="0" w:color="000000"/>
              <w:bottom w:val="single" w:sz="4" w:space="0" w:color="000000"/>
            </w:tcBorders>
            <w:vAlign w:val="center"/>
          </w:tcPr>
          <w:p w14:paraId="3DB909D4" w14:textId="77777777" w:rsidR="007373F6" w:rsidRDefault="00000000">
            <w:pPr>
              <w:spacing w:before="13"/>
              <w:ind w:left="63" w:right="62"/>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IRD2</w:t>
            </w:r>
          </w:p>
        </w:tc>
        <w:tc>
          <w:tcPr>
            <w:tcW w:w="806" w:type="dxa"/>
            <w:tcBorders>
              <w:top w:val="single" w:sz="4" w:space="0" w:color="000000"/>
              <w:bottom w:val="single" w:sz="4" w:space="0" w:color="000000"/>
            </w:tcBorders>
            <w:vAlign w:val="center"/>
          </w:tcPr>
          <w:p w14:paraId="7EBAEBDE" w14:textId="77777777" w:rsidR="007373F6" w:rsidRDefault="00000000">
            <w:pPr>
              <w:spacing w:before="13"/>
              <w:ind w:left="63" w:right="61"/>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ERD1</w:t>
            </w:r>
          </w:p>
        </w:tc>
        <w:tc>
          <w:tcPr>
            <w:tcW w:w="803" w:type="dxa"/>
            <w:tcBorders>
              <w:top w:val="single" w:sz="4" w:space="0" w:color="000000"/>
              <w:bottom w:val="single" w:sz="4" w:space="0" w:color="000000"/>
            </w:tcBorders>
            <w:vAlign w:val="center"/>
          </w:tcPr>
          <w:p w14:paraId="63F7AC64" w14:textId="77777777" w:rsidR="007373F6" w:rsidRDefault="00000000">
            <w:pPr>
              <w:spacing w:before="13"/>
              <w:ind w:left="63" w:right="61"/>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ERD2</w:t>
            </w:r>
          </w:p>
        </w:tc>
      </w:tr>
      <w:tr w:rsidR="007373F6" w14:paraId="0BA46E2A" w14:textId="77777777">
        <w:trPr>
          <w:trHeight w:val="340"/>
        </w:trPr>
        <w:tc>
          <w:tcPr>
            <w:tcW w:w="961" w:type="dxa"/>
            <w:tcBorders>
              <w:top w:val="single" w:sz="4" w:space="0" w:color="000000"/>
            </w:tcBorders>
            <w:vAlign w:val="center"/>
          </w:tcPr>
          <w:p w14:paraId="44402C72" w14:textId="77777777" w:rsidR="007373F6" w:rsidRDefault="00000000">
            <w:pPr>
              <w:spacing w:before="74"/>
              <w:ind w:left="8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FOREIGN HELD</w:t>
            </w:r>
          </w:p>
        </w:tc>
        <w:tc>
          <w:tcPr>
            <w:tcW w:w="807" w:type="dxa"/>
            <w:tcBorders>
              <w:top w:val="single" w:sz="4" w:space="0" w:color="000000"/>
            </w:tcBorders>
          </w:tcPr>
          <w:p w14:paraId="6CF5DFDD" w14:textId="77777777" w:rsidR="007373F6" w:rsidRDefault="007373F6">
            <w:pPr>
              <w:jc w:val="both"/>
              <w:rPr>
                <w:rFonts w:ascii="Times New Roman" w:eastAsia="Times New Roman" w:hAnsi="Times New Roman" w:cs="Times New Roman"/>
                <w:color w:val="000000"/>
                <w:sz w:val="16"/>
                <w:szCs w:val="16"/>
              </w:rPr>
            </w:pPr>
          </w:p>
        </w:tc>
        <w:tc>
          <w:tcPr>
            <w:tcW w:w="807" w:type="dxa"/>
            <w:tcBorders>
              <w:top w:val="single" w:sz="4" w:space="0" w:color="000000"/>
            </w:tcBorders>
          </w:tcPr>
          <w:p w14:paraId="2F9A01F2" w14:textId="77777777" w:rsidR="007373F6" w:rsidRDefault="00000000">
            <w:pPr>
              <w:spacing w:before="74"/>
              <w:ind w:left="63" w:right="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0.021</w:t>
            </w:r>
          </w:p>
        </w:tc>
        <w:tc>
          <w:tcPr>
            <w:tcW w:w="807" w:type="dxa"/>
            <w:tcBorders>
              <w:top w:val="single" w:sz="4" w:space="0" w:color="000000"/>
            </w:tcBorders>
          </w:tcPr>
          <w:p w14:paraId="424960AE" w14:textId="77777777" w:rsidR="007373F6" w:rsidRDefault="00000000">
            <w:pPr>
              <w:spacing w:before="74"/>
              <w:ind w:left="63" w:right="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0.094***</w:t>
            </w:r>
          </w:p>
        </w:tc>
        <w:tc>
          <w:tcPr>
            <w:tcW w:w="806" w:type="dxa"/>
            <w:tcBorders>
              <w:top w:val="single" w:sz="4" w:space="0" w:color="000000"/>
            </w:tcBorders>
          </w:tcPr>
          <w:p w14:paraId="140EBCCB" w14:textId="77777777" w:rsidR="007373F6" w:rsidRDefault="00000000">
            <w:pPr>
              <w:spacing w:before="74"/>
              <w:ind w:left="63" w:right="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0.101***</w:t>
            </w:r>
          </w:p>
        </w:tc>
        <w:tc>
          <w:tcPr>
            <w:tcW w:w="806" w:type="dxa"/>
            <w:tcBorders>
              <w:top w:val="single" w:sz="4" w:space="0" w:color="000000"/>
            </w:tcBorders>
          </w:tcPr>
          <w:p w14:paraId="146D7976" w14:textId="77777777" w:rsidR="007373F6" w:rsidRDefault="00000000">
            <w:pPr>
              <w:spacing w:before="74"/>
              <w:ind w:right="86"/>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-0.013</w:t>
            </w:r>
          </w:p>
        </w:tc>
        <w:tc>
          <w:tcPr>
            <w:tcW w:w="806" w:type="dxa"/>
            <w:tcBorders>
              <w:top w:val="single" w:sz="4" w:space="0" w:color="000000"/>
            </w:tcBorders>
          </w:tcPr>
          <w:p w14:paraId="46D962CF" w14:textId="77777777" w:rsidR="007373F6" w:rsidRDefault="00000000">
            <w:pPr>
              <w:spacing w:before="74"/>
              <w:ind w:right="86"/>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-0.169***</w:t>
            </w:r>
          </w:p>
        </w:tc>
        <w:tc>
          <w:tcPr>
            <w:tcW w:w="806" w:type="dxa"/>
            <w:tcBorders>
              <w:top w:val="single" w:sz="4" w:space="0" w:color="000000"/>
            </w:tcBorders>
          </w:tcPr>
          <w:p w14:paraId="1CB068DB" w14:textId="77777777" w:rsidR="007373F6" w:rsidRDefault="00000000">
            <w:pPr>
              <w:spacing w:before="74"/>
              <w:ind w:left="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0.058***</w:t>
            </w:r>
          </w:p>
        </w:tc>
        <w:tc>
          <w:tcPr>
            <w:tcW w:w="806" w:type="dxa"/>
            <w:tcBorders>
              <w:top w:val="single" w:sz="4" w:space="0" w:color="000000"/>
            </w:tcBorders>
          </w:tcPr>
          <w:p w14:paraId="36B3623D" w14:textId="77777777" w:rsidR="007373F6" w:rsidRDefault="00000000">
            <w:pPr>
              <w:spacing w:before="74"/>
              <w:ind w:left="63" w:right="60"/>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0.080***</w:t>
            </w:r>
          </w:p>
        </w:tc>
        <w:tc>
          <w:tcPr>
            <w:tcW w:w="806" w:type="dxa"/>
            <w:tcBorders>
              <w:top w:val="single" w:sz="4" w:space="0" w:color="000000"/>
            </w:tcBorders>
          </w:tcPr>
          <w:p w14:paraId="1ACC9F58" w14:textId="77777777" w:rsidR="007373F6" w:rsidRDefault="00000000">
            <w:pPr>
              <w:spacing w:before="74"/>
              <w:ind w:left="63"/>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0.031*</w:t>
            </w:r>
          </w:p>
        </w:tc>
        <w:tc>
          <w:tcPr>
            <w:tcW w:w="803" w:type="dxa"/>
            <w:tcBorders>
              <w:top w:val="single" w:sz="4" w:space="0" w:color="000000"/>
            </w:tcBorders>
          </w:tcPr>
          <w:p w14:paraId="3709BD00" w14:textId="77777777" w:rsidR="007373F6" w:rsidRDefault="00000000">
            <w:pPr>
              <w:spacing w:before="74"/>
              <w:ind w:left="63"/>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0.031*</w:t>
            </w:r>
          </w:p>
        </w:tc>
      </w:tr>
      <w:tr w:rsidR="007373F6" w14:paraId="2361C082" w14:textId="77777777">
        <w:trPr>
          <w:trHeight w:val="304"/>
        </w:trPr>
        <w:tc>
          <w:tcPr>
            <w:tcW w:w="961" w:type="dxa"/>
            <w:vAlign w:val="center"/>
          </w:tcPr>
          <w:p w14:paraId="3E22E779" w14:textId="77777777" w:rsidR="007373F6" w:rsidRDefault="00000000">
            <w:pPr>
              <w:spacing w:before="38"/>
              <w:ind w:left="8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IFRS</w:t>
            </w:r>
          </w:p>
        </w:tc>
        <w:tc>
          <w:tcPr>
            <w:tcW w:w="807" w:type="dxa"/>
          </w:tcPr>
          <w:p w14:paraId="5C16D8DC" w14:textId="77777777" w:rsidR="007373F6" w:rsidRDefault="00000000">
            <w:pPr>
              <w:spacing w:before="38"/>
              <w:ind w:left="63" w:right="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0.014</w:t>
            </w:r>
          </w:p>
        </w:tc>
        <w:tc>
          <w:tcPr>
            <w:tcW w:w="807" w:type="dxa"/>
          </w:tcPr>
          <w:p w14:paraId="738A49D5" w14:textId="77777777" w:rsidR="007373F6" w:rsidRDefault="007373F6">
            <w:pPr>
              <w:jc w:val="both"/>
              <w:rPr>
                <w:rFonts w:ascii="Times New Roman" w:eastAsia="Times New Roman" w:hAnsi="Times New Roman" w:cs="Times New Roman"/>
                <w:color w:val="000000"/>
                <w:sz w:val="16"/>
                <w:szCs w:val="16"/>
              </w:rPr>
            </w:pPr>
          </w:p>
        </w:tc>
        <w:tc>
          <w:tcPr>
            <w:tcW w:w="807" w:type="dxa"/>
          </w:tcPr>
          <w:p w14:paraId="1B3F6F63" w14:textId="77777777" w:rsidR="007373F6" w:rsidRDefault="00000000">
            <w:pPr>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-0.010</w:t>
            </w:r>
          </w:p>
        </w:tc>
        <w:tc>
          <w:tcPr>
            <w:tcW w:w="806" w:type="dxa"/>
          </w:tcPr>
          <w:p w14:paraId="6BA0D7F1" w14:textId="77777777" w:rsidR="007373F6" w:rsidRDefault="00000000">
            <w:pPr>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0.011</w:t>
            </w:r>
          </w:p>
        </w:tc>
        <w:tc>
          <w:tcPr>
            <w:tcW w:w="806" w:type="dxa"/>
          </w:tcPr>
          <w:p w14:paraId="1489347C" w14:textId="77777777" w:rsidR="007373F6" w:rsidRDefault="00000000">
            <w:pPr>
              <w:spacing w:before="38"/>
              <w:ind w:right="86"/>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0.028*</w:t>
            </w:r>
          </w:p>
        </w:tc>
        <w:tc>
          <w:tcPr>
            <w:tcW w:w="806" w:type="dxa"/>
          </w:tcPr>
          <w:p w14:paraId="6EAF3D4E" w14:textId="77777777" w:rsidR="007373F6" w:rsidRDefault="00000000">
            <w:pPr>
              <w:spacing w:before="38"/>
              <w:ind w:right="86"/>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-0.038**</w:t>
            </w:r>
          </w:p>
        </w:tc>
        <w:tc>
          <w:tcPr>
            <w:tcW w:w="806" w:type="dxa"/>
          </w:tcPr>
          <w:p w14:paraId="53CFC562" w14:textId="77777777" w:rsidR="007373F6" w:rsidRDefault="00000000">
            <w:pPr>
              <w:spacing w:before="38"/>
              <w:ind w:left="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-0.004</w:t>
            </w:r>
          </w:p>
        </w:tc>
        <w:tc>
          <w:tcPr>
            <w:tcW w:w="806" w:type="dxa"/>
          </w:tcPr>
          <w:p w14:paraId="64D417BE" w14:textId="77777777" w:rsidR="007373F6" w:rsidRDefault="00000000">
            <w:pPr>
              <w:spacing w:before="38"/>
              <w:ind w:left="63" w:right="60"/>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-0.004</w:t>
            </w:r>
          </w:p>
        </w:tc>
        <w:tc>
          <w:tcPr>
            <w:tcW w:w="806" w:type="dxa"/>
          </w:tcPr>
          <w:p w14:paraId="379FB761" w14:textId="77777777" w:rsidR="007373F6" w:rsidRDefault="00000000">
            <w:pPr>
              <w:spacing w:before="38"/>
              <w:ind w:left="63"/>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-0.008</w:t>
            </w:r>
          </w:p>
        </w:tc>
        <w:tc>
          <w:tcPr>
            <w:tcW w:w="803" w:type="dxa"/>
          </w:tcPr>
          <w:p w14:paraId="054AD889" w14:textId="77777777" w:rsidR="007373F6" w:rsidRDefault="00000000">
            <w:pPr>
              <w:spacing w:before="38"/>
              <w:ind w:left="63"/>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-0.008</w:t>
            </w:r>
          </w:p>
        </w:tc>
      </w:tr>
      <w:tr w:rsidR="007373F6" w14:paraId="528D3A2F" w14:textId="77777777">
        <w:trPr>
          <w:trHeight w:val="304"/>
        </w:trPr>
        <w:tc>
          <w:tcPr>
            <w:tcW w:w="961" w:type="dxa"/>
            <w:vAlign w:val="center"/>
          </w:tcPr>
          <w:p w14:paraId="782312AA" w14:textId="77777777" w:rsidR="007373F6" w:rsidRDefault="00000000">
            <w:pPr>
              <w:spacing w:before="38"/>
              <w:ind w:left="8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POST</w:t>
            </w:r>
          </w:p>
        </w:tc>
        <w:tc>
          <w:tcPr>
            <w:tcW w:w="807" w:type="dxa"/>
          </w:tcPr>
          <w:p w14:paraId="749002FC" w14:textId="77777777" w:rsidR="007373F6" w:rsidRDefault="00000000">
            <w:pPr>
              <w:spacing w:before="38"/>
              <w:ind w:left="63" w:right="3"/>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0.102***</w:t>
            </w:r>
          </w:p>
        </w:tc>
        <w:tc>
          <w:tcPr>
            <w:tcW w:w="807" w:type="dxa"/>
          </w:tcPr>
          <w:p w14:paraId="53CF67DF" w14:textId="77777777" w:rsidR="007373F6" w:rsidRDefault="00000000">
            <w:pPr>
              <w:spacing w:before="38"/>
              <w:ind w:left="63" w:right="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-0.010</w:t>
            </w:r>
          </w:p>
        </w:tc>
        <w:tc>
          <w:tcPr>
            <w:tcW w:w="807" w:type="dxa"/>
          </w:tcPr>
          <w:p w14:paraId="56D0A642" w14:textId="77777777" w:rsidR="007373F6" w:rsidRDefault="007373F6">
            <w:pPr>
              <w:spacing w:before="38"/>
              <w:ind w:left="63" w:right="2"/>
              <w:jc w:val="both"/>
              <w:rPr>
                <w:rFonts w:ascii="Times New Roman" w:eastAsia="Times New Roman" w:hAnsi="Times New Roman" w:cs="Times New Roman"/>
                <w:color w:val="000000"/>
                <w:sz w:val="16"/>
                <w:szCs w:val="16"/>
              </w:rPr>
            </w:pPr>
          </w:p>
        </w:tc>
        <w:tc>
          <w:tcPr>
            <w:tcW w:w="806" w:type="dxa"/>
          </w:tcPr>
          <w:p w14:paraId="1D87206C" w14:textId="77777777" w:rsidR="007373F6" w:rsidRDefault="00000000">
            <w:pPr>
              <w:spacing w:before="38"/>
              <w:ind w:left="63" w:right="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-0.072***</w:t>
            </w:r>
          </w:p>
        </w:tc>
        <w:tc>
          <w:tcPr>
            <w:tcW w:w="806" w:type="dxa"/>
          </w:tcPr>
          <w:p w14:paraId="63F39F08" w14:textId="77777777" w:rsidR="007373F6" w:rsidRDefault="00000000">
            <w:pPr>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0.017</w:t>
            </w:r>
          </w:p>
        </w:tc>
        <w:tc>
          <w:tcPr>
            <w:tcW w:w="806" w:type="dxa"/>
          </w:tcPr>
          <w:p w14:paraId="1428E0E8" w14:textId="77777777" w:rsidR="007373F6" w:rsidRDefault="00000000">
            <w:pPr>
              <w:spacing w:before="38"/>
              <w:ind w:right="86"/>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-0.050***</w:t>
            </w:r>
          </w:p>
        </w:tc>
        <w:tc>
          <w:tcPr>
            <w:tcW w:w="806" w:type="dxa"/>
          </w:tcPr>
          <w:p w14:paraId="7F48E670" w14:textId="77777777" w:rsidR="007373F6" w:rsidRDefault="00000000">
            <w:pPr>
              <w:spacing w:before="38"/>
              <w:ind w:left="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0.503***</w:t>
            </w:r>
          </w:p>
        </w:tc>
        <w:tc>
          <w:tcPr>
            <w:tcW w:w="806" w:type="dxa"/>
          </w:tcPr>
          <w:p w14:paraId="2ABD65CD" w14:textId="77777777" w:rsidR="007373F6" w:rsidRDefault="00000000">
            <w:pPr>
              <w:spacing w:before="38"/>
              <w:ind w:left="63"/>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0.550***</w:t>
            </w:r>
          </w:p>
        </w:tc>
        <w:tc>
          <w:tcPr>
            <w:tcW w:w="806" w:type="dxa"/>
          </w:tcPr>
          <w:p w14:paraId="3EF740EA" w14:textId="77777777" w:rsidR="007373F6" w:rsidRDefault="00000000">
            <w:pPr>
              <w:spacing w:before="38"/>
              <w:ind w:left="63" w:right="59"/>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0.085***</w:t>
            </w:r>
          </w:p>
        </w:tc>
        <w:tc>
          <w:tcPr>
            <w:tcW w:w="803" w:type="dxa"/>
          </w:tcPr>
          <w:p w14:paraId="2E8229E0" w14:textId="77777777" w:rsidR="007373F6" w:rsidRDefault="00000000">
            <w:pPr>
              <w:spacing w:before="38"/>
              <w:ind w:left="63" w:right="59"/>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0.085***</w:t>
            </w:r>
          </w:p>
        </w:tc>
      </w:tr>
      <w:tr w:rsidR="007373F6" w14:paraId="089564E1" w14:textId="77777777">
        <w:trPr>
          <w:trHeight w:val="304"/>
        </w:trPr>
        <w:tc>
          <w:tcPr>
            <w:tcW w:w="961" w:type="dxa"/>
            <w:vAlign w:val="center"/>
          </w:tcPr>
          <w:p w14:paraId="0EFE05AD" w14:textId="77777777" w:rsidR="007373F6" w:rsidRDefault="00000000">
            <w:pPr>
              <w:spacing w:before="38"/>
              <w:ind w:left="8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CROSS</w:t>
            </w:r>
          </w:p>
        </w:tc>
        <w:tc>
          <w:tcPr>
            <w:tcW w:w="807" w:type="dxa"/>
          </w:tcPr>
          <w:p w14:paraId="422C8734" w14:textId="77777777" w:rsidR="007373F6" w:rsidRDefault="00000000">
            <w:pPr>
              <w:spacing w:before="38"/>
              <w:ind w:left="63" w:right="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-0.013</w:t>
            </w:r>
          </w:p>
        </w:tc>
        <w:tc>
          <w:tcPr>
            <w:tcW w:w="807" w:type="dxa"/>
          </w:tcPr>
          <w:p w14:paraId="414BA910" w14:textId="77777777" w:rsidR="007373F6" w:rsidRDefault="00000000">
            <w:pPr>
              <w:spacing w:before="38"/>
              <w:ind w:left="63" w:right="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0.039**</w:t>
            </w:r>
          </w:p>
        </w:tc>
        <w:tc>
          <w:tcPr>
            <w:tcW w:w="807" w:type="dxa"/>
          </w:tcPr>
          <w:p w14:paraId="0EA1961E" w14:textId="77777777" w:rsidR="007373F6" w:rsidRDefault="00000000">
            <w:pPr>
              <w:spacing w:before="38"/>
              <w:ind w:left="63" w:right="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-0.077***</w:t>
            </w:r>
          </w:p>
        </w:tc>
        <w:tc>
          <w:tcPr>
            <w:tcW w:w="806" w:type="dxa"/>
          </w:tcPr>
          <w:p w14:paraId="6808C56D" w14:textId="77777777" w:rsidR="007373F6" w:rsidRDefault="007373F6">
            <w:pPr>
              <w:spacing w:before="38"/>
              <w:ind w:left="63" w:right="2"/>
              <w:jc w:val="both"/>
              <w:rPr>
                <w:rFonts w:ascii="Times New Roman" w:eastAsia="Times New Roman" w:hAnsi="Times New Roman" w:cs="Times New Roman"/>
                <w:color w:val="000000"/>
                <w:sz w:val="16"/>
                <w:szCs w:val="16"/>
              </w:rPr>
            </w:pPr>
          </w:p>
        </w:tc>
        <w:tc>
          <w:tcPr>
            <w:tcW w:w="806" w:type="dxa"/>
          </w:tcPr>
          <w:p w14:paraId="338AE035" w14:textId="77777777" w:rsidR="007373F6" w:rsidRDefault="00000000">
            <w:pPr>
              <w:spacing w:before="38"/>
              <w:ind w:right="86"/>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0.170***</w:t>
            </w:r>
          </w:p>
        </w:tc>
        <w:tc>
          <w:tcPr>
            <w:tcW w:w="806" w:type="dxa"/>
          </w:tcPr>
          <w:p w14:paraId="71C82386" w14:textId="77777777" w:rsidR="007373F6" w:rsidRDefault="00000000">
            <w:pPr>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0.305***</w:t>
            </w:r>
          </w:p>
        </w:tc>
        <w:tc>
          <w:tcPr>
            <w:tcW w:w="806" w:type="dxa"/>
          </w:tcPr>
          <w:p w14:paraId="2607B674" w14:textId="77777777" w:rsidR="007373F6" w:rsidRDefault="00000000">
            <w:pPr>
              <w:spacing w:before="38"/>
              <w:ind w:left="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0.036**</w:t>
            </w:r>
          </w:p>
        </w:tc>
        <w:tc>
          <w:tcPr>
            <w:tcW w:w="806" w:type="dxa"/>
          </w:tcPr>
          <w:p w14:paraId="10EF53D7" w14:textId="77777777" w:rsidR="007373F6" w:rsidRDefault="00000000">
            <w:pPr>
              <w:spacing w:before="38"/>
              <w:ind w:left="63" w:right="60"/>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0.009</w:t>
            </w:r>
          </w:p>
        </w:tc>
        <w:tc>
          <w:tcPr>
            <w:tcW w:w="806" w:type="dxa"/>
          </w:tcPr>
          <w:p w14:paraId="48700E76" w14:textId="77777777" w:rsidR="007373F6" w:rsidRDefault="00000000">
            <w:pPr>
              <w:spacing w:before="38"/>
              <w:ind w:left="63" w:right="60"/>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-0.042***</w:t>
            </w:r>
          </w:p>
        </w:tc>
        <w:tc>
          <w:tcPr>
            <w:tcW w:w="803" w:type="dxa"/>
          </w:tcPr>
          <w:p w14:paraId="0DE796EB" w14:textId="77777777" w:rsidR="007373F6" w:rsidRDefault="00000000">
            <w:pPr>
              <w:spacing w:before="38"/>
              <w:ind w:left="63" w:right="60"/>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-0.042***</w:t>
            </w:r>
          </w:p>
        </w:tc>
      </w:tr>
      <w:tr w:rsidR="007373F6" w14:paraId="48E1A764" w14:textId="77777777">
        <w:trPr>
          <w:trHeight w:val="304"/>
        </w:trPr>
        <w:tc>
          <w:tcPr>
            <w:tcW w:w="961" w:type="dxa"/>
            <w:vAlign w:val="center"/>
          </w:tcPr>
          <w:p w14:paraId="664BC55B" w14:textId="77777777" w:rsidR="007373F6" w:rsidRDefault="00000000">
            <w:pPr>
              <w:spacing w:before="38"/>
              <w:ind w:left="8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BUYBACK</w:t>
            </w:r>
          </w:p>
        </w:tc>
        <w:tc>
          <w:tcPr>
            <w:tcW w:w="807" w:type="dxa"/>
          </w:tcPr>
          <w:p w14:paraId="03DF280D" w14:textId="77777777" w:rsidR="007373F6" w:rsidRDefault="00000000">
            <w:pPr>
              <w:spacing w:before="38"/>
              <w:ind w:left="63" w:right="6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-0.116***</w:t>
            </w:r>
          </w:p>
        </w:tc>
        <w:tc>
          <w:tcPr>
            <w:tcW w:w="807" w:type="dxa"/>
          </w:tcPr>
          <w:p w14:paraId="23103518" w14:textId="77777777" w:rsidR="007373F6" w:rsidRDefault="00000000">
            <w:pPr>
              <w:spacing w:before="38"/>
              <w:ind w:left="63" w:right="6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0.006</w:t>
            </w:r>
          </w:p>
        </w:tc>
        <w:tc>
          <w:tcPr>
            <w:tcW w:w="807" w:type="dxa"/>
          </w:tcPr>
          <w:p w14:paraId="3FD1A04D" w14:textId="77777777" w:rsidR="007373F6" w:rsidRDefault="00000000">
            <w:pPr>
              <w:spacing w:before="38"/>
              <w:ind w:left="63" w:right="6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-0.000</w:t>
            </w:r>
          </w:p>
        </w:tc>
        <w:tc>
          <w:tcPr>
            <w:tcW w:w="806" w:type="dxa"/>
          </w:tcPr>
          <w:p w14:paraId="67FF87DB" w14:textId="77777777" w:rsidR="007373F6" w:rsidRDefault="00000000">
            <w:pPr>
              <w:spacing w:before="38"/>
              <w:ind w:left="63" w:right="6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0.072***</w:t>
            </w:r>
          </w:p>
        </w:tc>
        <w:tc>
          <w:tcPr>
            <w:tcW w:w="806" w:type="dxa"/>
          </w:tcPr>
          <w:p w14:paraId="510BCD40" w14:textId="77777777" w:rsidR="007373F6" w:rsidRDefault="007373F6">
            <w:pPr>
              <w:spacing w:before="38"/>
              <w:ind w:right="86"/>
              <w:jc w:val="both"/>
              <w:rPr>
                <w:rFonts w:ascii="Times New Roman" w:eastAsia="Times New Roman" w:hAnsi="Times New Roman" w:cs="Times New Roman"/>
                <w:color w:val="000000"/>
                <w:sz w:val="16"/>
                <w:szCs w:val="16"/>
              </w:rPr>
            </w:pPr>
          </w:p>
        </w:tc>
        <w:tc>
          <w:tcPr>
            <w:tcW w:w="806" w:type="dxa"/>
          </w:tcPr>
          <w:p w14:paraId="4CCDF148" w14:textId="77777777" w:rsidR="007373F6" w:rsidRDefault="00000000">
            <w:pPr>
              <w:spacing w:before="38"/>
              <w:ind w:right="86"/>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0.093***</w:t>
            </w:r>
          </w:p>
        </w:tc>
        <w:tc>
          <w:tcPr>
            <w:tcW w:w="806" w:type="dxa"/>
          </w:tcPr>
          <w:p w14:paraId="13AE399D" w14:textId="77777777" w:rsidR="007373F6" w:rsidRDefault="00000000">
            <w:pPr>
              <w:spacing w:before="38"/>
              <w:ind w:left="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0.003</w:t>
            </w:r>
          </w:p>
        </w:tc>
        <w:tc>
          <w:tcPr>
            <w:tcW w:w="806" w:type="dxa"/>
          </w:tcPr>
          <w:p w14:paraId="1DE50970" w14:textId="77777777" w:rsidR="007373F6" w:rsidRDefault="00000000">
            <w:pPr>
              <w:spacing w:before="38"/>
              <w:ind w:left="63"/>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0.004</w:t>
            </w:r>
          </w:p>
        </w:tc>
        <w:tc>
          <w:tcPr>
            <w:tcW w:w="806" w:type="dxa"/>
          </w:tcPr>
          <w:p w14:paraId="76A7D983" w14:textId="77777777" w:rsidR="007373F6" w:rsidRDefault="00000000">
            <w:pPr>
              <w:spacing w:before="38"/>
              <w:ind w:left="63" w:right="60"/>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0.017</w:t>
            </w:r>
          </w:p>
        </w:tc>
        <w:tc>
          <w:tcPr>
            <w:tcW w:w="803" w:type="dxa"/>
          </w:tcPr>
          <w:p w14:paraId="20506FE7" w14:textId="77777777" w:rsidR="007373F6" w:rsidRDefault="00000000">
            <w:pPr>
              <w:spacing w:before="38"/>
              <w:ind w:left="63" w:right="60"/>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0.017</w:t>
            </w:r>
          </w:p>
        </w:tc>
      </w:tr>
      <w:tr w:rsidR="007373F6" w14:paraId="16EEAC5F" w14:textId="77777777">
        <w:trPr>
          <w:trHeight w:val="304"/>
        </w:trPr>
        <w:tc>
          <w:tcPr>
            <w:tcW w:w="961" w:type="dxa"/>
            <w:vAlign w:val="center"/>
          </w:tcPr>
          <w:p w14:paraId="13DF8331" w14:textId="77777777" w:rsidR="007373F6" w:rsidRDefault="00000000">
            <w:pPr>
              <w:spacing w:before="38"/>
              <w:ind w:left="8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BTM</w:t>
            </w:r>
          </w:p>
        </w:tc>
        <w:tc>
          <w:tcPr>
            <w:tcW w:w="807" w:type="dxa"/>
          </w:tcPr>
          <w:p w14:paraId="00B8BCCE" w14:textId="77777777" w:rsidR="007373F6" w:rsidRDefault="00000000">
            <w:pPr>
              <w:spacing w:before="38"/>
              <w:ind w:left="63" w:right="6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-0.193***</w:t>
            </w:r>
          </w:p>
        </w:tc>
        <w:tc>
          <w:tcPr>
            <w:tcW w:w="807" w:type="dxa"/>
          </w:tcPr>
          <w:p w14:paraId="4A2FE1AF" w14:textId="77777777" w:rsidR="007373F6" w:rsidRDefault="00000000">
            <w:pPr>
              <w:spacing w:before="38"/>
              <w:ind w:left="63" w:right="6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-0.030*</w:t>
            </w:r>
          </w:p>
        </w:tc>
        <w:tc>
          <w:tcPr>
            <w:tcW w:w="807" w:type="dxa"/>
          </w:tcPr>
          <w:p w14:paraId="29F1CEEB" w14:textId="77777777" w:rsidR="007373F6" w:rsidRDefault="00000000">
            <w:pPr>
              <w:spacing w:before="38"/>
              <w:ind w:left="63" w:right="6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-0.003</w:t>
            </w:r>
          </w:p>
        </w:tc>
        <w:tc>
          <w:tcPr>
            <w:tcW w:w="806" w:type="dxa"/>
          </w:tcPr>
          <w:p w14:paraId="3C9BD23B" w14:textId="77777777" w:rsidR="007373F6" w:rsidRDefault="00000000">
            <w:pPr>
              <w:spacing w:before="38"/>
              <w:ind w:left="63" w:right="6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0.223***</w:t>
            </w:r>
          </w:p>
        </w:tc>
        <w:tc>
          <w:tcPr>
            <w:tcW w:w="806" w:type="dxa"/>
          </w:tcPr>
          <w:p w14:paraId="40DCF880" w14:textId="77777777" w:rsidR="007373F6" w:rsidRDefault="00000000">
            <w:pPr>
              <w:spacing w:before="38"/>
              <w:ind w:right="86"/>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0.027*</w:t>
            </w:r>
          </w:p>
        </w:tc>
        <w:tc>
          <w:tcPr>
            <w:tcW w:w="806" w:type="dxa"/>
          </w:tcPr>
          <w:p w14:paraId="783622E2" w14:textId="77777777" w:rsidR="007373F6" w:rsidRDefault="007373F6">
            <w:pPr>
              <w:spacing w:before="38"/>
              <w:ind w:right="86"/>
              <w:jc w:val="both"/>
              <w:rPr>
                <w:rFonts w:ascii="Times New Roman" w:eastAsia="Times New Roman" w:hAnsi="Times New Roman" w:cs="Times New Roman"/>
                <w:color w:val="000000"/>
                <w:sz w:val="16"/>
                <w:szCs w:val="16"/>
              </w:rPr>
            </w:pPr>
          </w:p>
        </w:tc>
        <w:tc>
          <w:tcPr>
            <w:tcW w:w="806" w:type="dxa"/>
          </w:tcPr>
          <w:p w14:paraId="4FE536E1" w14:textId="77777777" w:rsidR="007373F6" w:rsidRDefault="00000000">
            <w:pPr>
              <w:spacing w:before="38"/>
              <w:ind w:left="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-0.106***</w:t>
            </w:r>
          </w:p>
        </w:tc>
        <w:tc>
          <w:tcPr>
            <w:tcW w:w="806" w:type="dxa"/>
          </w:tcPr>
          <w:p w14:paraId="27773C77" w14:textId="77777777" w:rsidR="007373F6" w:rsidRDefault="00000000">
            <w:pPr>
              <w:spacing w:before="38"/>
              <w:ind w:left="63"/>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-0.129***</w:t>
            </w:r>
          </w:p>
        </w:tc>
        <w:tc>
          <w:tcPr>
            <w:tcW w:w="806" w:type="dxa"/>
          </w:tcPr>
          <w:p w14:paraId="24577C32" w14:textId="77777777" w:rsidR="007373F6" w:rsidRDefault="00000000">
            <w:pPr>
              <w:spacing w:before="38"/>
              <w:ind w:left="63"/>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-0.029*</w:t>
            </w:r>
          </w:p>
        </w:tc>
        <w:tc>
          <w:tcPr>
            <w:tcW w:w="803" w:type="dxa"/>
          </w:tcPr>
          <w:p w14:paraId="4B445145" w14:textId="77777777" w:rsidR="007373F6" w:rsidRDefault="00000000">
            <w:pPr>
              <w:spacing w:before="38"/>
              <w:ind w:left="63"/>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-0.029*</w:t>
            </w:r>
          </w:p>
        </w:tc>
      </w:tr>
      <w:tr w:rsidR="007373F6" w14:paraId="07AC9113" w14:textId="77777777">
        <w:trPr>
          <w:trHeight w:val="304"/>
        </w:trPr>
        <w:tc>
          <w:tcPr>
            <w:tcW w:w="961" w:type="dxa"/>
            <w:vAlign w:val="center"/>
          </w:tcPr>
          <w:p w14:paraId="5D5765FE" w14:textId="77777777" w:rsidR="007373F6" w:rsidRDefault="00000000">
            <w:pPr>
              <w:spacing w:before="38"/>
              <w:ind w:left="8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IRD1</w:t>
            </w:r>
          </w:p>
        </w:tc>
        <w:tc>
          <w:tcPr>
            <w:tcW w:w="807" w:type="dxa"/>
          </w:tcPr>
          <w:p w14:paraId="7CF0A4ED" w14:textId="77777777" w:rsidR="007373F6" w:rsidRDefault="00000000">
            <w:pPr>
              <w:spacing w:before="38"/>
              <w:ind w:left="63" w:right="6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0.050***</w:t>
            </w:r>
          </w:p>
        </w:tc>
        <w:tc>
          <w:tcPr>
            <w:tcW w:w="807" w:type="dxa"/>
          </w:tcPr>
          <w:p w14:paraId="36F40844" w14:textId="77777777" w:rsidR="007373F6" w:rsidRDefault="00000000">
            <w:pPr>
              <w:spacing w:before="38"/>
              <w:ind w:left="63" w:right="6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-0.008</w:t>
            </w:r>
          </w:p>
        </w:tc>
        <w:tc>
          <w:tcPr>
            <w:tcW w:w="807" w:type="dxa"/>
          </w:tcPr>
          <w:p w14:paraId="4AEDEF65" w14:textId="77777777" w:rsidR="007373F6" w:rsidRDefault="00000000">
            <w:pPr>
              <w:spacing w:before="38"/>
              <w:ind w:left="63" w:right="6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0.360***</w:t>
            </w:r>
          </w:p>
        </w:tc>
        <w:tc>
          <w:tcPr>
            <w:tcW w:w="806" w:type="dxa"/>
          </w:tcPr>
          <w:p w14:paraId="2505D59A" w14:textId="77777777" w:rsidR="007373F6" w:rsidRDefault="00000000">
            <w:pPr>
              <w:spacing w:before="38"/>
              <w:ind w:left="63" w:right="6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0.002</w:t>
            </w:r>
          </w:p>
        </w:tc>
        <w:tc>
          <w:tcPr>
            <w:tcW w:w="806" w:type="dxa"/>
          </w:tcPr>
          <w:p w14:paraId="6BE03B9A" w14:textId="77777777" w:rsidR="007373F6" w:rsidRDefault="00000000">
            <w:pPr>
              <w:spacing w:before="38"/>
              <w:ind w:right="86"/>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-0.012</w:t>
            </w:r>
          </w:p>
        </w:tc>
        <w:tc>
          <w:tcPr>
            <w:tcW w:w="806" w:type="dxa"/>
          </w:tcPr>
          <w:p w14:paraId="145B67CD" w14:textId="77777777" w:rsidR="007373F6" w:rsidRDefault="00000000">
            <w:pPr>
              <w:spacing w:before="38"/>
              <w:ind w:right="86"/>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-0.085***</w:t>
            </w:r>
          </w:p>
        </w:tc>
        <w:tc>
          <w:tcPr>
            <w:tcW w:w="806" w:type="dxa"/>
          </w:tcPr>
          <w:p w14:paraId="11A9E9D5" w14:textId="77777777" w:rsidR="007373F6" w:rsidRDefault="007373F6">
            <w:pPr>
              <w:spacing w:before="38"/>
              <w:ind w:left="2"/>
              <w:jc w:val="both"/>
              <w:rPr>
                <w:rFonts w:ascii="Times New Roman" w:eastAsia="Times New Roman" w:hAnsi="Times New Roman" w:cs="Times New Roman"/>
                <w:color w:val="000000"/>
                <w:sz w:val="16"/>
                <w:szCs w:val="16"/>
              </w:rPr>
            </w:pPr>
          </w:p>
        </w:tc>
        <w:tc>
          <w:tcPr>
            <w:tcW w:w="806" w:type="dxa"/>
          </w:tcPr>
          <w:p w14:paraId="3E7C595C" w14:textId="77777777" w:rsidR="007373F6" w:rsidRDefault="00000000">
            <w:pPr>
              <w:spacing w:before="38"/>
              <w:ind w:left="63"/>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0.945***</w:t>
            </w:r>
          </w:p>
        </w:tc>
        <w:tc>
          <w:tcPr>
            <w:tcW w:w="806" w:type="dxa"/>
          </w:tcPr>
          <w:p w14:paraId="437CF51D" w14:textId="77777777" w:rsidR="007373F6" w:rsidRDefault="00000000">
            <w:pPr>
              <w:spacing w:before="38"/>
              <w:ind w:left="63"/>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-0.237***</w:t>
            </w:r>
          </w:p>
        </w:tc>
        <w:tc>
          <w:tcPr>
            <w:tcW w:w="803" w:type="dxa"/>
          </w:tcPr>
          <w:p w14:paraId="2BD43972" w14:textId="77777777" w:rsidR="007373F6" w:rsidRDefault="00000000">
            <w:pPr>
              <w:spacing w:before="38"/>
              <w:ind w:left="63"/>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-0.237***</w:t>
            </w:r>
          </w:p>
        </w:tc>
      </w:tr>
      <w:tr w:rsidR="007373F6" w14:paraId="47187E98" w14:textId="77777777">
        <w:trPr>
          <w:trHeight w:val="304"/>
        </w:trPr>
        <w:tc>
          <w:tcPr>
            <w:tcW w:w="961" w:type="dxa"/>
            <w:vAlign w:val="center"/>
          </w:tcPr>
          <w:p w14:paraId="02464466" w14:textId="77777777" w:rsidR="007373F6" w:rsidRDefault="00000000">
            <w:pPr>
              <w:spacing w:before="38"/>
              <w:ind w:left="8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IRD2</w:t>
            </w:r>
          </w:p>
        </w:tc>
        <w:tc>
          <w:tcPr>
            <w:tcW w:w="807" w:type="dxa"/>
          </w:tcPr>
          <w:p w14:paraId="5CBA9CE6" w14:textId="77777777" w:rsidR="007373F6" w:rsidRDefault="00000000">
            <w:pPr>
              <w:spacing w:before="38"/>
              <w:ind w:left="63" w:right="6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0.056***</w:t>
            </w:r>
          </w:p>
        </w:tc>
        <w:tc>
          <w:tcPr>
            <w:tcW w:w="807" w:type="dxa"/>
          </w:tcPr>
          <w:p w14:paraId="7E2204F6" w14:textId="77777777" w:rsidR="007373F6" w:rsidRDefault="00000000">
            <w:pPr>
              <w:spacing w:before="38"/>
              <w:ind w:left="63" w:right="6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-0.008</w:t>
            </w:r>
          </w:p>
        </w:tc>
        <w:tc>
          <w:tcPr>
            <w:tcW w:w="807" w:type="dxa"/>
          </w:tcPr>
          <w:p w14:paraId="7A25474D" w14:textId="77777777" w:rsidR="007373F6" w:rsidRDefault="00000000">
            <w:pPr>
              <w:spacing w:before="38"/>
              <w:ind w:left="63" w:right="6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0.397***</w:t>
            </w:r>
          </w:p>
        </w:tc>
        <w:tc>
          <w:tcPr>
            <w:tcW w:w="806" w:type="dxa"/>
          </w:tcPr>
          <w:p w14:paraId="032D5195" w14:textId="77777777" w:rsidR="007373F6" w:rsidRDefault="00000000">
            <w:pPr>
              <w:spacing w:before="38"/>
              <w:ind w:left="63" w:right="6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-0.000</w:t>
            </w:r>
          </w:p>
        </w:tc>
        <w:tc>
          <w:tcPr>
            <w:tcW w:w="806" w:type="dxa"/>
          </w:tcPr>
          <w:p w14:paraId="7C9F774C" w14:textId="77777777" w:rsidR="007373F6" w:rsidRDefault="00000000">
            <w:pPr>
              <w:spacing w:before="38"/>
              <w:ind w:right="86"/>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-0.012</w:t>
            </w:r>
          </w:p>
        </w:tc>
        <w:tc>
          <w:tcPr>
            <w:tcW w:w="806" w:type="dxa"/>
          </w:tcPr>
          <w:p w14:paraId="0CB0AB55" w14:textId="77777777" w:rsidR="007373F6" w:rsidRDefault="00000000">
            <w:pPr>
              <w:spacing w:before="38"/>
              <w:ind w:right="86"/>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-0.095***</w:t>
            </w:r>
          </w:p>
        </w:tc>
        <w:tc>
          <w:tcPr>
            <w:tcW w:w="806" w:type="dxa"/>
          </w:tcPr>
          <w:p w14:paraId="70A984B6" w14:textId="77777777" w:rsidR="007373F6" w:rsidRDefault="00000000">
            <w:pPr>
              <w:spacing w:before="38"/>
              <w:ind w:left="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0.989***</w:t>
            </w:r>
          </w:p>
        </w:tc>
        <w:tc>
          <w:tcPr>
            <w:tcW w:w="806" w:type="dxa"/>
          </w:tcPr>
          <w:p w14:paraId="32553A19" w14:textId="77777777" w:rsidR="007373F6" w:rsidRDefault="007373F6">
            <w:pPr>
              <w:spacing w:before="38"/>
              <w:ind w:left="63"/>
              <w:jc w:val="both"/>
              <w:rPr>
                <w:rFonts w:ascii="Times New Roman" w:eastAsia="Times New Roman" w:hAnsi="Times New Roman" w:cs="Times New Roman"/>
                <w:color w:val="000000"/>
                <w:sz w:val="16"/>
                <w:szCs w:val="16"/>
              </w:rPr>
            </w:pPr>
          </w:p>
        </w:tc>
        <w:tc>
          <w:tcPr>
            <w:tcW w:w="806" w:type="dxa"/>
          </w:tcPr>
          <w:p w14:paraId="0AA28DDA" w14:textId="77777777" w:rsidR="007373F6" w:rsidRDefault="00000000">
            <w:pPr>
              <w:spacing w:before="38"/>
              <w:ind w:left="63"/>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-0.069***</w:t>
            </w:r>
          </w:p>
        </w:tc>
        <w:tc>
          <w:tcPr>
            <w:tcW w:w="803" w:type="dxa"/>
          </w:tcPr>
          <w:p w14:paraId="1928A396" w14:textId="77777777" w:rsidR="007373F6" w:rsidRDefault="00000000">
            <w:pPr>
              <w:spacing w:before="38"/>
              <w:ind w:left="63"/>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-0.069***</w:t>
            </w:r>
          </w:p>
        </w:tc>
      </w:tr>
      <w:tr w:rsidR="007373F6" w14:paraId="6B11E658" w14:textId="77777777">
        <w:trPr>
          <w:trHeight w:val="304"/>
        </w:trPr>
        <w:tc>
          <w:tcPr>
            <w:tcW w:w="961" w:type="dxa"/>
            <w:vAlign w:val="center"/>
          </w:tcPr>
          <w:p w14:paraId="11BD638A" w14:textId="77777777" w:rsidR="007373F6" w:rsidRDefault="00000000">
            <w:pPr>
              <w:spacing w:before="38"/>
              <w:ind w:left="8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ERD1</w:t>
            </w:r>
          </w:p>
        </w:tc>
        <w:tc>
          <w:tcPr>
            <w:tcW w:w="807" w:type="dxa"/>
          </w:tcPr>
          <w:p w14:paraId="29A06233" w14:textId="77777777" w:rsidR="007373F6" w:rsidRDefault="00000000">
            <w:pPr>
              <w:spacing w:before="38"/>
              <w:ind w:left="63" w:right="6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0.023</w:t>
            </w:r>
          </w:p>
        </w:tc>
        <w:tc>
          <w:tcPr>
            <w:tcW w:w="807" w:type="dxa"/>
          </w:tcPr>
          <w:p w14:paraId="08E419CB" w14:textId="77777777" w:rsidR="007373F6" w:rsidRDefault="00000000">
            <w:pPr>
              <w:spacing w:before="38"/>
              <w:ind w:left="63" w:right="6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-0.006</w:t>
            </w:r>
          </w:p>
        </w:tc>
        <w:tc>
          <w:tcPr>
            <w:tcW w:w="807" w:type="dxa"/>
          </w:tcPr>
          <w:p w14:paraId="31BE3D5D" w14:textId="77777777" w:rsidR="007373F6" w:rsidRDefault="00000000">
            <w:pPr>
              <w:spacing w:before="38"/>
              <w:ind w:left="63" w:right="6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0.015</w:t>
            </w:r>
          </w:p>
        </w:tc>
        <w:tc>
          <w:tcPr>
            <w:tcW w:w="806" w:type="dxa"/>
          </w:tcPr>
          <w:p w14:paraId="6A44F099" w14:textId="77777777" w:rsidR="007373F6" w:rsidRDefault="00000000">
            <w:pPr>
              <w:spacing w:before="38"/>
              <w:ind w:left="63" w:right="6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-0.029*</w:t>
            </w:r>
          </w:p>
        </w:tc>
        <w:tc>
          <w:tcPr>
            <w:tcW w:w="806" w:type="dxa"/>
          </w:tcPr>
          <w:p w14:paraId="71CF1949" w14:textId="77777777" w:rsidR="007373F6" w:rsidRDefault="00000000">
            <w:pPr>
              <w:spacing w:before="38"/>
              <w:ind w:right="86"/>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0.004</w:t>
            </w:r>
          </w:p>
        </w:tc>
        <w:tc>
          <w:tcPr>
            <w:tcW w:w="806" w:type="dxa"/>
          </w:tcPr>
          <w:p w14:paraId="310A0174" w14:textId="77777777" w:rsidR="007373F6" w:rsidRDefault="00000000">
            <w:pPr>
              <w:spacing w:before="38"/>
              <w:ind w:right="86"/>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-0.017</w:t>
            </w:r>
          </w:p>
        </w:tc>
        <w:tc>
          <w:tcPr>
            <w:tcW w:w="806" w:type="dxa"/>
          </w:tcPr>
          <w:p w14:paraId="67E68366" w14:textId="77777777" w:rsidR="007373F6" w:rsidRDefault="00000000">
            <w:pPr>
              <w:spacing w:before="38"/>
              <w:ind w:left="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-0.120***</w:t>
            </w:r>
          </w:p>
        </w:tc>
        <w:tc>
          <w:tcPr>
            <w:tcW w:w="806" w:type="dxa"/>
          </w:tcPr>
          <w:p w14:paraId="114BCC1B" w14:textId="77777777" w:rsidR="007373F6" w:rsidRDefault="00000000">
            <w:pPr>
              <w:spacing w:before="38"/>
              <w:ind w:left="63"/>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-0.100***</w:t>
            </w:r>
          </w:p>
        </w:tc>
        <w:tc>
          <w:tcPr>
            <w:tcW w:w="806" w:type="dxa"/>
          </w:tcPr>
          <w:p w14:paraId="23E1D870" w14:textId="77777777" w:rsidR="007373F6" w:rsidRDefault="007373F6">
            <w:pPr>
              <w:spacing w:before="38"/>
              <w:ind w:left="63"/>
              <w:jc w:val="both"/>
              <w:rPr>
                <w:rFonts w:ascii="Times New Roman" w:eastAsia="Times New Roman" w:hAnsi="Times New Roman" w:cs="Times New Roman"/>
                <w:color w:val="000000"/>
                <w:sz w:val="16"/>
                <w:szCs w:val="16"/>
              </w:rPr>
            </w:pPr>
          </w:p>
        </w:tc>
        <w:tc>
          <w:tcPr>
            <w:tcW w:w="803" w:type="dxa"/>
          </w:tcPr>
          <w:p w14:paraId="2A39161B" w14:textId="77777777" w:rsidR="007373F6" w:rsidRDefault="00000000">
            <w:pPr>
              <w:spacing w:before="38"/>
              <w:ind w:left="63"/>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1.000***</w:t>
            </w:r>
          </w:p>
        </w:tc>
      </w:tr>
      <w:tr w:rsidR="007373F6" w14:paraId="09ACAF45" w14:textId="77777777">
        <w:trPr>
          <w:trHeight w:val="349"/>
        </w:trPr>
        <w:tc>
          <w:tcPr>
            <w:tcW w:w="961" w:type="dxa"/>
            <w:tcBorders>
              <w:bottom w:val="single" w:sz="6" w:space="0" w:color="000000"/>
            </w:tcBorders>
            <w:vAlign w:val="center"/>
          </w:tcPr>
          <w:p w14:paraId="28BEA453" w14:textId="77777777" w:rsidR="007373F6" w:rsidRDefault="00000000">
            <w:pPr>
              <w:spacing w:before="38"/>
              <w:ind w:left="89"/>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 xml:space="preserve">ERD2 </w:t>
            </w:r>
          </w:p>
        </w:tc>
        <w:tc>
          <w:tcPr>
            <w:tcW w:w="807" w:type="dxa"/>
            <w:tcBorders>
              <w:bottom w:val="single" w:sz="6" w:space="0" w:color="000000"/>
            </w:tcBorders>
          </w:tcPr>
          <w:p w14:paraId="34B2BC6D" w14:textId="77777777" w:rsidR="007373F6" w:rsidRDefault="00000000">
            <w:pPr>
              <w:spacing w:before="38"/>
              <w:ind w:left="63" w:right="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0.021</w:t>
            </w:r>
          </w:p>
        </w:tc>
        <w:tc>
          <w:tcPr>
            <w:tcW w:w="807" w:type="dxa"/>
            <w:tcBorders>
              <w:bottom w:val="single" w:sz="6" w:space="0" w:color="000000"/>
            </w:tcBorders>
          </w:tcPr>
          <w:p w14:paraId="47F364E2" w14:textId="77777777" w:rsidR="007373F6" w:rsidRDefault="00000000">
            <w:pPr>
              <w:spacing w:before="38"/>
              <w:ind w:left="63" w:right="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-0.007</w:t>
            </w:r>
          </w:p>
        </w:tc>
        <w:tc>
          <w:tcPr>
            <w:tcW w:w="807" w:type="dxa"/>
            <w:tcBorders>
              <w:bottom w:val="single" w:sz="6" w:space="0" w:color="000000"/>
            </w:tcBorders>
          </w:tcPr>
          <w:p w14:paraId="5F721049" w14:textId="77777777" w:rsidR="007373F6" w:rsidRDefault="00000000">
            <w:pPr>
              <w:spacing w:before="38"/>
              <w:ind w:left="63" w:right="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0.003</w:t>
            </w:r>
          </w:p>
        </w:tc>
        <w:tc>
          <w:tcPr>
            <w:tcW w:w="806" w:type="dxa"/>
            <w:tcBorders>
              <w:bottom w:val="single" w:sz="6" w:space="0" w:color="000000"/>
            </w:tcBorders>
          </w:tcPr>
          <w:p w14:paraId="35E7A6B9" w14:textId="77777777" w:rsidR="007373F6" w:rsidRDefault="00000000">
            <w:pPr>
              <w:spacing w:before="38"/>
              <w:ind w:left="63" w:right="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-0.028*</w:t>
            </w:r>
          </w:p>
        </w:tc>
        <w:tc>
          <w:tcPr>
            <w:tcW w:w="806" w:type="dxa"/>
            <w:tcBorders>
              <w:bottom w:val="single" w:sz="6" w:space="0" w:color="000000"/>
            </w:tcBorders>
          </w:tcPr>
          <w:p w14:paraId="12F3D7C2" w14:textId="77777777" w:rsidR="007373F6" w:rsidRDefault="00000000">
            <w:pPr>
              <w:spacing w:before="38"/>
              <w:ind w:right="86"/>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0.004</w:t>
            </w:r>
          </w:p>
        </w:tc>
        <w:tc>
          <w:tcPr>
            <w:tcW w:w="806" w:type="dxa"/>
            <w:tcBorders>
              <w:bottom w:val="single" w:sz="6" w:space="0" w:color="000000"/>
            </w:tcBorders>
          </w:tcPr>
          <w:p w14:paraId="2FA8EB12" w14:textId="77777777" w:rsidR="007373F6" w:rsidRDefault="00000000">
            <w:pPr>
              <w:spacing w:before="38"/>
              <w:ind w:right="86"/>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-0.019</w:t>
            </w:r>
          </w:p>
        </w:tc>
        <w:tc>
          <w:tcPr>
            <w:tcW w:w="806" w:type="dxa"/>
            <w:tcBorders>
              <w:bottom w:val="single" w:sz="6" w:space="0" w:color="000000"/>
            </w:tcBorders>
          </w:tcPr>
          <w:p w14:paraId="7E4ED0DA" w14:textId="77777777" w:rsidR="007373F6" w:rsidRDefault="00000000">
            <w:pPr>
              <w:spacing w:before="38"/>
              <w:ind w:left="2"/>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-0.128***</w:t>
            </w:r>
          </w:p>
        </w:tc>
        <w:tc>
          <w:tcPr>
            <w:tcW w:w="806" w:type="dxa"/>
            <w:tcBorders>
              <w:bottom w:val="single" w:sz="6" w:space="0" w:color="000000"/>
            </w:tcBorders>
          </w:tcPr>
          <w:p w14:paraId="30AF27B1" w14:textId="77777777" w:rsidR="007373F6" w:rsidRDefault="00000000">
            <w:pPr>
              <w:spacing w:before="38"/>
              <w:ind w:left="63" w:right="60"/>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-0.109***</w:t>
            </w:r>
          </w:p>
        </w:tc>
        <w:tc>
          <w:tcPr>
            <w:tcW w:w="806" w:type="dxa"/>
            <w:tcBorders>
              <w:bottom w:val="single" w:sz="6" w:space="0" w:color="000000"/>
            </w:tcBorders>
          </w:tcPr>
          <w:p w14:paraId="4A928BBD" w14:textId="77777777" w:rsidR="007373F6" w:rsidRDefault="00000000">
            <w:pPr>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0.999***</w:t>
            </w:r>
          </w:p>
        </w:tc>
        <w:tc>
          <w:tcPr>
            <w:tcW w:w="803" w:type="dxa"/>
            <w:tcBorders>
              <w:bottom w:val="single" w:sz="6" w:space="0" w:color="000000"/>
            </w:tcBorders>
          </w:tcPr>
          <w:p w14:paraId="7307B4B6" w14:textId="77777777" w:rsidR="007373F6" w:rsidRDefault="007373F6">
            <w:pPr>
              <w:jc w:val="both"/>
              <w:rPr>
                <w:rFonts w:ascii="Times New Roman" w:eastAsia="Times New Roman" w:hAnsi="Times New Roman" w:cs="Times New Roman"/>
                <w:color w:val="000000"/>
                <w:sz w:val="16"/>
                <w:szCs w:val="16"/>
              </w:rPr>
            </w:pPr>
          </w:p>
        </w:tc>
      </w:tr>
    </w:tbl>
    <w:p w14:paraId="40CC9500" w14:textId="77777777" w:rsidR="007373F6" w:rsidRDefault="00000000">
      <w:pPr>
        <w:widowControl w:val="0"/>
        <w:spacing w:before="139"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w:t>
      </w:r>
      <w:r>
        <w:rPr>
          <w:rFonts w:ascii="Times New Roman" w:eastAsia="Times New Roman" w:hAnsi="Times New Roman" w:cs="Times New Roman"/>
          <w:i/>
          <w:color w:val="000000"/>
          <w:sz w:val="20"/>
          <w:szCs w:val="20"/>
        </w:rPr>
        <w:t xml:space="preserve"> </w:t>
      </w:r>
      <w:r>
        <w:rPr>
          <w:rFonts w:ascii="Times New Roman" w:eastAsia="Times New Roman" w:hAnsi="Times New Roman" w:cs="Times New Roman"/>
          <w:color w:val="000000"/>
          <w:sz w:val="20"/>
          <w:szCs w:val="20"/>
        </w:rPr>
        <w:t>This correlation coefficient matrix provides the Pearson’s product-moment correlation coefficients in the lower left and Spearman’s rank correlation coefficients in the upper right relative to the diagonal components. ***, **, and * indicate statistical significance at the 1%, 5%, and 10% levels, respectively.</w:t>
      </w:r>
    </w:p>
    <w:p w14:paraId="037CFDEA" w14:textId="77777777" w:rsidR="007373F6" w:rsidRDefault="007373F6">
      <w:pPr>
        <w:pBdr>
          <w:top w:val="nil"/>
          <w:left w:val="nil"/>
          <w:bottom w:val="nil"/>
          <w:right w:val="nil"/>
          <w:between w:val="nil"/>
        </w:pBdr>
        <w:spacing w:before="240" w:after="120" w:line="240" w:lineRule="auto"/>
        <w:jc w:val="both"/>
        <w:rPr>
          <w:rFonts w:ascii="Times New Roman" w:eastAsia="Times New Roman" w:hAnsi="Times New Roman" w:cs="Times New Roman"/>
          <w:color w:val="000000"/>
          <w:sz w:val="24"/>
          <w:szCs w:val="24"/>
          <w:highlight w:val="yellow"/>
        </w:rPr>
      </w:pPr>
    </w:p>
    <w:p w14:paraId="6D25B679" w14:textId="77777777" w:rsidR="007373F6" w:rsidRPr="00CA3E0F" w:rsidRDefault="00000000">
      <w:pPr>
        <w:widowControl w:val="0"/>
        <w:spacing w:before="74" w:after="50" w:line="240" w:lineRule="auto"/>
        <w:jc w:val="both"/>
        <w:rPr>
          <w:rFonts w:ascii="Times New Roman" w:eastAsia="Times New Roman" w:hAnsi="Times New Roman" w:cs="Times New Roman"/>
          <w:bCs/>
          <w:color w:val="000000"/>
        </w:rPr>
      </w:pPr>
      <w:r>
        <w:rPr>
          <w:rFonts w:ascii="Times New Roman" w:eastAsia="Times New Roman" w:hAnsi="Times New Roman" w:cs="Times New Roman"/>
          <w:b/>
          <w:color w:val="000000"/>
        </w:rPr>
        <w:t xml:space="preserve">Panel D: </w:t>
      </w:r>
      <w:r w:rsidRPr="00CA3E0F">
        <w:rPr>
          <w:rFonts w:ascii="Times New Roman" w:eastAsia="Times New Roman" w:hAnsi="Times New Roman" w:cs="Times New Roman"/>
          <w:bCs/>
          <w:color w:val="000000"/>
        </w:rPr>
        <w:t xml:space="preserve">Distribution of voluntary IFRS adopters </w:t>
      </w:r>
    </w:p>
    <w:tbl>
      <w:tblPr>
        <w:tblStyle w:val="ae"/>
        <w:tblW w:w="9025" w:type="dxa"/>
        <w:tblLayout w:type="fixed"/>
        <w:tblLook w:val="0400" w:firstRow="0" w:lastRow="0" w:firstColumn="0" w:lastColumn="0" w:noHBand="0" w:noVBand="1"/>
      </w:tblPr>
      <w:tblGrid>
        <w:gridCol w:w="2320"/>
        <w:gridCol w:w="478"/>
        <w:gridCol w:w="477"/>
        <w:gridCol w:w="478"/>
        <w:gridCol w:w="478"/>
        <w:gridCol w:w="478"/>
        <w:gridCol w:w="478"/>
        <w:gridCol w:w="478"/>
        <w:gridCol w:w="478"/>
        <w:gridCol w:w="478"/>
        <w:gridCol w:w="478"/>
        <w:gridCol w:w="478"/>
        <w:gridCol w:w="478"/>
        <w:gridCol w:w="478"/>
        <w:gridCol w:w="492"/>
      </w:tblGrid>
      <w:tr w:rsidR="007373F6" w14:paraId="6BFD4354" w14:textId="77777777">
        <w:trPr>
          <w:trHeight w:val="372"/>
        </w:trPr>
        <w:tc>
          <w:tcPr>
            <w:tcW w:w="2321" w:type="dxa"/>
            <w:tcBorders>
              <w:top w:val="single" w:sz="4" w:space="0" w:color="000000"/>
              <w:bottom w:val="single" w:sz="6" w:space="0" w:color="000000"/>
            </w:tcBorders>
            <w:vAlign w:val="center"/>
          </w:tcPr>
          <w:p w14:paraId="5AD6303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Industry</w:t>
            </w:r>
          </w:p>
        </w:tc>
        <w:tc>
          <w:tcPr>
            <w:tcW w:w="478" w:type="dxa"/>
            <w:tcBorders>
              <w:top w:val="single" w:sz="4" w:space="0" w:color="000000"/>
              <w:bottom w:val="single" w:sz="6" w:space="0" w:color="000000"/>
            </w:tcBorders>
            <w:vAlign w:val="center"/>
          </w:tcPr>
          <w:p w14:paraId="6603F24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2010</w:t>
            </w:r>
          </w:p>
        </w:tc>
        <w:tc>
          <w:tcPr>
            <w:tcW w:w="477" w:type="dxa"/>
            <w:tcBorders>
              <w:top w:val="single" w:sz="4" w:space="0" w:color="000000"/>
              <w:bottom w:val="single" w:sz="6" w:space="0" w:color="000000"/>
            </w:tcBorders>
            <w:vAlign w:val="center"/>
          </w:tcPr>
          <w:p w14:paraId="4071D718"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2011</w:t>
            </w:r>
          </w:p>
        </w:tc>
        <w:tc>
          <w:tcPr>
            <w:tcW w:w="478" w:type="dxa"/>
            <w:tcBorders>
              <w:top w:val="single" w:sz="4" w:space="0" w:color="000000"/>
              <w:bottom w:val="single" w:sz="6" w:space="0" w:color="000000"/>
            </w:tcBorders>
            <w:vAlign w:val="center"/>
          </w:tcPr>
          <w:p w14:paraId="6A559CFE"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2012</w:t>
            </w:r>
          </w:p>
        </w:tc>
        <w:tc>
          <w:tcPr>
            <w:tcW w:w="478" w:type="dxa"/>
            <w:tcBorders>
              <w:top w:val="single" w:sz="4" w:space="0" w:color="000000"/>
              <w:bottom w:val="single" w:sz="6" w:space="0" w:color="000000"/>
            </w:tcBorders>
            <w:vAlign w:val="center"/>
          </w:tcPr>
          <w:p w14:paraId="71749DFA"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2013</w:t>
            </w:r>
          </w:p>
        </w:tc>
        <w:tc>
          <w:tcPr>
            <w:tcW w:w="478" w:type="dxa"/>
            <w:tcBorders>
              <w:top w:val="single" w:sz="4" w:space="0" w:color="000000"/>
              <w:bottom w:val="single" w:sz="6" w:space="0" w:color="000000"/>
            </w:tcBorders>
            <w:vAlign w:val="center"/>
          </w:tcPr>
          <w:p w14:paraId="21DD7AA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2014</w:t>
            </w:r>
          </w:p>
        </w:tc>
        <w:tc>
          <w:tcPr>
            <w:tcW w:w="478" w:type="dxa"/>
            <w:tcBorders>
              <w:top w:val="single" w:sz="4" w:space="0" w:color="000000"/>
              <w:bottom w:val="single" w:sz="6" w:space="0" w:color="000000"/>
            </w:tcBorders>
            <w:vAlign w:val="center"/>
          </w:tcPr>
          <w:p w14:paraId="48B6413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2015</w:t>
            </w:r>
          </w:p>
        </w:tc>
        <w:tc>
          <w:tcPr>
            <w:tcW w:w="478" w:type="dxa"/>
            <w:tcBorders>
              <w:top w:val="single" w:sz="4" w:space="0" w:color="000000"/>
              <w:bottom w:val="single" w:sz="6" w:space="0" w:color="000000"/>
            </w:tcBorders>
            <w:vAlign w:val="center"/>
          </w:tcPr>
          <w:p w14:paraId="12F19755"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2016</w:t>
            </w:r>
          </w:p>
        </w:tc>
        <w:tc>
          <w:tcPr>
            <w:tcW w:w="478" w:type="dxa"/>
            <w:tcBorders>
              <w:top w:val="single" w:sz="4" w:space="0" w:color="000000"/>
              <w:bottom w:val="single" w:sz="6" w:space="0" w:color="000000"/>
            </w:tcBorders>
            <w:vAlign w:val="center"/>
          </w:tcPr>
          <w:p w14:paraId="59474702"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2017</w:t>
            </w:r>
          </w:p>
        </w:tc>
        <w:tc>
          <w:tcPr>
            <w:tcW w:w="478" w:type="dxa"/>
            <w:tcBorders>
              <w:top w:val="single" w:sz="4" w:space="0" w:color="000000"/>
              <w:bottom w:val="single" w:sz="6" w:space="0" w:color="000000"/>
            </w:tcBorders>
            <w:vAlign w:val="center"/>
          </w:tcPr>
          <w:p w14:paraId="1E7BFB3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2018</w:t>
            </w:r>
          </w:p>
        </w:tc>
        <w:tc>
          <w:tcPr>
            <w:tcW w:w="478" w:type="dxa"/>
            <w:tcBorders>
              <w:top w:val="single" w:sz="4" w:space="0" w:color="000000"/>
              <w:bottom w:val="single" w:sz="6" w:space="0" w:color="000000"/>
            </w:tcBorders>
            <w:vAlign w:val="center"/>
          </w:tcPr>
          <w:p w14:paraId="1561E8A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2019</w:t>
            </w:r>
          </w:p>
        </w:tc>
        <w:tc>
          <w:tcPr>
            <w:tcW w:w="478" w:type="dxa"/>
            <w:tcBorders>
              <w:top w:val="single" w:sz="4" w:space="0" w:color="000000"/>
              <w:bottom w:val="single" w:sz="6" w:space="0" w:color="000000"/>
            </w:tcBorders>
            <w:vAlign w:val="center"/>
          </w:tcPr>
          <w:p w14:paraId="6827A09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2020</w:t>
            </w:r>
          </w:p>
        </w:tc>
        <w:tc>
          <w:tcPr>
            <w:tcW w:w="478" w:type="dxa"/>
            <w:tcBorders>
              <w:top w:val="single" w:sz="4" w:space="0" w:color="000000"/>
              <w:bottom w:val="single" w:sz="6" w:space="0" w:color="000000"/>
            </w:tcBorders>
            <w:vAlign w:val="center"/>
          </w:tcPr>
          <w:p w14:paraId="5349A59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2021</w:t>
            </w:r>
          </w:p>
        </w:tc>
        <w:tc>
          <w:tcPr>
            <w:tcW w:w="478" w:type="dxa"/>
            <w:tcBorders>
              <w:top w:val="single" w:sz="4" w:space="0" w:color="000000"/>
              <w:bottom w:val="single" w:sz="6" w:space="0" w:color="000000"/>
            </w:tcBorders>
            <w:vAlign w:val="center"/>
          </w:tcPr>
          <w:p w14:paraId="4B6263A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2022</w:t>
            </w:r>
          </w:p>
        </w:tc>
        <w:tc>
          <w:tcPr>
            <w:tcW w:w="492" w:type="dxa"/>
            <w:tcBorders>
              <w:top w:val="single" w:sz="4" w:space="0" w:color="000000"/>
              <w:bottom w:val="single" w:sz="6" w:space="0" w:color="000000"/>
            </w:tcBorders>
            <w:vAlign w:val="center"/>
          </w:tcPr>
          <w:p w14:paraId="1896CB2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Total</w:t>
            </w:r>
          </w:p>
        </w:tc>
      </w:tr>
      <w:tr w:rsidR="007373F6" w14:paraId="59C1107E" w14:textId="77777777">
        <w:trPr>
          <w:trHeight w:val="372"/>
        </w:trPr>
        <w:tc>
          <w:tcPr>
            <w:tcW w:w="2321" w:type="dxa"/>
            <w:tcBorders>
              <w:top w:val="nil"/>
              <w:bottom w:val="single" w:sz="4" w:space="0" w:color="000000"/>
            </w:tcBorders>
            <w:vAlign w:val="center"/>
          </w:tcPr>
          <w:p w14:paraId="6E0CE06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01_Foods</w:t>
            </w:r>
          </w:p>
        </w:tc>
        <w:tc>
          <w:tcPr>
            <w:tcW w:w="478" w:type="dxa"/>
            <w:tcBorders>
              <w:top w:val="nil"/>
              <w:bottom w:val="single" w:sz="4" w:space="0" w:color="000000"/>
            </w:tcBorders>
            <w:vAlign w:val="center"/>
          </w:tcPr>
          <w:p w14:paraId="7F08D49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7" w:type="dxa"/>
            <w:tcBorders>
              <w:top w:val="nil"/>
              <w:bottom w:val="single" w:sz="4" w:space="0" w:color="000000"/>
            </w:tcBorders>
            <w:vAlign w:val="center"/>
          </w:tcPr>
          <w:p w14:paraId="10D149C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80725F0"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5547443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2A10347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AB98E3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B91139E"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7AA6D1E"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0028CDC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w:t>
            </w:r>
          </w:p>
        </w:tc>
        <w:tc>
          <w:tcPr>
            <w:tcW w:w="478" w:type="dxa"/>
            <w:tcBorders>
              <w:top w:val="nil"/>
              <w:bottom w:val="single" w:sz="4" w:space="0" w:color="000000"/>
            </w:tcBorders>
            <w:vAlign w:val="center"/>
          </w:tcPr>
          <w:p w14:paraId="386AEF69"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w:t>
            </w:r>
          </w:p>
        </w:tc>
        <w:tc>
          <w:tcPr>
            <w:tcW w:w="478" w:type="dxa"/>
            <w:tcBorders>
              <w:top w:val="nil"/>
              <w:bottom w:val="single" w:sz="4" w:space="0" w:color="000000"/>
            </w:tcBorders>
            <w:vAlign w:val="center"/>
          </w:tcPr>
          <w:p w14:paraId="796F57C0"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w:t>
            </w:r>
          </w:p>
        </w:tc>
        <w:tc>
          <w:tcPr>
            <w:tcW w:w="478" w:type="dxa"/>
            <w:tcBorders>
              <w:top w:val="nil"/>
              <w:bottom w:val="single" w:sz="4" w:space="0" w:color="000000"/>
            </w:tcBorders>
            <w:vAlign w:val="center"/>
          </w:tcPr>
          <w:p w14:paraId="3F86495A"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1DB8CB0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92" w:type="dxa"/>
            <w:tcBorders>
              <w:top w:val="nil"/>
              <w:bottom w:val="single" w:sz="4" w:space="0" w:color="000000"/>
            </w:tcBorders>
            <w:vAlign w:val="center"/>
          </w:tcPr>
          <w:p w14:paraId="555284E4"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9</w:t>
            </w:r>
          </w:p>
        </w:tc>
      </w:tr>
      <w:tr w:rsidR="007373F6" w14:paraId="6BFEAB21" w14:textId="77777777">
        <w:trPr>
          <w:trHeight w:val="360"/>
        </w:trPr>
        <w:tc>
          <w:tcPr>
            <w:tcW w:w="2321" w:type="dxa"/>
            <w:tcBorders>
              <w:top w:val="nil"/>
              <w:bottom w:val="single" w:sz="4" w:space="0" w:color="000000"/>
            </w:tcBorders>
            <w:vAlign w:val="center"/>
          </w:tcPr>
          <w:p w14:paraId="5EA2A0AA"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03_Textile Products</w:t>
            </w:r>
          </w:p>
        </w:tc>
        <w:tc>
          <w:tcPr>
            <w:tcW w:w="478" w:type="dxa"/>
            <w:tcBorders>
              <w:top w:val="nil"/>
              <w:bottom w:val="single" w:sz="4" w:space="0" w:color="000000"/>
            </w:tcBorders>
            <w:vAlign w:val="center"/>
          </w:tcPr>
          <w:p w14:paraId="1FFA935E"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7" w:type="dxa"/>
            <w:tcBorders>
              <w:top w:val="nil"/>
              <w:bottom w:val="single" w:sz="4" w:space="0" w:color="000000"/>
            </w:tcBorders>
            <w:vAlign w:val="center"/>
          </w:tcPr>
          <w:p w14:paraId="6AF44F6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3997A6A5"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09E0DBA4"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256D1F0"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27C08FDF"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215C33E2"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693F1EB8"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358A6CD5"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A7E081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700A071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BBFE7C9"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1C2BD46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92" w:type="dxa"/>
            <w:tcBorders>
              <w:top w:val="nil"/>
              <w:bottom w:val="single" w:sz="4" w:space="0" w:color="000000"/>
            </w:tcBorders>
            <w:vAlign w:val="center"/>
          </w:tcPr>
          <w:p w14:paraId="58811B3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r>
      <w:tr w:rsidR="007373F6" w14:paraId="5D83FBD2" w14:textId="77777777">
        <w:trPr>
          <w:trHeight w:val="360"/>
        </w:trPr>
        <w:tc>
          <w:tcPr>
            <w:tcW w:w="2321" w:type="dxa"/>
            <w:tcBorders>
              <w:top w:val="nil"/>
              <w:bottom w:val="single" w:sz="4" w:space="0" w:color="000000"/>
            </w:tcBorders>
            <w:vAlign w:val="center"/>
          </w:tcPr>
          <w:p w14:paraId="23F8052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07_Chemicals</w:t>
            </w:r>
          </w:p>
        </w:tc>
        <w:tc>
          <w:tcPr>
            <w:tcW w:w="478" w:type="dxa"/>
            <w:tcBorders>
              <w:top w:val="nil"/>
              <w:bottom w:val="single" w:sz="4" w:space="0" w:color="000000"/>
            </w:tcBorders>
            <w:vAlign w:val="center"/>
          </w:tcPr>
          <w:p w14:paraId="7CE98B7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7" w:type="dxa"/>
            <w:tcBorders>
              <w:top w:val="nil"/>
              <w:bottom w:val="single" w:sz="4" w:space="0" w:color="000000"/>
            </w:tcBorders>
            <w:vAlign w:val="center"/>
          </w:tcPr>
          <w:p w14:paraId="269760B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8653CD8"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7EDBFC70"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587049F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66D1D374"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w:t>
            </w:r>
          </w:p>
        </w:tc>
        <w:tc>
          <w:tcPr>
            <w:tcW w:w="478" w:type="dxa"/>
            <w:tcBorders>
              <w:top w:val="nil"/>
              <w:bottom w:val="single" w:sz="4" w:space="0" w:color="000000"/>
            </w:tcBorders>
            <w:vAlign w:val="center"/>
          </w:tcPr>
          <w:p w14:paraId="1AAA03BA"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075DB058"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3042D52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5</w:t>
            </w:r>
          </w:p>
        </w:tc>
        <w:tc>
          <w:tcPr>
            <w:tcW w:w="478" w:type="dxa"/>
            <w:tcBorders>
              <w:top w:val="nil"/>
              <w:bottom w:val="single" w:sz="4" w:space="0" w:color="000000"/>
            </w:tcBorders>
            <w:vAlign w:val="center"/>
          </w:tcPr>
          <w:p w14:paraId="0EF8AB1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74C93ED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677DA17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59A92654"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92" w:type="dxa"/>
            <w:tcBorders>
              <w:top w:val="nil"/>
              <w:bottom w:val="single" w:sz="4" w:space="0" w:color="000000"/>
            </w:tcBorders>
            <w:vAlign w:val="center"/>
          </w:tcPr>
          <w:p w14:paraId="4930504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11</w:t>
            </w:r>
          </w:p>
        </w:tc>
      </w:tr>
      <w:tr w:rsidR="007373F6" w14:paraId="57306896" w14:textId="77777777">
        <w:trPr>
          <w:trHeight w:val="360"/>
        </w:trPr>
        <w:tc>
          <w:tcPr>
            <w:tcW w:w="2321" w:type="dxa"/>
            <w:tcBorders>
              <w:top w:val="nil"/>
              <w:bottom w:val="single" w:sz="4" w:space="0" w:color="000000"/>
            </w:tcBorders>
            <w:vAlign w:val="center"/>
          </w:tcPr>
          <w:p w14:paraId="2B608D3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09_Drugs</w:t>
            </w:r>
          </w:p>
        </w:tc>
        <w:tc>
          <w:tcPr>
            <w:tcW w:w="478" w:type="dxa"/>
            <w:tcBorders>
              <w:top w:val="nil"/>
              <w:bottom w:val="single" w:sz="4" w:space="0" w:color="000000"/>
            </w:tcBorders>
            <w:vAlign w:val="center"/>
          </w:tcPr>
          <w:p w14:paraId="32156BD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7" w:type="dxa"/>
            <w:tcBorders>
              <w:top w:val="nil"/>
              <w:bottom w:val="single" w:sz="4" w:space="0" w:color="000000"/>
            </w:tcBorders>
            <w:vAlign w:val="center"/>
          </w:tcPr>
          <w:p w14:paraId="7AD6E52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2122F9E4"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55D9741F"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1248B05E"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w:t>
            </w:r>
          </w:p>
        </w:tc>
        <w:tc>
          <w:tcPr>
            <w:tcW w:w="478" w:type="dxa"/>
            <w:tcBorders>
              <w:top w:val="nil"/>
              <w:bottom w:val="single" w:sz="4" w:space="0" w:color="000000"/>
            </w:tcBorders>
            <w:vAlign w:val="center"/>
          </w:tcPr>
          <w:p w14:paraId="09A2B73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425C04EF"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5F362EFF"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3CB5D53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w:t>
            </w:r>
          </w:p>
        </w:tc>
        <w:tc>
          <w:tcPr>
            <w:tcW w:w="478" w:type="dxa"/>
            <w:tcBorders>
              <w:top w:val="nil"/>
              <w:bottom w:val="single" w:sz="4" w:space="0" w:color="000000"/>
            </w:tcBorders>
            <w:vAlign w:val="center"/>
          </w:tcPr>
          <w:p w14:paraId="26C24E84"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074AF12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611123E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699C29F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92" w:type="dxa"/>
            <w:tcBorders>
              <w:top w:val="nil"/>
              <w:bottom w:val="single" w:sz="4" w:space="0" w:color="000000"/>
            </w:tcBorders>
            <w:vAlign w:val="center"/>
          </w:tcPr>
          <w:p w14:paraId="2703C885"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10</w:t>
            </w:r>
          </w:p>
        </w:tc>
      </w:tr>
      <w:tr w:rsidR="007373F6" w14:paraId="64727D9C" w14:textId="77777777">
        <w:trPr>
          <w:trHeight w:val="360"/>
        </w:trPr>
        <w:tc>
          <w:tcPr>
            <w:tcW w:w="2321" w:type="dxa"/>
            <w:tcBorders>
              <w:top w:val="nil"/>
              <w:bottom w:val="single" w:sz="4" w:space="0" w:color="000000"/>
            </w:tcBorders>
            <w:vAlign w:val="center"/>
          </w:tcPr>
          <w:p w14:paraId="77292D4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11_Petroleum</w:t>
            </w:r>
          </w:p>
        </w:tc>
        <w:tc>
          <w:tcPr>
            <w:tcW w:w="478" w:type="dxa"/>
            <w:tcBorders>
              <w:top w:val="nil"/>
              <w:bottom w:val="single" w:sz="4" w:space="0" w:color="000000"/>
            </w:tcBorders>
            <w:vAlign w:val="center"/>
          </w:tcPr>
          <w:p w14:paraId="01BA5D54"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7" w:type="dxa"/>
            <w:tcBorders>
              <w:top w:val="nil"/>
              <w:bottom w:val="single" w:sz="4" w:space="0" w:color="000000"/>
            </w:tcBorders>
            <w:vAlign w:val="center"/>
          </w:tcPr>
          <w:p w14:paraId="659B07E6"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078AFF1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7A68DB7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23B924DA"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0C77BF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FEB721F"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685DC5E"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2863B21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3B472E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0CA7D6A4"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DE20E3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04476BF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92" w:type="dxa"/>
            <w:tcBorders>
              <w:top w:val="nil"/>
              <w:bottom w:val="single" w:sz="4" w:space="0" w:color="000000"/>
            </w:tcBorders>
            <w:vAlign w:val="center"/>
          </w:tcPr>
          <w:p w14:paraId="4306518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r>
      <w:tr w:rsidR="007373F6" w14:paraId="000C4589" w14:textId="77777777">
        <w:trPr>
          <w:trHeight w:val="360"/>
        </w:trPr>
        <w:tc>
          <w:tcPr>
            <w:tcW w:w="2321" w:type="dxa"/>
            <w:tcBorders>
              <w:top w:val="nil"/>
              <w:bottom w:val="single" w:sz="4" w:space="0" w:color="000000"/>
            </w:tcBorders>
            <w:vAlign w:val="center"/>
          </w:tcPr>
          <w:p w14:paraId="1749B426"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13_Rubber Products</w:t>
            </w:r>
          </w:p>
        </w:tc>
        <w:tc>
          <w:tcPr>
            <w:tcW w:w="478" w:type="dxa"/>
            <w:tcBorders>
              <w:top w:val="nil"/>
              <w:bottom w:val="single" w:sz="4" w:space="0" w:color="000000"/>
            </w:tcBorders>
            <w:vAlign w:val="center"/>
          </w:tcPr>
          <w:p w14:paraId="0190CD8E"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7" w:type="dxa"/>
            <w:tcBorders>
              <w:top w:val="nil"/>
              <w:bottom w:val="single" w:sz="4" w:space="0" w:color="000000"/>
            </w:tcBorders>
            <w:vAlign w:val="center"/>
          </w:tcPr>
          <w:p w14:paraId="2B2A7975"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782522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7D975110"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310DCAA9"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79249094"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0ACB8025"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w:t>
            </w:r>
          </w:p>
        </w:tc>
        <w:tc>
          <w:tcPr>
            <w:tcW w:w="478" w:type="dxa"/>
            <w:tcBorders>
              <w:top w:val="nil"/>
              <w:bottom w:val="single" w:sz="4" w:space="0" w:color="000000"/>
            </w:tcBorders>
            <w:vAlign w:val="center"/>
          </w:tcPr>
          <w:p w14:paraId="3BFFC104"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5D9C8B6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599D875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0B5D53DF"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66747E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33D99F2"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92" w:type="dxa"/>
            <w:tcBorders>
              <w:top w:val="nil"/>
              <w:bottom w:val="single" w:sz="4" w:space="0" w:color="000000"/>
            </w:tcBorders>
            <w:vAlign w:val="center"/>
          </w:tcPr>
          <w:p w14:paraId="3D47A185"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4</w:t>
            </w:r>
          </w:p>
        </w:tc>
      </w:tr>
      <w:tr w:rsidR="007373F6" w14:paraId="5ED7703D" w14:textId="77777777">
        <w:trPr>
          <w:trHeight w:val="360"/>
        </w:trPr>
        <w:tc>
          <w:tcPr>
            <w:tcW w:w="2321" w:type="dxa"/>
            <w:tcBorders>
              <w:top w:val="nil"/>
              <w:bottom w:val="single" w:sz="4" w:space="0" w:color="000000"/>
            </w:tcBorders>
            <w:vAlign w:val="center"/>
          </w:tcPr>
          <w:p w14:paraId="71D4408E"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15_Stone, Clay &amp; Glass Products</w:t>
            </w:r>
          </w:p>
        </w:tc>
        <w:tc>
          <w:tcPr>
            <w:tcW w:w="478" w:type="dxa"/>
            <w:tcBorders>
              <w:top w:val="nil"/>
              <w:bottom w:val="single" w:sz="4" w:space="0" w:color="000000"/>
            </w:tcBorders>
            <w:vAlign w:val="center"/>
          </w:tcPr>
          <w:p w14:paraId="76BD72B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7" w:type="dxa"/>
            <w:tcBorders>
              <w:top w:val="nil"/>
              <w:bottom w:val="single" w:sz="4" w:space="0" w:color="000000"/>
            </w:tcBorders>
            <w:vAlign w:val="center"/>
          </w:tcPr>
          <w:p w14:paraId="5CE7742E"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3660F97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414FA552"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27861920"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5E7EAE66"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3CF56DB9"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2E7F36E9"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616A674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A08F87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552FE53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297A1500"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B84718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92" w:type="dxa"/>
            <w:tcBorders>
              <w:top w:val="nil"/>
              <w:bottom w:val="single" w:sz="4" w:space="0" w:color="000000"/>
            </w:tcBorders>
            <w:vAlign w:val="center"/>
          </w:tcPr>
          <w:p w14:paraId="3304EBD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w:t>
            </w:r>
          </w:p>
        </w:tc>
      </w:tr>
      <w:tr w:rsidR="007373F6" w14:paraId="3F085FDD" w14:textId="77777777">
        <w:trPr>
          <w:trHeight w:val="360"/>
        </w:trPr>
        <w:tc>
          <w:tcPr>
            <w:tcW w:w="2321" w:type="dxa"/>
            <w:tcBorders>
              <w:top w:val="nil"/>
              <w:bottom w:val="single" w:sz="4" w:space="0" w:color="000000"/>
            </w:tcBorders>
            <w:vAlign w:val="center"/>
          </w:tcPr>
          <w:p w14:paraId="09F9C0A9"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17_Iron &amp; Steel</w:t>
            </w:r>
          </w:p>
        </w:tc>
        <w:tc>
          <w:tcPr>
            <w:tcW w:w="478" w:type="dxa"/>
            <w:tcBorders>
              <w:top w:val="nil"/>
              <w:bottom w:val="single" w:sz="4" w:space="0" w:color="000000"/>
            </w:tcBorders>
            <w:vAlign w:val="center"/>
          </w:tcPr>
          <w:p w14:paraId="4D60C778"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7" w:type="dxa"/>
            <w:tcBorders>
              <w:top w:val="nil"/>
              <w:bottom w:val="single" w:sz="4" w:space="0" w:color="000000"/>
            </w:tcBorders>
            <w:vAlign w:val="center"/>
          </w:tcPr>
          <w:p w14:paraId="14D129A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3737A41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6C9ED79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24C11EB6"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FC3ECC8"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3A5F852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7D831FF9"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2A6E7D42"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6BC812B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w:t>
            </w:r>
          </w:p>
        </w:tc>
        <w:tc>
          <w:tcPr>
            <w:tcW w:w="478" w:type="dxa"/>
            <w:tcBorders>
              <w:top w:val="nil"/>
              <w:bottom w:val="single" w:sz="4" w:space="0" w:color="000000"/>
            </w:tcBorders>
            <w:vAlign w:val="center"/>
          </w:tcPr>
          <w:p w14:paraId="7583944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53DB796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25CE0F29"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92" w:type="dxa"/>
            <w:tcBorders>
              <w:top w:val="nil"/>
              <w:bottom w:val="single" w:sz="4" w:space="0" w:color="000000"/>
            </w:tcBorders>
            <w:vAlign w:val="center"/>
          </w:tcPr>
          <w:p w14:paraId="6D285316"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4</w:t>
            </w:r>
          </w:p>
        </w:tc>
      </w:tr>
      <w:tr w:rsidR="007373F6" w14:paraId="0C31CE63" w14:textId="77777777">
        <w:trPr>
          <w:trHeight w:val="360"/>
        </w:trPr>
        <w:tc>
          <w:tcPr>
            <w:tcW w:w="2321" w:type="dxa"/>
            <w:tcBorders>
              <w:top w:val="nil"/>
              <w:bottom w:val="single" w:sz="4" w:space="0" w:color="000000"/>
            </w:tcBorders>
            <w:vAlign w:val="center"/>
          </w:tcPr>
          <w:p w14:paraId="3F52784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lastRenderedPageBreak/>
              <w:t>19_Non ferrous Metal &amp; Metal Products</w:t>
            </w:r>
          </w:p>
        </w:tc>
        <w:tc>
          <w:tcPr>
            <w:tcW w:w="478" w:type="dxa"/>
            <w:tcBorders>
              <w:top w:val="nil"/>
              <w:bottom w:val="single" w:sz="4" w:space="0" w:color="000000"/>
            </w:tcBorders>
            <w:vAlign w:val="center"/>
          </w:tcPr>
          <w:p w14:paraId="59DD1136"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7" w:type="dxa"/>
            <w:tcBorders>
              <w:top w:val="nil"/>
              <w:bottom w:val="single" w:sz="4" w:space="0" w:color="000000"/>
            </w:tcBorders>
            <w:vAlign w:val="center"/>
          </w:tcPr>
          <w:p w14:paraId="10EA2128"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0106BB86"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7A54BBC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FB58330"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176940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0D1A280A"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3F7ECA65"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7E275875"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679838E"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3EB8AC96"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DC1D3B4"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FE378B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92" w:type="dxa"/>
            <w:tcBorders>
              <w:top w:val="nil"/>
              <w:bottom w:val="single" w:sz="4" w:space="0" w:color="000000"/>
            </w:tcBorders>
            <w:vAlign w:val="center"/>
          </w:tcPr>
          <w:p w14:paraId="749B7DB0"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w:t>
            </w:r>
          </w:p>
        </w:tc>
      </w:tr>
      <w:tr w:rsidR="007373F6" w14:paraId="3DDF08A8" w14:textId="77777777">
        <w:trPr>
          <w:trHeight w:val="360"/>
        </w:trPr>
        <w:tc>
          <w:tcPr>
            <w:tcW w:w="2321" w:type="dxa"/>
            <w:tcBorders>
              <w:top w:val="nil"/>
              <w:bottom w:val="single" w:sz="4" w:space="0" w:color="000000"/>
            </w:tcBorders>
            <w:vAlign w:val="center"/>
          </w:tcPr>
          <w:p w14:paraId="6DC772C5"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21_Machinery</w:t>
            </w:r>
          </w:p>
        </w:tc>
        <w:tc>
          <w:tcPr>
            <w:tcW w:w="478" w:type="dxa"/>
            <w:tcBorders>
              <w:top w:val="nil"/>
              <w:bottom w:val="single" w:sz="4" w:space="0" w:color="000000"/>
            </w:tcBorders>
            <w:vAlign w:val="center"/>
          </w:tcPr>
          <w:p w14:paraId="178AE25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7" w:type="dxa"/>
            <w:tcBorders>
              <w:top w:val="nil"/>
              <w:bottom w:val="single" w:sz="4" w:space="0" w:color="000000"/>
            </w:tcBorders>
            <w:vAlign w:val="center"/>
          </w:tcPr>
          <w:p w14:paraId="461AA16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06AE3520"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6438BE2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6FE3BA7A"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0E75D222"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w:t>
            </w:r>
          </w:p>
        </w:tc>
        <w:tc>
          <w:tcPr>
            <w:tcW w:w="478" w:type="dxa"/>
            <w:tcBorders>
              <w:top w:val="nil"/>
              <w:bottom w:val="single" w:sz="4" w:space="0" w:color="000000"/>
            </w:tcBorders>
            <w:vAlign w:val="center"/>
          </w:tcPr>
          <w:p w14:paraId="590B26E9"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w:t>
            </w:r>
          </w:p>
        </w:tc>
        <w:tc>
          <w:tcPr>
            <w:tcW w:w="478" w:type="dxa"/>
            <w:tcBorders>
              <w:top w:val="nil"/>
              <w:bottom w:val="single" w:sz="4" w:space="0" w:color="000000"/>
            </w:tcBorders>
            <w:vAlign w:val="center"/>
          </w:tcPr>
          <w:p w14:paraId="1BE09A34"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w:t>
            </w:r>
          </w:p>
        </w:tc>
        <w:tc>
          <w:tcPr>
            <w:tcW w:w="478" w:type="dxa"/>
            <w:tcBorders>
              <w:top w:val="nil"/>
              <w:bottom w:val="single" w:sz="4" w:space="0" w:color="000000"/>
            </w:tcBorders>
            <w:vAlign w:val="center"/>
          </w:tcPr>
          <w:p w14:paraId="1288836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1A25B6F9"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4</w:t>
            </w:r>
          </w:p>
        </w:tc>
        <w:tc>
          <w:tcPr>
            <w:tcW w:w="478" w:type="dxa"/>
            <w:tcBorders>
              <w:top w:val="nil"/>
              <w:bottom w:val="single" w:sz="4" w:space="0" w:color="000000"/>
            </w:tcBorders>
            <w:vAlign w:val="center"/>
          </w:tcPr>
          <w:p w14:paraId="33E93CE8"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15D270F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w:t>
            </w:r>
          </w:p>
        </w:tc>
        <w:tc>
          <w:tcPr>
            <w:tcW w:w="478" w:type="dxa"/>
            <w:tcBorders>
              <w:top w:val="nil"/>
              <w:bottom w:val="single" w:sz="4" w:space="0" w:color="000000"/>
            </w:tcBorders>
            <w:vAlign w:val="center"/>
          </w:tcPr>
          <w:p w14:paraId="45438D2A"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92" w:type="dxa"/>
            <w:tcBorders>
              <w:top w:val="nil"/>
              <w:bottom w:val="single" w:sz="4" w:space="0" w:color="000000"/>
            </w:tcBorders>
            <w:vAlign w:val="center"/>
          </w:tcPr>
          <w:p w14:paraId="4B8B664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15</w:t>
            </w:r>
          </w:p>
        </w:tc>
      </w:tr>
      <w:tr w:rsidR="007373F6" w14:paraId="218115DD" w14:textId="77777777">
        <w:trPr>
          <w:trHeight w:val="360"/>
        </w:trPr>
        <w:tc>
          <w:tcPr>
            <w:tcW w:w="2321" w:type="dxa"/>
            <w:tcBorders>
              <w:top w:val="nil"/>
              <w:bottom w:val="single" w:sz="4" w:space="0" w:color="000000"/>
            </w:tcBorders>
            <w:vAlign w:val="center"/>
          </w:tcPr>
          <w:p w14:paraId="305BF996"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23_Electric &amp; Electronic Equipment</w:t>
            </w:r>
          </w:p>
        </w:tc>
        <w:tc>
          <w:tcPr>
            <w:tcW w:w="478" w:type="dxa"/>
            <w:tcBorders>
              <w:top w:val="nil"/>
              <w:bottom w:val="single" w:sz="4" w:space="0" w:color="000000"/>
            </w:tcBorders>
            <w:vAlign w:val="center"/>
          </w:tcPr>
          <w:p w14:paraId="5382C030"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7" w:type="dxa"/>
            <w:tcBorders>
              <w:top w:val="nil"/>
              <w:bottom w:val="single" w:sz="4" w:space="0" w:color="000000"/>
            </w:tcBorders>
            <w:vAlign w:val="center"/>
          </w:tcPr>
          <w:p w14:paraId="5A13E354"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804EAF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7FB65985"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11953D14"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2554E230"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4</w:t>
            </w:r>
          </w:p>
        </w:tc>
        <w:tc>
          <w:tcPr>
            <w:tcW w:w="478" w:type="dxa"/>
            <w:tcBorders>
              <w:top w:val="nil"/>
              <w:bottom w:val="single" w:sz="4" w:space="0" w:color="000000"/>
            </w:tcBorders>
            <w:vAlign w:val="center"/>
          </w:tcPr>
          <w:p w14:paraId="44760E9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w:t>
            </w:r>
          </w:p>
        </w:tc>
        <w:tc>
          <w:tcPr>
            <w:tcW w:w="478" w:type="dxa"/>
            <w:tcBorders>
              <w:top w:val="nil"/>
              <w:bottom w:val="single" w:sz="4" w:space="0" w:color="000000"/>
            </w:tcBorders>
            <w:vAlign w:val="center"/>
          </w:tcPr>
          <w:p w14:paraId="0019EDA8"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w:t>
            </w:r>
          </w:p>
        </w:tc>
        <w:tc>
          <w:tcPr>
            <w:tcW w:w="478" w:type="dxa"/>
            <w:tcBorders>
              <w:top w:val="nil"/>
              <w:bottom w:val="single" w:sz="4" w:space="0" w:color="000000"/>
            </w:tcBorders>
            <w:vAlign w:val="center"/>
          </w:tcPr>
          <w:p w14:paraId="7DBEE7BF"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1FCD808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4</w:t>
            </w:r>
          </w:p>
        </w:tc>
        <w:tc>
          <w:tcPr>
            <w:tcW w:w="478" w:type="dxa"/>
            <w:tcBorders>
              <w:top w:val="nil"/>
              <w:bottom w:val="single" w:sz="4" w:space="0" w:color="000000"/>
            </w:tcBorders>
            <w:vAlign w:val="center"/>
          </w:tcPr>
          <w:p w14:paraId="29C97392"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3063736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724F9F5E"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92" w:type="dxa"/>
            <w:tcBorders>
              <w:top w:val="nil"/>
              <w:bottom w:val="single" w:sz="4" w:space="0" w:color="000000"/>
            </w:tcBorders>
            <w:vAlign w:val="center"/>
          </w:tcPr>
          <w:p w14:paraId="73A1CEA2"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17</w:t>
            </w:r>
          </w:p>
        </w:tc>
      </w:tr>
      <w:tr w:rsidR="007373F6" w14:paraId="5E656B20" w14:textId="77777777">
        <w:trPr>
          <w:trHeight w:val="360"/>
        </w:trPr>
        <w:tc>
          <w:tcPr>
            <w:tcW w:w="2321" w:type="dxa"/>
            <w:tcBorders>
              <w:top w:val="nil"/>
              <w:bottom w:val="single" w:sz="4" w:space="0" w:color="000000"/>
            </w:tcBorders>
            <w:vAlign w:val="center"/>
          </w:tcPr>
          <w:p w14:paraId="7030803F"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27_Motor Vehicles &amp; Auto Parts</w:t>
            </w:r>
          </w:p>
        </w:tc>
        <w:tc>
          <w:tcPr>
            <w:tcW w:w="478" w:type="dxa"/>
            <w:tcBorders>
              <w:top w:val="nil"/>
              <w:bottom w:val="single" w:sz="4" w:space="0" w:color="000000"/>
            </w:tcBorders>
            <w:vAlign w:val="center"/>
          </w:tcPr>
          <w:p w14:paraId="0FB4DD3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7" w:type="dxa"/>
            <w:tcBorders>
              <w:top w:val="nil"/>
              <w:bottom w:val="single" w:sz="4" w:space="0" w:color="000000"/>
            </w:tcBorders>
            <w:vAlign w:val="center"/>
          </w:tcPr>
          <w:p w14:paraId="2898137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6D2EF5A5"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3D92B719"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087132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8F757B4"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5</w:t>
            </w:r>
          </w:p>
        </w:tc>
        <w:tc>
          <w:tcPr>
            <w:tcW w:w="478" w:type="dxa"/>
            <w:tcBorders>
              <w:top w:val="nil"/>
              <w:bottom w:val="single" w:sz="4" w:space="0" w:color="000000"/>
            </w:tcBorders>
            <w:vAlign w:val="center"/>
          </w:tcPr>
          <w:p w14:paraId="63EC4A4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4</w:t>
            </w:r>
          </w:p>
        </w:tc>
        <w:tc>
          <w:tcPr>
            <w:tcW w:w="478" w:type="dxa"/>
            <w:tcBorders>
              <w:top w:val="nil"/>
              <w:bottom w:val="single" w:sz="4" w:space="0" w:color="000000"/>
            </w:tcBorders>
            <w:vAlign w:val="center"/>
          </w:tcPr>
          <w:p w14:paraId="7AE9DD2E"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78D71CA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w:t>
            </w:r>
          </w:p>
        </w:tc>
        <w:tc>
          <w:tcPr>
            <w:tcW w:w="478" w:type="dxa"/>
            <w:tcBorders>
              <w:top w:val="nil"/>
              <w:bottom w:val="single" w:sz="4" w:space="0" w:color="000000"/>
            </w:tcBorders>
            <w:vAlign w:val="center"/>
          </w:tcPr>
          <w:p w14:paraId="6F74197F"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w:t>
            </w:r>
          </w:p>
        </w:tc>
        <w:tc>
          <w:tcPr>
            <w:tcW w:w="478" w:type="dxa"/>
            <w:tcBorders>
              <w:top w:val="nil"/>
              <w:bottom w:val="single" w:sz="4" w:space="0" w:color="000000"/>
            </w:tcBorders>
            <w:vAlign w:val="center"/>
          </w:tcPr>
          <w:p w14:paraId="540318B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15D72C60"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7ACE0BD4"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92" w:type="dxa"/>
            <w:tcBorders>
              <w:top w:val="nil"/>
              <w:bottom w:val="single" w:sz="4" w:space="0" w:color="000000"/>
            </w:tcBorders>
            <w:vAlign w:val="center"/>
          </w:tcPr>
          <w:p w14:paraId="4DA8C39E"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15</w:t>
            </w:r>
          </w:p>
        </w:tc>
      </w:tr>
      <w:tr w:rsidR="007373F6" w14:paraId="7512365D" w14:textId="77777777">
        <w:trPr>
          <w:trHeight w:val="360"/>
        </w:trPr>
        <w:tc>
          <w:tcPr>
            <w:tcW w:w="2321" w:type="dxa"/>
            <w:tcBorders>
              <w:top w:val="nil"/>
              <w:bottom w:val="single" w:sz="4" w:space="0" w:color="000000"/>
            </w:tcBorders>
            <w:vAlign w:val="center"/>
          </w:tcPr>
          <w:p w14:paraId="73CB8596"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31_Precision Equipment</w:t>
            </w:r>
          </w:p>
        </w:tc>
        <w:tc>
          <w:tcPr>
            <w:tcW w:w="478" w:type="dxa"/>
            <w:tcBorders>
              <w:top w:val="nil"/>
              <w:bottom w:val="single" w:sz="4" w:space="0" w:color="000000"/>
            </w:tcBorders>
            <w:vAlign w:val="center"/>
          </w:tcPr>
          <w:p w14:paraId="61D0B8F6"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7" w:type="dxa"/>
            <w:tcBorders>
              <w:top w:val="nil"/>
              <w:bottom w:val="single" w:sz="4" w:space="0" w:color="000000"/>
            </w:tcBorders>
            <w:vAlign w:val="center"/>
          </w:tcPr>
          <w:p w14:paraId="1F549DBF"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0C345CD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FDA5D46"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073936FA"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38FEC18E"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205428E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57B2B26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w:t>
            </w:r>
          </w:p>
        </w:tc>
        <w:tc>
          <w:tcPr>
            <w:tcW w:w="478" w:type="dxa"/>
            <w:tcBorders>
              <w:top w:val="nil"/>
              <w:bottom w:val="single" w:sz="4" w:space="0" w:color="000000"/>
            </w:tcBorders>
            <w:vAlign w:val="center"/>
          </w:tcPr>
          <w:p w14:paraId="7D7252D5"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w:t>
            </w:r>
          </w:p>
        </w:tc>
        <w:tc>
          <w:tcPr>
            <w:tcW w:w="478" w:type="dxa"/>
            <w:tcBorders>
              <w:top w:val="nil"/>
              <w:bottom w:val="single" w:sz="4" w:space="0" w:color="000000"/>
            </w:tcBorders>
            <w:vAlign w:val="center"/>
          </w:tcPr>
          <w:p w14:paraId="25E0B189"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3807ADD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9A5A9A4"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0369AE75"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92" w:type="dxa"/>
            <w:tcBorders>
              <w:top w:val="nil"/>
              <w:bottom w:val="single" w:sz="4" w:space="0" w:color="000000"/>
            </w:tcBorders>
            <w:vAlign w:val="center"/>
          </w:tcPr>
          <w:p w14:paraId="085662A0"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7</w:t>
            </w:r>
          </w:p>
        </w:tc>
      </w:tr>
      <w:tr w:rsidR="007373F6" w14:paraId="005B0E58" w14:textId="77777777">
        <w:trPr>
          <w:trHeight w:val="360"/>
        </w:trPr>
        <w:tc>
          <w:tcPr>
            <w:tcW w:w="2321" w:type="dxa"/>
            <w:tcBorders>
              <w:top w:val="nil"/>
              <w:bottom w:val="single" w:sz="4" w:space="0" w:color="000000"/>
            </w:tcBorders>
            <w:vAlign w:val="center"/>
          </w:tcPr>
          <w:p w14:paraId="56BC8E5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33_Other Manufacturing</w:t>
            </w:r>
          </w:p>
        </w:tc>
        <w:tc>
          <w:tcPr>
            <w:tcW w:w="478" w:type="dxa"/>
            <w:tcBorders>
              <w:top w:val="nil"/>
              <w:bottom w:val="single" w:sz="4" w:space="0" w:color="000000"/>
            </w:tcBorders>
            <w:vAlign w:val="center"/>
          </w:tcPr>
          <w:p w14:paraId="1AAE53F0"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7" w:type="dxa"/>
            <w:tcBorders>
              <w:top w:val="nil"/>
              <w:bottom w:val="single" w:sz="4" w:space="0" w:color="000000"/>
            </w:tcBorders>
            <w:vAlign w:val="center"/>
          </w:tcPr>
          <w:p w14:paraId="2CD6E2F9"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ACE3A8E"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64A93A1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B2682C2"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F7336BA"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220746C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0C330588"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C67DF9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57F96BA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16A32682"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w:t>
            </w:r>
          </w:p>
        </w:tc>
        <w:tc>
          <w:tcPr>
            <w:tcW w:w="478" w:type="dxa"/>
            <w:tcBorders>
              <w:top w:val="nil"/>
              <w:bottom w:val="single" w:sz="4" w:space="0" w:color="000000"/>
            </w:tcBorders>
            <w:vAlign w:val="center"/>
          </w:tcPr>
          <w:p w14:paraId="0C08F7F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F1E3F36"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92" w:type="dxa"/>
            <w:tcBorders>
              <w:top w:val="nil"/>
              <w:bottom w:val="single" w:sz="4" w:space="0" w:color="000000"/>
            </w:tcBorders>
            <w:vAlign w:val="center"/>
          </w:tcPr>
          <w:p w14:paraId="566BCB1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w:t>
            </w:r>
          </w:p>
        </w:tc>
      </w:tr>
      <w:tr w:rsidR="007373F6" w14:paraId="44698CCE" w14:textId="77777777">
        <w:trPr>
          <w:trHeight w:val="360"/>
        </w:trPr>
        <w:tc>
          <w:tcPr>
            <w:tcW w:w="2321" w:type="dxa"/>
            <w:tcBorders>
              <w:top w:val="nil"/>
              <w:bottom w:val="single" w:sz="4" w:space="0" w:color="000000"/>
            </w:tcBorders>
            <w:vAlign w:val="center"/>
          </w:tcPr>
          <w:p w14:paraId="40420968"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41_Construction</w:t>
            </w:r>
          </w:p>
        </w:tc>
        <w:tc>
          <w:tcPr>
            <w:tcW w:w="478" w:type="dxa"/>
            <w:tcBorders>
              <w:top w:val="nil"/>
              <w:bottom w:val="single" w:sz="4" w:space="0" w:color="000000"/>
            </w:tcBorders>
            <w:vAlign w:val="center"/>
          </w:tcPr>
          <w:p w14:paraId="406FA08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7" w:type="dxa"/>
            <w:tcBorders>
              <w:top w:val="nil"/>
              <w:bottom w:val="single" w:sz="4" w:space="0" w:color="000000"/>
            </w:tcBorders>
            <w:vAlign w:val="center"/>
          </w:tcPr>
          <w:p w14:paraId="156EBA7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53F4CD2F"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71706F5E"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016D6D8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5E106C3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3713C04A"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0BC49B12"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07DC042"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34558BA"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5669AC9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2F0FE318"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0F87E45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92" w:type="dxa"/>
            <w:tcBorders>
              <w:top w:val="nil"/>
              <w:bottom w:val="single" w:sz="4" w:space="0" w:color="000000"/>
            </w:tcBorders>
            <w:vAlign w:val="center"/>
          </w:tcPr>
          <w:p w14:paraId="6B4EADA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r>
      <w:tr w:rsidR="007373F6" w14:paraId="4D4B734C" w14:textId="77777777">
        <w:trPr>
          <w:trHeight w:val="360"/>
        </w:trPr>
        <w:tc>
          <w:tcPr>
            <w:tcW w:w="2321" w:type="dxa"/>
            <w:tcBorders>
              <w:top w:val="nil"/>
              <w:bottom w:val="single" w:sz="4" w:space="0" w:color="000000"/>
            </w:tcBorders>
            <w:vAlign w:val="center"/>
          </w:tcPr>
          <w:p w14:paraId="204B954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43_Wholesale Trade</w:t>
            </w:r>
          </w:p>
        </w:tc>
        <w:tc>
          <w:tcPr>
            <w:tcW w:w="478" w:type="dxa"/>
            <w:tcBorders>
              <w:top w:val="nil"/>
              <w:bottom w:val="single" w:sz="4" w:space="0" w:color="000000"/>
            </w:tcBorders>
            <w:vAlign w:val="center"/>
          </w:tcPr>
          <w:p w14:paraId="0EAA817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7" w:type="dxa"/>
            <w:tcBorders>
              <w:top w:val="nil"/>
              <w:bottom w:val="single" w:sz="4" w:space="0" w:color="000000"/>
            </w:tcBorders>
            <w:vAlign w:val="center"/>
          </w:tcPr>
          <w:p w14:paraId="3E3650D5"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4C7CC9A"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00105E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024BBC6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5</w:t>
            </w:r>
          </w:p>
        </w:tc>
        <w:tc>
          <w:tcPr>
            <w:tcW w:w="478" w:type="dxa"/>
            <w:tcBorders>
              <w:top w:val="nil"/>
              <w:bottom w:val="single" w:sz="4" w:space="0" w:color="000000"/>
            </w:tcBorders>
            <w:vAlign w:val="center"/>
          </w:tcPr>
          <w:p w14:paraId="2E881E6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370229F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6911829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w:t>
            </w:r>
          </w:p>
        </w:tc>
        <w:tc>
          <w:tcPr>
            <w:tcW w:w="478" w:type="dxa"/>
            <w:tcBorders>
              <w:top w:val="nil"/>
              <w:bottom w:val="single" w:sz="4" w:space="0" w:color="000000"/>
            </w:tcBorders>
            <w:vAlign w:val="center"/>
          </w:tcPr>
          <w:p w14:paraId="5FCC813F"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387414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36E01025"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4CD81CA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19CF276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92" w:type="dxa"/>
            <w:tcBorders>
              <w:top w:val="nil"/>
              <w:bottom w:val="single" w:sz="4" w:space="0" w:color="000000"/>
            </w:tcBorders>
            <w:vAlign w:val="center"/>
          </w:tcPr>
          <w:p w14:paraId="3B26746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13</w:t>
            </w:r>
          </w:p>
        </w:tc>
      </w:tr>
      <w:tr w:rsidR="007373F6" w14:paraId="36426F0A" w14:textId="77777777">
        <w:trPr>
          <w:trHeight w:val="360"/>
        </w:trPr>
        <w:tc>
          <w:tcPr>
            <w:tcW w:w="2321" w:type="dxa"/>
            <w:tcBorders>
              <w:top w:val="nil"/>
              <w:bottom w:val="single" w:sz="4" w:space="0" w:color="000000"/>
            </w:tcBorders>
            <w:vAlign w:val="center"/>
          </w:tcPr>
          <w:p w14:paraId="6292FE14"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45_RetailTrade</w:t>
            </w:r>
          </w:p>
        </w:tc>
        <w:tc>
          <w:tcPr>
            <w:tcW w:w="478" w:type="dxa"/>
            <w:tcBorders>
              <w:top w:val="nil"/>
              <w:bottom w:val="single" w:sz="4" w:space="0" w:color="000000"/>
            </w:tcBorders>
            <w:vAlign w:val="center"/>
          </w:tcPr>
          <w:p w14:paraId="3C2A2C7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7" w:type="dxa"/>
            <w:tcBorders>
              <w:top w:val="nil"/>
              <w:bottom w:val="single" w:sz="4" w:space="0" w:color="000000"/>
            </w:tcBorders>
            <w:vAlign w:val="center"/>
          </w:tcPr>
          <w:p w14:paraId="38F7C976"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4F8889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D9DB339"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5F1506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55A71A59"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06AA9D6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5A644BEF"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54C1E46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w:t>
            </w:r>
          </w:p>
        </w:tc>
        <w:tc>
          <w:tcPr>
            <w:tcW w:w="478" w:type="dxa"/>
            <w:tcBorders>
              <w:top w:val="nil"/>
              <w:bottom w:val="single" w:sz="4" w:space="0" w:color="000000"/>
            </w:tcBorders>
            <w:vAlign w:val="center"/>
          </w:tcPr>
          <w:p w14:paraId="2D64B97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0C2C9102"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24C3ADB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01EC94A9"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92" w:type="dxa"/>
            <w:tcBorders>
              <w:top w:val="nil"/>
              <w:bottom w:val="single" w:sz="4" w:space="0" w:color="000000"/>
            </w:tcBorders>
            <w:vAlign w:val="center"/>
          </w:tcPr>
          <w:p w14:paraId="6C0FD3EF"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w:t>
            </w:r>
          </w:p>
        </w:tc>
      </w:tr>
      <w:tr w:rsidR="007373F6" w14:paraId="484A4E17" w14:textId="77777777">
        <w:trPr>
          <w:trHeight w:val="360"/>
        </w:trPr>
        <w:tc>
          <w:tcPr>
            <w:tcW w:w="2321" w:type="dxa"/>
            <w:tcBorders>
              <w:top w:val="nil"/>
              <w:bottom w:val="single" w:sz="4" w:space="0" w:color="000000"/>
            </w:tcBorders>
            <w:vAlign w:val="center"/>
          </w:tcPr>
          <w:p w14:paraId="2DAA9CB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52_Credit &amp; Leasing</w:t>
            </w:r>
          </w:p>
        </w:tc>
        <w:tc>
          <w:tcPr>
            <w:tcW w:w="478" w:type="dxa"/>
            <w:tcBorders>
              <w:top w:val="nil"/>
              <w:bottom w:val="single" w:sz="4" w:space="0" w:color="000000"/>
            </w:tcBorders>
            <w:vAlign w:val="center"/>
          </w:tcPr>
          <w:p w14:paraId="054BCAC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7" w:type="dxa"/>
            <w:tcBorders>
              <w:top w:val="nil"/>
              <w:bottom w:val="single" w:sz="4" w:space="0" w:color="000000"/>
            </w:tcBorders>
            <w:vAlign w:val="center"/>
          </w:tcPr>
          <w:p w14:paraId="47AF6FD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30625762"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7BF20FE"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0A619AA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5D778FA0"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w:t>
            </w:r>
          </w:p>
        </w:tc>
        <w:tc>
          <w:tcPr>
            <w:tcW w:w="478" w:type="dxa"/>
            <w:tcBorders>
              <w:top w:val="nil"/>
              <w:bottom w:val="single" w:sz="4" w:space="0" w:color="000000"/>
            </w:tcBorders>
            <w:vAlign w:val="center"/>
          </w:tcPr>
          <w:p w14:paraId="4ECDD07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8C3D2FA"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B81A7E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5813E02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0D8BF73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D97BCCA"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513279F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92" w:type="dxa"/>
            <w:tcBorders>
              <w:top w:val="nil"/>
              <w:bottom w:val="single" w:sz="4" w:space="0" w:color="000000"/>
            </w:tcBorders>
            <w:vAlign w:val="center"/>
          </w:tcPr>
          <w:p w14:paraId="187E81E8"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5</w:t>
            </w:r>
          </w:p>
        </w:tc>
      </w:tr>
      <w:tr w:rsidR="007373F6" w14:paraId="2386AB81" w14:textId="77777777">
        <w:trPr>
          <w:trHeight w:val="360"/>
        </w:trPr>
        <w:tc>
          <w:tcPr>
            <w:tcW w:w="2321" w:type="dxa"/>
            <w:tcBorders>
              <w:top w:val="nil"/>
              <w:bottom w:val="single" w:sz="4" w:space="0" w:color="000000"/>
            </w:tcBorders>
            <w:vAlign w:val="center"/>
          </w:tcPr>
          <w:p w14:paraId="65A293A8"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53_Real Estate</w:t>
            </w:r>
          </w:p>
        </w:tc>
        <w:tc>
          <w:tcPr>
            <w:tcW w:w="478" w:type="dxa"/>
            <w:tcBorders>
              <w:top w:val="nil"/>
              <w:bottom w:val="single" w:sz="4" w:space="0" w:color="000000"/>
            </w:tcBorders>
            <w:vAlign w:val="center"/>
          </w:tcPr>
          <w:p w14:paraId="290782E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7" w:type="dxa"/>
            <w:tcBorders>
              <w:top w:val="nil"/>
              <w:bottom w:val="single" w:sz="4" w:space="0" w:color="000000"/>
            </w:tcBorders>
            <w:vAlign w:val="center"/>
          </w:tcPr>
          <w:p w14:paraId="20369158"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6872AF3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2B9A1F0"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7686217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2BDE12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973DE8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0D2BB0F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6030ACC0"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660245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715F9265"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7A8016A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EF1656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w:t>
            </w:r>
          </w:p>
        </w:tc>
        <w:tc>
          <w:tcPr>
            <w:tcW w:w="492" w:type="dxa"/>
            <w:tcBorders>
              <w:top w:val="nil"/>
              <w:bottom w:val="single" w:sz="4" w:space="0" w:color="000000"/>
            </w:tcBorders>
            <w:vAlign w:val="center"/>
          </w:tcPr>
          <w:p w14:paraId="2DCCC3F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w:t>
            </w:r>
          </w:p>
        </w:tc>
      </w:tr>
      <w:tr w:rsidR="007373F6" w14:paraId="737DD2A4" w14:textId="77777777">
        <w:trPr>
          <w:trHeight w:val="360"/>
        </w:trPr>
        <w:tc>
          <w:tcPr>
            <w:tcW w:w="2321" w:type="dxa"/>
            <w:tcBorders>
              <w:top w:val="nil"/>
              <w:bottom w:val="single" w:sz="4" w:space="0" w:color="000000"/>
            </w:tcBorders>
            <w:vAlign w:val="center"/>
          </w:tcPr>
          <w:p w14:paraId="006E465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57_Trucking</w:t>
            </w:r>
          </w:p>
        </w:tc>
        <w:tc>
          <w:tcPr>
            <w:tcW w:w="478" w:type="dxa"/>
            <w:tcBorders>
              <w:top w:val="nil"/>
              <w:bottom w:val="single" w:sz="4" w:space="0" w:color="000000"/>
            </w:tcBorders>
            <w:vAlign w:val="center"/>
          </w:tcPr>
          <w:p w14:paraId="218E10B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7" w:type="dxa"/>
            <w:tcBorders>
              <w:top w:val="nil"/>
              <w:bottom w:val="single" w:sz="4" w:space="0" w:color="000000"/>
            </w:tcBorders>
            <w:vAlign w:val="center"/>
          </w:tcPr>
          <w:p w14:paraId="6224E9E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3D2EB7BF"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44BF49A"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30F38619"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096C31DF"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16C1E1C0"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26FE3CE5"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0272F53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0F36C2AF"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2D77CC8"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5FDAE0E4"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6AF27BA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92" w:type="dxa"/>
            <w:tcBorders>
              <w:top w:val="nil"/>
              <w:bottom w:val="single" w:sz="4" w:space="0" w:color="000000"/>
            </w:tcBorders>
            <w:vAlign w:val="center"/>
          </w:tcPr>
          <w:p w14:paraId="737F3E16"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r>
      <w:tr w:rsidR="007373F6" w14:paraId="44CD35D3" w14:textId="77777777">
        <w:trPr>
          <w:trHeight w:val="360"/>
        </w:trPr>
        <w:tc>
          <w:tcPr>
            <w:tcW w:w="2321" w:type="dxa"/>
            <w:tcBorders>
              <w:top w:val="nil"/>
              <w:bottom w:val="single" w:sz="4" w:space="0" w:color="000000"/>
            </w:tcBorders>
            <w:vAlign w:val="center"/>
          </w:tcPr>
          <w:p w14:paraId="3D06D92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65_Communication Services</w:t>
            </w:r>
          </w:p>
        </w:tc>
        <w:tc>
          <w:tcPr>
            <w:tcW w:w="478" w:type="dxa"/>
            <w:tcBorders>
              <w:top w:val="nil"/>
              <w:bottom w:val="single" w:sz="4" w:space="0" w:color="000000"/>
            </w:tcBorders>
            <w:vAlign w:val="center"/>
          </w:tcPr>
          <w:p w14:paraId="4AC4DB6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7" w:type="dxa"/>
            <w:tcBorders>
              <w:top w:val="nil"/>
              <w:bottom w:val="single" w:sz="4" w:space="0" w:color="000000"/>
            </w:tcBorders>
            <w:vAlign w:val="center"/>
          </w:tcPr>
          <w:p w14:paraId="7D22918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3236CDD4"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7B82FE60"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6B65AA3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363F5426"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368C05C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34C58FAF"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1A260CD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0C8170F"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57296AB2"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6AEF1D1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723C8AF8"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92" w:type="dxa"/>
            <w:tcBorders>
              <w:top w:val="nil"/>
              <w:bottom w:val="single" w:sz="4" w:space="0" w:color="000000"/>
            </w:tcBorders>
            <w:vAlign w:val="center"/>
          </w:tcPr>
          <w:p w14:paraId="17AC372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r>
      <w:tr w:rsidR="007373F6" w14:paraId="6D9675AD" w14:textId="77777777">
        <w:trPr>
          <w:trHeight w:val="360"/>
        </w:trPr>
        <w:tc>
          <w:tcPr>
            <w:tcW w:w="2321" w:type="dxa"/>
            <w:tcBorders>
              <w:top w:val="nil"/>
              <w:bottom w:val="single" w:sz="4" w:space="0" w:color="000000"/>
            </w:tcBorders>
            <w:vAlign w:val="center"/>
          </w:tcPr>
          <w:p w14:paraId="0F96CB4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67_Utilities - Electric</w:t>
            </w:r>
          </w:p>
        </w:tc>
        <w:tc>
          <w:tcPr>
            <w:tcW w:w="478" w:type="dxa"/>
            <w:tcBorders>
              <w:top w:val="nil"/>
              <w:bottom w:val="single" w:sz="4" w:space="0" w:color="000000"/>
            </w:tcBorders>
            <w:vAlign w:val="center"/>
          </w:tcPr>
          <w:p w14:paraId="270029C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7" w:type="dxa"/>
            <w:tcBorders>
              <w:top w:val="nil"/>
              <w:bottom w:val="single" w:sz="4" w:space="0" w:color="000000"/>
            </w:tcBorders>
            <w:vAlign w:val="center"/>
          </w:tcPr>
          <w:p w14:paraId="4C503EE4"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3D898B1E"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60AAD304"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146E277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60ED6A28"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0F0E5D85"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35267AC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204003E0"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52E15FF9"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2B2BA4C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4" w:space="0" w:color="000000"/>
            </w:tcBorders>
            <w:vAlign w:val="center"/>
          </w:tcPr>
          <w:p w14:paraId="445C5D06"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2669920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92" w:type="dxa"/>
            <w:tcBorders>
              <w:top w:val="nil"/>
              <w:bottom w:val="single" w:sz="4" w:space="0" w:color="000000"/>
            </w:tcBorders>
            <w:vAlign w:val="center"/>
          </w:tcPr>
          <w:p w14:paraId="3B1346F8"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r>
      <w:tr w:rsidR="007373F6" w14:paraId="3DC64689" w14:textId="77777777">
        <w:trPr>
          <w:trHeight w:val="372"/>
        </w:trPr>
        <w:tc>
          <w:tcPr>
            <w:tcW w:w="2321" w:type="dxa"/>
            <w:tcBorders>
              <w:top w:val="nil"/>
              <w:bottom w:val="single" w:sz="6" w:space="0" w:color="000000"/>
            </w:tcBorders>
            <w:vAlign w:val="center"/>
          </w:tcPr>
          <w:p w14:paraId="402D6908"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71_Services</w:t>
            </w:r>
          </w:p>
        </w:tc>
        <w:tc>
          <w:tcPr>
            <w:tcW w:w="478" w:type="dxa"/>
            <w:tcBorders>
              <w:top w:val="nil"/>
              <w:bottom w:val="single" w:sz="6" w:space="0" w:color="000000"/>
            </w:tcBorders>
            <w:vAlign w:val="center"/>
          </w:tcPr>
          <w:p w14:paraId="29232310"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7" w:type="dxa"/>
            <w:tcBorders>
              <w:top w:val="nil"/>
              <w:bottom w:val="single" w:sz="6" w:space="0" w:color="000000"/>
            </w:tcBorders>
            <w:vAlign w:val="center"/>
          </w:tcPr>
          <w:p w14:paraId="4404D768"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6" w:space="0" w:color="000000"/>
            </w:tcBorders>
            <w:vAlign w:val="center"/>
          </w:tcPr>
          <w:p w14:paraId="08C88C46"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6" w:space="0" w:color="000000"/>
            </w:tcBorders>
            <w:vAlign w:val="center"/>
          </w:tcPr>
          <w:p w14:paraId="10BA0497"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w:t>
            </w:r>
          </w:p>
        </w:tc>
        <w:tc>
          <w:tcPr>
            <w:tcW w:w="478" w:type="dxa"/>
            <w:tcBorders>
              <w:top w:val="nil"/>
              <w:bottom w:val="single" w:sz="6" w:space="0" w:color="000000"/>
            </w:tcBorders>
            <w:vAlign w:val="center"/>
          </w:tcPr>
          <w:p w14:paraId="4B4EE04F"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w:t>
            </w:r>
          </w:p>
        </w:tc>
        <w:tc>
          <w:tcPr>
            <w:tcW w:w="478" w:type="dxa"/>
            <w:tcBorders>
              <w:top w:val="nil"/>
              <w:bottom w:val="single" w:sz="6" w:space="0" w:color="000000"/>
            </w:tcBorders>
            <w:vAlign w:val="center"/>
          </w:tcPr>
          <w:p w14:paraId="2C000D2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6</w:t>
            </w:r>
          </w:p>
        </w:tc>
        <w:tc>
          <w:tcPr>
            <w:tcW w:w="478" w:type="dxa"/>
            <w:tcBorders>
              <w:top w:val="nil"/>
              <w:bottom w:val="single" w:sz="6" w:space="0" w:color="000000"/>
            </w:tcBorders>
            <w:vAlign w:val="center"/>
          </w:tcPr>
          <w:p w14:paraId="1905F5A1"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6</w:t>
            </w:r>
          </w:p>
        </w:tc>
        <w:tc>
          <w:tcPr>
            <w:tcW w:w="478" w:type="dxa"/>
            <w:tcBorders>
              <w:top w:val="nil"/>
              <w:bottom w:val="single" w:sz="6" w:space="0" w:color="000000"/>
            </w:tcBorders>
            <w:vAlign w:val="center"/>
          </w:tcPr>
          <w:p w14:paraId="14ACCE26"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w:t>
            </w:r>
          </w:p>
        </w:tc>
        <w:tc>
          <w:tcPr>
            <w:tcW w:w="478" w:type="dxa"/>
            <w:tcBorders>
              <w:top w:val="nil"/>
              <w:bottom w:val="single" w:sz="6" w:space="0" w:color="000000"/>
            </w:tcBorders>
            <w:vAlign w:val="center"/>
          </w:tcPr>
          <w:p w14:paraId="446D452C"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6</w:t>
            </w:r>
          </w:p>
        </w:tc>
        <w:tc>
          <w:tcPr>
            <w:tcW w:w="478" w:type="dxa"/>
            <w:tcBorders>
              <w:top w:val="nil"/>
              <w:bottom w:val="single" w:sz="6" w:space="0" w:color="000000"/>
            </w:tcBorders>
            <w:vAlign w:val="center"/>
          </w:tcPr>
          <w:p w14:paraId="2F0379C2"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7</w:t>
            </w:r>
          </w:p>
        </w:tc>
        <w:tc>
          <w:tcPr>
            <w:tcW w:w="478" w:type="dxa"/>
            <w:tcBorders>
              <w:top w:val="nil"/>
              <w:bottom w:val="single" w:sz="6" w:space="0" w:color="000000"/>
            </w:tcBorders>
            <w:vAlign w:val="center"/>
          </w:tcPr>
          <w:p w14:paraId="3362D9F9"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6" w:space="0" w:color="000000"/>
            </w:tcBorders>
            <w:vAlign w:val="center"/>
          </w:tcPr>
          <w:p w14:paraId="7250FEC5"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5</w:t>
            </w:r>
          </w:p>
        </w:tc>
        <w:tc>
          <w:tcPr>
            <w:tcW w:w="478" w:type="dxa"/>
            <w:tcBorders>
              <w:top w:val="nil"/>
              <w:bottom w:val="single" w:sz="6" w:space="0" w:color="000000"/>
            </w:tcBorders>
            <w:vAlign w:val="center"/>
          </w:tcPr>
          <w:p w14:paraId="284AB930"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w:t>
            </w:r>
          </w:p>
        </w:tc>
        <w:tc>
          <w:tcPr>
            <w:tcW w:w="492" w:type="dxa"/>
            <w:tcBorders>
              <w:top w:val="nil"/>
              <w:bottom w:val="single" w:sz="6" w:space="0" w:color="000000"/>
            </w:tcBorders>
            <w:vAlign w:val="center"/>
          </w:tcPr>
          <w:p w14:paraId="55AF366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38</w:t>
            </w:r>
          </w:p>
        </w:tc>
      </w:tr>
      <w:tr w:rsidR="007373F6" w14:paraId="6592655D" w14:textId="77777777">
        <w:trPr>
          <w:trHeight w:val="372"/>
        </w:trPr>
        <w:tc>
          <w:tcPr>
            <w:tcW w:w="2321" w:type="dxa"/>
            <w:tcBorders>
              <w:top w:val="nil"/>
              <w:bottom w:val="single" w:sz="4" w:space="0" w:color="000000"/>
            </w:tcBorders>
            <w:vAlign w:val="center"/>
          </w:tcPr>
          <w:p w14:paraId="7A8CD60D"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游ゴシック" w:eastAsia="游ゴシック" w:hAnsi="游ゴシック" w:cs="游ゴシック"/>
                <w:color w:val="000000"/>
                <w:sz w:val="14"/>
                <w:szCs w:val="14"/>
              </w:rPr>
              <w:t xml:space="preserve">　</w:t>
            </w:r>
            <w:r>
              <w:rPr>
                <w:rFonts w:ascii="Times New Roman" w:eastAsia="Times New Roman" w:hAnsi="Times New Roman" w:cs="Times New Roman"/>
                <w:color w:val="000000"/>
                <w:sz w:val="14"/>
                <w:szCs w:val="14"/>
              </w:rPr>
              <w:t>Total</w:t>
            </w:r>
          </w:p>
        </w:tc>
        <w:tc>
          <w:tcPr>
            <w:tcW w:w="478" w:type="dxa"/>
            <w:tcBorders>
              <w:top w:val="nil"/>
              <w:bottom w:val="single" w:sz="4" w:space="0" w:color="000000"/>
            </w:tcBorders>
            <w:vAlign w:val="center"/>
          </w:tcPr>
          <w:p w14:paraId="07FC9A3A"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7" w:type="dxa"/>
            <w:tcBorders>
              <w:top w:val="nil"/>
              <w:bottom w:val="single" w:sz="4" w:space="0" w:color="000000"/>
            </w:tcBorders>
            <w:vAlign w:val="center"/>
          </w:tcPr>
          <w:p w14:paraId="00B54CF6"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46561B16"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w:t>
            </w:r>
          </w:p>
        </w:tc>
        <w:tc>
          <w:tcPr>
            <w:tcW w:w="478" w:type="dxa"/>
            <w:tcBorders>
              <w:top w:val="nil"/>
              <w:bottom w:val="single" w:sz="4" w:space="0" w:color="000000"/>
            </w:tcBorders>
            <w:vAlign w:val="center"/>
          </w:tcPr>
          <w:p w14:paraId="7059EACA"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8</w:t>
            </w:r>
          </w:p>
        </w:tc>
        <w:tc>
          <w:tcPr>
            <w:tcW w:w="478" w:type="dxa"/>
            <w:tcBorders>
              <w:top w:val="nil"/>
              <w:bottom w:val="single" w:sz="4" w:space="0" w:color="000000"/>
            </w:tcBorders>
            <w:vAlign w:val="center"/>
          </w:tcPr>
          <w:p w14:paraId="44913DD8"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9</w:t>
            </w:r>
          </w:p>
        </w:tc>
        <w:tc>
          <w:tcPr>
            <w:tcW w:w="478" w:type="dxa"/>
            <w:tcBorders>
              <w:top w:val="nil"/>
              <w:bottom w:val="single" w:sz="4" w:space="0" w:color="000000"/>
            </w:tcBorders>
            <w:vAlign w:val="center"/>
          </w:tcPr>
          <w:p w14:paraId="12FE680E"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25</w:t>
            </w:r>
          </w:p>
        </w:tc>
        <w:tc>
          <w:tcPr>
            <w:tcW w:w="478" w:type="dxa"/>
            <w:tcBorders>
              <w:top w:val="nil"/>
              <w:bottom w:val="single" w:sz="4" w:space="0" w:color="000000"/>
            </w:tcBorders>
            <w:vAlign w:val="center"/>
          </w:tcPr>
          <w:p w14:paraId="44EA99BB"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19</w:t>
            </w:r>
          </w:p>
        </w:tc>
        <w:tc>
          <w:tcPr>
            <w:tcW w:w="478" w:type="dxa"/>
            <w:tcBorders>
              <w:top w:val="nil"/>
              <w:bottom w:val="single" w:sz="4" w:space="0" w:color="000000"/>
            </w:tcBorders>
            <w:vAlign w:val="center"/>
          </w:tcPr>
          <w:p w14:paraId="7718810F"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19</w:t>
            </w:r>
          </w:p>
        </w:tc>
        <w:tc>
          <w:tcPr>
            <w:tcW w:w="478" w:type="dxa"/>
            <w:tcBorders>
              <w:top w:val="nil"/>
              <w:bottom w:val="single" w:sz="4" w:space="0" w:color="000000"/>
            </w:tcBorders>
            <w:vAlign w:val="center"/>
          </w:tcPr>
          <w:p w14:paraId="021C0C65"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26</w:t>
            </w:r>
          </w:p>
        </w:tc>
        <w:tc>
          <w:tcPr>
            <w:tcW w:w="478" w:type="dxa"/>
            <w:tcBorders>
              <w:top w:val="nil"/>
              <w:bottom w:val="single" w:sz="4" w:space="0" w:color="000000"/>
            </w:tcBorders>
            <w:vAlign w:val="center"/>
          </w:tcPr>
          <w:p w14:paraId="0914408F"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27</w:t>
            </w:r>
          </w:p>
        </w:tc>
        <w:tc>
          <w:tcPr>
            <w:tcW w:w="478" w:type="dxa"/>
            <w:tcBorders>
              <w:top w:val="nil"/>
              <w:bottom w:val="single" w:sz="4" w:space="0" w:color="000000"/>
            </w:tcBorders>
            <w:vAlign w:val="center"/>
          </w:tcPr>
          <w:p w14:paraId="68FD5476"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12</w:t>
            </w:r>
          </w:p>
        </w:tc>
        <w:tc>
          <w:tcPr>
            <w:tcW w:w="478" w:type="dxa"/>
            <w:tcBorders>
              <w:top w:val="nil"/>
              <w:bottom w:val="single" w:sz="4" w:space="0" w:color="000000"/>
            </w:tcBorders>
            <w:vAlign w:val="center"/>
          </w:tcPr>
          <w:p w14:paraId="599E31A3"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14</w:t>
            </w:r>
          </w:p>
        </w:tc>
        <w:tc>
          <w:tcPr>
            <w:tcW w:w="478" w:type="dxa"/>
            <w:tcBorders>
              <w:top w:val="nil"/>
              <w:bottom w:val="single" w:sz="4" w:space="0" w:color="000000"/>
            </w:tcBorders>
            <w:vAlign w:val="center"/>
          </w:tcPr>
          <w:p w14:paraId="24E311A8"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6</w:t>
            </w:r>
          </w:p>
        </w:tc>
        <w:tc>
          <w:tcPr>
            <w:tcW w:w="492" w:type="dxa"/>
            <w:tcBorders>
              <w:top w:val="nil"/>
              <w:bottom w:val="single" w:sz="4" w:space="0" w:color="000000"/>
            </w:tcBorders>
            <w:vAlign w:val="center"/>
          </w:tcPr>
          <w:p w14:paraId="362932E6" w14:textId="77777777" w:rsidR="007373F6" w:rsidRDefault="00000000">
            <w:pPr>
              <w:spacing w:after="0" w:line="240" w:lineRule="auto"/>
              <w:jc w:val="both"/>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168</w:t>
            </w:r>
          </w:p>
        </w:tc>
      </w:tr>
    </w:tbl>
    <w:p w14:paraId="3C478963" w14:textId="77777777" w:rsidR="007373F6" w:rsidRDefault="007373F6">
      <w:pPr>
        <w:widowControl w:val="0"/>
        <w:spacing w:after="0" w:line="240" w:lineRule="auto"/>
        <w:jc w:val="both"/>
        <w:rPr>
          <w:rFonts w:ascii="Times New Roman" w:eastAsia="Times New Roman" w:hAnsi="Times New Roman" w:cs="Times New Roman"/>
          <w:b/>
          <w:color w:val="000000"/>
          <w:sz w:val="24"/>
          <w:szCs w:val="24"/>
        </w:rPr>
      </w:pPr>
    </w:p>
    <w:p w14:paraId="1F6E6452" w14:textId="77777777" w:rsidR="007373F6" w:rsidRDefault="00000000">
      <w:pPr>
        <w:widowControl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4"/>
          <w:szCs w:val="24"/>
        </w:rPr>
        <w:t xml:space="preserve">Table 4: </w:t>
      </w:r>
      <w:r w:rsidRPr="00CA3E0F">
        <w:rPr>
          <w:rFonts w:ascii="Times New Roman" w:eastAsia="Times New Roman" w:hAnsi="Times New Roman" w:cs="Times New Roman"/>
          <w:bCs/>
          <w:color w:val="000000"/>
          <w:sz w:val="24"/>
          <w:szCs w:val="24"/>
        </w:rPr>
        <w:t>Univariate DID analysis</w:t>
      </w:r>
    </w:p>
    <w:p w14:paraId="690B70F5" w14:textId="77777777" w:rsidR="007373F6" w:rsidRDefault="00000000">
      <w:pPr>
        <w:widowControl w:val="0"/>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Panel A: </w:t>
      </w:r>
      <w:r w:rsidRPr="00CA3E0F">
        <w:rPr>
          <w:rFonts w:ascii="Times New Roman" w:eastAsia="Times New Roman" w:hAnsi="Times New Roman" w:cs="Times New Roman"/>
          <w:bCs/>
          <w:color w:val="000000"/>
        </w:rPr>
        <w:t>DID Analysis: Foreign shareholders’ ratio (FOREIGN HELD)</w:t>
      </w:r>
    </w:p>
    <w:tbl>
      <w:tblPr>
        <w:tblStyle w:val="af"/>
        <w:tblW w:w="9026" w:type="dxa"/>
        <w:tblLayout w:type="fixed"/>
        <w:tblLook w:val="0000" w:firstRow="0" w:lastRow="0" w:firstColumn="0" w:lastColumn="0" w:noHBand="0" w:noVBand="0"/>
      </w:tblPr>
      <w:tblGrid>
        <w:gridCol w:w="2254"/>
        <w:gridCol w:w="2246"/>
        <w:gridCol w:w="2246"/>
        <w:gridCol w:w="2259"/>
        <w:gridCol w:w="21"/>
      </w:tblGrid>
      <w:tr w:rsidR="007373F6" w14:paraId="52A35454" w14:textId="77777777">
        <w:trPr>
          <w:trHeight w:val="348"/>
        </w:trPr>
        <w:tc>
          <w:tcPr>
            <w:tcW w:w="2254" w:type="dxa"/>
            <w:tcBorders>
              <w:top w:val="single" w:sz="4" w:space="0" w:color="000000"/>
              <w:bottom w:val="single" w:sz="4" w:space="0" w:color="000000"/>
            </w:tcBorders>
            <w:vAlign w:val="bottom"/>
          </w:tcPr>
          <w:p w14:paraId="76F958AB" w14:textId="77777777" w:rsidR="007373F6" w:rsidRDefault="00000000">
            <w:pPr>
              <w:ind w:firstLine="100"/>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Sample</w:t>
            </w:r>
          </w:p>
          <w:p w14:paraId="56CB8704" w14:textId="77777777" w:rsidR="007373F6" w:rsidRDefault="007373F6">
            <w:pPr>
              <w:jc w:val="both"/>
              <w:rPr>
                <w:rFonts w:ascii="Times New Roman" w:eastAsia="Times New Roman" w:hAnsi="Times New Roman" w:cs="Times New Roman"/>
                <w:color w:val="000000"/>
                <w:sz w:val="20"/>
                <w:szCs w:val="20"/>
              </w:rPr>
            </w:pPr>
          </w:p>
        </w:tc>
        <w:tc>
          <w:tcPr>
            <w:tcW w:w="2246" w:type="dxa"/>
            <w:tcBorders>
              <w:top w:val="single" w:sz="4" w:space="0" w:color="000000"/>
              <w:bottom w:val="single" w:sz="4" w:space="0" w:color="000000"/>
            </w:tcBorders>
          </w:tcPr>
          <w:p w14:paraId="590777B2" w14:textId="77777777" w:rsidR="007373F6" w:rsidRDefault="00000000">
            <w:pPr>
              <w:spacing w:before="72"/>
              <w:ind w:right="87"/>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Pre-IFRS</w:t>
            </w:r>
          </w:p>
          <w:p w14:paraId="0E87E04D" w14:textId="77777777" w:rsidR="007373F6" w:rsidRDefault="00000000">
            <w:pPr>
              <w:spacing w:before="72"/>
              <w:ind w:right="87"/>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w:t>
            </w:r>
          </w:p>
        </w:tc>
        <w:tc>
          <w:tcPr>
            <w:tcW w:w="2246" w:type="dxa"/>
            <w:tcBorders>
              <w:top w:val="single" w:sz="4" w:space="0" w:color="000000"/>
              <w:bottom w:val="single" w:sz="4" w:space="0" w:color="000000"/>
            </w:tcBorders>
          </w:tcPr>
          <w:p w14:paraId="0DB4AE63" w14:textId="77777777" w:rsidR="007373F6" w:rsidRDefault="00000000">
            <w:pPr>
              <w:spacing w:before="72"/>
              <w:ind w:right="28"/>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Post-IFRS</w:t>
            </w:r>
          </w:p>
          <w:p w14:paraId="6792B938" w14:textId="77777777" w:rsidR="007373F6" w:rsidRDefault="00000000">
            <w:pPr>
              <w:spacing w:before="72"/>
              <w:ind w:right="28"/>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w:t>
            </w:r>
          </w:p>
        </w:tc>
        <w:tc>
          <w:tcPr>
            <w:tcW w:w="2259" w:type="dxa"/>
            <w:tcBorders>
              <w:top w:val="single" w:sz="4" w:space="0" w:color="000000"/>
              <w:bottom w:val="single" w:sz="4" w:space="0" w:color="000000"/>
            </w:tcBorders>
          </w:tcPr>
          <w:p w14:paraId="02D88E76" w14:textId="77777777" w:rsidR="007373F6" w:rsidRDefault="00000000">
            <w:pPr>
              <w:spacing w:before="68"/>
              <w:ind w:right="46"/>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Difference</w:t>
            </w:r>
          </w:p>
          <w:p w14:paraId="48DDF4AC" w14:textId="77777777" w:rsidR="007373F6" w:rsidRDefault="00000000">
            <w:pPr>
              <w:spacing w:before="68"/>
              <w:ind w:right="46"/>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 – (a)</w:t>
            </w:r>
          </w:p>
        </w:tc>
        <w:tc>
          <w:tcPr>
            <w:tcW w:w="21" w:type="dxa"/>
            <w:tcBorders>
              <w:bottom w:val="single" w:sz="4" w:space="0" w:color="000000"/>
            </w:tcBorders>
          </w:tcPr>
          <w:p w14:paraId="06003FFC" w14:textId="77777777" w:rsidR="007373F6" w:rsidRDefault="007373F6">
            <w:pPr>
              <w:jc w:val="both"/>
              <w:rPr>
                <w:rFonts w:ascii="Times New Roman" w:eastAsia="Times New Roman" w:hAnsi="Times New Roman" w:cs="Times New Roman"/>
                <w:color w:val="000000"/>
                <w:sz w:val="20"/>
                <w:szCs w:val="20"/>
              </w:rPr>
            </w:pPr>
          </w:p>
        </w:tc>
      </w:tr>
      <w:tr w:rsidR="007373F6" w14:paraId="79E0A717" w14:textId="77777777">
        <w:trPr>
          <w:trHeight w:val="340"/>
        </w:trPr>
        <w:tc>
          <w:tcPr>
            <w:tcW w:w="2254" w:type="dxa"/>
            <w:tcBorders>
              <w:top w:val="single" w:sz="4" w:space="0" w:color="000000"/>
            </w:tcBorders>
          </w:tcPr>
          <w:p w14:paraId="5EE6F3AE" w14:textId="77777777" w:rsidR="007373F6" w:rsidRDefault="00000000">
            <w:pPr>
              <w:spacing w:before="74"/>
              <w:ind w:left="89"/>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IFRS adopters (</w:t>
            </w:r>
            <w:proofErr w:type="spellStart"/>
            <w:r>
              <w:rPr>
                <w:rFonts w:ascii="Times New Roman" w:eastAsia="Times New Roman" w:hAnsi="Times New Roman" w:cs="Times New Roman"/>
                <w:color w:val="000000"/>
                <w:sz w:val="20"/>
                <w:szCs w:val="20"/>
              </w:rPr>
              <w:t>i</w:t>
            </w:r>
            <w:proofErr w:type="spellEnd"/>
            <w:r>
              <w:rPr>
                <w:rFonts w:ascii="Times New Roman" w:eastAsia="Times New Roman" w:hAnsi="Times New Roman" w:cs="Times New Roman"/>
                <w:color w:val="000000"/>
                <w:sz w:val="20"/>
                <w:szCs w:val="20"/>
              </w:rPr>
              <w:t>)</w:t>
            </w:r>
          </w:p>
        </w:tc>
        <w:tc>
          <w:tcPr>
            <w:tcW w:w="2246" w:type="dxa"/>
            <w:tcBorders>
              <w:top w:val="single" w:sz="4" w:space="0" w:color="000000"/>
            </w:tcBorders>
          </w:tcPr>
          <w:p w14:paraId="5D1F39E5" w14:textId="77777777" w:rsidR="007373F6" w:rsidRDefault="00000000">
            <w:pPr>
              <w:spacing w:before="74"/>
              <w:ind w:right="96"/>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0.2195</w:t>
            </w:r>
          </w:p>
        </w:tc>
        <w:tc>
          <w:tcPr>
            <w:tcW w:w="2246" w:type="dxa"/>
            <w:tcBorders>
              <w:top w:val="single" w:sz="4" w:space="0" w:color="000000"/>
            </w:tcBorders>
          </w:tcPr>
          <w:p w14:paraId="11FCDE4F" w14:textId="77777777" w:rsidR="007373F6" w:rsidRDefault="00000000">
            <w:pPr>
              <w:spacing w:before="74"/>
              <w:ind w:left="96"/>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0.2414</w:t>
            </w:r>
          </w:p>
        </w:tc>
        <w:tc>
          <w:tcPr>
            <w:tcW w:w="2259" w:type="dxa"/>
            <w:tcBorders>
              <w:top w:val="single" w:sz="4" w:space="0" w:color="000000"/>
            </w:tcBorders>
          </w:tcPr>
          <w:p w14:paraId="2CE9478E" w14:textId="77777777" w:rsidR="007373F6" w:rsidRDefault="00000000">
            <w:pPr>
              <w:spacing w:before="74"/>
              <w:ind w:right="50"/>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0.0219 ***</w:t>
            </w:r>
          </w:p>
        </w:tc>
        <w:tc>
          <w:tcPr>
            <w:tcW w:w="21" w:type="dxa"/>
            <w:tcBorders>
              <w:top w:val="single" w:sz="4" w:space="0" w:color="000000"/>
            </w:tcBorders>
          </w:tcPr>
          <w:p w14:paraId="0C6AD7AC" w14:textId="77777777" w:rsidR="007373F6" w:rsidRDefault="007373F6">
            <w:pPr>
              <w:jc w:val="both"/>
              <w:rPr>
                <w:rFonts w:ascii="Times New Roman" w:eastAsia="Times New Roman" w:hAnsi="Times New Roman" w:cs="Times New Roman"/>
                <w:color w:val="000000"/>
                <w:sz w:val="20"/>
                <w:szCs w:val="20"/>
              </w:rPr>
            </w:pPr>
          </w:p>
        </w:tc>
      </w:tr>
      <w:tr w:rsidR="007373F6" w14:paraId="513519A6" w14:textId="77777777">
        <w:trPr>
          <w:trHeight w:val="304"/>
        </w:trPr>
        <w:tc>
          <w:tcPr>
            <w:tcW w:w="2254" w:type="dxa"/>
          </w:tcPr>
          <w:p w14:paraId="3A7713BE" w14:textId="77777777" w:rsidR="007373F6" w:rsidRDefault="007373F6">
            <w:pPr>
              <w:jc w:val="both"/>
              <w:rPr>
                <w:rFonts w:ascii="Times New Roman" w:eastAsia="Times New Roman" w:hAnsi="Times New Roman" w:cs="Times New Roman"/>
                <w:color w:val="000000"/>
                <w:sz w:val="20"/>
                <w:szCs w:val="20"/>
              </w:rPr>
            </w:pPr>
          </w:p>
        </w:tc>
        <w:tc>
          <w:tcPr>
            <w:tcW w:w="2246" w:type="dxa"/>
          </w:tcPr>
          <w:p w14:paraId="053D3991" w14:textId="77777777" w:rsidR="007373F6" w:rsidRDefault="00000000">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 = 1,121)</w:t>
            </w:r>
          </w:p>
        </w:tc>
        <w:tc>
          <w:tcPr>
            <w:tcW w:w="2246" w:type="dxa"/>
          </w:tcPr>
          <w:p w14:paraId="18D6257A" w14:textId="77777777" w:rsidR="007373F6" w:rsidRDefault="00000000">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 = 913)</w:t>
            </w:r>
          </w:p>
        </w:tc>
        <w:tc>
          <w:tcPr>
            <w:tcW w:w="2259" w:type="dxa"/>
          </w:tcPr>
          <w:p w14:paraId="6A687CD4" w14:textId="77777777" w:rsidR="007373F6" w:rsidRDefault="00000000">
            <w:pPr>
              <w:spacing w:before="38"/>
              <w:ind w:right="41"/>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(0.001)</w:t>
            </w:r>
          </w:p>
        </w:tc>
        <w:tc>
          <w:tcPr>
            <w:tcW w:w="21" w:type="dxa"/>
          </w:tcPr>
          <w:p w14:paraId="4589C41B" w14:textId="77777777" w:rsidR="007373F6" w:rsidRDefault="007373F6">
            <w:pPr>
              <w:jc w:val="both"/>
              <w:rPr>
                <w:rFonts w:ascii="Times New Roman" w:eastAsia="Times New Roman" w:hAnsi="Times New Roman" w:cs="Times New Roman"/>
                <w:color w:val="000000"/>
                <w:sz w:val="20"/>
                <w:szCs w:val="20"/>
              </w:rPr>
            </w:pPr>
          </w:p>
        </w:tc>
      </w:tr>
      <w:tr w:rsidR="007373F6" w14:paraId="5D63B9A8" w14:textId="77777777">
        <w:trPr>
          <w:trHeight w:val="304"/>
        </w:trPr>
        <w:tc>
          <w:tcPr>
            <w:tcW w:w="2254" w:type="dxa"/>
          </w:tcPr>
          <w:p w14:paraId="7D25C6F9" w14:textId="77777777" w:rsidR="007373F6" w:rsidRDefault="00000000">
            <w:pPr>
              <w:spacing w:before="38"/>
              <w:ind w:left="89"/>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Matched non-adopters (ii)</w:t>
            </w:r>
          </w:p>
        </w:tc>
        <w:tc>
          <w:tcPr>
            <w:tcW w:w="2246" w:type="dxa"/>
          </w:tcPr>
          <w:p w14:paraId="2D4F3E36" w14:textId="77777777" w:rsidR="007373F6" w:rsidRDefault="00000000">
            <w:pPr>
              <w:spacing w:before="38"/>
              <w:ind w:right="96"/>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0.2160</w:t>
            </w:r>
          </w:p>
        </w:tc>
        <w:tc>
          <w:tcPr>
            <w:tcW w:w="2246" w:type="dxa"/>
          </w:tcPr>
          <w:p w14:paraId="54126BEB" w14:textId="77777777" w:rsidR="007373F6" w:rsidRDefault="00000000">
            <w:pPr>
              <w:spacing w:before="38"/>
              <w:ind w:left="95"/>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0.2556</w:t>
            </w:r>
          </w:p>
        </w:tc>
        <w:tc>
          <w:tcPr>
            <w:tcW w:w="2259" w:type="dxa"/>
          </w:tcPr>
          <w:p w14:paraId="61C2E917" w14:textId="77777777" w:rsidR="007373F6" w:rsidRDefault="00000000">
            <w:pPr>
              <w:spacing w:before="38"/>
              <w:ind w:right="50"/>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0.0396 ***</w:t>
            </w:r>
          </w:p>
        </w:tc>
        <w:tc>
          <w:tcPr>
            <w:tcW w:w="21" w:type="dxa"/>
          </w:tcPr>
          <w:p w14:paraId="0D750594" w14:textId="77777777" w:rsidR="007373F6" w:rsidRDefault="007373F6">
            <w:pPr>
              <w:jc w:val="both"/>
              <w:rPr>
                <w:rFonts w:ascii="Times New Roman" w:eastAsia="Times New Roman" w:hAnsi="Times New Roman" w:cs="Times New Roman"/>
                <w:color w:val="000000"/>
                <w:sz w:val="20"/>
                <w:szCs w:val="20"/>
              </w:rPr>
            </w:pPr>
          </w:p>
        </w:tc>
      </w:tr>
      <w:tr w:rsidR="007373F6" w14:paraId="669E1F97" w14:textId="77777777">
        <w:trPr>
          <w:trHeight w:val="304"/>
        </w:trPr>
        <w:tc>
          <w:tcPr>
            <w:tcW w:w="2254" w:type="dxa"/>
          </w:tcPr>
          <w:p w14:paraId="55D65964" w14:textId="77777777" w:rsidR="007373F6" w:rsidRDefault="007373F6">
            <w:pPr>
              <w:jc w:val="both"/>
              <w:rPr>
                <w:rFonts w:ascii="Times New Roman" w:eastAsia="Times New Roman" w:hAnsi="Times New Roman" w:cs="Times New Roman"/>
                <w:color w:val="000000"/>
                <w:sz w:val="20"/>
                <w:szCs w:val="20"/>
              </w:rPr>
            </w:pPr>
          </w:p>
        </w:tc>
        <w:tc>
          <w:tcPr>
            <w:tcW w:w="2246" w:type="dxa"/>
          </w:tcPr>
          <w:p w14:paraId="1B3038BB" w14:textId="77777777" w:rsidR="007373F6" w:rsidRDefault="00000000">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 = 1,113)</w:t>
            </w:r>
          </w:p>
        </w:tc>
        <w:tc>
          <w:tcPr>
            <w:tcW w:w="2246" w:type="dxa"/>
          </w:tcPr>
          <w:p w14:paraId="23FD2AE3" w14:textId="77777777" w:rsidR="007373F6" w:rsidRDefault="00000000">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 = 872)</w:t>
            </w:r>
          </w:p>
        </w:tc>
        <w:tc>
          <w:tcPr>
            <w:tcW w:w="2259" w:type="dxa"/>
          </w:tcPr>
          <w:p w14:paraId="42630ED9" w14:textId="77777777" w:rsidR="007373F6" w:rsidRDefault="00000000">
            <w:pPr>
              <w:spacing w:before="38"/>
              <w:ind w:right="41"/>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(0.000)</w:t>
            </w:r>
          </w:p>
        </w:tc>
        <w:tc>
          <w:tcPr>
            <w:tcW w:w="21" w:type="dxa"/>
          </w:tcPr>
          <w:p w14:paraId="6D3D6023" w14:textId="77777777" w:rsidR="007373F6" w:rsidRDefault="007373F6">
            <w:pPr>
              <w:jc w:val="both"/>
              <w:rPr>
                <w:rFonts w:ascii="Times New Roman" w:eastAsia="Times New Roman" w:hAnsi="Times New Roman" w:cs="Times New Roman"/>
                <w:color w:val="000000"/>
                <w:sz w:val="20"/>
                <w:szCs w:val="20"/>
              </w:rPr>
            </w:pPr>
          </w:p>
        </w:tc>
      </w:tr>
      <w:tr w:rsidR="007373F6" w14:paraId="5234BE96" w14:textId="77777777">
        <w:trPr>
          <w:trHeight w:val="304"/>
        </w:trPr>
        <w:tc>
          <w:tcPr>
            <w:tcW w:w="2254" w:type="dxa"/>
          </w:tcPr>
          <w:p w14:paraId="5B2ECDE1" w14:textId="77777777" w:rsidR="007373F6" w:rsidRDefault="00000000">
            <w:pPr>
              <w:spacing w:before="38"/>
              <w:ind w:left="89"/>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(ii) – (</w:t>
            </w:r>
            <w:proofErr w:type="spellStart"/>
            <w:r>
              <w:rPr>
                <w:rFonts w:ascii="Times New Roman" w:eastAsia="Times New Roman" w:hAnsi="Times New Roman" w:cs="Times New Roman"/>
                <w:color w:val="000000"/>
                <w:sz w:val="20"/>
                <w:szCs w:val="20"/>
              </w:rPr>
              <w:t>i</w:t>
            </w:r>
            <w:proofErr w:type="spellEnd"/>
            <w:r>
              <w:rPr>
                <w:rFonts w:ascii="Times New Roman" w:eastAsia="Times New Roman" w:hAnsi="Times New Roman" w:cs="Times New Roman"/>
                <w:color w:val="000000"/>
                <w:sz w:val="20"/>
                <w:szCs w:val="20"/>
              </w:rPr>
              <w:t>)</w:t>
            </w:r>
          </w:p>
        </w:tc>
        <w:tc>
          <w:tcPr>
            <w:tcW w:w="2246" w:type="dxa"/>
          </w:tcPr>
          <w:p w14:paraId="2D9D0B67" w14:textId="77777777" w:rsidR="007373F6" w:rsidRDefault="00000000">
            <w:pPr>
              <w:spacing w:before="38"/>
              <w:ind w:right="96"/>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-0.0035</w:t>
            </w:r>
          </w:p>
        </w:tc>
        <w:tc>
          <w:tcPr>
            <w:tcW w:w="2246" w:type="dxa"/>
          </w:tcPr>
          <w:p w14:paraId="7CCB4003" w14:textId="77777777" w:rsidR="007373F6" w:rsidRDefault="00000000">
            <w:pPr>
              <w:spacing w:before="38"/>
              <w:ind w:left="95"/>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0.0142 **</w:t>
            </w:r>
          </w:p>
        </w:tc>
        <w:tc>
          <w:tcPr>
            <w:tcW w:w="2259" w:type="dxa"/>
          </w:tcPr>
          <w:p w14:paraId="1C63ABE0" w14:textId="77777777" w:rsidR="007373F6" w:rsidRDefault="00000000">
            <w:pPr>
              <w:spacing w:before="38"/>
              <w:ind w:right="50"/>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0.0177</w:t>
            </w:r>
          </w:p>
        </w:tc>
        <w:tc>
          <w:tcPr>
            <w:tcW w:w="21" w:type="dxa"/>
          </w:tcPr>
          <w:p w14:paraId="36C582B9" w14:textId="77777777" w:rsidR="007373F6" w:rsidRDefault="007373F6">
            <w:pPr>
              <w:jc w:val="both"/>
              <w:rPr>
                <w:rFonts w:ascii="Times New Roman" w:eastAsia="Times New Roman" w:hAnsi="Times New Roman" w:cs="Times New Roman"/>
                <w:color w:val="000000"/>
                <w:sz w:val="20"/>
                <w:szCs w:val="20"/>
              </w:rPr>
            </w:pPr>
          </w:p>
        </w:tc>
      </w:tr>
      <w:tr w:rsidR="007373F6" w14:paraId="54725A7F" w14:textId="77777777">
        <w:trPr>
          <w:trHeight w:val="304"/>
        </w:trPr>
        <w:tc>
          <w:tcPr>
            <w:tcW w:w="2254" w:type="dxa"/>
            <w:tcBorders>
              <w:bottom w:val="single" w:sz="4" w:space="0" w:color="000000"/>
            </w:tcBorders>
          </w:tcPr>
          <w:p w14:paraId="4C804FFE" w14:textId="77777777" w:rsidR="007373F6" w:rsidRDefault="007373F6">
            <w:pPr>
              <w:jc w:val="both"/>
              <w:rPr>
                <w:rFonts w:ascii="Times New Roman" w:eastAsia="Times New Roman" w:hAnsi="Times New Roman" w:cs="Times New Roman"/>
                <w:color w:val="000000"/>
                <w:sz w:val="20"/>
                <w:szCs w:val="20"/>
              </w:rPr>
            </w:pPr>
          </w:p>
        </w:tc>
        <w:tc>
          <w:tcPr>
            <w:tcW w:w="2246" w:type="dxa"/>
            <w:tcBorders>
              <w:bottom w:val="single" w:sz="4" w:space="0" w:color="000000"/>
            </w:tcBorders>
          </w:tcPr>
          <w:p w14:paraId="71899265" w14:textId="77777777" w:rsidR="007373F6" w:rsidRDefault="00000000">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(0.528)</w:t>
            </w:r>
          </w:p>
        </w:tc>
        <w:tc>
          <w:tcPr>
            <w:tcW w:w="2246" w:type="dxa"/>
            <w:tcBorders>
              <w:bottom w:val="single" w:sz="4" w:space="0" w:color="000000"/>
            </w:tcBorders>
          </w:tcPr>
          <w:p w14:paraId="45C225B3" w14:textId="77777777" w:rsidR="007373F6" w:rsidRDefault="00000000">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(0.033)</w:t>
            </w:r>
          </w:p>
        </w:tc>
        <w:tc>
          <w:tcPr>
            <w:tcW w:w="2259" w:type="dxa"/>
            <w:tcBorders>
              <w:bottom w:val="single" w:sz="4" w:space="0" w:color="000000"/>
            </w:tcBorders>
          </w:tcPr>
          <w:p w14:paraId="442D2B5B" w14:textId="77777777" w:rsidR="007373F6" w:rsidRDefault="007373F6">
            <w:pPr>
              <w:spacing w:before="38"/>
              <w:ind w:right="41"/>
              <w:jc w:val="both"/>
              <w:rPr>
                <w:rFonts w:ascii="Times New Roman" w:eastAsia="Times New Roman" w:hAnsi="Times New Roman" w:cs="Times New Roman"/>
                <w:color w:val="000000"/>
                <w:sz w:val="20"/>
                <w:szCs w:val="20"/>
              </w:rPr>
            </w:pPr>
          </w:p>
        </w:tc>
        <w:tc>
          <w:tcPr>
            <w:tcW w:w="21" w:type="dxa"/>
          </w:tcPr>
          <w:p w14:paraId="13E5080B" w14:textId="77777777" w:rsidR="007373F6" w:rsidRDefault="007373F6">
            <w:pPr>
              <w:jc w:val="both"/>
              <w:rPr>
                <w:rFonts w:ascii="Times New Roman" w:eastAsia="Times New Roman" w:hAnsi="Times New Roman" w:cs="Times New Roman"/>
                <w:color w:val="000000"/>
                <w:sz w:val="20"/>
                <w:szCs w:val="20"/>
              </w:rPr>
            </w:pPr>
          </w:p>
        </w:tc>
      </w:tr>
    </w:tbl>
    <w:p w14:paraId="4206A56F" w14:textId="77777777" w:rsidR="007373F6" w:rsidRDefault="007373F6">
      <w:pPr>
        <w:widowControl w:val="0"/>
        <w:spacing w:after="0" w:line="240" w:lineRule="auto"/>
        <w:jc w:val="both"/>
        <w:rPr>
          <w:rFonts w:ascii="Times New Roman" w:eastAsia="Times New Roman" w:hAnsi="Times New Roman" w:cs="Times New Roman"/>
          <w:b/>
          <w:color w:val="000000"/>
          <w:sz w:val="20"/>
          <w:szCs w:val="20"/>
        </w:rPr>
      </w:pPr>
    </w:p>
    <w:p w14:paraId="1405715D" w14:textId="58B1237E" w:rsidR="007373F6" w:rsidRDefault="00000000">
      <w:pPr>
        <w:widowControl w:val="0"/>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Panel B: </w:t>
      </w:r>
      <w:r w:rsidRPr="00CA3E0F">
        <w:rPr>
          <w:rFonts w:ascii="Times New Roman" w:eastAsia="Times New Roman" w:hAnsi="Times New Roman" w:cs="Times New Roman"/>
          <w:bCs/>
          <w:color w:val="000000"/>
        </w:rPr>
        <w:t>DID Analysis: Foreign shareholders’ numbers (FOREIGN HELD NUM)</w:t>
      </w:r>
    </w:p>
    <w:tbl>
      <w:tblPr>
        <w:tblStyle w:val="af0"/>
        <w:tblW w:w="9026" w:type="dxa"/>
        <w:tblLayout w:type="fixed"/>
        <w:tblLook w:val="0000" w:firstRow="0" w:lastRow="0" w:firstColumn="0" w:lastColumn="0" w:noHBand="0" w:noVBand="0"/>
      </w:tblPr>
      <w:tblGrid>
        <w:gridCol w:w="2251"/>
        <w:gridCol w:w="2248"/>
        <w:gridCol w:w="2249"/>
        <w:gridCol w:w="2257"/>
        <w:gridCol w:w="21"/>
      </w:tblGrid>
      <w:tr w:rsidR="007373F6" w14:paraId="23A7678F" w14:textId="77777777">
        <w:trPr>
          <w:trHeight w:val="383"/>
        </w:trPr>
        <w:tc>
          <w:tcPr>
            <w:tcW w:w="2251" w:type="dxa"/>
            <w:tcBorders>
              <w:top w:val="single" w:sz="4" w:space="0" w:color="000000"/>
              <w:bottom w:val="single" w:sz="4" w:space="0" w:color="000000"/>
            </w:tcBorders>
            <w:vAlign w:val="bottom"/>
          </w:tcPr>
          <w:p w14:paraId="2FDAAEB0" w14:textId="77777777" w:rsidR="007373F6" w:rsidRDefault="00000000">
            <w:pPr>
              <w:ind w:firstLine="100"/>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Sample</w:t>
            </w:r>
          </w:p>
          <w:p w14:paraId="736C6EBA" w14:textId="77777777" w:rsidR="007373F6" w:rsidRDefault="007373F6">
            <w:pPr>
              <w:jc w:val="both"/>
              <w:rPr>
                <w:rFonts w:ascii="Times New Roman" w:eastAsia="Times New Roman" w:hAnsi="Times New Roman" w:cs="Times New Roman"/>
                <w:color w:val="000000"/>
                <w:sz w:val="20"/>
                <w:szCs w:val="20"/>
              </w:rPr>
            </w:pPr>
          </w:p>
        </w:tc>
        <w:tc>
          <w:tcPr>
            <w:tcW w:w="2248" w:type="dxa"/>
            <w:tcBorders>
              <w:top w:val="single" w:sz="4" w:space="0" w:color="000000"/>
              <w:bottom w:val="single" w:sz="4" w:space="0" w:color="000000"/>
            </w:tcBorders>
          </w:tcPr>
          <w:p w14:paraId="21E0B8C7" w14:textId="77777777" w:rsidR="007373F6" w:rsidRDefault="00000000">
            <w:pPr>
              <w:spacing w:before="72"/>
              <w:ind w:right="87"/>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Pre-IFRS</w:t>
            </w:r>
          </w:p>
          <w:p w14:paraId="451D70A7" w14:textId="77777777" w:rsidR="007373F6" w:rsidRDefault="00000000">
            <w:pPr>
              <w:spacing w:before="72"/>
              <w:ind w:right="87"/>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w:t>
            </w:r>
          </w:p>
        </w:tc>
        <w:tc>
          <w:tcPr>
            <w:tcW w:w="2249" w:type="dxa"/>
            <w:tcBorders>
              <w:top w:val="single" w:sz="4" w:space="0" w:color="000000"/>
              <w:bottom w:val="single" w:sz="4" w:space="0" w:color="000000"/>
            </w:tcBorders>
          </w:tcPr>
          <w:p w14:paraId="15777FA7" w14:textId="77777777" w:rsidR="007373F6" w:rsidRDefault="00000000">
            <w:pPr>
              <w:spacing w:before="72"/>
              <w:ind w:right="28"/>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Post-IFRS</w:t>
            </w:r>
          </w:p>
          <w:p w14:paraId="2468DA00" w14:textId="77777777" w:rsidR="007373F6" w:rsidRDefault="00000000">
            <w:pPr>
              <w:spacing w:before="72"/>
              <w:ind w:right="28"/>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w:t>
            </w:r>
          </w:p>
        </w:tc>
        <w:tc>
          <w:tcPr>
            <w:tcW w:w="2257" w:type="dxa"/>
            <w:tcBorders>
              <w:top w:val="single" w:sz="4" w:space="0" w:color="000000"/>
              <w:bottom w:val="single" w:sz="4" w:space="0" w:color="000000"/>
            </w:tcBorders>
          </w:tcPr>
          <w:p w14:paraId="657FEB8B" w14:textId="77777777" w:rsidR="007373F6" w:rsidRDefault="00000000">
            <w:pPr>
              <w:spacing w:before="68"/>
              <w:ind w:right="46"/>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Difference</w:t>
            </w:r>
          </w:p>
          <w:p w14:paraId="777C2084" w14:textId="77777777" w:rsidR="007373F6" w:rsidRDefault="00000000">
            <w:pPr>
              <w:spacing w:before="68"/>
              <w:ind w:right="46"/>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 – (a)</w:t>
            </w:r>
          </w:p>
        </w:tc>
        <w:tc>
          <w:tcPr>
            <w:tcW w:w="21" w:type="dxa"/>
            <w:tcBorders>
              <w:bottom w:val="single" w:sz="4" w:space="0" w:color="000000"/>
            </w:tcBorders>
          </w:tcPr>
          <w:p w14:paraId="6FF84CCE" w14:textId="77777777" w:rsidR="007373F6" w:rsidRDefault="007373F6">
            <w:pPr>
              <w:jc w:val="both"/>
              <w:rPr>
                <w:rFonts w:ascii="Times New Roman" w:eastAsia="Times New Roman" w:hAnsi="Times New Roman" w:cs="Times New Roman"/>
                <w:color w:val="000000"/>
                <w:sz w:val="20"/>
                <w:szCs w:val="20"/>
              </w:rPr>
            </w:pPr>
          </w:p>
        </w:tc>
      </w:tr>
      <w:tr w:rsidR="007373F6" w14:paraId="54F1B0DC" w14:textId="77777777">
        <w:trPr>
          <w:trHeight w:val="340"/>
        </w:trPr>
        <w:tc>
          <w:tcPr>
            <w:tcW w:w="2251" w:type="dxa"/>
            <w:tcBorders>
              <w:top w:val="single" w:sz="4" w:space="0" w:color="000000"/>
            </w:tcBorders>
          </w:tcPr>
          <w:p w14:paraId="683CA201" w14:textId="77777777" w:rsidR="007373F6" w:rsidRDefault="00000000">
            <w:pPr>
              <w:spacing w:before="74"/>
              <w:ind w:left="89"/>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IFRS adopters (</w:t>
            </w:r>
            <w:proofErr w:type="spellStart"/>
            <w:r>
              <w:rPr>
                <w:rFonts w:ascii="Times New Roman" w:eastAsia="Times New Roman" w:hAnsi="Times New Roman" w:cs="Times New Roman"/>
                <w:color w:val="000000"/>
                <w:sz w:val="20"/>
                <w:szCs w:val="20"/>
              </w:rPr>
              <w:t>i</w:t>
            </w:r>
            <w:proofErr w:type="spellEnd"/>
            <w:r>
              <w:rPr>
                <w:rFonts w:ascii="Times New Roman" w:eastAsia="Times New Roman" w:hAnsi="Times New Roman" w:cs="Times New Roman"/>
                <w:color w:val="000000"/>
                <w:sz w:val="20"/>
                <w:szCs w:val="20"/>
              </w:rPr>
              <w:t>)</w:t>
            </w:r>
          </w:p>
        </w:tc>
        <w:tc>
          <w:tcPr>
            <w:tcW w:w="2248" w:type="dxa"/>
            <w:tcBorders>
              <w:top w:val="single" w:sz="4" w:space="0" w:color="000000"/>
            </w:tcBorders>
          </w:tcPr>
          <w:p w14:paraId="791FDE05" w14:textId="77777777" w:rsidR="007373F6" w:rsidRDefault="00000000">
            <w:pPr>
              <w:spacing w:before="74"/>
              <w:ind w:right="96"/>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11.2436</w:t>
            </w:r>
          </w:p>
        </w:tc>
        <w:tc>
          <w:tcPr>
            <w:tcW w:w="2249" w:type="dxa"/>
            <w:tcBorders>
              <w:top w:val="single" w:sz="4" w:space="0" w:color="000000"/>
            </w:tcBorders>
          </w:tcPr>
          <w:p w14:paraId="569567F7" w14:textId="77777777" w:rsidR="007373F6" w:rsidRDefault="00000000">
            <w:pPr>
              <w:spacing w:before="74"/>
              <w:ind w:left="96"/>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11.7888</w:t>
            </w:r>
          </w:p>
        </w:tc>
        <w:tc>
          <w:tcPr>
            <w:tcW w:w="2257" w:type="dxa"/>
            <w:tcBorders>
              <w:top w:val="single" w:sz="4" w:space="0" w:color="000000"/>
            </w:tcBorders>
          </w:tcPr>
          <w:p w14:paraId="3CC25C34" w14:textId="77777777" w:rsidR="007373F6" w:rsidRDefault="00000000">
            <w:pPr>
              <w:spacing w:before="74"/>
              <w:ind w:right="50"/>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0.5452 ***</w:t>
            </w:r>
          </w:p>
        </w:tc>
        <w:tc>
          <w:tcPr>
            <w:tcW w:w="21" w:type="dxa"/>
            <w:tcBorders>
              <w:top w:val="single" w:sz="4" w:space="0" w:color="000000"/>
            </w:tcBorders>
          </w:tcPr>
          <w:p w14:paraId="0757F8D5" w14:textId="77777777" w:rsidR="007373F6" w:rsidRDefault="007373F6">
            <w:pPr>
              <w:jc w:val="both"/>
              <w:rPr>
                <w:rFonts w:ascii="Times New Roman" w:eastAsia="Times New Roman" w:hAnsi="Times New Roman" w:cs="Times New Roman"/>
                <w:color w:val="000000"/>
                <w:sz w:val="20"/>
                <w:szCs w:val="20"/>
              </w:rPr>
            </w:pPr>
          </w:p>
        </w:tc>
      </w:tr>
      <w:tr w:rsidR="007373F6" w14:paraId="694AC76C" w14:textId="77777777">
        <w:trPr>
          <w:trHeight w:val="304"/>
        </w:trPr>
        <w:tc>
          <w:tcPr>
            <w:tcW w:w="2251" w:type="dxa"/>
          </w:tcPr>
          <w:p w14:paraId="571ACB93" w14:textId="77777777" w:rsidR="007373F6" w:rsidRDefault="007373F6">
            <w:pPr>
              <w:jc w:val="both"/>
              <w:rPr>
                <w:rFonts w:ascii="Times New Roman" w:eastAsia="Times New Roman" w:hAnsi="Times New Roman" w:cs="Times New Roman"/>
                <w:color w:val="000000"/>
                <w:sz w:val="20"/>
                <w:szCs w:val="20"/>
              </w:rPr>
            </w:pPr>
          </w:p>
        </w:tc>
        <w:tc>
          <w:tcPr>
            <w:tcW w:w="2248" w:type="dxa"/>
          </w:tcPr>
          <w:p w14:paraId="3A00B692" w14:textId="77777777" w:rsidR="007373F6" w:rsidRDefault="00000000">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 = 1,121)</w:t>
            </w:r>
          </w:p>
        </w:tc>
        <w:tc>
          <w:tcPr>
            <w:tcW w:w="2249" w:type="dxa"/>
          </w:tcPr>
          <w:p w14:paraId="4868D5A8" w14:textId="77777777" w:rsidR="007373F6" w:rsidRDefault="00000000">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 = 913)</w:t>
            </w:r>
          </w:p>
        </w:tc>
        <w:tc>
          <w:tcPr>
            <w:tcW w:w="2257" w:type="dxa"/>
          </w:tcPr>
          <w:p w14:paraId="78D966F8" w14:textId="77777777" w:rsidR="007373F6" w:rsidRDefault="00000000">
            <w:pPr>
              <w:spacing w:before="38"/>
              <w:ind w:right="41"/>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(0.000)</w:t>
            </w:r>
          </w:p>
        </w:tc>
        <w:tc>
          <w:tcPr>
            <w:tcW w:w="21" w:type="dxa"/>
          </w:tcPr>
          <w:p w14:paraId="4750293C" w14:textId="77777777" w:rsidR="007373F6" w:rsidRDefault="007373F6">
            <w:pPr>
              <w:jc w:val="both"/>
              <w:rPr>
                <w:rFonts w:ascii="Times New Roman" w:eastAsia="Times New Roman" w:hAnsi="Times New Roman" w:cs="Times New Roman"/>
                <w:color w:val="000000"/>
                <w:sz w:val="20"/>
                <w:szCs w:val="20"/>
              </w:rPr>
            </w:pPr>
          </w:p>
        </w:tc>
      </w:tr>
      <w:tr w:rsidR="007373F6" w14:paraId="510B4A9B" w14:textId="77777777">
        <w:trPr>
          <w:trHeight w:val="304"/>
        </w:trPr>
        <w:tc>
          <w:tcPr>
            <w:tcW w:w="2251" w:type="dxa"/>
          </w:tcPr>
          <w:p w14:paraId="74D17843" w14:textId="77777777" w:rsidR="007373F6" w:rsidRDefault="00000000">
            <w:pPr>
              <w:spacing w:before="38"/>
              <w:ind w:left="89"/>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Matched non-adopters (ii)</w:t>
            </w:r>
          </w:p>
        </w:tc>
        <w:tc>
          <w:tcPr>
            <w:tcW w:w="2248" w:type="dxa"/>
          </w:tcPr>
          <w:p w14:paraId="22FF901D" w14:textId="77777777" w:rsidR="007373F6" w:rsidRDefault="00000000">
            <w:pPr>
              <w:spacing w:before="38"/>
              <w:ind w:right="96"/>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11.4973</w:t>
            </w:r>
          </w:p>
        </w:tc>
        <w:tc>
          <w:tcPr>
            <w:tcW w:w="2249" w:type="dxa"/>
          </w:tcPr>
          <w:p w14:paraId="4148600F" w14:textId="77777777" w:rsidR="007373F6" w:rsidRDefault="00000000">
            <w:pPr>
              <w:spacing w:before="38"/>
              <w:ind w:left="95"/>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12.5744</w:t>
            </w:r>
          </w:p>
        </w:tc>
        <w:tc>
          <w:tcPr>
            <w:tcW w:w="2257" w:type="dxa"/>
          </w:tcPr>
          <w:p w14:paraId="1099E9C8" w14:textId="77777777" w:rsidR="007373F6" w:rsidRDefault="00000000">
            <w:pPr>
              <w:spacing w:before="38"/>
              <w:ind w:right="50"/>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1.0771 ***</w:t>
            </w:r>
          </w:p>
        </w:tc>
        <w:tc>
          <w:tcPr>
            <w:tcW w:w="21" w:type="dxa"/>
          </w:tcPr>
          <w:p w14:paraId="7BAA5852" w14:textId="77777777" w:rsidR="007373F6" w:rsidRDefault="007373F6">
            <w:pPr>
              <w:jc w:val="both"/>
              <w:rPr>
                <w:rFonts w:ascii="Times New Roman" w:eastAsia="Times New Roman" w:hAnsi="Times New Roman" w:cs="Times New Roman"/>
                <w:color w:val="000000"/>
                <w:sz w:val="20"/>
                <w:szCs w:val="20"/>
              </w:rPr>
            </w:pPr>
          </w:p>
        </w:tc>
      </w:tr>
      <w:tr w:rsidR="007373F6" w14:paraId="479FB1A0" w14:textId="77777777">
        <w:trPr>
          <w:trHeight w:val="304"/>
        </w:trPr>
        <w:tc>
          <w:tcPr>
            <w:tcW w:w="2251" w:type="dxa"/>
          </w:tcPr>
          <w:p w14:paraId="393A1039" w14:textId="77777777" w:rsidR="007373F6" w:rsidRDefault="007373F6">
            <w:pPr>
              <w:jc w:val="both"/>
              <w:rPr>
                <w:rFonts w:ascii="Times New Roman" w:eastAsia="Times New Roman" w:hAnsi="Times New Roman" w:cs="Times New Roman"/>
                <w:color w:val="000000"/>
                <w:sz w:val="20"/>
                <w:szCs w:val="20"/>
              </w:rPr>
            </w:pPr>
          </w:p>
        </w:tc>
        <w:tc>
          <w:tcPr>
            <w:tcW w:w="2248" w:type="dxa"/>
          </w:tcPr>
          <w:p w14:paraId="038D347A" w14:textId="77777777" w:rsidR="007373F6" w:rsidRDefault="00000000">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 = 1,113)</w:t>
            </w:r>
          </w:p>
        </w:tc>
        <w:tc>
          <w:tcPr>
            <w:tcW w:w="2249" w:type="dxa"/>
          </w:tcPr>
          <w:p w14:paraId="5B22D0A9" w14:textId="77777777" w:rsidR="007373F6" w:rsidRDefault="00000000">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 = 872)</w:t>
            </w:r>
          </w:p>
        </w:tc>
        <w:tc>
          <w:tcPr>
            <w:tcW w:w="2257" w:type="dxa"/>
          </w:tcPr>
          <w:p w14:paraId="61ABC0E7" w14:textId="77777777" w:rsidR="007373F6" w:rsidRDefault="00000000">
            <w:pPr>
              <w:spacing w:before="38"/>
              <w:ind w:right="41"/>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(0.000)</w:t>
            </w:r>
          </w:p>
        </w:tc>
        <w:tc>
          <w:tcPr>
            <w:tcW w:w="21" w:type="dxa"/>
          </w:tcPr>
          <w:p w14:paraId="15145222" w14:textId="77777777" w:rsidR="007373F6" w:rsidRDefault="007373F6">
            <w:pPr>
              <w:jc w:val="both"/>
              <w:rPr>
                <w:rFonts w:ascii="Times New Roman" w:eastAsia="Times New Roman" w:hAnsi="Times New Roman" w:cs="Times New Roman"/>
                <w:color w:val="000000"/>
                <w:sz w:val="20"/>
                <w:szCs w:val="20"/>
              </w:rPr>
            </w:pPr>
          </w:p>
        </w:tc>
      </w:tr>
      <w:tr w:rsidR="007373F6" w14:paraId="7A5B6353" w14:textId="77777777">
        <w:trPr>
          <w:trHeight w:val="304"/>
        </w:trPr>
        <w:tc>
          <w:tcPr>
            <w:tcW w:w="2251" w:type="dxa"/>
          </w:tcPr>
          <w:p w14:paraId="546E27B5" w14:textId="77777777" w:rsidR="007373F6" w:rsidRDefault="00000000">
            <w:pPr>
              <w:spacing w:before="38"/>
              <w:ind w:left="89"/>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(ii) – (</w:t>
            </w:r>
            <w:proofErr w:type="spellStart"/>
            <w:r>
              <w:rPr>
                <w:rFonts w:ascii="Times New Roman" w:eastAsia="Times New Roman" w:hAnsi="Times New Roman" w:cs="Times New Roman"/>
                <w:color w:val="000000"/>
                <w:sz w:val="20"/>
                <w:szCs w:val="20"/>
              </w:rPr>
              <w:t>i</w:t>
            </w:r>
            <w:proofErr w:type="spellEnd"/>
            <w:r>
              <w:rPr>
                <w:rFonts w:ascii="Times New Roman" w:eastAsia="Times New Roman" w:hAnsi="Times New Roman" w:cs="Times New Roman"/>
                <w:color w:val="000000"/>
                <w:sz w:val="20"/>
                <w:szCs w:val="20"/>
              </w:rPr>
              <w:t>)</w:t>
            </w:r>
          </w:p>
        </w:tc>
        <w:tc>
          <w:tcPr>
            <w:tcW w:w="2248" w:type="dxa"/>
          </w:tcPr>
          <w:p w14:paraId="20F629C4" w14:textId="77777777" w:rsidR="007373F6" w:rsidRDefault="00000000">
            <w:pPr>
              <w:spacing w:before="38"/>
              <w:ind w:right="96"/>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0.2537 **</w:t>
            </w:r>
          </w:p>
        </w:tc>
        <w:tc>
          <w:tcPr>
            <w:tcW w:w="2249" w:type="dxa"/>
          </w:tcPr>
          <w:p w14:paraId="1EAD03F8" w14:textId="77777777" w:rsidR="007373F6" w:rsidRDefault="00000000">
            <w:pPr>
              <w:spacing w:before="38"/>
              <w:ind w:left="95"/>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0.7856 ***</w:t>
            </w:r>
          </w:p>
        </w:tc>
        <w:tc>
          <w:tcPr>
            <w:tcW w:w="2257" w:type="dxa"/>
          </w:tcPr>
          <w:p w14:paraId="6E7E0AAC" w14:textId="77777777" w:rsidR="007373F6" w:rsidRDefault="00000000">
            <w:pPr>
              <w:spacing w:before="38"/>
              <w:ind w:right="50"/>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0.5319</w:t>
            </w:r>
          </w:p>
        </w:tc>
        <w:tc>
          <w:tcPr>
            <w:tcW w:w="21" w:type="dxa"/>
          </w:tcPr>
          <w:p w14:paraId="746C508F" w14:textId="77777777" w:rsidR="007373F6" w:rsidRDefault="007373F6">
            <w:pPr>
              <w:jc w:val="both"/>
              <w:rPr>
                <w:rFonts w:ascii="Times New Roman" w:eastAsia="Times New Roman" w:hAnsi="Times New Roman" w:cs="Times New Roman"/>
                <w:color w:val="000000"/>
                <w:sz w:val="20"/>
                <w:szCs w:val="20"/>
              </w:rPr>
            </w:pPr>
          </w:p>
        </w:tc>
      </w:tr>
      <w:tr w:rsidR="007373F6" w14:paraId="43876D09" w14:textId="77777777">
        <w:trPr>
          <w:trHeight w:val="304"/>
        </w:trPr>
        <w:tc>
          <w:tcPr>
            <w:tcW w:w="2251" w:type="dxa"/>
            <w:tcBorders>
              <w:bottom w:val="single" w:sz="4" w:space="0" w:color="000000"/>
            </w:tcBorders>
          </w:tcPr>
          <w:p w14:paraId="1EFE5E37" w14:textId="77777777" w:rsidR="007373F6" w:rsidRDefault="007373F6">
            <w:pPr>
              <w:jc w:val="both"/>
              <w:rPr>
                <w:rFonts w:ascii="Times New Roman" w:eastAsia="Times New Roman" w:hAnsi="Times New Roman" w:cs="Times New Roman"/>
                <w:color w:val="000000"/>
                <w:sz w:val="20"/>
                <w:szCs w:val="20"/>
              </w:rPr>
            </w:pPr>
          </w:p>
        </w:tc>
        <w:tc>
          <w:tcPr>
            <w:tcW w:w="2248" w:type="dxa"/>
            <w:tcBorders>
              <w:bottom w:val="single" w:sz="4" w:space="0" w:color="000000"/>
            </w:tcBorders>
          </w:tcPr>
          <w:p w14:paraId="1F712F96" w14:textId="77777777" w:rsidR="007373F6" w:rsidRDefault="00000000">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(0.026)</w:t>
            </w:r>
          </w:p>
        </w:tc>
        <w:tc>
          <w:tcPr>
            <w:tcW w:w="2249" w:type="dxa"/>
            <w:tcBorders>
              <w:bottom w:val="single" w:sz="4" w:space="0" w:color="000000"/>
            </w:tcBorders>
          </w:tcPr>
          <w:p w14:paraId="543B4B88" w14:textId="77777777" w:rsidR="007373F6" w:rsidRDefault="00000000">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(0.000)</w:t>
            </w:r>
          </w:p>
        </w:tc>
        <w:tc>
          <w:tcPr>
            <w:tcW w:w="2257" w:type="dxa"/>
            <w:tcBorders>
              <w:bottom w:val="single" w:sz="4" w:space="0" w:color="000000"/>
            </w:tcBorders>
          </w:tcPr>
          <w:p w14:paraId="01CD8989" w14:textId="77777777" w:rsidR="007373F6" w:rsidRDefault="007373F6">
            <w:pPr>
              <w:spacing w:before="38"/>
              <w:ind w:right="41"/>
              <w:jc w:val="both"/>
              <w:rPr>
                <w:rFonts w:ascii="Times New Roman" w:eastAsia="Times New Roman" w:hAnsi="Times New Roman" w:cs="Times New Roman"/>
                <w:color w:val="000000"/>
                <w:sz w:val="20"/>
                <w:szCs w:val="20"/>
              </w:rPr>
            </w:pPr>
          </w:p>
        </w:tc>
        <w:tc>
          <w:tcPr>
            <w:tcW w:w="21" w:type="dxa"/>
          </w:tcPr>
          <w:p w14:paraId="4521FA2D" w14:textId="77777777" w:rsidR="007373F6" w:rsidRDefault="007373F6">
            <w:pPr>
              <w:jc w:val="both"/>
              <w:rPr>
                <w:rFonts w:ascii="Times New Roman" w:eastAsia="Times New Roman" w:hAnsi="Times New Roman" w:cs="Times New Roman"/>
                <w:color w:val="000000"/>
                <w:sz w:val="20"/>
                <w:szCs w:val="20"/>
              </w:rPr>
            </w:pPr>
          </w:p>
        </w:tc>
      </w:tr>
    </w:tbl>
    <w:p w14:paraId="3D6ED733" w14:textId="77777777" w:rsidR="007373F6" w:rsidRDefault="00000000">
      <w:pPr>
        <w:widowControl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 P-values for Welch’s t-test are in parentheses. *** and ** indicate statistical significance at the 1% and 5% levels, respectively.</w:t>
      </w:r>
    </w:p>
    <w:p w14:paraId="60428CB4" w14:textId="77777777" w:rsidR="007373F6" w:rsidRDefault="007373F6">
      <w:pPr>
        <w:pBdr>
          <w:top w:val="nil"/>
          <w:left w:val="nil"/>
          <w:bottom w:val="nil"/>
          <w:right w:val="nil"/>
          <w:between w:val="nil"/>
        </w:pBdr>
        <w:spacing w:before="240" w:after="120" w:line="240" w:lineRule="auto"/>
        <w:jc w:val="both"/>
        <w:rPr>
          <w:rFonts w:ascii="Times New Roman" w:eastAsia="Times New Roman" w:hAnsi="Times New Roman" w:cs="Times New Roman"/>
          <w:color w:val="000000"/>
          <w:sz w:val="24"/>
          <w:szCs w:val="24"/>
          <w:highlight w:val="yellow"/>
        </w:rPr>
      </w:pPr>
    </w:p>
    <w:p w14:paraId="741CB2AC" w14:textId="77777777" w:rsidR="007373F6" w:rsidRDefault="00000000">
      <w:pPr>
        <w:widowControl w:val="0"/>
        <w:tabs>
          <w:tab w:val="left" w:pos="945"/>
        </w:tabs>
        <w:spacing w:after="0" w:line="299"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Table 5: </w:t>
      </w:r>
      <w:r w:rsidRPr="00CA3E0F">
        <w:rPr>
          <w:rFonts w:ascii="Times New Roman" w:eastAsia="Times New Roman" w:hAnsi="Times New Roman" w:cs="Times New Roman"/>
          <w:bCs/>
          <w:color w:val="000000"/>
          <w:sz w:val="24"/>
          <w:szCs w:val="24"/>
        </w:rPr>
        <w:t>Panel data analysis: Foreign shareholders’ ratio estimates</w:t>
      </w:r>
    </w:p>
    <w:p w14:paraId="0BFF7629" w14:textId="77777777" w:rsidR="007373F6" w:rsidRDefault="00000000">
      <w:pPr>
        <w:widowControl w:val="0"/>
        <w:tabs>
          <w:tab w:val="left" w:pos="945"/>
        </w:tabs>
        <w:spacing w:after="0" w:line="299" w:lineRule="auto"/>
        <w:jc w:val="both"/>
        <w:rPr>
          <w:rFonts w:ascii="游明朝" w:eastAsia="游明朝" w:hAnsi="游明朝" w:cs="游明朝"/>
          <w:color w:val="000000"/>
        </w:rPr>
      </w:pPr>
      <w:r>
        <w:rPr>
          <w:rFonts w:ascii="Times New Roman" w:eastAsia="Times New Roman" w:hAnsi="Times New Roman" w:cs="Times New Roman"/>
          <w:b/>
          <w:color w:val="000000"/>
        </w:rPr>
        <w:t xml:space="preserve">Panel A: </w:t>
      </w:r>
      <w:r w:rsidRPr="00CA3E0F">
        <w:rPr>
          <w:rFonts w:ascii="Times New Roman" w:eastAsia="Times New Roman" w:hAnsi="Times New Roman" w:cs="Times New Roman"/>
          <w:bCs/>
          <w:color w:val="000000"/>
        </w:rPr>
        <w:t>Factors associated with foreign shareholders’ ratio</w:t>
      </w:r>
    </w:p>
    <w:tbl>
      <w:tblPr>
        <w:tblStyle w:val="af1"/>
        <w:tblW w:w="5000" w:type="pct"/>
        <w:tblLook w:val="0400" w:firstRow="0" w:lastRow="0" w:firstColumn="0" w:lastColumn="0" w:noHBand="0" w:noVBand="1"/>
      </w:tblPr>
      <w:tblGrid>
        <w:gridCol w:w="1412"/>
        <w:gridCol w:w="781"/>
        <w:gridCol w:w="494"/>
        <w:gridCol w:w="226"/>
        <w:gridCol w:w="791"/>
        <w:gridCol w:w="495"/>
        <w:gridCol w:w="226"/>
        <w:gridCol w:w="807"/>
        <w:gridCol w:w="504"/>
        <w:gridCol w:w="226"/>
        <w:gridCol w:w="226"/>
        <w:gridCol w:w="814"/>
        <w:gridCol w:w="482"/>
        <w:gridCol w:w="226"/>
        <w:gridCol w:w="836"/>
        <w:gridCol w:w="480"/>
      </w:tblGrid>
      <w:tr w:rsidR="007373F6" w14:paraId="14EC3C3D" w14:textId="77777777" w:rsidTr="007008AE">
        <w:trPr>
          <w:trHeight w:val="280"/>
        </w:trPr>
        <w:tc>
          <w:tcPr>
            <w:tcW w:w="783" w:type="pct"/>
            <w:tcBorders>
              <w:left w:val="nil"/>
              <w:bottom w:val="single" w:sz="4" w:space="0" w:color="000000"/>
              <w:right w:val="nil"/>
            </w:tcBorders>
            <w:shd w:val="clear" w:color="auto" w:fill="FFFFFF"/>
          </w:tcPr>
          <w:p w14:paraId="6264B82B" w14:textId="77777777" w:rsidR="007373F6" w:rsidRDefault="007373F6">
            <w:pPr>
              <w:spacing w:after="0" w:line="240" w:lineRule="auto"/>
              <w:jc w:val="both"/>
              <w:rPr>
                <w:rFonts w:ascii="游明朝" w:eastAsia="游明朝" w:hAnsi="游明朝" w:cs="游明朝"/>
                <w:color w:val="000000"/>
                <w:sz w:val="20"/>
                <w:szCs w:val="20"/>
              </w:rPr>
            </w:pPr>
          </w:p>
        </w:tc>
        <w:tc>
          <w:tcPr>
            <w:tcW w:w="433" w:type="pct"/>
            <w:tcBorders>
              <w:left w:val="nil"/>
              <w:bottom w:val="single" w:sz="4" w:space="0" w:color="000000"/>
              <w:right w:val="nil"/>
            </w:tcBorders>
            <w:shd w:val="clear" w:color="auto" w:fill="FFFFFF"/>
          </w:tcPr>
          <w:p w14:paraId="4CFA2914"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40"/>
                <w:id w:val="270823079"/>
              </w:sdtPr>
              <w:sdtContent>
                <w:r>
                  <w:rPr>
                    <w:rFonts w:ascii="Arial Unicode MS" w:eastAsia="Arial Unicode MS" w:hAnsi="Arial Unicode MS" w:cs="Arial Unicode MS"/>
                    <w:color w:val="000000"/>
                    <w:sz w:val="20"/>
                    <w:szCs w:val="20"/>
                  </w:rPr>
                  <w:t xml:space="preserve">　</w:t>
                </w:r>
              </w:sdtContent>
            </w:sdt>
          </w:p>
        </w:tc>
        <w:tc>
          <w:tcPr>
            <w:tcW w:w="274" w:type="pct"/>
            <w:tcBorders>
              <w:left w:val="nil"/>
              <w:bottom w:val="single" w:sz="4" w:space="0" w:color="000000"/>
              <w:right w:val="nil"/>
            </w:tcBorders>
            <w:shd w:val="clear" w:color="auto" w:fill="FFFFFF"/>
          </w:tcPr>
          <w:p w14:paraId="3406CDD7"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41"/>
                <w:id w:val="-1130492174"/>
              </w:sdtPr>
              <w:sdtContent>
                <w:r>
                  <w:rPr>
                    <w:rFonts w:ascii="Arial Unicode MS" w:eastAsia="Arial Unicode MS" w:hAnsi="Arial Unicode MS" w:cs="Arial Unicode MS"/>
                    <w:color w:val="000000"/>
                    <w:sz w:val="20"/>
                    <w:szCs w:val="20"/>
                  </w:rPr>
                  <w:t xml:space="preserve">　</w:t>
                </w:r>
              </w:sdtContent>
            </w:sdt>
          </w:p>
        </w:tc>
        <w:tc>
          <w:tcPr>
            <w:tcW w:w="125" w:type="pct"/>
            <w:tcBorders>
              <w:left w:val="nil"/>
              <w:bottom w:val="single" w:sz="4" w:space="0" w:color="000000"/>
              <w:right w:val="nil"/>
            </w:tcBorders>
            <w:shd w:val="clear" w:color="auto" w:fill="FFFFFF"/>
          </w:tcPr>
          <w:p w14:paraId="04138853"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42"/>
                <w:id w:val="1750567488"/>
              </w:sdtPr>
              <w:sdtContent>
                <w:r>
                  <w:rPr>
                    <w:rFonts w:ascii="Arial Unicode MS" w:eastAsia="Arial Unicode MS" w:hAnsi="Arial Unicode MS" w:cs="Arial Unicode MS"/>
                    <w:color w:val="000000"/>
                    <w:sz w:val="20"/>
                    <w:szCs w:val="20"/>
                  </w:rPr>
                  <w:t xml:space="preserve">　</w:t>
                </w:r>
              </w:sdtContent>
            </w:sdt>
          </w:p>
        </w:tc>
        <w:tc>
          <w:tcPr>
            <w:tcW w:w="438" w:type="pct"/>
            <w:tcBorders>
              <w:left w:val="nil"/>
              <w:bottom w:val="single" w:sz="4" w:space="0" w:color="000000"/>
              <w:right w:val="nil"/>
            </w:tcBorders>
            <w:shd w:val="clear" w:color="auto" w:fill="FFFFFF"/>
          </w:tcPr>
          <w:p w14:paraId="7C619C1C"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43"/>
                <w:id w:val="1223626745"/>
              </w:sdtPr>
              <w:sdtContent>
                <w:r>
                  <w:rPr>
                    <w:rFonts w:ascii="Arial Unicode MS" w:eastAsia="Arial Unicode MS" w:hAnsi="Arial Unicode MS" w:cs="Arial Unicode MS"/>
                    <w:color w:val="000000"/>
                    <w:sz w:val="20"/>
                    <w:szCs w:val="20"/>
                  </w:rPr>
                  <w:t xml:space="preserve">　</w:t>
                </w:r>
              </w:sdtContent>
            </w:sdt>
          </w:p>
        </w:tc>
        <w:tc>
          <w:tcPr>
            <w:tcW w:w="274" w:type="pct"/>
            <w:tcBorders>
              <w:left w:val="nil"/>
              <w:bottom w:val="single" w:sz="4" w:space="0" w:color="000000"/>
              <w:right w:val="nil"/>
            </w:tcBorders>
            <w:shd w:val="clear" w:color="auto" w:fill="FFFFFF"/>
          </w:tcPr>
          <w:p w14:paraId="47AED4B5"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44"/>
                <w:id w:val="-314330257"/>
              </w:sdtPr>
              <w:sdtContent>
                <w:r>
                  <w:rPr>
                    <w:rFonts w:ascii="Arial Unicode MS" w:eastAsia="Arial Unicode MS" w:hAnsi="Arial Unicode MS" w:cs="Arial Unicode MS"/>
                    <w:color w:val="000000"/>
                    <w:sz w:val="20"/>
                    <w:szCs w:val="20"/>
                  </w:rPr>
                  <w:t xml:space="preserve">　</w:t>
                </w:r>
              </w:sdtContent>
            </w:sdt>
          </w:p>
        </w:tc>
        <w:tc>
          <w:tcPr>
            <w:tcW w:w="125" w:type="pct"/>
            <w:tcBorders>
              <w:left w:val="nil"/>
              <w:bottom w:val="single" w:sz="4" w:space="0" w:color="000000"/>
              <w:right w:val="nil"/>
            </w:tcBorders>
            <w:shd w:val="clear" w:color="auto" w:fill="FFFFFF"/>
          </w:tcPr>
          <w:p w14:paraId="19230B62"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45"/>
                <w:id w:val="-181675352"/>
              </w:sdtPr>
              <w:sdtContent>
                <w:r>
                  <w:rPr>
                    <w:rFonts w:ascii="Arial Unicode MS" w:eastAsia="Arial Unicode MS" w:hAnsi="Arial Unicode MS" w:cs="Arial Unicode MS"/>
                    <w:color w:val="000000"/>
                    <w:sz w:val="20"/>
                    <w:szCs w:val="20"/>
                  </w:rPr>
                  <w:t xml:space="preserve">　</w:t>
                </w:r>
              </w:sdtContent>
            </w:sdt>
          </w:p>
        </w:tc>
        <w:tc>
          <w:tcPr>
            <w:tcW w:w="447" w:type="pct"/>
            <w:tcBorders>
              <w:left w:val="nil"/>
              <w:bottom w:val="single" w:sz="4" w:space="0" w:color="000000"/>
              <w:right w:val="nil"/>
            </w:tcBorders>
            <w:shd w:val="clear" w:color="auto" w:fill="FFFFFF"/>
          </w:tcPr>
          <w:p w14:paraId="70786A18"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46"/>
                <w:id w:val="-1251173740"/>
              </w:sdtPr>
              <w:sdtContent>
                <w:r>
                  <w:rPr>
                    <w:rFonts w:ascii="Arial Unicode MS" w:eastAsia="Arial Unicode MS" w:hAnsi="Arial Unicode MS" w:cs="Arial Unicode MS"/>
                    <w:color w:val="000000"/>
                    <w:sz w:val="20"/>
                    <w:szCs w:val="20"/>
                  </w:rPr>
                  <w:t xml:space="preserve">　</w:t>
                </w:r>
              </w:sdtContent>
            </w:sdt>
          </w:p>
        </w:tc>
        <w:tc>
          <w:tcPr>
            <w:tcW w:w="279" w:type="pct"/>
            <w:tcBorders>
              <w:left w:val="nil"/>
              <w:bottom w:val="single" w:sz="4" w:space="0" w:color="000000"/>
              <w:right w:val="nil"/>
            </w:tcBorders>
            <w:shd w:val="clear" w:color="auto" w:fill="FFFFFF"/>
          </w:tcPr>
          <w:p w14:paraId="568AFD19"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47"/>
                <w:id w:val="-452577576"/>
              </w:sdtPr>
              <w:sdtContent>
                <w:r>
                  <w:rPr>
                    <w:rFonts w:ascii="Arial Unicode MS" w:eastAsia="Arial Unicode MS" w:hAnsi="Arial Unicode MS" w:cs="Arial Unicode MS"/>
                    <w:color w:val="000000"/>
                    <w:sz w:val="20"/>
                    <w:szCs w:val="20"/>
                  </w:rPr>
                  <w:t xml:space="preserve">　</w:t>
                </w:r>
              </w:sdtContent>
            </w:sdt>
          </w:p>
        </w:tc>
        <w:tc>
          <w:tcPr>
            <w:tcW w:w="125" w:type="pct"/>
            <w:tcBorders>
              <w:left w:val="nil"/>
              <w:bottom w:val="single" w:sz="4" w:space="0" w:color="000000"/>
              <w:right w:val="nil"/>
            </w:tcBorders>
            <w:shd w:val="clear" w:color="auto" w:fill="FFFFFF"/>
          </w:tcPr>
          <w:p w14:paraId="2D1C94F4" w14:textId="77777777" w:rsidR="007373F6" w:rsidRDefault="007373F6">
            <w:pPr>
              <w:spacing w:after="0" w:line="240" w:lineRule="auto"/>
              <w:jc w:val="both"/>
              <w:rPr>
                <w:rFonts w:ascii="Times New Roman" w:eastAsia="Times New Roman" w:hAnsi="Times New Roman" w:cs="Times New Roman"/>
                <w:color w:val="000000"/>
                <w:sz w:val="20"/>
                <w:szCs w:val="20"/>
              </w:rPr>
            </w:pPr>
          </w:p>
        </w:tc>
        <w:tc>
          <w:tcPr>
            <w:tcW w:w="125" w:type="pct"/>
            <w:tcBorders>
              <w:left w:val="nil"/>
              <w:bottom w:val="single" w:sz="4" w:space="0" w:color="000000"/>
              <w:right w:val="nil"/>
            </w:tcBorders>
            <w:shd w:val="clear" w:color="auto" w:fill="FFFFFF"/>
          </w:tcPr>
          <w:p w14:paraId="3C8B2B8F"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48"/>
                <w:id w:val="439559287"/>
              </w:sdtPr>
              <w:sdtContent>
                <w:r>
                  <w:rPr>
                    <w:rFonts w:ascii="Arial Unicode MS" w:eastAsia="Arial Unicode MS" w:hAnsi="Arial Unicode MS" w:cs="Arial Unicode MS"/>
                    <w:color w:val="000000"/>
                    <w:sz w:val="20"/>
                    <w:szCs w:val="20"/>
                  </w:rPr>
                  <w:t xml:space="preserve">　</w:t>
                </w:r>
              </w:sdtContent>
            </w:sdt>
          </w:p>
        </w:tc>
        <w:tc>
          <w:tcPr>
            <w:tcW w:w="451" w:type="pct"/>
            <w:tcBorders>
              <w:left w:val="nil"/>
              <w:bottom w:val="single" w:sz="4" w:space="0" w:color="000000"/>
              <w:right w:val="nil"/>
            </w:tcBorders>
            <w:shd w:val="clear" w:color="auto" w:fill="FFFFFF"/>
          </w:tcPr>
          <w:p w14:paraId="4212DB66" w14:textId="77777777" w:rsidR="007373F6" w:rsidRDefault="007373F6">
            <w:pPr>
              <w:spacing w:after="0" w:line="240" w:lineRule="auto"/>
              <w:jc w:val="both"/>
              <w:rPr>
                <w:rFonts w:ascii="Times New Roman" w:eastAsia="Times New Roman" w:hAnsi="Times New Roman" w:cs="Times New Roman"/>
                <w:color w:val="000000"/>
                <w:sz w:val="20"/>
                <w:szCs w:val="20"/>
              </w:rPr>
            </w:pPr>
          </w:p>
        </w:tc>
        <w:tc>
          <w:tcPr>
            <w:tcW w:w="267" w:type="pct"/>
            <w:tcBorders>
              <w:left w:val="nil"/>
              <w:bottom w:val="single" w:sz="4" w:space="0" w:color="000000"/>
              <w:right w:val="nil"/>
            </w:tcBorders>
            <w:shd w:val="clear" w:color="auto" w:fill="FFFFFF"/>
          </w:tcPr>
          <w:p w14:paraId="6877B8B6" w14:textId="77777777" w:rsidR="007373F6" w:rsidRDefault="007373F6">
            <w:pPr>
              <w:spacing w:after="0" w:line="240" w:lineRule="auto"/>
              <w:jc w:val="both"/>
              <w:rPr>
                <w:rFonts w:ascii="Times New Roman" w:eastAsia="Times New Roman" w:hAnsi="Times New Roman" w:cs="Times New Roman"/>
                <w:color w:val="000000"/>
                <w:sz w:val="20"/>
                <w:szCs w:val="20"/>
              </w:rPr>
            </w:pPr>
          </w:p>
        </w:tc>
        <w:tc>
          <w:tcPr>
            <w:tcW w:w="125" w:type="pct"/>
            <w:tcBorders>
              <w:left w:val="nil"/>
              <w:bottom w:val="single" w:sz="4" w:space="0" w:color="000000"/>
              <w:right w:val="nil"/>
            </w:tcBorders>
            <w:shd w:val="clear" w:color="auto" w:fill="FFFFFF"/>
          </w:tcPr>
          <w:p w14:paraId="53F60418" w14:textId="77777777" w:rsidR="007373F6" w:rsidRDefault="007373F6">
            <w:pPr>
              <w:spacing w:after="0" w:line="240" w:lineRule="auto"/>
              <w:jc w:val="both"/>
              <w:rPr>
                <w:rFonts w:ascii="Times New Roman" w:eastAsia="Times New Roman" w:hAnsi="Times New Roman" w:cs="Times New Roman"/>
                <w:color w:val="000000"/>
                <w:sz w:val="20"/>
                <w:szCs w:val="20"/>
              </w:rPr>
            </w:pPr>
          </w:p>
        </w:tc>
        <w:tc>
          <w:tcPr>
            <w:tcW w:w="463" w:type="pct"/>
            <w:tcBorders>
              <w:left w:val="nil"/>
              <w:bottom w:val="single" w:sz="4" w:space="0" w:color="000000"/>
              <w:right w:val="nil"/>
            </w:tcBorders>
            <w:shd w:val="clear" w:color="auto" w:fill="FFFFFF"/>
          </w:tcPr>
          <w:p w14:paraId="2007EEBA"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49"/>
                <w:id w:val="1074457046"/>
              </w:sdtPr>
              <w:sdtContent>
                <w:r>
                  <w:rPr>
                    <w:rFonts w:ascii="Arial Unicode MS" w:eastAsia="Arial Unicode MS" w:hAnsi="Arial Unicode MS" w:cs="Arial Unicode MS"/>
                    <w:color w:val="000000"/>
                    <w:sz w:val="20"/>
                    <w:szCs w:val="20"/>
                  </w:rPr>
                  <w:t xml:space="preserve">　</w:t>
                </w:r>
              </w:sdtContent>
            </w:sdt>
          </w:p>
        </w:tc>
        <w:tc>
          <w:tcPr>
            <w:tcW w:w="267" w:type="pct"/>
            <w:tcBorders>
              <w:left w:val="nil"/>
              <w:bottom w:val="single" w:sz="4" w:space="0" w:color="000000"/>
              <w:right w:val="nil"/>
            </w:tcBorders>
            <w:shd w:val="clear" w:color="auto" w:fill="FFFFFF"/>
          </w:tcPr>
          <w:p w14:paraId="6B5E1F86"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50"/>
                <w:id w:val="1015394814"/>
              </w:sdtPr>
              <w:sdtContent>
                <w:r>
                  <w:rPr>
                    <w:rFonts w:ascii="Arial Unicode MS" w:eastAsia="Arial Unicode MS" w:hAnsi="Arial Unicode MS" w:cs="Arial Unicode MS"/>
                    <w:color w:val="000000"/>
                    <w:sz w:val="20"/>
                    <w:szCs w:val="20"/>
                  </w:rPr>
                  <w:t xml:space="preserve">　</w:t>
                </w:r>
              </w:sdtContent>
            </w:sdt>
          </w:p>
        </w:tc>
      </w:tr>
      <w:tr w:rsidR="007373F6" w14:paraId="2177AAAC" w14:textId="77777777" w:rsidTr="007008AE">
        <w:trPr>
          <w:trHeight w:val="280"/>
        </w:trPr>
        <w:tc>
          <w:tcPr>
            <w:tcW w:w="2052" w:type="pct"/>
            <w:gridSpan w:val="5"/>
            <w:tcBorders>
              <w:left w:val="nil"/>
              <w:right w:val="nil"/>
            </w:tcBorders>
            <w:shd w:val="clear" w:color="auto" w:fill="FFFFFF"/>
            <w:vAlign w:val="center"/>
          </w:tcPr>
          <w:p w14:paraId="45CF9AA5"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Dependent variable =</w:t>
            </w:r>
            <w:r>
              <w:rPr>
                <w:rFonts w:ascii="游明朝" w:eastAsia="游明朝" w:hAnsi="游明朝" w:cs="游明朝"/>
                <w:color w:val="000000"/>
                <w:sz w:val="21"/>
                <w:szCs w:val="21"/>
              </w:rPr>
              <w:t xml:space="preserve"> </w:t>
            </w:r>
            <w:r>
              <w:rPr>
                <w:rFonts w:ascii="Times New Roman" w:eastAsia="Times New Roman" w:hAnsi="Times New Roman" w:cs="Times New Roman"/>
                <w:color w:val="000000"/>
                <w:sz w:val="18"/>
                <w:szCs w:val="18"/>
              </w:rPr>
              <w:t>FOREIGN HELD</w:t>
            </w:r>
          </w:p>
        </w:tc>
        <w:tc>
          <w:tcPr>
            <w:tcW w:w="274" w:type="pct"/>
            <w:tcBorders>
              <w:left w:val="nil"/>
              <w:right w:val="nil"/>
            </w:tcBorders>
            <w:shd w:val="clear" w:color="auto" w:fill="FFFFFF"/>
          </w:tcPr>
          <w:p w14:paraId="486C8568"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51"/>
                <w:id w:val="-1706608978"/>
              </w:sdtPr>
              <w:sdtContent>
                <w:r>
                  <w:rPr>
                    <w:rFonts w:ascii="Arial Unicode MS" w:eastAsia="Arial Unicode MS" w:hAnsi="Arial Unicode MS" w:cs="Arial Unicode MS"/>
                    <w:color w:val="000000"/>
                    <w:sz w:val="18"/>
                    <w:szCs w:val="18"/>
                  </w:rPr>
                  <w:t xml:space="preserve">　</w:t>
                </w:r>
              </w:sdtContent>
            </w:sdt>
          </w:p>
        </w:tc>
        <w:tc>
          <w:tcPr>
            <w:tcW w:w="125" w:type="pct"/>
            <w:tcBorders>
              <w:left w:val="nil"/>
              <w:right w:val="nil"/>
            </w:tcBorders>
            <w:shd w:val="clear" w:color="auto" w:fill="FFFFFF"/>
          </w:tcPr>
          <w:p w14:paraId="0646BBFB"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52"/>
                <w:id w:val="-582634864"/>
              </w:sdtPr>
              <w:sdtContent>
                <w:r>
                  <w:rPr>
                    <w:rFonts w:ascii="Arial Unicode MS" w:eastAsia="Arial Unicode MS" w:hAnsi="Arial Unicode MS" w:cs="Arial Unicode MS"/>
                    <w:color w:val="000000"/>
                    <w:sz w:val="18"/>
                    <w:szCs w:val="18"/>
                  </w:rPr>
                  <w:t xml:space="preserve">　</w:t>
                </w:r>
              </w:sdtContent>
            </w:sdt>
          </w:p>
        </w:tc>
        <w:tc>
          <w:tcPr>
            <w:tcW w:w="447" w:type="pct"/>
            <w:tcBorders>
              <w:left w:val="nil"/>
              <w:right w:val="nil"/>
            </w:tcBorders>
            <w:shd w:val="clear" w:color="auto" w:fill="FFFFFF"/>
          </w:tcPr>
          <w:p w14:paraId="62A62D73"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53"/>
                <w:id w:val="-551845955"/>
              </w:sdtPr>
              <w:sdtContent>
                <w:r>
                  <w:rPr>
                    <w:rFonts w:ascii="Arial Unicode MS" w:eastAsia="Arial Unicode MS" w:hAnsi="Arial Unicode MS" w:cs="Arial Unicode MS"/>
                    <w:color w:val="000000"/>
                    <w:sz w:val="18"/>
                    <w:szCs w:val="18"/>
                  </w:rPr>
                  <w:t xml:space="preserve">　</w:t>
                </w:r>
              </w:sdtContent>
            </w:sdt>
          </w:p>
        </w:tc>
        <w:tc>
          <w:tcPr>
            <w:tcW w:w="279" w:type="pct"/>
            <w:tcBorders>
              <w:left w:val="nil"/>
              <w:right w:val="nil"/>
            </w:tcBorders>
            <w:shd w:val="clear" w:color="auto" w:fill="FFFFFF"/>
          </w:tcPr>
          <w:p w14:paraId="1C2A877F"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54"/>
                <w:id w:val="898023678"/>
              </w:sdtPr>
              <w:sdtContent>
                <w:r>
                  <w:rPr>
                    <w:rFonts w:ascii="Arial Unicode MS" w:eastAsia="Arial Unicode MS" w:hAnsi="Arial Unicode MS" w:cs="Arial Unicode MS"/>
                    <w:color w:val="000000"/>
                    <w:sz w:val="18"/>
                    <w:szCs w:val="18"/>
                  </w:rPr>
                  <w:t xml:space="preserve">　</w:t>
                </w:r>
              </w:sdtContent>
            </w:sdt>
          </w:p>
        </w:tc>
        <w:tc>
          <w:tcPr>
            <w:tcW w:w="125" w:type="pct"/>
            <w:tcBorders>
              <w:left w:val="nil"/>
              <w:right w:val="nil"/>
            </w:tcBorders>
            <w:shd w:val="clear" w:color="auto" w:fill="FFFFFF"/>
          </w:tcPr>
          <w:p w14:paraId="269CCA2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680360A0"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55"/>
                <w:id w:val="1136849185"/>
              </w:sdtPr>
              <w:sdtContent>
                <w:r>
                  <w:rPr>
                    <w:rFonts w:ascii="Arial Unicode MS" w:eastAsia="Arial Unicode MS" w:hAnsi="Arial Unicode MS" w:cs="Arial Unicode MS"/>
                    <w:color w:val="000000"/>
                    <w:sz w:val="18"/>
                    <w:szCs w:val="18"/>
                  </w:rPr>
                  <w:t xml:space="preserve">　</w:t>
                </w:r>
              </w:sdtContent>
            </w:sdt>
          </w:p>
        </w:tc>
        <w:tc>
          <w:tcPr>
            <w:tcW w:w="451" w:type="pct"/>
            <w:tcBorders>
              <w:left w:val="nil"/>
              <w:right w:val="nil"/>
            </w:tcBorders>
            <w:shd w:val="clear" w:color="auto" w:fill="FFFFFF"/>
          </w:tcPr>
          <w:p w14:paraId="649ED80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67" w:type="pct"/>
            <w:tcBorders>
              <w:left w:val="nil"/>
              <w:right w:val="nil"/>
            </w:tcBorders>
            <w:shd w:val="clear" w:color="auto" w:fill="FFFFFF"/>
          </w:tcPr>
          <w:p w14:paraId="3CD17E3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4BE32A3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64D768F4"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56"/>
                <w:id w:val="1649135585"/>
              </w:sdtPr>
              <w:sdtContent>
                <w:r>
                  <w:rPr>
                    <w:rFonts w:ascii="Arial Unicode MS" w:eastAsia="Arial Unicode MS" w:hAnsi="Arial Unicode MS" w:cs="Arial Unicode MS"/>
                    <w:color w:val="000000"/>
                    <w:sz w:val="18"/>
                    <w:szCs w:val="18"/>
                  </w:rPr>
                  <w:t xml:space="preserve">　</w:t>
                </w:r>
              </w:sdtContent>
            </w:sdt>
          </w:p>
        </w:tc>
        <w:tc>
          <w:tcPr>
            <w:tcW w:w="267" w:type="pct"/>
            <w:tcBorders>
              <w:left w:val="nil"/>
              <w:right w:val="nil"/>
            </w:tcBorders>
            <w:shd w:val="clear" w:color="auto" w:fill="FFFFFF"/>
          </w:tcPr>
          <w:p w14:paraId="36E244D7"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57"/>
                <w:id w:val="-1120775353"/>
              </w:sdtPr>
              <w:sdtContent>
                <w:r>
                  <w:rPr>
                    <w:rFonts w:ascii="Arial Unicode MS" w:eastAsia="Arial Unicode MS" w:hAnsi="Arial Unicode MS" w:cs="Arial Unicode MS"/>
                    <w:color w:val="000000"/>
                    <w:sz w:val="18"/>
                    <w:szCs w:val="18"/>
                  </w:rPr>
                  <w:t xml:space="preserve">　</w:t>
                </w:r>
              </w:sdtContent>
            </w:sdt>
          </w:p>
        </w:tc>
      </w:tr>
      <w:tr w:rsidR="007373F6" w14:paraId="0C488607" w14:textId="77777777" w:rsidTr="007008AE">
        <w:trPr>
          <w:trHeight w:val="280"/>
        </w:trPr>
        <w:tc>
          <w:tcPr>
            <w:tcW w:w="783" w:type="pct"/>
            <w:tcBorders>
              <w:left w:val="nil"/>
              <w:bottom w:val="single" w:sz="4" w:space="0" w:color="000000"/>
              <w:right w:val="nil"/>
            </w:tcBorders>
            <w:shd w:val="clear" w:color="auto" w:fill="FFFFFF"/>
          </w:tcPr>
          <w:p w14:paraId="06DB55A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OLS Regression</w:t>
            </w:r>
          </w:p>
        </w:tc>
        <w:tc>
          <w:tcPr>
            <w:tcW w:w="433" w:type="pct"/>
            <w:tcBorders>
              <w:top w:val="single" w:sz="4" w:space="0" w:color="000000"/>
              <w:left w:val="nil"/>
              <w:bottom w:val="single" w:sz="4" w:space="0" w:color="000000"/>
              <w:right w:val="nil"/>
            </w:tcBorders>
            <w:shd w:val="clear" w:color="auto" w:fill="FFFFFF"/>
            <w:vAlign w:val="center"/>
          </w:tcPr>
          <w:p w14:paraId="277211A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274" w:type="pct"/>
            <w:tcBorders>
              <w:top w:val="single" w:sz="4" w:space="0" w:color="000000"/>
              <w:left w:val="nil"/>
              <w:bottom w:val="single" w:sz="4" w:space="0" w:color="000000"/>
              <w:right w:val="nil"/>
            </w:tcBorders>
            <w:shd w:val="clear" w:color="auto" w:fill="FFFFFF"/>
          </w:tcPr>
          <w:p w14:paraId="5E1D1F85"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58"/>
                <w:id w:val="-290771904"/>
              </w:sdtPr>
              <w:sdtContent>
                <w:r>
                  <w:rPr>
                    <w:rFonts w:ascii="Arial Unicode MS" w:eastAsia="Arial Unicode MS" w:hAnsi="Arial Unicode MS" w:cs="Arial Unicode MS"/>
                    <w:color w:val="000000"/>
                    <w:sz w:val="18"/>
                    <w:szCs w:val="18"/>
                  </w:rPr>
                  <w:t xml:space="preserve">　</w:t>
                </w:r>
              </w:sdtContent>
            </w:sdt>
          </w:p>
        </w:tc>
        <w:tc>
          <w:tcPr>
            <w:tcW w:w="125" w:type="pct"/>
            <w:tcBorders>
              <w:top w:val="single" w:sz="4" w:space="0" w:color="000000"/>
              <w:left w:val="nil"/>
              <w:bottom w:val="single" w:sz="4" w:space="0" w:color="000000"/>
              <w:right w:val="nil"/>
            </w:tcBorders>
            <w:shd w:val="clear" w:color="auto" w:fill="FFFFFF"/>
          </w:tcPr>
          <w:p w14:paraId="1E4F0CF5"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59"/>
                <w:id w:val="-1972474849"/>
              </w:sdtPr>
              <w:sdtContent>
                <w:r>
                  <w:rPr>
                    <w:rFonts w:ascii="Arial Unicode MS" w:eastAsia="Arial Unicode MS" w:hAnsi="Arial Unicode MS" w:cs="Arial Unicode MS"/>
                    <w:color w:val="000000"/>
                    <w:sz w:val="18"/>
                    <w:szCs w:val="18"/>
                  </w:rPr>
                  <w:t xml:space="preserve">　</w:t>
                </w:r>
              </w:sdtContent>
            </w:sdt>
          </w:p>
        </w:tc>
        <w:tc>
          <w:tcPr>
            <w:tcW w:w="438" w:type="pct"/>
            <w:tcBorders>
              <w:top w:val="single" w:sz="4" w:space="0" w:color="000000"/>
              <w:left w:val="nil"/>
              <w:bottom w:val="single" w:sz="4" w:space="0" w:color="000000"/>
              <w:right w:val="nil"/>
            </w:tcBorders>
            <w:shd w:val="clear" w:color="auto" w:fill="FFFFFF"/>
            <w:vAlign w:val="center"/>
          </w:tcPr>
          <w:p w14:paraId="59B0CC1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274" w:type="pct"/>
            <w:tcBorders>
              <w:top w:val="single" w:sz="4" w:space="0" w:color="000000"/>
              <w:left w:val="nil"/>
              <w:bottom w:val="single" w:sz="4" w:space="0" w:color="000000"/>
              <w:right w:val="nil"/>
            </w:tcBorders>
            <w:shd w:val="clear" w:color="auto" w:fill="FFFFFF"/>
          </w:tcPr>
          <w:p w14:paraId="6E92C4A7"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60"/>
                <w:id w:val="-964011850"/>
              </w:sdtPr>
              <w:sdtContent>
                <w:r>
                  <w:rPr>
                    <w:rFonts w:ascii="Arial Unicode MS" w:eastAsia="Arial Unicode MS" w:hAnsi="Arial Unicode MS" w:cs="Arial Unicode MS"/>
                    <w:color w:val="000000"/>
                    <w:sz w:val="18"/>
                    <w:szCs w:val="18"/>
                  </w:rPr>
                  <w:t xml:space="preserve">　</w:t>
                </w:r>
              </w:sdtContent>
            </w:sdt>
          </w:p>
        </w:tc>
        <w:tc>
          <w:tcPr>
            <w:tcW w:w="125" w:type="pct"/>
            <w:tcBorders>
              <w:top w:val="single" w:sz="4" w:space="0" w:color="000000"/>
              <w:left w:val="nil"/>
              <w:bottom w:val="single" w:sz="4" w:space="0" w:color="000000"/>
              <w:right w:val="nil"/>
            </w:tcBorders>
            <w:shd w:val="clear" w:color="auto" w:fill="FFFFFF"/>
          </w:tcPr>
          <w:p w14:paraId="0F8F3840"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61"/>
                <w:id w:val="-1415802139"/>
              </w:sdtPr>
              <w:sdtContent>
                <w:r>
                  <w:rPr>
                    <w:rFonts w:ascii="Arial Unicode MS" w:eastAsia="Arial Unicode MS" w:hAnsi="Arial Unicode MS" w:cs="Arial Unicode MS"/>
                    <w:color w:val="000000"/>
                    <w:sz w:val="18"/>
                    <w:szCs w:val="18"/>
                  </w:rPr>
                  <w:t xml:space="preserve">　</w:t>
                </w:r>
              </w:sdtContent>
            </w:sdt>
          </w:p>
        </w:tc>
        <w:tc>
          <w:tcPr>
            <w:tcW w:w="447" w:type="pct"/>
            <w:tcBorders>
              <w:top w:val="single" w:sz="4" w:space="0" w:color="000000"/>
              <w:left w:val="nil"/>
              <w:bottom w:val="single" w:sz="4" w:space="0" w:color="000000"/>
              <w:right w:val="nil"/>
            </w:tcBorders>
            <w:shd w:val="clear" w:color="auto" w:fill="FFFFFF"/>
            <w:vAlign w:val="center"/>
          </w:tcPr>
          <w:p w14:paraId="046DB33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p>
        </w:tc>
        <w:tc>
          <w:tcPr>
            <w:tcW w:w="279" w:type="pct"/>
            <w:tcBorders>
              <w:top w:val="single" w:sz="4" w:space="0" w:color="000000"/>
              <w:left w:val="nil"/>
              <w:bottom w:val="single" w:sz="4" w:space="0" w:color="000000"/>
              <w:right w:val="nil"/>
            </w:tcBorders>
            <w:shd w:val="clear" w:color="auto" w:fill="FFFFFF"/>
          </w:tcPr>
          <w:p w14:paraId="7F80EEC9"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62"/>
                <w:id w:val="1605304484"/>
              </w:sdtPr>
              <w:sdtContent>
                <w:r>
                  <w:rPr>
                    <w:rFonts w:ascii="Arial Unicode MS" w:eastAsia="Arial Unicode MS" w:hAnsi="Arial Unicode MS" w:cs="Arial Unicode MS"/>
                    <w:color w:val="000000"/>
                    <w:sz w:val="18"/>
                    <w:szCs w:val="18"/>
                  </w:rPr>
                  <w:t xml:space="preserve">　</w:t>
                </w:r>
              </w:sdtContent>
            </w:sdt>
          </w:p>
        </w:tc>
        <w:tc>
          <w:tcPr>
            <w:tcW w:w="125" w:type="pct"/>
            <w:tcBorders>
              <w:top w:val="single" w:sz="4" w:space="0" w:color="000000"/>
              <w:left w:val="nil"/>
              <w:bottom w:val="single" w:sz="4" w:space="0" w:color="000000"/>
              <w:right w:val="nil"/>
            </w:tcBorders>
            <w:shd w:val="clear" w:color="auto" w:fill="FFFFFF"/>
          </w:tcPr>
          <w:p w14:paraId="1055A2D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top w:val="single" w:sz="4" w:space="0" w:color="000000"/>
              <w:left w:val="nil"/>
              <w:bottom w:val="single" w:sz="4" w:space="0" w:color="000000"/>
              <w:right w:val="nil"/>
            </w:tcBorders>
            <w:shd w:val="clear" w:color="auto" w:fill="FFFFFF"/>
          </w:tcPr>
          <w:p w14:paraId="4055A5EB"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63"/>
                <w:id w:val="-1927915055"/>
              </w:sdtPr>
              <w:sdtContent>
                <w:r>
                  <w:rPr>
                    <w:rFonts w:ascii="Arial Unicode MS" w:eastAsia="Arial Unicode MS" w:hAnsi="Arial Unicode MS" w:cs="Arial Unicode MS"/>
                    <w:color w:val="000000"/>
                    <w:sz w:val="18"/>
                    <w:szCs w:val="18"/>
                  </w:rPr>
                  <w:t xml:space="preserve">　</w:t>
                </w:r>
              </w:sdtContent>
            </w:sdt>
          </w:p>
        </w:tc>
        <w:tc>
          <w:tcPr>
            <w:tcW w:w="451" w:type="pct"/>
            <w:tcBorders>
              <w:top w:val="single" w:sz="4" w:space="0" w:color="000000"/>
              <w:left w:val="nil"/>
              <w:bottom w:val="single" w:sz="4" w:space="0" w:color="000000"/>
              <w:right w:val="nil"/>
            </w:tcBorders>
            <w:shd w:val="clear" w:color="auto" w:fill="FFFFFF"/>
          </w:tcPr>
          <w:p w14:paraId="30CAF39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w:t>
            </w:r>
          </w:p>
        </w:tc>
        <w:tc>
          <w:tcPr>
            <w:tcW w:w="267" w:type="pct"/>
            <w:tcBorders>
              <w:top w:val="single" w:sz="4" w:space="0" w:color="000000"/>
              <w:left w:val="nil"/>
              <w:bottom w:val="single" w:sz="4" w:space="0" w:color="000000"/>
              <w:right w:val="nil"/>
            </w:tcBorders>
            <w:shd w:val="clear" w:color="auto" w:fill="FFFFFF"/>
          </w:tcPr>
          <w:p w14:paraId="74F01C8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top w:val="single" w:sz="4" w:space="0" w:color="000000"/>
              <w:left w:val="nil"/>
              <w:bottom w:val="single" w:sz="4" w:space="0" w:color="000000"/>
              <w:right w:val="nil"/>
            </w:tcBorders>
            <w:shd w:val="clear" w:color="auto" w:fill="FFFFFF"/>
          </w:tcPr>
          <w:p w14:paraId="3A827E9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top w:val="single" w:sz="4" w:space="0" w:color="000000"/>
              <w:left w:val="nil"/>
              <w:bottom w:val="single" w:sz="4" w:space="0" w:color="000000"/>
              <w:right w:val="nil"/>
            </w:tcBorders>
            <w:shd w:val="clear" w:color="auto" w:fill="FFFFFF"/>
            <w:vAlign w:val="center"/>
          </w:tcPr>
          <w:p w14:paraId="3B3F5F4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w:t>
            </w:r>
          </w:p>
        </w:tc>
        <w:tc>
          <w:tcPr>
            <w:tcW w:w="267" w:type="pct"/>
            <w:tcBorders>
              <w:top w:val="single" w:sz="4" w:space="0" w:color="000000"/>
              <w:left w:val="nil"/>
              <w:bottom w:val="single" w:sz="4" w:space="0" w:color="000000"/>
              <w:right w:val="nil"/>
            </w:tcBorders>
            <w:shd w:val="clear" w:color="auto" w:fill="FFFFFF"/>
          </w:tcPr>
          <w:p w14:paraId="09368993"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64"/>
                <w:id w:val="-1359834446"/>
              </w:sdtPr>
              <w:sdtContent>
                <w:r>
                  <w:rPr>
                    <w:rFonts w:ascii="Arial Unicode MS" w:eastAsia="Arial Unicode MS" w:hAnsi="Arial Unicode MS" w:cs="Arial Unicode MS"/>
                    <w:color w:val="000000"/>
                    <w:sz w:val="18"/>
                    <w:szCs w:val="18"/>
                  </w:rPr>
                  <w:t xml:space="preserve">　</w:t>
                </w:r>
              </w:sdtContent>
            </w:sdt>
          </w:p>
        </w:tc>
      </w:tr>
      <w:tr w:rsidR="007373F6" w14:paraId="58665094" w14:textId="77777777" w:rsidTr="007008AE">
        <w:trPr>
          <w:trHeight w:val="280"/>
        </w:trPr>
        <w:tc>
          <w:tcPr>
            <w:tcW w:w="783" w:type="pct"/>
            <w:tcBorders>
              <w:left w:val="nil"/>
              <w:right w:val="nil"/>
            </w:tcBorders>
            <w:shd w:val="clear" w:color="auto" w:fill="FFFFFF"/>
            <w:vAlign w:val="center"/>
          </w:tcPr>
          <w:p w14:paraId="554A61C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IFRS </w:t>
            </w:r>
          </w:p>
        </w:tc>
        <w:tc>
          <w:tcPr>
            <w:tcW w:w="433" w:type="pct"/>
            <w:tcBorders>
              <w:left w:val="nil"/>
              <w:right w:val="nil"/>
            </w:tcBorders>
            <w:shd w:val="clear" w:color="auto" w:fill="FFFFFF"/>
          </w:tcPr>
          <w:p w14:paraId="2196FC9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-0.0102</w:t>
            </w:r>
          </w:p>
        </w:tc>
        <w:tc>
          <w:tcPr>
            <w:tcW w:w="274" w:type="pct"/>
            <w:tcBorders>
              <w:left w:val="nil"/>
              <w:right w:val="nil"/>
            </w:tcBorders>
            <w:shd w:val="clear" w:color="auto" w:fill="FFFFFF"/>
          </w:tcPr>
          <w:p w14:paraId="3864339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5" w:type="pct"/>
            <w:tcBorders>
              <w:left w:val="nil"/>
              <w:right w:val="nil"/>
            </w:tcBorders>
            <w:shd w:val="clear" w:color="auto" w:fill="FFFFFF"/>
          </w:tcPr>
          <w:p w14:paraId="771D38A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tcPr>
          <w:p w14:paraId="371302A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-0.0103</w:t>
            </w:r>
          </w:p>
        </w:tc>
        <w:tc>
          <w:tcPr>
            <w:tcW w:w="274" w:type="pct"/>
            <w:tcBorders>
              <w:left w:val="nil"/>
              <w:right w:val="nil"/>
            </w:tcBorders>
            <w:shd w:val="clear" w:color="auto" w:fill="FFFFFF"/>
          </w:tcPr>
          <w:p w14:paraId="6F58E1E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5" w:type="pct"/>
            <w:tcBorders>
              <w:left w:val="nil"/>
              <w:right w:val="nil"/>
            </w:tcBorders>
            <w:shd w:val="clear" w:color="auto" w:fill="FFFFFF"/>
          </w:tcPr>
          <w:p w14:paraId="3FDE7D8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vAlign w:val="center"/>
          </w:tcPr>
          <w:p w14:paraId="5583A48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-0.0104</w:t>
            </w:r>
          </w:p>
        </w:tc>
        <w:tc>
          <w:tcPr>
            <w:tcW w:w="279" w:type="pct"/>
            <w:tcBorders>
              <w:left w:val="nil"/>
              <w:right w:val="nil"/>
            </w:tcBorders>
            <w:shd w:val="clear" w:color="auto" w:fill="FFFFFF"/>
            <w:vAlign w:val="center"/>
          </w:tcPr>
          <w:p w14:paraId="364A9C4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5" w:type="pct"/>
            <w:tcBorders>
              <w:left w:val="nil"/>
              <w:right w:val="nil"/>
            </w:tcBorders>
            <w:shd w:val="clear" w:color="auto" w:fill="FFFFFF"/>
          </w:tcPr>
          <w:p w14:paraId="6759A76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75781E4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1C2EF11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-0.0104</w:t>
            </w:r>
          </w:p>
        </w:tc>
        <w:tc>
          <w:tcPr>
            <w:tcW w:w="267" w:type="pct"/>
            <w:tcBorders>
              <w:left w:val="nil"/>
              <w:right w:val="nil"/>
            </w:tcBorders>
            <w:shd w:val="clear" w:color="auto" w:fill="FFFFFF"/>
          </w:tcPr>
          <w:p w14:paraId="4FE41B6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5" w:type="pct"/>
            <w:tcBorders>
              <w:left w:val="nil"/>
              <w:right w:val="nil"/>
            </w:tcBorders>
            <w:shd w:val="clear" w:color="auto" w:fill="FFFFFF"/>
          </w:tcPr>
          <w:p w14:paraId="7CFD328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vAlign w:val="center"/>
          </w:tcPr>
          <w:p w14:paraId="1887A67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-0.0099</w:t>
            </w:r>
          </w:p>
        </w:tc>
        <w:tc>
          <w:tcPr>
            <w:tcW w:w="267" w:type="pct"/>
            <w:tcBorders>
              <w:left w:val="nil"/>
              <w:right w:val="nil"/>
            </w:tcBorders>
            <w:shd w:val="clear" w:color="auto" w:fill="FFFFFF"/>
            <w:vAlign w:val="center"/>
          </w:tcPr>
          <w:p w14:paraId="270A7CE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241597D8" w14:textId="77777777" w:rsidTr="007008AE">
        <w:trPr>
          <w:trHeight w:val="280"/>
        </w:trPr>
        <w:tc>
          <w:tcPr>
            <w:tcW w:w="783" w:type="pct"/>
            <w:tcBorders>
              <w:left w:val="nil"/>
              <w:right w:val="nil"/>
            </w:tcBorders>
            <w:shd w:val="clear" w:color="auto" w:fill="FFFFFF"/>
          </w:tcPr>
          <w:p w14:paraId="682E337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3" w:type="pct"/>
            <w:tcBorders>
              <w:left w:val="nil"/>
              <w:right w:val="nil"/>
            </w:tcBorders>
            <w:shd w:val="clear" w:color="auto" w:fill="FFFFFF"/>
          </w:tcPr>
          <w:p w14:paraId="4F79B6D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(0.080)</w:t>
            </w:r>
          </w:p>
        </w:tc>
        <w:tc>
          <w:tcPr>
            <w:tcW w:w="274" w:type="pct"/>
            <w:tcBorders>
              <w:left w:val="nil"/>
              <w:right w:val="nil"/>
            </w:tcBorders>
            <w:shd w:val="clear" w:color="auto" w:fill="FFFFFF"/>
          </w:tcPr>
          <w:p w14:paraId="0B6963E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652A550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tcPr>
          <w:p w14:paraId="240DE68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(0.078)</w:t>
            </w:r>
          </w:p>
        </w:tc>
        <w:tc>
          <w:tcPr>
            <w:tcW w:w="274" w:type="pct"/>
            <w:tcBorders>
              <w:left w:val="nil"/>
              <w:right w:val="nil"/>
            </w:tcBorders>
            <w:shd w:val="clear" w:color="auto" w:fill="FFFFFF"/>
          </w:tcPr>
          <w:p w14:paraId="4450DCB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6D2F7FD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vAlign w:val="center"/>
          </w:tcPr>
          <w:p w14:paraId="5248398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(0.074)</w:t>
            </w:r>
          </w:p>
        </w:tc>
        <w:tc>
          <w:tcPr>
            <w:tcW w:w="279" w:type="pct"/>
            <w:tcBorders>
              <w:left w:val="nil"/>
              <w:right w:val="nil"/>
            </w:tcBorders>
            <w:shd w:val="clear" w:color="auto" w:fill="FFFFFF"/>
          </w:tcPr>
          <w:p w14:paraId="37D351B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40F2043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1F9870B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362837C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(0.075)</w:t>
            </w:r>
          </w:p>
        </w:tc>
        <w:tc>
          <w:tcPr>
            <w:tcW w:w="267" w:type="pct"/>
            <w:tcBorders>
              <w:left w:val="nil"/>
              <w:right w:val="nil"/>
            </w:tcBorders>
            <w:shd w:val="clear" w:color="auto" w:fill="FFFFFF"/>
          </w:tcPr>
          <w:p w14:paraId="3FF0A25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0D909D4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vAlign w:val="center"/>
          </w:tcPr>
          <w:p w14:paraId="7FEF679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(0.088)</w:t>
            </w:r>
          </w:p>
        </w:tc>
        <w:tc>
          <w:tcPr>
            <w:tcW w:w="267" w:type="pct"/>
            <w:tcBorders>
              <w:left w:val="nil"/>
              <w:right w:val="nil"/>
            </w:tcBorders>
            <w:shd w:val="clear" w:color="auto" w:fill="FFFFFF"/>
          </w:tcPr>
          <w:p w14:paraId="1E65024A"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510AF121" w14:textId="77777777" w:rsidTr="007008AE">
        <w:trPr>
          <w:trHeight w:val="280"/>
        </w:trPr>
        <w:tc>
          <w:tcPr>
            <w:tcW w:w="783" w:type="pct"/>
            <w:tcBorders>
              <w:left w:val="nil"/>
              <w:right w:val="nil"/>
            </w:tcBorders>
            <w:shd w:val="clear" w:color="auto" w:fill="FFFFFF"/>
            <w:vAlign w:val="center"/>
          </w:tcPr>
          <w:p w14:paraId="6B6EED7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POST</w:t>
            </w:r>
          </w:p>
        </w:tc>
        <w:tc>
          <w:tcPr>
            <w:tcW w:w="433" w:type="pct"/>
            <w:tcBorders>
              <w:left w:val="nil"/>
              <w:right w:val="nil"/>
            </w:tcBorders>
            <w:shd w:val="clear" w:color="auto" w:fill="FFFFFF"/>
            <w:vAlign w:val="center"/>
          </w:tcPr>
          <w:p w14:paraId="1998F0A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0.0143</w:t>
            </w:r>
          </w:p>
        </w:tc>
        <w:tc>
          <w:tcPr>
            <w:tcW w:w="274" w:type="pct"/>
            <w:tcBorders>
              <w:left w:val="nil"/>
              <w:right w:val="nil"/>
            </w:tcBorders>
            <w:shd w:val="clear" w:color="auto" w:fill="FFFFFF"/>
            <w:vAlign w:val="center"/>
          </w:tcPr>
          <w:p w14:paraId="1B56263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5" w:type="pct"/>
            <w:tcBorders>
              <w:left w:val="nil"/>
              <w:right w:val="nil"/>
            </w:tcBorders>
            <w:shd w:val="clear" w:color="auto" w:fill="FFFFFF"/>
          </w:tcPr>
          <w:p w14:paraId="5303FD9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vAlign w:val="center"/>
          </w:tcPr>
          <w:p w14:paraId="5B256BB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0.0140</w:t>
            </w:r>
          </w:p>
        </w:tc>
        <w:tc>
          <w:tcPr>
            <w:tcW w:w="274" w:type="pct"/>
            <w:tcBorders>
              <w:left w:val="nil"/>
              <w:right w:val="nil"/>
            </w:tcBorders>
            <w:shd w:val="clear" w:color="auto" w:fill="FFFFFF"/>
            <w:vAlign w:val="center"/>
          </w:tcPr>
          <w:p w14:paraId="45A32D9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5" w:type="pct"/>
            <w:tcBorders>
              <w:left w:val="nil"/>
              <w:right w:val="nil"/>
            </w:tcBorders>
            <w:shd w:val="clear" w:color="auto" w:fill="FFFFFF"/>
          </w:tcPr>
          <w:p w14:paraId="2018E45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vAlign w:val="center"/>
          </w:tcPr>
          <w:p w14:paraId="75FC489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0.0134</w:t>
            </w:r>
          </w:p>
        </w:tc>
        <w:tc>
          <w:tcPr>
            <w:tcW w:w="279" w:type="pct"/>
            <w:tcBorders>
              <w:left w:val="nil"/>
              <w:right w:val="nil"/>
            </w:tcBorders>
            <w:shd w:val="clear" w:color="auto" w:fill="FFFFFF"/>
            <w:vAlign w:val="center"/>
          </w:tcPr>
          <w:p w14:paraId="6A7B015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5" w:type="pct"/>
            <w:tcBorders>
              <w:left w:val="nil"/>
              <w:right w:val="nil"/>
            </w:tcBorders>
            <w:shd w:val="clear" w:color="auto" w:fill="FFFFFF"/>
          </w:tcPr>
          <w:p w14:paraId="0BEFFB2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108364C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1BBF17E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0.0135</w:t>
            </w:r>
          </w:p>
        </w:tc>
        <w:tc>
          <w:tcPr>
            <w:tcW w:w="267" w:type="pct"/>
            <w:tcBorders>
              <w:left w:val="nil"/>
              <w:right w:val="nil"/>
            </w:tcBorders>
            <w:shd w:val="clear" w:color="auto" w:fill="FFFFFF"/>
          </w:tcPr>
          <w:p w14:paraId="0D05472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5" w:type="pct"/>
            <w:tcBorders>
              <w:left w:val="nil"/>
              <w:right w:val="nil"/>
            </w:tcBorders>
            <w:shd w:val="clear" w:color="auto" w:fill="FFFFFF"/>
          </w:tcPr>
          <w:p w14:paraId="1E86454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vAlign w:val="center"/>
          </w:tcPr>
          <w:p w14:paraId="201DA165"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0.0069</w:t>
            </w:r>
          </w:p>
        </w:tc>
        <w:tc>
          <w:tcPr>
            <w:tcW w:w="267" w:type="pct"/>
            <w:tcBorders>
              <w:left w:val="nil"/>
              <w:right w:val="nil"/>
            </w:tcBorders>
            <w:shd w:val="clear" w:color="auto" w:fill="FFFFFF"/>
            <w:vAlign w:val="center"/>
          </w:tcPr>
          <w:p w14:paraId="2BC57449"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6D5B8AD4" w14:textId="77777777" w:rsidTr="007008AE">
        <w:trPr>
          <w:trHeight w:val="280"/>
        </w:trPr>
        <w:tc>
          <w:tcPr>
            <w:tcW w:w="783" w:type="pct"/>
            <w:tcBorders>
              <w:left w:val="nil"/>
              <w:right w:val="nil"/>
            </w:tcBorders>
            <w:shd w:val="clear" w:color="auto" w:fill="FFFFFF"/>
          </w:tcPr>
          <w:p w14:paraId="2BD16C4F"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65"/>
                <w:id w:val="-554470813"/>
              </w:sdtPr>
              <w:sdtContent>
                <w:r>
                  <w:rPr>
                    <w:rFonts w:ascii="Arial Unicode MS" w:eastAsia="Arial Unicode MS" w:hAnsi="Arial Unicode MS" w:cs="Arial Unicode MS"/>
                    <w:color w:val="000000"/>
                    <w:sz w:val="18"/>
                    <w:szCs w:val="18"/>
                  </w:rPr>
                  <w:t xml:space="preserve">　</w:t>
                </w:r>
              </w:sdtContent>
            </w:sdt>
          </w:p>
        </w:tc>
        <w:tc>
          <w:tcPr>
            <w:tcW w:w="433" w:type="pct"/>
            <w:tcBorders>
              <w:left w:val="nil"/>
              <w:right w:val="nil"/>
            </w:tcBorders>
            <w:shd w:val="clear" w:color="auto" w:fill="FFFFFF"/>
            <w:vAlign w:val="center"/>
          </w:tcPr>
          <w:p w14:paraId="1C34ED1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(0.023)</w:t>
            </w:r>
          </w:p>
        </w:tc>
        <w:tc>
          <w:tcPr>
            <w:tcW w:w="274" w:type="pct"/>
            <w:tcBorders>
              <w:left w:val="nil"/>
              <w:right w:val="nil"/>
            </w:tcBorders>
            <w:shd w:val="clear" w:color="auto" w:fill="FFFFFF"/>
          </w:tcPr>
          <w:p w14:paraId="35775AE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3EE70C7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vAlign w:val="center"/>
          </w:tcPr>
          <w:p w14:paraId="40D5DBB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(0.028)</w:t>
            </w:r>
          </w:p>
        </w:tc>
        <w:tc>
          <w:tcPr>
            <w:tcW w:w="274" w:type="pct"/>
            <w:tcBorders>
              <w:left w:val="nil"/>
              <w:right w:val="nil"/>
            </w:tcBorders>
            <w:shd w:val="clear" w:color="auto" w:fill="FFFFFF"/>
          </w:tcPr>
          <w:p w14:paraId="675AD4F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22A81D1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vAlign w:val="center"/>
          </w:tcPr>
          <w:p w14:paraId="267182C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(0.028)</w:t>
            </w:r>
          </w:p>
        </w:tc>
        <w:tc>
          <w:tcPr>
            <w:tcW w:w="279" w:type="pct"/>
            <w:tcBorders>
              <w:left w:val="nil"/>
              <w:right w:val="nil"/>
            </w:tcBorders>
            <w:shd w:val="clear" w:color="auto" w:fill="FFFFFF"/>
          </w:tcPr>
          <w:p w14:paraId="6BB3E52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6F6C3FC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26D85B8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553C7C4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(0.027)</w:t>
            </w:r>
          </w:p>
        </w:tc>
        <w:tc>
          <w:tcPr>
            <w:tcW w:w="267" w:type="pct"/>
            <w:tcBorders>
              <w:left w:val="nil"/>
              <w:right w:val="nil"/>
            </w:tcBorders>
            <w:shd w:val="clear" w:color="auto" w:fill="FFFFFF"/>
          </w:tcPr>
          <w:p w14:paraId="0C794E2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24B8AA4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vAlign w:val="center"/>
          </w:tcPr>
          <w:p w14:paraId="5B6A2E4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(0.387)</w:t>
            </w:r>
          </w:p>
        </w:tc>
        <w:tc>
          <w:tcPr>
            <w:tcW w:w="267" w:type="pct"/>
            <w:tcBorders>
              <w:left w:val="nil"/>
              <w:right w:val="nil"/>
            </w:tcBorders>
            <w:shd w:val="clear" w:color="auto" w:fill="FFFFFF"/>
          </w:tcPr>
          <w:p w14:paraId="137E3FA0"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357D3B76" w14:textId="77777777" w:rsidTr="007008AE">
        <w:trPr>
          <w:trHeight w:val="280"/>
        </w:trPr>
        <w:tc>
          <w:tcPr>
            <w:tcW w:w="783" w:type="pct"/>
            <w:tcBorders>
              <w:left w:val="nil"/>
              <w:right w:val="nil"/>
            </w:tcBorders>
            <w:shd w:val="clear" w:color="auto" w:fill="FFFFFF"/>
          </w:tcPr>
          <w:p w14:paraId="6BE9DF9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IFRS × POST</w:t>
            </w:r>
          </w:p>
        </w:tc>
        <w:tc>
          <w:tcPr>
            <w:tcW w:w="433" w:type="pct"/>
            <w:tcBorders>
              <w:left w:val="nil"/>
              <w:right w:val="nil"/>
            </w:tcBorders>
            <w:shd w:val="clear" w:color="auto" w:fill="FFFFFF"/>
            <w:vAlign w:val="center"/>
          </w:tcPr>
          <w:p w14:paraId="0632EE4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0.0260</w:t>
            </w:r>
          </w:p>
        </w:tc>
        <w:tc>
          <w:tcPr>
            <w:tcW w:w="274" w:type="pct"/>
            <w:tcBorders>
              <w:left w:val="nil"/>
              <w:right w:val="nil"/>
            </w:tcBorders>
            <w:shd w:val="clear" w:color="auto" w:fill="FFFFFF"/>
          </w:tcPr>
          <w:p w14:paraId="6AEC1EF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5" w:type="pct"/>
            <w:tcBorders>
              <w:left w:val="nil"/>
              <w:right w:val="nil"/>
            </w:tcBorders>
            <w:shd w:val="clear" w:color="auto" w:fill="FFFFFF"/>
          </w:tcPr>
          <w:p w14:paraId="7F6BD4C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vAlign w:val="center"/>
          </w:tcPr>
          <w:p w14:paraId="66CE85D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0.0261</w:t>
            </w:r>
          </w:p>
        </w:tc>
        <w:tc>
          <w:tcPr>
            <w:tcW w:w="274" w:type="pct"/>
            <w:tcBorders>
              <w:left w:val="nil"/>
              <w:right w:val="nil"/>
            </w:tcBorders>
            <w:shd w:val="clear" w:color="auto" w:fill="FFFFFF"/>
          </w:tcPr>
          <w:p w14:paraId="1BF2A30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5" w:type="pct"/>
            <w:tcBorders>
              <w:left w:val="nil"/>
              <w:right w:val="nil"/>
            </w:tcBorders>
            <w:shd w:val="clear" w:color="auto" w:fill="FFFFFF"/>
          </w:tcPr>
          <w:p w14:paraId="4665871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vAlign w:val="center"/>
          </w:tcPr>
          <w:p w14:paraId="3FFCF3C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0.0262</w:t>
            </w:r>
          </w:p>
        </w:tc>
        <w:tc>
          <w:tcPr>
            <w:tcW w:w="279" w:type="pct"/>
            <w:tcBorders>
              <w:left w:val="nil"/>
              <w:right w:val="nil"/>
            </w:tcBorders>
            <w:shd w:val="clear" w:color="auto" w:fill="FFFFFF"/>
          </w:tcPr>
          <w:p w14:paraId="66219C8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5" w:type="pct"/>
            <w:tcBorders>
              <w:left w:val="nil"/>
              <w:right w:val="nil"/>
            </w:tcBorders>
            <w:shd w:val="clear" w:color="auto" w:fill="FFFFFF"/>
          </w:tcPr>
          <w:p w14:paraId="327F6C9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5D76C75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30CAE5B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0.0262</w:t>
            </w:r>
          </w:p>
        </w:tc>
        <w:tc>
          <w:tcPr>
            <w:tcW w:w="267" w:type="pct"/>
            <w:tcBorders>
              <w:left w:val="nil"/>
              <w:right w:val="nil"/>
            </w:tcBorders>
            <w:shd w:val="clear" w:color="auto" w:fill="FFFFFF"/>
          </w:tcPr>
          <w:p w14:paraId="72DBA0C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5" w:type="pct"/>
            <w:tcBorders>
              <w:left w:val="nil"/>
              <w:right w:val="nil"/>
            </w:tcBorders>
            <w:shd w:val="clear" w:color="auto" w:fill="FFFFFF"/>
          </w:tcPr>
          <w:p w14:paraId="6EB2EEF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vAlign w:val="center"/>
          </w:tcPr>
          <w:p w14:paraId="618583D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0.0257</w:t>
            </w:r>
          </w:p>
        </w:tc>
        <w:tc>
          <w:tcPr>
            <w:tcW w:w="267" w:type="pct"/>
            <w:tcBorders>
              <w:left w:val="nil"/>
              <w:right w:val="nil"/>
            </w:tcBorders>
            <w:shd w:val="clear" w:color="auto" w:fill="FFFFFF"/>
          </w:tcPr>
          <w:p w14:paraId="5A20C04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6DCD7285" w14:textId="77777777" w:rsidTr="007008AE">
        <w:trPr>
          <w:trHeight w:val="280"/>
        </w:trPr>
        <w:tc>
          <w:tcPr>
            <w:tcW w:w="783" w:type="pct"/>
            <w:tcBorders>
              <w:left w:val="nil"/>
              <w:right w:val="nil"/>
            </w:tcBorders>
            <w:shd w:val="clear" w:color="auto" w:fill="FFFFFF"/>
          </w:tcPr>
          <w:p w14:paraId="205EE54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3" w:type="pct"/>
            <w:tcBorders>
              <w:left w:val="nil"/>
              <w:right w:val="nil"/>
            </w:tcBorders>
            <w:shd w:val="clear" w:color="auto" w:fill="FFFFFF"/>
            <w:vAlign w:val="center"/>
          </w:tcPr>
          <w:p w14:paraId="738E8C3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(0.002)</w:t>
            </w:r>
          </w:p>
        </w:tc>
        <w:tc>
          <w:tcPr>
            <w:tcW w:w="274" w:type="pct"/>
            <w:tcBorders>
              <w:left w:val="nil"/>
              <w:right w:val="nil"/>
            </w:tcBorders>
            <w:shd w:val="clear" w:color="auto" w:fill="FFFFFF"/>
          </w:tcPr>
          <w:p w14:paraId="3EA6E9E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2467685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vAlign w:val="center"/>
          </w:tcPr>
          <w:p w14:paraId="2E1A479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(0.002)</w:t>
            </w:r>
          </w:p>
        </w:tc>
        <w:tc>
          <w:tcPr>
            <w:tcW w:w="274" w:type="pct"/>
            <w:tcBorders>
              <w:left w:val="nil"/>
              <w:right w:val="nil"/>
            </w:tcBorders>
            <w:shd w:val="clear" w:color="auto" w:fill="FFFFFF"/>
          </w:tcPr>
          <w:p w14:paraId="4138527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28C0F32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vAlign w:val="center"/>
          </w:tcPr>
          <w:p w14:paraId="0D3C068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(0.002)</w:t>
            </w:r>
          </w:p>
        </w:tc>
        <w:tc>
          <w:tcPr>
            <w:tcW w:w="279" w:type="pct"/>
            <w:tcBorders>
              <w:left w:val="nil"/>
              <w:right w:val="nil"/>
            </w:tcBorders>
            <w:shd w:val="clear" w:color="auto" w:fill="FFFFFF"/>
          </w:tcPr>
          <w:p w14:paraId="52D3B5E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1EF6034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5EE7D87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7F69014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(0.002)</w:t>
            </w:r>
          </w:p>
        </w:tc>
        <w:tc>
          <w:tcPr>
            <w:tcW w:w="267" w:type="pct"/>
            <w:tcBorders>
              <w:left w:val="nil"/>
              <w:right w:val="nil"/>
            </w:tcBorders>
            <w:shd w:val="clear" w:color="auto" w:fill="FFFFFF"/>
          </w:tcPr>
          <w:p w14:paraId="7A62369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24D605C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vAlign w:val="center"/>
          </w:tcPr>
          <w:p w14:paraId="41A81D3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(0.002)</w:t>
            </w:r>
          </w:p>
        </w:tc>
        <w:tc>
          <w:tcPr>
            <w:tcW w:w="267" w:type="pct"/>
            <w:tcBorders>
              <w:left w:val="nil"/>
              <w:right w:val="nil"/>
            </w:tcBorders>
            <w:shd w:val="clear" w:color="auto" w:fill="FFFFFF"/>
          </w:tcPr>
          <w:p w14:paraId="6975F88F"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63A5DD4A" w14:textId="77777777" w:rsidTr="007008AE">
        <w:trPr>
          <w:trHeight w:val="280"/>
        </w:trPr>
        <w:tc>
          <w:tcPr>
            <w:tcW w:w="783" w:type="pct"/>
            <w:tcBorders>
              <w:left w:val="nil"/>
              <w:right w:val="nil"/>
            </w:tcBorders>
            <w:shd w:val="clear" w:color="auto" w:fill="FFFFFF"/>
            <w:vAlign w:val="center"/>
          </w:tcPr>
          <w:p w14:paraId="7DAF39B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BUYBACK</w:t>
            </w:r>
          </w:p>
        </w:tc>
        <w:tc>
          <w:tcPr>
            <w:tcW w:w="433" w:type="pct"/>
            <w:tcBorders>
              <w:left w:val="nil"/>
              <w:right w:val="nil"/>
            </w:tcBorders>
            <w:shd w:val="clear" w:color="auto" w:fill="FFFFFF"/>
            <w:vAlign w:val="center"/>
          </w:tcPr>
          <w:p w14:paraId="46464D2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-0.2851</w:t>
            </w:r>
          </w:p>
        </w:tc>
        <w:tc>
          <w:tcPr>
            <w:tcW w:w="274" w:type="pct"/>
            <w:tcBorders>
              <w:left w:val="nil"/>
              <w:right w:val="nil"/>
            </w:tcBorders>
            <w:shd w:val="clear" w:color="auto" w:fill="FFFFFF"/>
            <w:vAlign w:val="center"/>
          </w:tcPr>
          <w:p w14:paraId="120A3D5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5" w:type="pct"/>
            <w:tcBorders>
              <w:left w:val="nil"/>
              <w:right w:val="nil"/>
            </w:tcBorders>
            <w:shd w:val="clear" w:color="auto" w:fill="FFFFFF"/>
          </w:tcPr>
          <w:p w14:paraId="2DDEFAB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vAlign w:val="center"/>
          </w:tcPr>
          <w:p w14:paraId="5E45BB8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-0.2854</w:t>
            </w:r>
          </w:p>
        </w:tc>
        <w:tc>
          <w:tcPr>
            <w:tcW w:w="274" w:type="pct"/>
            <w:tcBorders>
              <w:left w:val="nil"/>
              <w:right w:val="nil"/>
            </w:tcBorders>
            <w:shd w:val="clear" w:color="auto" w:fill="FFFFFF"/>
            <w:vAlign w:val="center"/>
          </w:tcPr>
          <w:p w14:paraId="343779C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5" w:type="pct"/>
            <w:tcBorders>
              <w:left w:val="nil"/>
              <w:right w:val="nil"/>
            </w:tcBorders>
            <w:shd w:val="clear" w:color="auto" w:fill="FFFFFF"/>
          </w:tcPr>
          <w:p w14:paraId="4F48151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vAlign w:val="center"/>
          </w:tcPr>
          <w:p w14:paraId="1B5F1ED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-0.2914</w:t>
            </w:r>
          </w:p>
        </w:tc>
        <w:tc>
          <w:tcPr>
            <w:tcW w:w="279" w:type="pct"/>
            <w:tcBorders>
              <w:left w:val="nil"/>
              <w:right w:val="nil"/>
            </w:tcBorders>
            <w:shd w:val="clear" w:color="auto" w:fill="FFFFFF"/>
            <w:vAlign w:val="center"/>
          </w:tcPr>
          <w:p w14:paraId="2B2E795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5" w:type="pct"/>
            <w:tcBorders>
              <w:left w:val="nil"/>
              <w:right w:val="nil"/>
            </w:tcBorders>
            <w:shd w:val="clear" w:color="auto" w:fill="FFFFFF"/>
          </w:tcPr>
          <w:p w14:paraId="30F0EB2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2579D8A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4E79ACA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-0.2913</w:t>
            </w:r>
          </w:p>
        </w:tc>
        <w:tc>
          <w:tcPr>
            <w:tcW w:w="267" w:type="pct"/>
            <w:tcBorders>
              <w:left w:val="nil"/>
              <w:right w:val="nil"/>
            </w:tcBorders>
            <w:shd w:val="clear" w:color="auto" w:fill="FFFFFF"/>
          </w:tcPr>
          <w:p w14:paraId="2CE153A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5" w:type="pct"/>
            <w:tcBorders>
              <w:left w:val="nil"/>
              <w:right w:val="nil"/>
            </w:tcBorders>
            <w:shd w:val="clear" w:color="auto" w:fill="FFFFFF"/>
          </w:tcPr>
          <w:p w14:paraId="5B53882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vAlign w:val="center"/>
          </w:tcPr>
          <w:p w14:paraId="2E9B59D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-0.2869</w:t>
            </w:r>
          </w:p>
        </w:tc>
        <w:tc>
          <w:tcPr>
            <w:tcW w:w="267" w:type="pct"/>
            <w:tcBorders>
              <w:left w:val="nil"/>
              <w:right w:val="nil"/>
            </w:tcBorders>
            <w:shd w:val="clear" w:color="auto" w:fill="FFFFFF"/>
            <w:vAlign w:val="center"/>
          </w:tcPr>
          <w:p w14:paraId="18D2A23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46D986BB" w14:textId="77777777" w:rsidTr="007008AE">
        <w:trPr>
          <w:trHeight w:val="280"/>
        </w:trPr>
        <w:tc>
          <w:tcPr>
            <w:tcW w:w="783" w:type="pct"/>
            <w:tcBorders>
              <w:left w:val="nil"/>
              <w:right w:val="nil"/>
            </w:tcBorders>
            <w:shd w:val="clear" w:color="auto" w:fill="FFFFFF"/>
          </w:tcPr>
          <w:p w14:paraId="6D273A65"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66"/>
                <w:id w:val="-801491040"/>
              </w:sdtPr>
              <w:sdtContent>
                <w:r>
                  <w:rPr>
                    <w:rFonts w:ascii="Arial Unicode MS" w:eastAsia="Arial Unicode MS" w:hAnsi="Arial Unicode MS" w:cs="Arial Unicode MS"/>
                    <w:color w:val="000000"/>
                    <w:sz w:val="18"/>
                    <w:szCs w:val="18"/>
                  </w:rPr>
                  <w:t xml:space="preserve">　</w:t>
                </w:r>
              </w:sdtContent>
            </w:sdt>
          </w:p>
        </w:tc>
        <w:tc>
          <w:tcPr>
            <w:tcW w:w="433" w:type="pct"/>
            <w:tcBorders>
              <w:left w:val="nil"/>
              <w:right w:val="nil"/>
            </w:tcBorders>
            <w:shd w:val="clear" w:color="auto" w:fill="FFFFFF"/>
            <w:vAlign w:val="center"/>
          </w:tcPr>
          <w:p w14:paraId="14F81EB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74" w:type="pct"/>
            <w:tcBorders>
              <w:left w:val="nil"/>
              <w:right w:val="nil"/>
            </w:tcBorders>
            <w:shd w:val="clear" w:color="auto" w:fill="FFFFFF"/>
          </w:tcPr>
          <w:p w14:paraId="0DBF2D3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7A3695E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vAlign w:val="center"/>
          </w:tcPr>
          <w:p w14:paraId="1B21D9F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74" w:type="pct"/>
            <w:tcBorders>
              <w:left w:val="nil"/>
              <w:right w:val="nil"/>
            </w:tcBorders>
            <w:shd w:val="clear" w:color="auto" w:fill="FFFFFF"/>
          </w:tcPr>
          <w:p w14:paraId="7CB2EBB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770973F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vAlign w:val="center"/>
          </w:tcPr>
          <w:p w14:paraId="40B1C1B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79" w:type="pct"/>
            <w:tcBorders>
              <w:left w:val="nil"/>
              <w:right w:val="nil"/>
            </w:tcBorders>
            <w:shd w:val="clear" w:color="auto" w:fill="FFFFFF"/>
          </w:tcPr>
          <w:p w14:paraId="7E604E6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4FABF07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1234468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7A820E8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67" w:type="pct"/>
            <w:tcBorders>
              <w:left w:val="nil"/>
              <w:right w:val="nil"/>
            </w:tcBorders>
            <w:shd w:val="clear" w:color="auto" w:fill="FFFFFF"/>
          </w:tcPr>
          <w:p w14:paraId="6A73D29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7863CA3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vAlign w:val="center"/>
          </w:tcPr>
          <w:p w14:paraId="2750AEF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67" w:type="pct"/>
            <w:tcBorders>
              <w:left w:val="nil"/>
              <w:right w:val="nil"/>
            </w:tcBorders>
            <w:shd w:val="clear" w:color="auto" w:fill="FFFFFF"/>
          </w:tcPr>
          <w:p w14:paraId="5D55FD0B"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338DB060" w14:textId="77777777" w:rsidTr="007008AE">
        <w:trPr>
          <w:trHeight w:val="280"/>
        </w:trPr>
        <w:tc>
          <w:tcPr>
            <w:tcW w:w="783" w:type="pct"/>
            <w:tcBorders>
              <w:left w:val="nil"/>
              <w:right w:val="nil"/>
            </w:tcBorders>
            <w:shd w:val="clear" w:color="auto" w:fill="FFFFFF"/>
            <w:vAlign w:val="center"/>
          </w:tcPr>
          <w:p w14:paraId="221297D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CROSS</w:t>
            </w:r>
          </w:p>
        </w:tc>
        <w:tc>
          <w:tcPr>
            <w:tcW w:w="433" w:type="pct"/>
            <w:tcBorders>
              <w:left w:val="nil"/>
              <w:right w:val="nil"/>
            </w:tcBorders>
            <w:shd w:val="clear" w:color="auto" w:fill="FFFFFF"/>
            <w:vAlign w:val="center"/>
          </w:tcPr>
          <w:p w14:paraId="3E56E54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0.0094</w:t>
            </w:r>
          </w:p>
        </w:tc>
        <w:tc>
          <w:tcPr>
            <w:tcW w:w="274" w:type="pct"/>
            <w:tcBorders>
              <w:left w:val="nil"/>
              <w:right w:val="nil"/>
            </w:tcBorders>
            <w:shd w:val="clear" w:color="auto" w:fill="FFFFFF"/>
            <w:vAlign w:val="center"/>
          </w:tcPr>
          <w:p w14:paraId="26A678A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5B70ABA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vAlign w:val="center"/>
          </w:tcPr>
          <w:p w14:paraId="0C7572C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0.0090</w:t>
            </w:r>
          </w:p>
        </w:tc>
        <w:tc>
          <w:tcPr>
            <w:tcW w:w="274" w:type="pct"/>
            <w:tcBorders>
              <w:left w:val="nil"/>
              <w:right w:val="nil"/>
            </w:tcBorders>
            <w:shd w:val="clear" w:color="auto" w:fill="FFFFFF"/>
            <w:vAlign w:val="center"/>
          </w:tcPr>
          <w:p w14:paraId="10C1A2C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6F8E554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vAlign w:val="center"/>
          </w:tcPr>
          <w:p w14:paraId="426A6C5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0.0100</w:t>
            </w:r>
          </w:p>
        </w:tc>
        <w:tc>
          <w:tcPr>
            <w:tcW w:w="279" w:type="pct"/>
            <w:tcBorders>
              <w:left w:val="nil"/>
              <w:right w:val="nil"/>
            </w:tcBorders>
            <w:shd w:val="clear" w:color="auto" w:fill="FFFFFF"/>
            <w:vAlign w:val="center"/>
          </w:tcPr>
          <w:p w14:paraId="07CB470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1C6FE5C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0BCFCDA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3E1153E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0.0099</w:t>
            </w:r>
          </w:p>
        </w:tc>
        <w:tc>
          <w:tcPr>
            <w:tcW w:w="267" w:type="pct"/>
            <w:tcBorders>
              <w:left w:val="nil"/>
              <w:right w:val="nil"/>
            </w:tcBorders>
            <w:shd w:val="clear" w:color="auto" w:fill="FFFFFF"/>
          </w:tcPr>
          <w:p w14:paraId="39CC0B9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63E5C82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vAlign w:val="center"/>
          </w:tcPr>
          <w:p w14:paraId="013C0BF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0.0057</w:t>
            </w:r>
          </w:p>
        </w:tc>
        <w:tc>
          <w:tcPr>
            <w:tcW w:w="267" w:type="pct"/>
            <w:tcBorders>
              <w:left w:val="nil"/>
              <w:right w:val="nil"/>
            </w:tcBorders>
            <w:shd w:val="clear" w:color="auto" w:fill="FFFFFF"/>
            <w:vAlign w:val="center"/>
          </w:tcPr>
          <w:p w14:paraId="77A29727"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2FB78B18" w14:textId="77777777" w:rsidTr="007008AE">
        <w:trPr>
          <w:trHeight w:val="280"/>
        </w:trPr>
        <w:tc>
          <w:tcPr>
            <w:tcW w:w="783" w:type="pct"/>
            <w:tcBorders>
              <w:left w:val="nil"/>
              <w:right w:val="nil"/>
            </w:tcBorders>
            <w:shd w:val="clear" w:color="auto" w:fill="FFFFFF"/>
          </w:tcPr>
          <w:p w14:paraId="5DB425F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3" w:type="pct"/>
            <w:tcBorders>
              <w:left w:val="nil"/>
              <w:right w:val="nil"/>
            </w:tcBorders>
            <w:shd w:val="clear" w:color="auto" w:fill="FFFFFF"/>
            <w:vAlign w:val="center"/>
          </w:tcPr>
          <w:p w14:paraId="632185C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(0.734)</w:t>
            </w:r>
          </w:p>
        </w:tc>
        <w:tc>
          <w:tcPr>
            <w:tcW w:w="274" w:type="pct"/>
            <w:tcBorders>
              <w:left w:val="nil"/>
              <w:right w:val="nil"/>
            </w:tcBorders>
            <w:shd w:val="clear" w:color="auto" w:fill="FFFFFF"/>
          </w:tcPr>
          <w:p w14:paraId="1816896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33A1E0E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vAlign w:val="center"/>
          </w:tcPr>
          <w:p w14:paraId="643EB9E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(0.744)</w:t>
            </w:r>
          </w:p>
        </w:tc>
        <w:tc>
          <w:tcPr>
            <w:tcW w:w="274" w:type="pct"/>
            <w:tcBorders>
              <w:left w:val="nil"/>
              <w:right w:val="nil"/>
            </w:tcBorders>
            <w:shd w:val="clear" w:color="auto" w:fill="FFFFFF"/>
          </w:tcPr>
          <w:p w14:paraId="556E38D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0087883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vAlign w:val="center"/>
          </w:tcPr>
          <w:p w14:paraId="6A81865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(0.715)</w:t>
            </w:r>
          </w:p>
        </w:tc>
        <w:tc>
          <w:tcPr>
            <w:tcW w:w="279" w:type="pct"/>
            <w:tcBorders>
              <w:left w:val="nil"/>
              <w:right w:val="nil"/>
            </w:tcBorders>
            <w:shd w:val="clear" w:color="auto" w:fill="FFFFFF"/>
          </w:tcPr>
          <w:p w14:paraId="060B81B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027BFAB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694DD88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6A79A18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(0.718)</w:t>
            </w:r>
          </w:p>
        </w:tc>
        <w:tc>
          <w:tcPr>
            <w:tcW w:w="267" w:type="pct"/>
            <w:tcBorders>
              <w:left w:val="nil"/>
              <w:right w:val="nil"/>
            </w:tcBorders>
            <w:shd w:val="clear" w:color="auto" w:fill="FFFFFF"/>
          </w:tcPr>
          <w:p w14:paraId="5736454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580DA0F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vAlign w:val="center"/>
          </w:tcPr>
          <w:p w14:paraId="1DE4351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(0.841)</w:t>
            </w:r>
          </w:p>
        </w:tc>
        <w:tc>
          <w:tcPr>
            <w:tcW w:w="267" w:type="pct"/>
            <w:tcBorders>
              <w:left w:val="nil"/>
              <w:right w:val="nil"/>
            </w:tcBorders>
            <w:shd w:val="clear" w:color="auto" w:fill="FFFFFF"/>
          </w:tcPr>
          <w:p w14:paraId="56D475C9"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7F4D6591" w14:textId="77777777" w:rsidTr="007008AE">
        <w:trPr>
          <w:trHeight w:val="280"/>
        </w:trPr>
        <w:tc>
          <w:tcPr>
            <w:tcW w:w="783" w:type="pct"/>
            <w:tcBorders>
              <w:left w:val="nil"/>
              <w:right w:val="nil"/>
            </w:tcBorders>
            <w:shd w:val="clear" w:color="auto" w:fill="FFFFFF"/>
            <w:vAlign w:val="center"/>
          </w:tcPr>
          <w:p w14:paraId="2F5FE0D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BTM</w:t>
            </w:r>
          </w:p>
        </w:tc>
        <w:tc>
          <w:tcPr>
            <w:tcW w:w="433" w:type="pct"/>
            <w:tcBorders>
              <w:left w:val="nil"/>
              <w:right w:val="nil"/>
            </w:tcBorders>
            <w:shd w:val="clear" w:color="auto" w:fill="FFFFFF"/>
            <w:vAlign w:val="center"/>
          </w:tcPr>
          <w:p w14:paraId="0C41C97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-0.0632</w:t>
            </w:r>
          </w:p>
        </w:tc>
        <w:tc>
          <w:tcPr>
            <w:tcW w:w="274" w:type="pct"/>
            <w:tcBorders>
              <w:left w:val="nil"/>
              <w:right w:val="nil"/>
            </w:tcBorders>
            <w:shd w:val="clear" w:color="auto" w:fill="FFFFFF"/>
            <w:vAlign w:val="center"/>
          </w:tcPr>
          <w:p w14:paraId="52DA8B8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5" w:type="pct"/>
            <w:tcBorders>
              <w:left w:val="nil"/>
              <w:right w:val="nil"/>
            </w:tcBorders>
            <w:shd w:val="clear" w:color="auto" w:fill="FFFFFF"/>
          </w:tcPr>
          <w:p w14:paraId="2527CE2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vAlign w:val="center"/>
          </w:tcPr>
          <w:p w14:paraId="031D722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-0.0632</w:t>
            </w:r>
          </w:p>
        </w:tc>
        <w:tc>
          <w:tcPr>
            <w:tcW w:w="274" w:type="pct"/>
            <w:tcBorders>
              <w:left w:val="nil"/>
              <w:right w:val="nil"/>
            </w:tcBorders>
            <w:shd w:val="clear" w:color="auto" w:fill="FFFFFF"/>
            <w:vAlign w:val="center"/>
          </w:tcPr>
          <w:p w14:paraId="1BB1524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5" w:type="pct"/>
            <w:tcBorders>
              <w:left w:val="nil"/>
              <w:right w:val="nil"/>
            </w:tcBorders>
            <w:shd w:val="clear" w:color="auto" w:fill="FFFFFF"/>
          </w:tcPr>
          <w:p w14:paraId="7CAD6CC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vAlign w:val="center"/>
          </w:tcPr>
          <w:p w14:paraId="2432944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-0.0645</w:t>
            </w:r>
          </w:p>
        </w:tc>
        <w:tc>
          <w:tcPr>
            <w:tcW w:w="279" w:type="pct"/>
            <w:tcBorders>
              <w:left w:val="nil"/>
              <w:right w:val="nil"/>
            </w:tcBorders>
            <w:shd w:val="clear" w:color="auto" w:fill="FFFFFF"/>
            <w:vAlign w:val="center"/>
          </w:tcPr>
          <w:p w14:paraId="436FA2B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5" w:type="pct"/>
            <w:tcBorders>
              <w:left w:val="nil"/>
              <w:right w:val="nil"/>
            </w:tcBorders>
            <w:shd w:val="clear" w:color="auto" w:fill="FFFFFF"/>
          </w:tcPr>
          <w:p w14:paraId="2CC30DE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51F9C15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757C1A8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-0.0644</w:t>
            </w:r>
          </w:p>
        </w:tc>
        <w:tc>
          <w:tcPr>
            <w:tcW w:w="267" w:type="pct"/>
            <w:tcBorders>
              <w:left w:val="nil"/>
              <w:right w:val="nil"/>
            </w:tcBorders>
            <w:shd w:val="clear" w:color="auto" w:fill="FFFFFF"/>
          </w:tcPr>
          <w:p w14:paraId="3513602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5" w:type="pct"/>
            <w:tcBorders>
              <w:left w:val="nil"/>
              <w:right w:val="nil"/>
            </w:tcBorders>
            <w:shd w:val="clear" w:color="auto" w:fill="FFFFFF"/>
          </w:tcPr>
          <w:p w14:paraId="435D66C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vAlign w:val="center"/>
          </w:tcPr>
          <w:p w14:paraId="713DB91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-0.0613</w:t>
            </w:r>
          </w:p>
        </w:tc>
        <w:tc>
          <w:tcPr>
            <w:tcW w:w="267" w:type="pct"/>
            <w:tcBorders>
              <w:left w:val="nil"/>
              <w:right w:val="nil"/>
            </w:tcBorders>
            <w:shd w:val="clear" w:color="auto" w:fill="FFFFFF"/>
            <w:vAlign w:val="center"/>
          </w:tcPr>
          <w:p w14:paraId="67F363E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6616FEFF" w14:textId="77777777" w:rsidTr="007008AE">
        <w:trPr>
          <w:trHeight w:val="280"/>
        </w:trPr>
        <w:tc>
          <w:tcPr>
            <w:tcW w:w="783" w:type="pct"/>
            <w:tcBorders>
              <w:left w:val="nil"/>
              <w:right w:val="nil"/>
            </w:tcBorders>
            <w:shd w:val="clear" w:color="auto" w:fill="FFFFFF"/>
          </w:tcPr>
          <w:p w14:paraId="573E7026"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67"/>
                <w:id w:val="51064748"/>
              </w:sdtPr>
              <w:sdtContent>
                <w:r>
                  <w:rPr>
                    <w:rFonts w:ascii="Arial Unicode MS" w:eastAsia="Arial Unicode MS" w:hAnsi="Arial Unicode MS" w:cs="Arial Unicode MS"/>
                    <w:color w:val="000000"/>
                    <w:sz w:val="18"/>
                    <w:szCs w:val="18"/>
                  </w:rPr>
                  <w:t xml:space="preserve">　</w:t>
                </w:r>
              </w:sdtContent>
            </w:sdt>
          </w:p>
        </w:tc>
        <w:tc>
          <w:tcPr>
            <w:tcW w:w="433" w:type="pct"/>
            <w:tcBorders>
              <w:left w:val="nil"/>
              <w:right w:val="nil"/>
            </w:tcBorders>
            <w:shd w:val="clear" w:color="auto" w:fill="FFFFFF"/>
            <w:vAlign w:val="center"/>
          </w:tcPr>
          <w:p w14:paraId="1161410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74" w:type="pct"/>
            <w:tcBorders>
              <w:left w:val="nil"/>
              <w:right w:val="nil"/>
            </w:tcBorders>
            <w:shd w:val="clear" w:color="auto" w:fill="FFFFFF"/>
          </w:tcPr>
          <w:p w14:paraId="5B08F14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011DFA8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vAlign w:val="center"/>
          </w:tcPr>
          <w:p w14:paraId="7621DC6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74" w:type="pct"/>
            <w:tcBorders>
              <w:left w:val="nil"/>
              <w:right w:val="nil"/>
            </w:tcBorders>
            <w:shd w:val="clear" w:color="auto" w:fill="FFFFFF"/>
          </w:tcPr>
          <w:p w14:paraId="0C11F5F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281635A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vAlign w:val="center"/>
          </w:tcPr>
          <w:p w14:paraId="7714826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79" w:type="pct"/>
            <w:tcBorders>
              <w:left w:val="nil"/>
              <w:right w:val="nil"/>
            </w:tcBorders>
            <w:shd w:val="clear" w:color="auto" w:fill="FFFFFF"/>
          </w:tcPr>
          <w:p w14:paraId="68DCBC7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7736B02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0810348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70BC557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67" w:type="pct"/>
            <w:tcBorders>
              <w:left w:val="nil"/>
              <w:right w:val="nil"/>
            </w:tcBorders>
            <w:shd w:val="clear" w:color="auto" w:fill="FFFFFF"/>
          </w:tcPr>
          <w:p w14:paraId="0428A7E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26BF115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vAlign w:val="center"/>
          </w:tcPr>
          <w:p w14:paraId="0B08A26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67" w:type="pct"/>
            <w:tcBorders>
              <w:left w:val="nil"/>
              <w:right w:val="nil"/>
            </w:tcBorders>
            <w:shd w:val="clear" w:color="auto" w:fill="FFFFFF"/>
          </w:tcPr>
          <w:p w14:paraId="654A1510"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458F55FB" w14:textId="77777777" w:rsidTr="007008AE">
        <w:trPr>
          <w:trHeight w:val="280"/>
        </w:trPr>
        <w:tc>
          <w:tcPr>
            <w:tcW w:w="783" w:type="pct"/>
            <w:tcBorders>
              <w:left w:val="nil"/>
              <w:right w:val="nil"/>
            </w:tcBorders>
            <w:shd w:val="clear" w:color="auto" w:fill="FFFFFF"/>
            <w:vAlign w:val="center"/>
          </w:tcPr>
          <w:p w14:paraId="1B4163F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IRD1</w:t>
            </w:r>
          </w:p>
        </w:tc>
        <w:tc>
          <w:tcPr>
            <w:tcW w:w="433" w:type="pct"/>
            <w:tcBorders>
              <w:left w:val="nil"/>
              <w:right w:val="nil"/>
            </w:tcBorders>
            <w:shd w:val="clear" w:color="auto" w:fill="FFFFFF"/>
            <w:vAlign w:val="center"/>
          </w:tcPr>
          <w:p w14:paraId="36A4C0B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0.0013</w:t>
            </w:r>
          </w:p>
        </w:tc>
        <w:tc>
          <w:tcPr>
            <w:tcW w:w="274" w:type="pct"/>
            <w:tcBorders>
              <w:left w:val="nil"/>
              <w:right w:val="nil"/>
            </w:tcBorders>
            <w:shd w:val="clear" w:color="auto" w:fill="FFFFFF"/>
            <w:vAlign w:val="center"/>
          </w:tcPr>
          <w:p w14:paraId="6981F8F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3A39A07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tcPr>
          <w:p w14:paraId="4FCE6CB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3D2DA71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1B70B5F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vAlign w:val="center"/>
          </w:tcPr>
          <w:p w14:paraId="4E01819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9" w:type="pct"/>
            <w:tcBorders>
              <w:left w:val="nil"/>
              <w:right w:val="nil"/>
            </w:tcBorders>
            <w:shd w:val="clear" w:color="auto" w:fill="FFFFFF"/>
            <w:vAlign w:val="center"/>
          </w:tcPr>
          <w:p w14:paraId="2AD4AAC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3BA7C3D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2E1025F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3C8DEE1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67" w:type="pct"/>
            <w:tcBorders>
              <w:left w:val="nil"/>
              <w:right w:val="nil"/>
            </w:tcBorders>
            <w:shd w:val="clear" w:color="auto" w:fill="FFFFFF"/>
          </w:tcPr>
          <w:p w14:paraId="2BF3D56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444DA8B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724ED42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67" w:type="pct"/>
            <w:tcBorders>
              <w:left w:val="nil"/>
              <w:right w:val="nil"/>
            </w:tcBorders>
            <w:shd w:val="clear" w:color="auto" w:fill="FFFFFF"/>
          </w:tcPr>
          <w:p w14:paraId="552D4A7C"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3D2DFBD2" w14:textId="77777777" w:rsidTr="007008AE">
        <w:trPr>
          <w:trHeight w:val="280"/>
        </w:trPr>
        <w:tc>
          <w:tcPr>
            <w:tcW w:w="783" w:type="pct"/>
            <w:tcBorders>
              <w:left w:val="nil"/>
              <w:right w:val="nil"/>
            </w:tcBorders>
            <w:shd w:val="clear" w:color="auto" w:fill="FFFFFF"/>
          </w:tcPr>
          <w:p w14:paraId="26E25D58"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68"/>
                <w:id w:val="1772959816"/>
              </w:sdtPr>
              <w:sdtContent>
                <w:r>
                  <w:rPr>
                    <w:rFonts w:ascii="Arial Unicode MS" w:eastAsia="Arial Unicode MS" w:hAnsi="Arial Unicode MS" w:cs="Arial Unicode MS"/>
                    <w:color w:val="000000"/>
                    <w:sz w:val="18"/>
                    <w:szCs w:val="18"/>
                  </w:rPr>
                  <w:t xml:space="preserve">　</w:t>
                </w:r>
              </w:sdtContent>
            </w:sdt>
          </w:p>
        </w:tc>
        <w:tc>
          <w:tcPr>
            <w:tcW w:w="433" w:type="pct"/>
            <w:tcBorders>
              <w:left w:val="nil"/>
              <w:right w:val="nil"/>
            </w:tcBorders>
            <w:shd w:val="clear" w:color="auto" w:fill="FFFFFF"/>
            <w:vAlign w:val="center"/>
          </w:tcPr>
          <w:p w14:paraId="5523C6A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(0.667)</w:t>
            </w:r>
          </w:p>
        </w:tc>
        <w:tc>
          <w:tcPr>
            <w:tcW w:w="274" w:type="pct"/>
            <w:tcBorders>
              <w:left w:val="nil"/>
              <w:right w:val="nil"/>
            </w:tcBorders>
            <w:shd w:val="clear" w:color="auto" w:fill="FFFFFF"/>
          </w:tcPr>
          <w:p w14:paraId="588975D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2C79E21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tcPr>
          <w:p w14:paraId="5AE450C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03FC68E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0551CBC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vAlign w:val="center"/>
          </w:tcPr>
          <w:p w14:paraId="2E04357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9" w:type="pct"/>
            <w:tcBorders>
              <w:left w:val="nil"/>
              <w:right w:val="nil"/>
            </w:tcBorders>
            <w:shd w:val="clear" w:color="auto" w:fill="FFFFFF"/>
          </w:tcPr>
          <w:p w14:paraId="7282EBD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239E955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15D4C6D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1EDBCB9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67" w:type="pct"/>
            <w:tcBorders>
              <w:left w:val="nil"/>
              <w:right w:val="nil"/>
            </w:tcBorders>
            <w:shd w:val="clear" w:color="auto" w:fill="FFFFFF"/>
          </w:tcPr>
          <w:p w14:paraId="711F2CC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54050FC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613C191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67" w:type="pct"/>
            <w:tcBorders>
              <w:left w:val="nil"/>
              <w:right w:val="nil"/>
            </w:tcBorders>
            <w:shd w:val="clear" w:color="auto" w:fill="FFFFFF"/>
          </w:tcPr>
          <w:p w14:paraId="599B7D97"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7B2D6DEA" w14:textId="77777777" w:rsidTr="007008AE">
        <w:trPr>
          <w:trHeight w:val="280"/>
        </w:trPr>
        <w:tc>
          <w:tcPr>
            <w:tcW w:w="783" w:type="pct"/>
            <w:tcBorders>
              <w:left w:val="nil"/>
              <w:right w:val="nil"/>
            </w:tcBorders>
            <w:shd w:val="clear" w:color="auto" w:fill="FFFFFF"/>
            <w:vAlign w:val="center"/>
          </w:tcPr>
          <w:p w14:paraId="28228BB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IRD2</w:t>
            </w:r>
          </w:p>
        </w:tc>
        <w:tc>
          <w:tcPr>
            <w:tcW w:w="433" w:type="pct"/>
            <w:tcBorders>
              <w:left w:val="nil"/>
              <w:right w:val="nil"/>
            </w:tcBorders>
            <w:shd w:val="clear" w:color="auto" w:fill="FFFFFF"/>
          </w:tcPr>
          <w:p w14:paraId="5055EE6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0BA89F5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5EF6B5D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vAlign w:val="center"/>
          </w:tcPr>
          <w:p w14:paraId="39AAA0A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0.0014</w:t>
            </w:r>
          </w:p>
        </w:tc>
        <w:tc>
          <w:tcPr>
            <w:tcW w:w="274" w:type="pct"/>
            <w:tcBorders>
              <w:left w:val="nil"/>
              <w:right w:val="nil"/>
            </w:tcBorders>
            <w:shd w:val="clear" w:color="auto" w:fill="FFFFFF"/>
            <w:vAlign w:val="center"/>
          </w:tcPr>
          <w:p w14:paraId="61E2965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4CAF4A3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tcPr>
          <w:p w14:paraId="7BC0324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9" w:type="pct"/>
            <w:tcBorders>
              <w:left w:val="nil"/>
              <w:right w:val="nil"/>
            </w:tcBorders>
            <w:shd w:val="clear" w:color="auto" w:fill="FFFFFF"/>
          </w:tcPr>
          <w:p w14:paraId="175563A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41DD98D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6D3C9A3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48F5E9D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67" w:type="pct"/>
            <w:tcBorders>
              <w:left w:val="nil"/>
              <w:right w:val="nil"/>
            </w:tcBorders>
            <w:shd w:val="clear" w:color="auto" w:fill="FFFFFF"/>
          </w:tcPr>
          <w:p w14:paraId="1D194C5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6E92F1B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vAlign w:val="center"/>
          </w:tcPr>
          <w:p w14:paraId="164FA4D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67" w:type="pct"/>
            <w:tcBorders>
              <w:left w:val="nil"/>
              <w:right w:val="nil"/>
            </w:tcBorders>
            <w:shd w:val="clear" w:color="auto" w:fill="FFFFFF"/>
            <w:vAlign w:val="center"/>
          </w:tcPr>
          <w:p w14:paraId="087492B9"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0BD40227" w14:textId="77777777" w:rsidTr="007008AE">
        <w:trPr>
          <w:trHeight w:val="280"/>
        </w:trPr>
        <w:tc>
          <w:tcPr>
            <w:tcW w:w="783" w:type="pct"/>
            <w:tcBorders>
              <w:left w:val="nil"/>
              <w:right w:val="nil"/>
            </w:tcBorders>
            <w:shd w:val="clear" w:color="auto" w:fill="FFFFFF"/>
          </w:tcPr>
          <w:p w14:paraId="18DE9861"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69"/>
                <w:id w:val="-811512905"/>
              </w:sdtPr>
              <w:sdtContent>
                <w:r>
                  <w:rPr>
                    <w:rFonts w:ascii="Arial Unicode MS" w:eastAsia="Arial Unicode MS" w:hAnsi="Arial Unicode MS" w:cs="Arial Unicode MS"/>
                    <w:color w:val="000000"/>
                    <w:sz w:val="18"/>
                    <w:szCs w:val="18"/>
                  </w:rPr>
                  <w:t xml:space="preserve">　</w:t>
                </w:r>
              </w:sdtContent>
            </w:sdt>
          </w:p>
        </w:tc>
        <w:tc>
          <w:tcPr>
            <w:tcW w:w="433" w:type="pct"/>
            <w:tcBorders>
              <w:left w:val="nil"/>
              <w:right w:val="nil"/>
            </w:tcBorders>
            <w:shd w:val="clear" w:color="auto" w:fill="FFFFFF"/>
          </w:tcPr>
          <w:p w14:paraId="2E888A2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47287D2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7756984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vAlign w:val="center"/>
          </w:tcPr>
          <w:p w14:paraId="501D152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(0.615)</w:t>
            </w:r>
          </w:p>
        </w:tc>
        <w:tc>
          <w:tcPr>
            <w:tcW w:w="274" w:type="pct"/>
            <w:tcBorders>
              <w:left w:val="nil"/>
              <w:right w:val="nil"/>
            </w:tcBorders>
            <w:shd w:val="clear" w:color="auto" w:fill="FFFFFF"/>
          </w:tcPr>
          <w:p w14:paraId="06C1D4C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550CE56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tcPr>
          <w:p w14:paraId="6AC99E1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9" w:type="pct"/>
            <w:tcBorders>
              <w:left w:val="nil"/>
              <w:right w:val="nil"/>
            </w:tcBorders>
            <w:shd w:val="clear" w:color="auto" w:fill="FFFFFF"/>
          </w:tcPr>
          <w:p w14:paraId="53C209D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55FFFC6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5883EFC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5893CEF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67" w:type="pct"/>
            <w:tcBorders>
              <w:left w:val="nil"/>
              <w:right w:val="nil"/>
            </w:tcBorders>
            <w:shd w:val="clear" w:color="auto" w:fill="FFFFFF"/>
          </w:tcPr>
          <w:p w14:paraId="3977896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39DE628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vAlign w:val="center"/>
          </w:tcPr>
          <w:p w14:paraId="2376741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67" w:type="pct"/>
            <w:tcBorders>
              <w:left w:val="nil"/>
              <w:right w:val="nil"/>
            </w:tcBorders>
            <w:shd w:val="clear" w:color="auto" w:fill="FFFFFF"/>
          </w:tcPr>
          <w:p w14:paraId="124F6B4C"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1EFE7778" w14:textId="77777777" w:rsidTr="007008AE">
        <w:trPr>
          <w:trHeight w:val="280"/>
        </w:trPr>
        <w:tc>
          <w:tcPr>
            <w:tcW w:w="783" w:type="pct"/>
            <w:tcBorders>
              <w:left w:val="nil"/>
              <w:right w:val="nil"/>
            </w:tcBorders>
            <w:shd w:val="clear" w:color="auto" w:fill="FFFFFF"/>
            <w:vAlign w:val="center"/>
          </w:tcPr>
          <w:p w14:paraId="5F6346D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ERD1</w:t>
            </w:r>
          </w:p>
        </w:tc>
        <w:tc>
          <w:tcPr>
            <w:tcW w:w="433" w:type="pct"/>
            <w:tcBorders>
              <w:left w:val="nil"/>
              <w:right w:val="nil"/>
            </w:tcBorders>
            <w:shd w:val="clear" w:color="auto" w:fill="FFFFFF"/>
            <w:vAlign w:val="center"/>
          </w:tcPr>
          <w:p w14:paraId="7EA19A8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vAlign w:val="center"/>
          </w:tcPr>
          <w:p w14:paraId="18B2AAA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194A832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tcPr>
          <w:p w14:paraId="5A95E32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4339332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046C380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vAlign w:val="center"/>
          </w:tcPr>
          <w:p w14:paraId="46AE751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0.0375</w:t>
            </w:r>
          </w:p>
        </w:tc>
        <w:tc>
          <w:tcPr>
            <w:tcW w:w="279" w:type="pct"/>
            <w:tcBorders>
              <w:left w:val="nil"/>
              <w:right w:val="nil"/>
            </w:tcBorders>
            <w:shd w:val="clear" w:color="auto" w:fill="FFFFFF"/>
            <w:vAlign w:val="center"/>
          </w:tcPr>
          <w:p w14:paraId="2DCE68D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6299D60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42B3B78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0394CE1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67" w:type="pct"/>
            <w:tcBorders>
              <w:left w:val="nil"/>
              <w:right w:val="nil"/>
            </w:tcBorders>
            <w:shd w:val="clear" w:color="auto" w:fill="FFFFFF"/>
          </w:tcPr>
          <w:p w14:paraId="7EB2776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1F9CB09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592EA36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67" w:type="pct"/>
            <w:tcBorders>
              <w:left w:val="nil"/>
              <w:right w:val="nil"/>
            </w:tcBorders>
            <w:shd w:val="clear" w:color="auto" w:fill="FFFFFF"/>
          </w:tcPr>
          <w:p w14:paraId="6D3ED857"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16824368" w14:textId="77777777" w:rsidTr="007008AE">
        <w:trPr>
          <w:trHeight w:val="280"/>
        </w:trPr>
        <w:tc>
          <w:tcPr>
            <w:tcW w:w="783" w:type="pct"/>
            <w:tcBorders>
              <w:left w:val="nil"/>
              <w:right w:val="nil"/>
            </w:tcBorders>
            <w:shd w:val="clear" w:color="auto" w:fill="FFFFFF"/>
          </w:tcPr>
          <w:p w14:paraId="233A05CC"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70"/>
                <w:id w:val="1371540427"/>
              </w:sdtPr>
              <w:sdtContent>
                <w:r>
                  <w:rPr>
                    <w:rFonts w:ascii="Arial Unicode MS" w:eastAsia="Arial Unicode MS" w:hAnsi="Arial Unicode MS" w:cs="Arial Unicode MS"/>
                    <w:color w:val="000000"/>
                    <w:sz w:val="18"/>
                    <w:szCs w:val="18"/>
                  </w:rPr>
                  <w:t xml:space="preserve">　</w:t>
                </w:r>
              </w:sdtContent>
            </w:sdt>
          </w:p>
        </w:tc>
        <w:tc>
          <w:tcPr>
            <w:tcW w:w="433" w:type="pct"/>
            <w:tcBorders>
              <w:left w:val="nil"/>
              <w:right w:val="nil"/>
            </w:tcBorders>
            <w:shd w:val="clear" w:color="auto" w:fill="FFFFFF"/>
            <w:vAlign w:val="center"/>
          </w:tcPr>
          <w:p w14:paraId="03FD165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1F4FAA8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4E4EC8F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tcPr>
          <w:p w14:paraId="3F80EBE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4FE7930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02013D2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vAlign w:val="center"/>
          </w:tcPr>
          <w:p w14:paraId="0493DC6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(0.131)</w:t>
            </w:r>
          </w:p>
        </w:tc>
        <w:tc>
          <w:tcPr>
            <w:tcW w:w="279" w:type="pct"/>
            <w:tcBorders>
              <w:left w:val="nil"/>
              <w:right w:val="nil"/>
            </w:tcBorders>
            <w:shd w:val="clear" w:color="auto" w:fill="FFFFFF"/>
          </w:tcPr>
          <w:p w14:paraId="377C4AF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3653EE5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4CEC22C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19FF009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67" w:type="pct"/>
            <w:tcBorders>
              <w:left w:val="nil"/>
              <w:right w:val="nil"/>
            </w:tcBorders>
            <w:shd w:val="clear" w:color="auto" w:fill="FFFFFF"/>
          </w:tcPr>
          <w:p w14:paraId="66C6619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639ADBA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46E9BB4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67" w:type="pct"/>
            <w:tcBorders>
              <w:left w:val="nil"/>
              <w:right w:val="nil"/>
            </w:tcBorders>
            <w:shd w:val="clear" w:color="auto" w:fill="FFFFFF"/>
          </w:tcPr>
          <w:p w14:paraId="0FC1BD27"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62421513" w14:textId="77777777" w:rsidTr="007008AE">
        <w:trPr>
          <w:trHeight w:val="280"/>
        </w:trPr>
        <w:tc>
          <w:tcPr>
            <w:tcW w:w="783" w:type="pct"/>
            <w:tcBorders>
              <w:left w:val="nil"/>
              <w:right w:val="nil"/>
            </w:tcBorders>
            <w:shd w:val="clear" w:color="auto" w:fill="FFFFFF"/>
            <w:vAlign w:val="center"/>
          </w:tcPr>
          <w:p w14:paraId="1E60B62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ERD2</w:t>
            </w:r>
          </w:p>
        </w:tc>
        <w:tc>
          <w:tcPr>
            <w:tcW w:w="433" w:type="pct"/>
            <w:tcBorders>
              <w:left w:val="nil"/>
              <w:right w:val="nil"/>
            </w:tcBorders>
            <w:shd w:val="clear" w:color="auto" w:fill="FFFFFF"/>
          </w:tcPr>
          <w:p w14:paraId="7F382FE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2991E2C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5CB5682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vAlign w:val="center"/>
          </w:tcPr>
          <w:p w14:paraId="366A3A3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vAlign w:val="center"/>
          </w:tcPr>
          <w:p w14:paraId="244784A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66B9CBF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tcPr>
          <w:p w14:paraId="00D3C5B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9" w:type="pct"/>
            <w:tcBorders>
              <w:left w:val="nil"/>
              <w:right w:val="nil"/>
            </w:tcBorders>
            <w:shd w:val="clear" w:color="auto" w:fill="FFFFFF"/>
          </w:tcPr>
          <w:p w14:paraId="57559DC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0A93BFE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6134EA1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4605358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0.0343</w:t>
            </w:r>
          </w:p>
        </w:tc>
        <w:tc>
          <w:tcPr>
            <w:tcW w:w="267" w:type="pct"/>
            <w:tcBorders>
              <w:left w:val="nil"/>
              <w:right w:val="nil"/>
            </w:tcBorders>
            <w:shd w:val="clear" w:color="auto" w:fill="FFFFFF"/>
          </w:tcPr>
          <w:p w14:paraId="50E3F06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5389C61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vAlign w:val="center"/>
          </w:tcPr>
          <w:p w14:paraId="6781BFD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67" w:type="pct"/>
            <w:tcBorders>
              <w:left w:val="nil"/>
              <w:right w:val="nil"/>
            </w:tcBorders>
            <w:shd w:val="clear" w:color="auto" w:fill="FFFFFF"/>
            <w:vAlign w:val="center"/>
          </w:tcPr>
          <w:p w14:paraId="77AA7B1E"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3A8FF259" w14:textId="77777777" w:rsidTr="007008AE">
        <w:trPr>
          <w:trHeight w:val="280"/>
        </w:trPr>
        <w:tc>
          <w:tcPr>
            <w:tcW w:w="783" w:type="pct"/>
            <w:tcBorders>
              <w:left w:val="nil"/>
              <w:right w:val="nil"/>
            </w:tcBorders>
            <w:shd w:val="clear" w:color="auto" w:fill="FFFFFF"/>
          </w:tcPr>
          <w:p w14:paraId="1C2F5864"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71"/>
                <w:id w:val="-1576546068"/>
              </w:sdtPr>
              <w:sdtContent>
                <w:r>
                  <w:rPr>
                    <w:rFonts w:ascii="Arial Unicode MS" w:eastAsia="Arial Unicode MS" w:hAnsi="Arial Unicode MS" w:cs="Arial Unicode MS"/>
                    <w:color w:val="000000"/>
                    <w:sz w:val="18"/>
                    <w:szCs w:val="18"/>
                  </w:rPr>
                  <w:t xml:space="preserve">　</w:t>
                </w:r>
              </w:sdtContent>
            </w:sdt>
          </w:p>
        </w:tc>
        <w:tc>
          <w:tcPr>
            <w:tcW w:w="433" w:type="pct"/>
            <w:tcBorders>
              <w:left w:val="nil"/>
              <w:right w:val="nil"/>
            </w:tcBorders>
            <w:shd w:val="clear" w:color="auto" w:fill="FFFFFF"/>
          </w:tcPr>
          <w:p w14:paraId="5F5EA9A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4DA0384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169BBAE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vAlign w:val="center"/>
          </w:tcPr>
          <w:p w14:paraId="6F5D47B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6894381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19391F6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tcPr>
          <w:p w14:paraId="3F758F3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9" w:type="pct"/>
            <w:tcBorders>
              <w:left w:val="nil"/>
              <w:right w:val="nil"/>
            </w:tcBorders>
            <w:shd w:val="clear" w:color="auto" w:fill="FFFFFF"/>
          </w:tcPr>
          <w:p w14:paraId="1C04666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6FD88DE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61C98C2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0C12599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(0.152)</w:t>
            </w:r>
          </w:p>
        </w:tc>
        <w:tc>
          <w:tcPr>
            <w:tcW w:w="267" w:type="pct"/>
            <w:tcBorders>
              <w:left w:val="nil"/>
              <w:right w:val="nil"/>
            </w:tcBorders>
            <w:shd w:val="clear" w:color="auto" w:fill="FFFFFF"/>
          </w:tcPr>
          <w:p w14:paraId="37028EE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7831FAF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vAlign w:val="center"/>
          </w:tcPr>
          <w:p w14:paraId="307643B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67" w:type="pct"/>
            <w:tcBorders>
              <w:left w:val="nil"/>
              <w:right w:val="nil"/>
            </w:tcBorders>
            <w:shd w:val="clear" w:color="auto" w:fill="FFFFFF"/>
          </w:tcPr>
          <w:p w14:paraId="44102609"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63EB3E48" w14:textId="77777777" w:rsidTr="007008AE">
        <w:trPr>
          <w:trHeight w:val="280"/>
        </w:trPr>
        <w:tc>
          <w:tcPr>
            <w:tcW w:w="783" w:type="pct"/>
            <w:tcBorders>
              <w:left w:val="nil"/>
              <w:right w:val="nil"/>
            </w:tcBorders>
            <w:shd w:val="clear" w:color="auto" w:fill="FFFFFF"/>
            <w:vAlign w:val="center"/>
          </w:tcPr>
          <w:p w14:paraId="3F511A5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Intercept</w:t>
            </w:r>
          </w:p>
        </w:tc>
        <w:tc>
          <w:tcPr>
            <w:tcW w:w="433" w:type="pct"/>
            <w:tcBorders>
              <w:left w:val="nil"/>
              <w:right w:val="nil"/>
            </w:tcBorders>
            <w:shd w:val="clear" w:color="auto" w:fill="FFFFFF"/>
            <w:vAlign w:val="center"/>
          </w:tcPr>
          <w:p w14:paraId="256B9B6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0.2408</w:t>
            </w:r>
          </w:p>
        </w:tc>
        <w:tc>
          <w:tcPr>
            <w:tcW w:w="274" w:type="pct"/>
            <w:tcBorders>
              <w:left w:val="nil"/>
              <w:right w:val="nil"/>
            </w:tcBorders>
            <w:shd w:val="clear" w:color="auto" w:fill="FFFFFF"/>
            <w:vAlign w:val="center"/>
          </w:tcPr>
          <w:p w14:paraId="2C35693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5" w:type="pct"/>
            <w:tcBorders>
              <w:left w:val="nil"/>
              <w:right w:val="nil"/>
            </w:tcBorders>
            <w:shd w:val="clear" w:color="auto" w:fill="FFFFFF"/>
          </w:tcPr>
          <w:p w14:paraId="1811BED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vAlign w:val="center"/>
          </w:tcPr>
          <w:p w14:paraId="7BD40F5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0.2408</w:t>
            </w:r>
          </w:p>
        </w:tc>
        <w:tc>
          <w:tcPr>
            <w:tcW w:w="274" w:type="pct"/>
            <w:tcBorders>
              <w:left w:val="nil"/>
              <w:right w:val="nil"/>
            </w:tcBorders>
            <w:shd w:val="clear" w:color="auto" w:fill="FFFFFF"/>
            <w:vAlign w:val="center"/>
          </w:tcPr>
          <w:p w14:paraId="115E058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5" w:type="pct"/>
            <w:tcBorders>
              <w:left w:val="nil"/>
              <w:right w:val="nil"/>
            </w:tcBorders>
            <w:shd w:val="clear" w:color="auto" w:fill="FFFFFF"/>
          </w:tcPr>
          <w:p w14:paraId="5F07D6D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vAlign w:val="center"/>
          </w:tcPr>
          <w:p w14:paraId="4ACA40D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0.2442</w:t>
            </w:r>
          </w:p>
        </w:tc>
        <w:tc>
          <w:tcPr>
            <w:tcW w:w="279" w:type="pct"/>
            <w:tcBorders>
              <w:left w:val="nil"/>
              <w:right w:val="nil"/>
            </w:tcBorders>
            <w:shd w:val="clear" w:color="auto" w:fill="FFFFFF"/>
            <w:vAlign w:val="center"/>
          </w:tcPr>
          <w:p w14:paraId="4C2725B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5" w:type="pct"/>
            <w:tcBorders>
              <w:left w:val="nil"/>
              <w:right w:val="nil"/>
            </w:tcBorders>
            <w:shd w:val="clear" w:color="auto" w:fill="FFFFFF"/>
          </w:tcPr>
          <w:p w14:paraId="14DDD51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1D457CE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0DD5425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0.2441</w:t>
            </w:r>
          </w:p>
        </w:tc>
        <w:tc>
          <w:tcPr>
            <w:tcW w:w="267" w:type="pct"/>
            <w:tcBorders>
              <w:left w:val="nil"/>
              <w:right w:val="nil"/>
            </w:tcBorders>
            <w:shd w:val="clear" w:color="auto" w:fill="FFFFFF"/>
          </w:tcPr>
          <w:p w14:paraId="495F0C0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5" w:type="pct"/>
            <w:tcBorders>
              <w:left w:val="nil"/>
              <w:right w:val="nil"/>
            </w:tcBorders>
            <w:shd w:val="clear" w:color="auto" w:fill="FFFFFF"/>
          </w:tcPr>
          <w:p w14:paraId="5E5E1FA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vAlign w:val="center"/>
          </w:tcPr>
          <w:p w14:paraId="5BF0DD5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0.2169</w:t>
            </w:r>
          </w:p>
        </w:tc>
        <w:tc>
          <w:tcPr>
            <w:tcW w:w="267" w:type="pct"/>
            <w:tcBorders>
              <w:left w:val="nil"/>
              <w:right w:val="nil"/>
            </w:tcBorders>
            <w:shd w:val="clear" w:color="auto" w:fill="FFFFFF"/>
            <w:vAlign w:val="center"/>
          </w:tcPr>
          <w:p w14:paraId="42697CF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23E26488" w14:textId="77777777" w:rsidTr="007008AE">
        <w:trPr>
          <w:trHeight w:val="280"/>
        </w:trPr>
        <w:tc>
          <w:tcPr>
            <w:tcW w:w="783" w:type="pct"/>
            <w:tcBorders>
              <w:left w:val="nil"/>
              <w:right w:val="nil"/>
            </w:tcBorders>
            <w:shd w:val="clear" w:color="auto" w:fill="FFFFFF"/>
          </w:tcPr>
          <w:p w14:paraId="52C13F59"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72"/>
                <w:id w:val="-330656208"/>
              </w:sdtPr>
              <w:sdtContent>
                <w:r>
                  <w:rPr>
                    <w:rFonts w:ascii="Arial Unicode MS" w:eastAsia="Arial Unicode MS" w:hAnsi="Arial Unicode MS" w:cs="Arial Unicode MS"/>
                    <w:color w:val="000000"/>
                    <w:sz w:val="18"/>
                    <w:szCs w:val="18"/>
                  </w:rPr>
                  <w:t xml:space="preserve">　</w:t>
                </w:r>
              </w:sdtContent>
            </w:sdt>
          </w:p>
        </w:tc>
        <w:tc>
          <w:tcPr>
            <w:tcW w:w="433" w:type="pct"/>
            <w:tcBorders>
              <w:left w:val="nil"/>
              <w:right w:val="nil"/>
            </w:tcBorders>
            <w:shd w:val="clear" w:color="auto" w:fill="FFFFFF"/>
            <w:vAlign w:val="center"/>
          </w:tcPr>
          <w:p w14:paraId="5AA8287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74" w:type="pct"/>
            <w:tcBorders>
              <w:left w:val="nil"/>
              <w:right w:val="nil"/>
            </w:tcBorders>
            <w:shd w:val="clear" w:color="auto" w:fill="FFFFFF"/>
          </w:tcPr>
          <w:p w14:paraId="0024ABE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19E48F5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vAlign w:val="center"/>
          </w:tcPr>
          <w:p w14:paraId="705CF50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74" w:type="pct"/>
            <w:tcBorders>
              <w:left w:val="nil"/>
              <w:right w:val="nil"/>
            </w:tcBorders>
            <w:shd w:val="clear" w:color="auto" w:fill="FFFFFF"/>
          </w:tcPr>
          <w:p w14:paraId="3931A4C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408B6D6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vAlign w:val="center"/>
          </w:tcPr>
          <w:p w14:paraId="3FF05BE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79" w:type="pct"/>
            <w:tcBorders>
              <w:left w:val="nil"/>
              <w:right w:val="nil"/>
            </w:tcBorders>
            <w:shd w:val="clear" w:color="auto" w:fill="FFFFFF"/>
          </w:tcPr>
          <w:p w14:paraId="0302D78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1F1346B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418D7B5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6BC13EF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67" w:type="pct"/>
            <w:tcBorders>
              <w:left w:val="nil"/>
              <w:right w:val="nil"/>
            </w:tcBorders>
            <w:shd w:val="clear" w:color="auto" w:fill="FFFFFF"/>
          </w:tcPr>
          <w:p w14:paraId="6F99C12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7893E82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vAlign w:val="center"/>
          </w:tcPr>
          <w:p w14:paraId="5D3F2605"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67" w:type="pct"/>
            <w:tcBorders>
              <w:left w:val="nil"/>
              <w:right w:val="nil"/>
            </w:tcBorders>
            <w:shd w:val="clear" w:color="auto" w:fill="FFFFFF"/>
          </w:tcPr>
          <w:p w14:paraId="5AA26AA7"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4388F087" w14:textId="77777777" w:rsidTr="007008AE">
        <w:trPr>
          <w:trHeight w:val="280"/>
        </w:trPr>
        <w:tc>
          <w:tcPr>
            <w:tcW w:w="783" w:type="pct"/>
            <w:tcBorders>
              <w:left w:val="nil"/>
              <w:right w:val="nil"/>
            </w:tcBorders>
            <w:shd w:val="clear" w:color="auto" w:fill="FFFFFF"/>
          </w:tcPr>
          <w:p w14:paraId="3F37836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INDUSTRY</w:t>
            </w:r>
          </w:p>
        </w:tc>
        <w:tc>
          <w:tcPr>
            <w:tcW w:w="433" w:type="pct"/>
            <w:tcBorders>
              <w:left w:val="nil"/>
              <w:right w:val="nil"/>
            </w:tcBorders>
            <w:shd w:val="clear" w:color="auto" w:fill="FFFFFF"/>
            <w:vAlign w:val="center"/>
          </w:tcPr>
          <w:p w14:paraId="4FB909F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Yes</w:t>
            </w:r>
          </w:p>
        </w:tc>
        <w:tc>
          <w:tcPr>
            <w:tcW w:w="274" w:type="pct"/>
            <w:tcBorders>
              <w:left w:val="nil"/>
              <w:right w:val="nil"/>
            </w:tcBorders>
            <w:shd w:val="clear" w:color="auto" w:fill="FFFFFF"/>
          </w:tcPr>
          <w:p w14:paraId="08C12D9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75FFBFC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vAlign w:val="center"/>
          </w:tcPr>
          <w:p w14:paraId="6F6DADD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Yes</w:t>
            </w:r>
          </w:p>
        </w:tc>
        <w:tc>
          <w:tcPr>
            <w:tcW w:w="274" w:type="pct"/>
            <w:tcBorders>
              <w:left w:val="nil"/>
              <w:right w:val="nil"/>
            </w:tcBorders>
            <w:shd w:val="clear" w:color="auto" w:fill="FFFFFF"/>
          </w:tcPr>
          <w:p w14:paraId="5DB28B2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25927CF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vAlign w:val="center"/>
          </w:tcPr>
          <w:p w14:paraId="7FCFEE7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Yes</w:t>
            </w:r>
          </w:p>
        </w:tc>
        <w:tc>
          <w:tcPr>
            <w:tcW w:w="279" w:type="pct"/>
            <w:tcBorders>
              <w:left w:val="nil"/>
              <w:right w:val="nil"/>
            </w:tcBorders>
            <w:shd w:val="clear" w:color="auto" w:fill="FFFFFF"/>
          </w:tcPr>
          <w:p w14:paraId="66FCE91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0F86A2F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3B26E3D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5E00014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Yes</w:t>
            </w:r>
          </w:p>
        </w:tc>
        <w:tc>
          <w:tcPr>
            <w:tcW w:w="267" w:type="pct"/>
            <w:tcBorders>
              <w:left w:val="nil"/>
              <w:right w:val="nil"/>
            </w:tcBorders>
            <w:shd w:val="clear" w:color="auto" w:fill="FFFFFF"/>
          </w:tcPr>
          <w:p w14:paraId="413DEDE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7FDC094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vAlign w:val="center"/>
          </w:tcPr>
          <w:p w14:paraId="375D1DF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Yes</w:t>
            </w:r>
          </w:p>
        </w:tc>
        <w:tc>
          <w:tcPr>
            <w:tcW w:w="267" w:type="pct"/>
            <w:tcBorders>
              <w:left w:val="nil"/>
              <w:right w:val="nil"/>
            </w:tcBorders>
            <w:shd w:val="clear" w:color="auto" w:fill="FFFFFF"/>
          </w:tcPr>
          <w:p w14:paraId="0A539507"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09EDBF3D" w14:textId="77777777" w:rsidTr="007008AE">
        <w:trPr>
          <w:trHeight w:val="280"/>
        </w:trPr>
        <w:tc>
          <w:tcPr>
            <w:tcW w:w="783" w:type="pct"/>
            <w:tcBorders>
              <w:left w:val="nil"/>
              <w:bottom w:val="single" w:sz="4" w:space="0" w:color="000000"/>
              <w:right w:val="nil"/>
            </w:tcBorders>
            <w:shd w:val="clear" w:color="auto" w:fill="FFFFFF"/>
            <w:vAlign w:val="center"/>
          </w:tcPr>
          <w:p w14:paraId="778053B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YEAR</w:t>
            </w:r>
          </w:p>
        </w:tc>
        <w:tc>
          <w:tcPr>
            <w:tcW w:w="433" w:type="pct"/>
            <w:tcBorders>
              <w:left w:val="nil"/>
              <w:bottom w:val="single" w:sz="4" w:space="0" w:color="000000"/>
              <w:right w:val="nil"/>
            </w:tcBorders>
            <w:shd w:val="clear" w:color="auto" w:fill="FFFFFF"/>
            <w:vAlign w:val="center"/>
          </w:tcPr>
          <w:p w14:paraId="11188A2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bottom w:val="single" w:sz="4" w:space="0" w:color="000000"/>
              <w:right w:val="nil"/>
            </w:tcBorders>
            <w:shd w:val="clear" w:color="auto" w:fill="FFFFFF"/>
          </w:tcPr>
          <w:p w14:paraId="757962A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bottom w:val="single" w:sz="4" w:space="0" w:color="000000"/>
              <w:right w:val="nil"/>
            </w:tcBorders>
            <w:shd w:val="clear" w:color="auto" w:fill="FFFFFF"/>
          </w:tcPr>
          <w:p w14:paraId="4CCB2C2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bottom w:val="single" w:sz="4" w:space="0" w:color="000000"/>
              <w:right w:val="nil"/>
            </w:tcBorders>
            <w:shd w:val="clear" w:color="auto" w:fill="FFFFFF"/>
            <w:vAlign w:val="center"/>
          </w:tcPr>
          <w:p w14:paraId="296A0C6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bottom w:val="single" w:sz="4" w:space="0" w:color="000000"/>
              <w:right w:val="nil"/>
            </w:tcBorders>
            <w:shd w:val="clear" w:color="auto" w:fill="FFFFFF"/>
          </w:tcPr>
          <w:p w14:paraId="646B317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bottom w:val="single" w:sz="4" w:space="0" w:color="000000"/>
              <w:right w:val="nil"/>
            </w:tcBorders>
            <w:shd w:val="clear" w:color="auto" w:fill="FFFFFF"/>
          </w:tcPr>
          <w:p w14:paraId="7F54D4A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bottom w:val="single" w:sz="4" w:space="0" w:color="000000"/>
              <w:right w:val="nil"/>
            </w:tcBorders>
            <w:shd w:val="clear" w:color="auto" w:fill="FFFFFF"/>
            <w:vAlign w:val="center"/>
          </w:tcPr>
          <w:p w14:paraId="746FF11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9" w:type="pct"/>
            <w:tcBorders>
              <w:left w:val="nil"/>
              <w:bottom w:val="single" w:sz="4" w:space="0" w:color="000000"/>
              <w:right w:val="nil"/>
            </w:tcBorders>
            <w:shd w:val="clear" w:color="auto" w:fill="FFFFFF"/>
          </w:tcPr>
          <w:p w14:paraId="0582314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bottom w:val="single" w:sz="4" w:space="0" w:color="000000"/>
              <w:right w:val="nil"/>
            </w:tcBorders>
            <w:shd w:val="clear" w:color="auto" w:fill="FFFFFF"/>
          </w:tcPr>
          <w:p w14:paraId="6EA8D30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bottom w:val="single" w:sz="4" w:space="0" w:color="000000"/>
              <w:right w:val="nil"/>
            </w:tcBorders>
            <w:shd w:val="clear" w:color="auto" w:fill="FFFFFF"/>
          </w:tcPr>
          <w:p w14:paraId="5DB548E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bottom w:val="single" w:sz="4" w:space="0" w:color="000000"/>
              <w:right w:val="nil"/>
            </w:tcBorders>
            <w:shd w:val="clear" w:color="auto" w:fill="FFFFFF"/>
          </w:tcPr>
          <w:p w14:paraId="0EBB96B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67" w:type="pct"/>
            <w:tcBorders>
              <w:left w:val="nil"/>
              <w:bottom w:val="single" w:sz="4" w:space="0" w:color="000000"/>
              <w:right w:val="nil"/>
            </w:tcBorders>
            <w:shd w:val="clear" w:color="auto" w:fill="FFFFFF"/>
          </w:tcPr>
          <w:p w14:paraId="4D91FCE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bottom w:val="single" w:sz="4" w:space="0" w:color="000000"/>
              <w:right w:val="nil"/>
            </w:tcBorders>
            <w:shd w:val="clear" w:color="auto" w:fill="FFFFFF"/>
          </w:tcPr>
          <w:p w14:paraId="749F8DD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bottom w:val="single" w:sz="4" w:space="0" w:color="000000"/>
              <w:right w:val="nil"/>
            </w:tcBorders>
            <w:shd w:val="clear" w:color="auto" w:fill="FFFFFF"/>
            <w:vAlign w:val="center"/>
          </w:tcPr>
          <w:p w14:paraId="281086B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Yes</w:t>
            </w:r>
          </w:p>
        </w:tc>
        <w:tc>
          <w:tcPr>
            <w:tcW w:w="267" w:type="pct"/>
            <w:tcBorders>
              <w:left w:val="nil"/>
              <w:bottom w:val="single" w:sz="4" w:space="0" w:color="000000"/>
              <w:right w:val="nil"/>
            </w:tcBorders>
            <w:shd w:val="clear" w:color="auto" w:fill="FFFFFF"/>
          </w:tcPr>
          <w:p w14:paraId="1D0CAA4B"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3C82284C" w14:textId="77777777" w:rsidTr="007008AE">
        <w:trPr>
          <w:trHeight w:val="280"/>
        </w:trPr>
        <w:tc>
          <w:tcPr>
            <w:tcW w:w="783" w:type="pct"/>
            <w:tcBorders>
              <w:left w:val="nil"/>
              <w:right w:val="nil"/>
            </w:tcBorders>
            <w:shd w:val="clear" w:color="auto" w:fill="FFFFFF"/>
            <w:vAlign w:val="center"/>
          </w:tcPr>
          <w:p w14:paraId="00CE3F4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Observations</w:t>
            </w:r>
          </w:p>
        </w:tc>
        <w:tc>
          <w:tcPr>
            <w:tcW w:w="433" w:type="pct"/>
            <w:tcBorders>
              <w:left w:val="nil"/>
              <w:right w:val="nil"/>
            </w:tcBorders>
            <w:shd w:val="clear" w:color="auto" w:fill="FFFFFF"/>
            <w:vAlign w:val="center"/>
          </w:tcPr>
          <w:p w14:paraId="035E88D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4,019</w:t>
            </w:r>
          </w:p>
        </w:tc>
        <w:tc>
          <w:tcPr>
            <w:tcW w:w="274" w:type="pct"/>
            <w:tcBorders>
              <w:left w:val="nil"/>
              <w:right w:val="nil"/>
            </w:tcBorders>
            <w:shd w:val="clear" w:color="auto" w:fill="FFFFFF"/>
          </w:tcPr>
          <w:p w14:paraId="5CB5931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3CD830D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vAlign w:val="center"/>
          </w:tcPr>
          <w:p w14:paraId="4CD6F9D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4,018</w:t>
            </w:r>
          </w:p>
        </w:tc>
        <w:tc>
          <w:tcPr>
            <w:tcW w:w="274" w:type="pct"/>
            <w:tcBorders>
              <w:left w:val="nil"/>
              <w:right w:val="nil"/>
            </w:tcBorders>
            <w:shd w:val="clear" w:color="auto" w:fill="FFFFFF"/>
          </w:tcPr>
          <w:p w14:paraId="6E3B23A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6DD40EF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vAlign w:val="center"/>
          </w:tcPr>
          <w:p w14:paraId="7B4E19D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3,989</w:t>
            </w:r>
          </w:p>
        </w:tc>
        <w:tc>
          <w:tcPr>
            <w:tcW w:w="279" w:type="pct"/>
            <w:tcBorders>
              <w:left w:val="nil"/>
              <w:right w:val="nil"/>
            </w:tcBorders>
            <w:shd w:val="clear" w:color="auto" w:fill="FFFFFF"/>
          </w:tcPr>
          <w:p w14:paraId="7E41B19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39476E3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045AEA0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2ED1BA8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3,989</w:t>
            </w:r>
          </w:p>
        </w:tc>
        <w:tc>
          <w:tcPr>
            <w:tcW w:w="267" w:type="pct"/>
            <w:tcBorders>
              <w:left w:val="nil"/>
              <w:right w:val="nil"/>
            </w:tcBorders>
            <w:shd w:val="clear" w:color="auto" w:fill="FFFFFF"/>
          </w:tcPr>
          <w:p w14:paraId="3EEEBE8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680F9B2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vAlign w:val="center"/>
          </w:tcPr>
          <w:p w14:paraId="39BF1E4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4,019</w:t>
            </w:r>
          </w:p>
        </w:tc>
        <w:tc>
          <w:tcPr>
            <w:tcW w:w="267" w:type="pct"/>
            <w:tcBorders>
              <w:left w:val="nil"/>
              <w:right w:val="nil"/>
            </w:tcBorders>
            <w:shd w:val="clear" w:color="auto" w:fill="FFFFFF"/>
          </w:tcPr>
          <w:p w14:paraId="73F942BC"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5E4598F9" w14:textId="77777777" w:rsidTr="007008AE">
        <w:trPr>
          <w:trHeight w:val="280"/>
        </w:trPr>
        <w:tc>
          <w:tcPr>
            <w:tcW w:w="783" w:type="pct"/>
            <w:tcBorders>
              <w:left w:val="nil"/>
              <w:right w:val="nil"/>
            </w:tcBorders>
            <w:shd w:val="clear" w:color="auto" w:fill="FFFFFF"/>
            <w:vAlign w:val="center"/>
          </w:tcPr>
          <w:p w14:paraId="6850CB2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R</w:t>
            </w:r>
            <w:r>
              <w:rPr>
                <w:rFonts w:ascii="Times New Roman" w:eastAsia="Times New Roman" w:hAnsi="Times New Roman" w:cs="Times New Roman"/>
                <w:color w:val="000000"/>
                <w:sz w:val="18"/>
                <w:szCs w:val="18"/>
                <w:vertAlign w:val="superscript"/>
              </w:rPr>
              <w:t>2</w:t>
            </w:r>
          </w:p>
        </w:tc>
        <w:tc>
          <w:tcPr>
            <w:tcW w:w="433" w:type="pct"/>
            <w:tcBorders>
              <w:left w:val="nil"/>
              <w:right w:val="nil"/>
            </w:tcBorders>
            <w:shd w:val="clear" w:color="auto" w:fill="FFFFFF"/>
            <w:vAlign w:val="center"/>
          </w:tcPr>
          <w:p w14:paraId="7E8E149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0.177</w:t>
            </w:r>
          </w:p>
        </w:tc>
        <w:tc>
          <w:tcPr>
            <w:tcW w:w="274" w:type="pct"/>
            <w:tcBorders>
              <w:left w:val="nil"/>
              <w:right w:val="nil"/>
            </w:tcBorders>
            <w:shd w:val="clear" w:color="auto" w:fill="FFFFFF"/>
          </w:tcPr>
          <w:p w14:paraId="2BB9EAD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1673BE5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right w:val="nil"/>
            </w:tcBorders>
            <w:shd w:val="clear" w:color="auto" w:fill="FFFFFF"/>
            <w:vAlign w:val="center"/>
          </w:tcPr>
          <w:p w14:paraId="7159967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0.177</w:t>
            </w:r>
          </w:p>
        </w:tc>
        <w:tc>
          <w:tcPr>
            <w:tcW w:w="274" w:type="pct"/>
            <w:tcBorders>
              <w:left w:val="nil"/>
              <w:right w:val="nil"/>
            </w:tcBorders>
            <w:shd w:val="clear" w:color="auto" w:fill="FFFFFF"/>
          </w:tcPr>
          <w:p w14:paraId="14EF7B4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42581C7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right w:val="nil"/>
            </w:tcBorders>
            <w:shd w:val="clear" w:color="auto" w:fill="FFFFFF"/>
            <w:vAlign w:val="center"/>
          </w:tcPr>
          <w:p w14:paraId="4949EA3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0.178</w:t>
            </w:r>
          </w:p>
        </w:tc>
        <w:tc>
          <w:tcPr>
            <w:tcW w:w="279" w:type="pct"/>
            <w:tcBorders>
              <w:left w:val="nil"/>
              <w:right w:val="nil"/>
            </w:tcBorders>
            <w:shd w:val="clear" w:color="auto" w:fill="FFFFFF"/>
          </w:tcPr>
          <w:p w14:paraId="33ABDF2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639DCA5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376760C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right w:val="nil"/>
            </w:tcBorders>
            <w:shd w:val="clear" w:color="auto" w:fill="FFFFFF"/>
          </w:tcPr>
          <w:p w14:paraId="13F802C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0.178</w:t>
            </w:r>
          </w:p>
        </w:tc>
        <w:tc>
          <w:tcPr>
            <w:tcW w:w="267" w:type="pct"/>
            <w:tcBorders>
              <w:left w:val="nil"/>
              <w:right w:val="nil"/>
            </w:tcBorders>
            <w:shd w:val="clear" w:color="auto" w:fill="FFFFFF"/>
          </w:tcPr>
          <w:p w14:paraId="2C8FD31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right w:val="nil"/>
            </w:tcBorders>
            <w:shd w:val="clear" w:color="auto" w:fill="FFFFFF"/>
          </w:tcPr>
          <w:p w14:paraId="24A17BF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vAlign w:val="center"/>
          </w:tcPr>
          <w:p w14:paraId="621E449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0.182</w:t>
            </w:r>
          </w:p>
        </w:tc>
        <w:tc>
          <w:tcPr>
            <w:tcW w:w="267" w:type="pct"/>
            <w:tcBorders>
              <w:left w:val="nil"/>
              <w:right w:val="nil"/>
            </w:tcBorders>
            <w:shd w:val="clear" w:color="auto" w:fill="FFFFFF"/>
          </w:tcPr>
          <w:p w14:paraId="3E3A5116"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68493807" w14:textId="77777777" w:rsidTr="007008AE">
        <w:trPr>
          <w:trHeight w:val="280"/>
        </w:trPr>
        <w:tc>
          <w:tcPr>
            <w:tcW w:w="783" w:type="pct"/>
            <w:tcBorders>
              <w:left w:val="nil"/>
              <w:bottom w:val="single" w:sz="4" w:space="0" w:color="000000"/>
              <w:right w:val="nil"/>
            </w:tcBorders>
            <w:shd w:val="clear" w:color="auto" w:fill="FFFFFF"/>
            <w:vAlign w:val="center"/>
          </w:tcPr>
          <w:p w14:paraId="2F0A7C73" w14:textId="77777777" w:rsidR="007373F6" w:rsidRDefault="00000000">
            <w:pPr>
              <w:spacing w:after="0" w:line="240" w:lineRule="auto"/>
              <w:jc w:val="both"/>
              <w:rPr>
                <w:rFonts w:ascii="Times New Roman" w:eastAsia="Times New Roman" w:hAnsi="Times New Roman" w:cs="Times New Roman"/>
                <w:color w:val="000000"/>
                <w:sz w:val="18"/>
                <w:szCs w:val="18"/>
              </w:rPr>
            </w:pPr>
            <w:proofErr w:type="spellStart"/>
            <w:r>
              <w:rPr>
                <w:rFonts w:ascii="Times New Roman" w:eastAsia="Times New Roman" w:hAnsi="Times New Roman" w:cs="Times New Roman"/>
                <w:color w:val="000000"/>
                <w:sz w:val="20"/>
                <w:szCs w:val="20"/>
              </w:rPr>
              <w:t>Adj</w:t>
            </w:r>
            <w:proofErr w:type="spellEnd"/>
            <w:r>
              <w:rPr>
                <w:rFonts w:ascii="Times New Roman" w:eastAsia="Times New Roman" w:hAnsi="Times New Roman" w:cs="Times New Roman"/>
                <w:color w:val="000000"/>
                <w:sz w:val="18"/>
                <w:szCs w:val="18"/>
              </w:rPr>
              <w:t xml:space="preserve"> R</w:t>
            </w:r>
            <w:r>
              <w:rPr>
                <w:rFonts w:ascii="Times New Roman" w:eastAsia="Times New Roman" w:hAnsi="Times New Roman" w:cs="Times New Roman"/>
                <w:color w:val="000000"/>
                <w:sz w:val="18"/>
                <w:szCs w:val="18"/>
                <w:vertAlign w:val="superscript"/>
              </w:rPr>
              <w:t>2</w:t>
            </w:r>
          </w:p>
        </w:tc>
        <w:tc>
          <w:tcPr>
            <w:tcW w:w="433" w:type="pct"/>
            <w:tcBorders>
              <w:left w:val="nil"/>
              <w:bottom w:val="single" w:sz="4" w:space="0" w:color="000000"/>
              <w:right w:val="nil"/>
            </w:tcBorders>
            <w:shd w:val="clear" w:color="auto" w:fill="FFFFFF"/>
            <w:vAlign w:val="center"/>
          </w:tcPr>
          <w:p w14:paraId="4055022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0.170</w:t>
            </w:r>
          </w:p>
        </w:tc>
        <w:tc>
          <w:tcPr>
            <w:tcW w:w="274" w:type="pct"/>
            <w:tcBorders>
              <w:left w:val="nil"/>
              <w:bottom w:val="single" w:sz="4" w:space="0" w:color="000000"/>
              <w:right w:val="nil"/>
            </w:tcBorders>
            <w:shd w:val="clear" w:color="auto" w:fill="FFFFFF"/>
          </w:tcPr>
          <w:p w14:paraId="1840326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bottom w:val="single" w:sz="4" w:space="0" w:color="000000"/>
              <w:right w:val="nil"/>
            </w:tcBorders>
            <w:shd w:val="clear" w:color="auto" w:fill="FFFFFF"/>
          </w:tcPr>
          <w:p w14:paraId="71D9DDD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38" w:type="pct"/>
            <w:tcBorders>
              <w:left w:val="nil"/>
              <w:bottom w:val="single" w:sz="4" w:space="0" w:color="000000"/>
              <w:right w:val="nil"/>
            </w:tcBorders>
            <w:shd w:val="clear" w:color="auto" w:fill="FFFFFF"/>
            <w:vAlign w:val="center"/>
          </w:tcPr>
          <w:p w14:paraId="4E20BE8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0.170</w:t>
            </w:r>
          </w:p>
        </w:tc>
        <w:tc>
          <w:tcPr>
            <w:tcW w:w="274" w:type="pct"/>
            <w:tcBorders>
              <w:left w:val="nil"/>
              <w:bottom w:val="single" w:sz="4" w:space="0" w:color="000000"/>
              <w:right w:val="nil"/>
            </w:tcBorders>
            <w:shd w:val="clear" w:color="auto" w:fill="FFFFFF"/>
          </w:tcPr>
          <w:p w14:paraId="5939FBB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bottom w:val="single" w:sz="4" w:space="0" w:color="000000"/>
              <w:right w:val="nil"/>
            </w:tcBorders>
            <w:shd w:val="clear" w:color="auto" w:fill="FFFFFF"/>
          </w:tcPr>
          <w:p w14:paraId="207A579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7" w:type="pct"/>
            <w:tcBorders>
              <w:left w:val="nil"/>
              <w:bottom w:val="single" w:sz="4" w:space="0" w:color="000000"/>
              <w:right w:val="nil"/>
            </w:tcBorders>
            <w:shd w:val="clear" w:color="auto" w:fill="FFFFFF"/>
            <w:vAlign w:val="center"/>
          </w:tcPr>
          <w:p w14:paraId="107E6FC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0.171</w:t>
            </w:r>
          </w:p>
        </w:tc>
        <w:tc>
          <w:tcPr>
            <w:tcW w:w="279" w:type="pct"/>
            <w:tcBorders>
              <w:left w:val="nil"/>
              <w:bottom w:val="single" w:sz="4" w:space="0" w:color="000000"/>
              <w:right w:val="nil"/>
            </w:tcBorders>
            <w:shd w:val="clear" w:color="auto" w:fill="FFFFFF"/>
          </w:tcPr>
          <w:p w14:paraId="5D93FDA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bottom w:val="single" w:sz="4" w:space="0" w:color="000000"/>
              <w:right w:val="nil"/>
            </w:tcBorders>
            <w:shd w:val="clear" w:color="auto" w:fill="FFFFFF"/>
          </w:tcPr>
          <w:p w14:paraId="117735B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bottom w:val="single" w:sz="4" w:space="0" w:color="000000"/>
              <w:right w:val="nil"/>
            </w:tcBorders>
            <w:shd w:val="clear" w:color="auto" w:fill="FFFFFF"/>
          </w:tcPr>
          <w:p w14:paraId="2554172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1" w:type="pct"/>
            <w:tcBorders>
              <w:left w:val="nil"/>
              <w:bottom w:val="single" w:sz="4" w:space="0" w:color="000000"/>
              <w:right w:val="nil"/>
            </w:tcBorders>
            <w:shd w:val="clear" w:color="auto" w:fill="FFFFFF"/>
          </w:tcPr>
          <w:p w14:paraId="2609081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0.171</w:t>
            </w:r>
          </w:p>
        </w:tc>
        <w:tc>
          <w:tcPr>
            <w:tcW w:w="267" w:type="pct"/>
            <w:tcBorders>
              <w:left w:val="nil"/>
              <w:bottom w:val="single" w:sz="4" w:space="0" w:color="000000"/>
              <w:right w:val="nil"/>
            </w:tcBorders>
            <w:shd w:val="clear" w:color="auto" w:fill="FFFFFF"/>
          </w:tcPr>
          <w:p w14:paraId="43871FE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5" w:type="pct"/>
            <w:tcBorders>
              <w:left w:val="nil"/>
              <w:bottom w:val="single" w:sz="4" w:space="0" w:color="000000"/>
              <w:right w:val="nil"/>
            </w:tcBorders>
            <w:shd w:val="clear" w:color="auto" w:fill="FFFFFF"/>
          </w:tcPr>
          <w:p w14:paraId="31E0F0A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bottom w:val="single" w:sz="4" w:space="0" w:color="000000"/>
              <w:right w:val="nil"/>
            </w:tcBorders>
            <w:shd w:val="clear" w:color="auto" w:fill="FFFFFF"/>
            <w:vAlign w:val="center"/>
          </w:tcPr>
          <w:p w14:paraId="1D7D5F4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0.173</w:t>
            </w:r>
          </w:p>
        </w:tc>
        <w:tc>
          <w:tcPr>
            <w:tcW w:w="267" w:type="pct"/>
            <w:tcBorders>
              <w:left w:val="nil"/>
              <w:bottom w:val="single" w:sz="4" w:space="0" w:color="000000"/>
              <w:right w:val="nil"/>
            </w:tcBorders>
            <w:shd w:val="clear" w:color="auto" w:fill="FFFFFF"/>
          </w:tcPr>
          <w:p w14:paraId="6DBC34F9"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bl>
    <w:p w14:paraId="5BF7633F" w14:textId="77777777" w:rsidR="007373F6" w:rsidRDefault="00000000">
      <w:pPr>
        <w:widowControl w:val="0"/>
        <w:spacing w:before="4"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Notes: The regression results are based on an ordinary least squares estimation and show a heteroscedasticity-robust estimator based on the White and Brochu-Pagan test results. p-values are given in parentheses. *** and ** indicate statistical significance at the 1% and 5%, respectively.</w:t>
      </w:r>
    </w:p>
    <w:p w14:paraId="3CA747A5" w14:textId="77777777" w:rsidR="007373F6" w:rsidRDefault="007373F6">
      <w:pPr>
        <w:pBdr>
          <w:top w:val="nil"/>
          <w:left w:val="nil"/>
          <w:bottom w:val="nil"/>
          <w:right w:val="nil"/>
          <w:between w:val="nil"/>
        </w:pBdr>
        <w:spacing w:before="240" w:after="120" w:line="240" w:lineRule="auto"/>
        <w:jc w:val="both"/>
        <w:rPr>
          <w:rFonts w:ascii="Times New Roman" w:eastAsia="Times New Roman" w:hAnsi="Times New Roman" w:cs="Times New Roman"/>
          <w:color w:val="000000"/>
          <w:sz w:val="24"/>
          <w:szCs w:val="24"/>
          <w:highlight w:val="yellow"/>
        </w:rPr>
      </w:pPr>
    </w:p>
    <w:p w14:paraId="6F7C756B" w14:textId="77777777" w:rsidR="007008AE" w:rsidRDefault="007008AE">
      <w:pPr>
        <w:pBdr>
          <w:top w:val="nil"/>
          <w:left w:val="nil"/>
          <w:bottom w:val="nil"/>
          <w:right w:val="nil"/>
          <w:between w:val="nil"/>
        </w:pBdr>
        <w:spacing w:before="240" w:after="120" w:line="240" w:lineRule="auto"/>
        <w:jc w:val="both"/>
        <w:rPr>
          <w:rFonts w:ascii="Times New Roman" w:eastAsia="Times New Roman" w:hAnsi="Times New Roman" w:cs="Times New Roman"/>
          <w:color w:val="000000"/>
          <w:sz w:val="24"/>
          <w:szCs w:val="24"/>
          <w:highlight w:val="yellow"/>
        </w:rPr>
      </w:pPr>
    </w:p>
    <w:p w14:paraId="48E44B67" w14:textId="77777777" w:rsidR="007008AE" w:rsidRDefault="007008AE">
      <w:pPr>
        <w:widowControl w:val="0"/>
        <w:tabs>
          <w:tab w:val="left" w:pos="945"/>
        </w:tabs>
        <w:spacing w:after="0" w:line="299" w:lineRule="auto"/>
        <w:jc w:val="both"/>
        <w:rPr>
          <w:rFonts w:ascii="Times New Roman" w:eastAsia="Times New Roman" w:hAnsi="Times New Roman" w:cs="Times New Roman"/>
          <w:b/>
          <w:color w:val="000000"/>
        </w:rPr>
      </w:pPr>
    </w:p>
    <w:p w14:paraId="364EC77B" w14:textId="77777777" w:rsidR="007008AE" w:rsidRDefault="007008AE">
      <w:pPr>
        <w:widowControl w:val="0"/>
        <w:tabs>
          <w:tab w:val="left" w:pos="945"/>
        </w:tabs>
        <w:spacing w:after="0" w:line="299" w:lineRule="auto"/>
        <w:jc w:val="both"/>
        <w:rPr>
          <w:rFonts w:ascii="Times New Roman" w:eastAsia="Times New Roman" w:hAnsi="Times New Roman" w:cs="Times New Roman"/>
          <w:b/>
          <w:color w:val="000000"/>
        </w:rPr>
      </w:pPr>
    </w:p>
    <w:p w14:paraId="7195AE8B" w14:textId="77777777" w:rsidR="00084D38" w:rsidRDefault="00084D38">
      <w:pPr>
        <w:widowControl w:val="0"/>
        <w:tabs>
          <w:tab w:val="left" w:pos="945"/>
        </w:tabs>
        <w:spacing w:after="0" w:line="299" w:lineRule="auto"/>
        <w:jc w:val="both"/>
        <w:rPr>
          <w:rFonts w:ascii="Times New Roman" w:eastAsia="Times New Roman" w:hAnsi="Times New Roman" w:cs="Times New Roman"/>
          <w:b/>
          <w:color w:val="000000"/>
        </w:rPr>
      </w:pPr>
    </w:p>
    <w:p w14:paraId="7AEB891E" w14:textId="77777777" w:rsidR="00084D38" w:rsidRDefault="00084D38">
      <w:pPr>
        <w:widowControl w:val="0"/>
        <w:tabs>
          <w:tab w:val="left" w:pos="945"/>
        </w:tabs>
        <w:spacing w:after="0" w:line="299" w:lineRule="auto"/>
        <w:jc w:val="both"/>
        <w:rPr>
          <w:rFonts w:ascii="Times New Roman" w:eastAsia="Times New Roman" w:hAnsi="Times New Roman" w:cs="Times New Roman"/>
          <w:b/>
          <w:color w:val="000000"/>
        </w:rPr>
      </w:pPr>
    </w:p>
    <w:p w14:paraId="264E174C" w14:textId="77777777" w:rsidR="00084D38" w:rsidRDefault="00084D38">
      <w:pPr>
        <w:widowControl w:val="0"/>
        <w:tabs>
          <w:tab w:val="left" w:pos="945"/>
        </w:tabs>
        <w:spacing w:after="0" w:line="299" w:lineRule="auto"/>
        <w:jc w:val="both"/>
        <w:rPr>
          <w:rFonts w:ascii="Times New Roman" w:eastAsia="Times New Roman" w:hAnsi="Times New Roman" w:cs="Times New Roman"/>
          <w:b/>
          <w:color w:val="000000"/>
        </w:rPr>
      </w:pPr>
    </w:p>
    <w:p w14:paraId="6B7C9108" w14:textId="77777777" w:rsidR="00084D38" w:rsidRDefault="00084D38">
      <w:pPr>
        <w:widowControl w:val="0"/>
        <w:tabs>
          <w:tab w:val="left" w:pos="945"/>
        </w:tabs>
        <w:spacing w:after="0" w:line="299" w:lineRule="auto"/>
        <w:jc w:val="both"/>
        <w:rPr>
          <w:rFonts w:ascii="Times New Roman" w:eastAsia="Times New Roman" w:hAnsi="Times New Roman" w:cs="Times New Roman"/>
          <w:b/>
          <w:color w:val="000000"/>
        </w:rPr>
      </w:pPr>
    </w:p>
    <w:p w14:paraId="10FD7984" w14:textId="77777777" w:rsidR="00084D38" w:rsidRDefault="00084D38">
      <w:pPr>
        <w:widowControl w:val="0"/>
        <w:tabs>
          <w:tab w:val="left" w:pos="945"/>
        </w:tabs>
        <w:spacing w:after="0" w:line="299" w:lineRule="auto"/>
        <w:jc w:val="both"/>
        <w:rPr>
          <w:rFonts w:ascii="Times New Roman" w:eastAsia="Times New Roman" w:hAnsi="Times New Roman" w:cs="Times New Roman"/>
          <w:b/>
          <w:color w:val="000000"/>
        </w:rPr>
      </w:pPr>
    </w:p>
    <w:p w14:paraId="78746406" w14:textId="24D4C104" w:rsidR="007373F6" w:rsidRDefault="00000000">
      <w:pPr>
        <w:widowControl w:val="0"/>
        <w:tabs>
          <w:tab w:val="left" w:pos="945"/>
        </w:tabs>
        <w:spacing w:after="0" w:line="299" w:lineRule="auto"/>
        <w:jc w:val="both"/>
        <w:rPr>
          <w:rFonts w:ascii="游明朝" w:eastAsia="游明朝" w:hAnsi="游明朝" w:cs="游明朝"/>
          <w:color w:val="000000"/>
        </w:rPr>
      </w:pPr>
      <w:r>
        <w:rPr>
          <w:rFonts w:ascii="Times New Roman" w:eastAsia="Times New Roman" w:hAnsi="Times New Roman" w:cs="Times New Roman"/>
          <w:b/>
          <w:color w:val="000000"/>
        </w:rPr>
        <w:t xml:space="preserve">Panel B: </w:t>
      </w:r>
      <w:r w:rsidRPr="007008AE">
        <w:rPr>
          <w:rFonts w:ascii="Times New Roman" w:eastAsia="Times New Roman" w:hAnsi="Times New Roman" w:cs="Times New Roman"/>
          <w:bCs/>
          <w:color w:val="000000"/>
        </w:rPr>
        <w:t>Factors associated with foreign shareholders’ numbers</w:t>
      </w:r>
      <w:r>
        <w:rPr>
          <w:rFonts w:ascii="Times New Roman" w:eastAsia="Times New Roman" w:hAnsi="Times New Roman" w:cs="Times New Roman"/>
          <w:b/>
          <w:color w:val="000000"/>
        </w:rPr>
        <w:t xml:space="preserve"> </w:t>
      </w:r>
    </w:p>
    <w:tbl>
      <w:tblPr>
        <w:tblStyle w:val="af2"/>
        <w:tblW w:w="5000" w:type="pct"/>
        <w:tblLook w:val="0400" w:firstRow="0" w:lastRow="0" w:firstColumn="0" w:lastColumn="0" w:noHBand="0" w:noVBand="1"/>
      </w:tblPr>
      <w:tblGrid>
        <w:gridCol w:w="1422"/>
        <w:gridCol w:w="820"/>
        <w:gridCol w:w="505"/>
        <w:gridCol w:w="231"/>
        <w:gridCol w:w="821"/>
        <w:gridCol w:w="505"/>
        <w:gridCol w:w="231"/>
        <w:gridCol w:w="830"/>
        <w:gridCol w:w="514"/>
        <w:gridCol w:w="231"/>
        <w:gridCol w:w="838"/>
        <w:gridCol w:w="495"/>
        <w:gridCol w:w="231"/>
        <w:gridCol w:w="857"/>
        <w:gridCol w:w="495"/>
      </w:tblGrid>
      <w:tr w:rsidR="007373F6" w14:paraId="45D9DCCD" w14:textId="77777777" w:rsidTr="007008AE">
        <w:trPr>
          <w:trHeight w:val="280"/>
        </w:trPr>
        <w:tc>
          <w:tcPr>
            <w:tcW w:w="787" w:type="pct"/>
            <w:tcBorders>
              <w:left w:val="nil"/>
              <w:bottom w:val="single" w:sz="4" w:space="0" w:color="000000"/>
              <w:right w:val="nil"/>
            </w:tcBorders>
            <w:shd w:val="clear" w:color="auto" w:fill="FFFFFF"/>
          </w:tcPr>
          <w:p w14:paraId="242E2747"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73"/>
                <w:id w:val="213536903"/>
              </w:sdtPr>
              <w:sdtContent>
                <w:r>
                  <w:rPr>
                    <w:rFonts w:ascii="Arial Unicode MS" w:eastAsia="Arial Unicode MS" w:hAnsi="Arial Unicode MS" w:cs="Arial Unicode MS"/>
                    <w:color w:val="000000"/>
                    <w:sz w:val="20"/>
                    <w:szCs w:val="20"/>
                  </w:rPr>
                  <w:t xml:space="preserve">　</w:t>
                </w:r>
              </w:sdtContent>
            </w:sdt>
          </w:p>
        </w:tc>
        <w:tc>
          <w:tcPr>
            <w:tcW w:w="454" w:type="pct"/>
            <w:tcBorders>
              <w:left w:val="nil"/>
              <w:bottom w:val="single" w:sz="4" w:space="0" w:color="000000"/>
              <w:right w:val="nil"/>
            </w:tcBorders>
            <w:shd w:val="clear" w:color="auto" w:fill="FFFFFF"/>
          </w:tcPr>
          <w:p w14:paraId="19A59441"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74"/>
                <w:id w:val="-515613300"/>
              </w:sdtPr>
              <w:sdtContent>
                <w:r>
                  <w:rPr>
                    <w:rFonts w:ascii="Arial Unicode MS" w:eastAsia="Arial Unicode MS" w:hAnsi="Arial Unicode MS" w:cs="Arial Unicode MS"/>
                    <w:color w:val="000000"/>
                    <w:sz w:val="20"/>
                    <w:szCs w:val="20"/>
                  </w:rPr>
                  <w:t xml:space="preserve">　</w:t>
                </w:r>
              </w:sdtContent>
            </w:sdt>
          </w:p>
        </w:tc>
        <w:tc>
          <w:tcPr>
            <w:tcW w:w="280" w:type="pct"/>
            <w:tcBorders>
              <w:left w:val="nil"/>
              <w:bottom w:val="single" w:sz="4" w:space="0" w:color="000000"/>
              <w:right w:val="nil"/>
            </w:tcBorders>
            <w:shd w:val="clear" w:color="auto" w:fill="FFFFFF"/>
          </w:tcPr>
          <w:p w14:paraId="003543B4"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75"/>
                <w:id w:val="1578419680"/>
              </w:sdtPr>
              <w:sdtContent>
                <w:r>
                  <w:rPr>
                    <w:rFonts w:ascii="Arial Unicode MS" w:eastAsia="Arial Unicode MS" w:hAnsi="Arial Unicode MS" w:cs="Arial Unicode MS"/>
                    <w:color w:val="000000"/>
                    <w:sz w:val="20"/>
                    <w:szCs w:val="20"/>
                  </w:rPr>
                  <w:t xml:space="preserve">　</w:t>
                </w:r>
              </w:sdtContent>
            </w:sdt>
          </w:p>
        </w:tc>
        <w:tc>
          <w:tcPr>
            <w:tcW w:w="128" w:type="pct"/>
            <w:tcBorders>
              <w:left w:val="nil"/>
              <w:bottom w:val="single" w:sz="4" w:space="0" w:color="000000"/>
              <w:right w:val="nil"/>
            </w:tcBorders>
            <w:shd w:val="clear" w:color="auto" w:fill="FFFFFF"/>
          </w:tcPr>
          <w:p w14:paraId="16730BD0"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76"/>
                <w:id w:val="405386758"/>
              </w:sdtPr>
              <w:sdtContent>
                <w:r>
                  <w:rPr>
                    <w:rFonts w:ascii="Arial Unicode MS" w:eastAsia="Arial Unicode MS" w:hAnsi="Arial Unicode MS" w:cs="Arial Unicode MS"/>
                    <w:color w:val="000000"/>
                    <w:sz w:val="20"/>
                    <w:szCs w:val="20"/>
                  </w:rPr>
                  <w:t xml:space="preserve">　</w:t>
                </w:r>
              </w:sdtContent>
            </w:sdt>
          </w:p>
        </w:tc>
        <w:tc>
          <w:tcPr>
            <w:tcW w:w="454" w:type="pct"/>
            <w:tcBorders>
              <w:left w:val="nil"/>
              <w:bottom w:val="single" w:sz="4" w:space="0" w:color="000000"/>
              <w:right w:val="nil"/>
            </w:tcBorders>
            <w:shd w:val="clear" w:color="auto" w:fill="FFFFFF"/>
          </w:tcPr>
          <w:p w14:paraId="5698DF9D"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77"/>
                <w:id w:val="34261655"/>
              </w:sdtPr>
              <w:sdtContent>
                <w:r>
                  <w:rPr>
                    <w:rFonts w:ascii="Arial Unicode MS" w:eastAsia="Arial Unicode MS" w:hAnsi="Arial Unicode MS" w:cs="Arial Unicode MS"/>
                    <w:color w:val="000000"/>
                    <w:sz w:val="20"/>
                    <w:szCs w:val="20"/>
                  </w:rPr>
                  <w:t xml:space="preserve">　</w:t>
                </w:r>
              </w:sdtContent>
            </w:sdt>
          </w:p>
        </w:tc>
        <w:tc>
          <w:tcPr>
            <w:tcW w:w="280" w:type="pct"/>
            <w:tcBorders>
              <w:left w:val="nil"/>
              <w:bottom w:val="single" w:sz="4" w:space="0" w:color="000000"/>
              <w:right w:val="nil"/>
            </w:tcBorders>
            <w:shd w:val="clear" w:color="auto" w:fill="FFFFFF"/>
          </w:tcPr>
          <w:p w14:paraId="41C762F5"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78"/>
                <w:id w:val="1639524473"/>
              </w:sdtPr>
              <w:sdtContent>
                <w:r>
                  <w:rPr>
                    <w:rFonts w:ascii="Arial Unicode MS" w:eastAsia="Arial Unicode MS" w:hAnsi="Arial Unicode MS" w:cs="Arial Unicode MS"/>
                    <w:color w:val="000000"/>
                    <w:sz w:val="20"/>
                    <w:szCs w:val="20"/>
                  </w:rPr>
                  <w:t xml:space="preserve">　</w:t>
                </w:r>
              </w:sdtContent>
            </w:sdt>
          </w:p>
        </w:tc>
        <w:tc>
          <w:tcPr>
            <w:tcW w:w="128" w:type="pct"/>
            <w:tcBorders>
              <w:left w:val="nil"/>
              <w:bottom w:val="single" w:sz="4" w:space="0" w:color="000000"/>
              <w:right w:val="nil"/>
            </w:tcBorders>
            <w:shd w:val="clear" w:color="auto" w:fill="FFFFFF"/>
          </w:tcPr>
          <w:p w14:paraId="192C23A7"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79"/>
                <w:id w:val="1885996139"/>
              </w:sdtPr>
              <w:sdtContent>
                <w:r>
                  <w:rPr>
                    <w:rFonts w:ascii="Arial Unicode MS" w:eastAsia="Arial Unicode MS" w:hAnsi="Arial Unicode MS" w:cs="Arial Unicode MS"/>
                    <w:color w:val="000000"/>
                    <w:sz w:val="20"/>
                    <w:szCs w:val="20"/>
                  </w:rPr>
                  <w:t xml:space="preserve">　</w:t>
                </w:r>
              </w:sdtContent>
            </w:sdt>
          </w:p>
        </w:tc>
        <w:tc>
          <w:tcPr>
            <w:tcW w:w="460" w:type="pct"/>
            <w:tcBorders>
              <w:left w:val="nil"/>
              <w:bottom w:val="single" w:sz="4" w:space="0" w:color="000000"/>
              <w:right w:val="nil"/>
            </w:tcBorders>
            <w:shd w:val="clear" w:color="auto" w:fill="FFFFFF"/>
          </w:tcPr>
          <w:p w14:paraId="4D607E8E"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80"/>
                <w:id w:val="-1897358167"/>
              </w:sdtPr>
              <w:sdtContent>
                <w:r>
                  <w:rPr>
                    <w:rFonts w:ascii="Arial Unicode MS" w:eastAsia="Arial Unicode MS" w:hAnsi="Arial Unicode MS" w:cs="Arial Unicode MS"/>
                    <w:color w:val="000000"/>
                    <w:sz w:val="20"/>
                    <w:szCs w:val="20"/>
                  </w:rPr>
                  <w:t xml:space="preserve">　</w:t>
                </w:r>
              </w:sdtContent>
            </w:sdt>
          </w:p>
        </w:tc>
        <w:tc>
          <w:tcPr>
            <w:tcW w:w="285" w:type="pct"/>
            <w:tcBorders>
              <w:left w:val="nil"/>
              <w:bottom w:val="single" w:sz="4" w:space="0" w:color="000000"/>
              <w:right w:val="nil"/>
            </w:tcBorders>
            <w:shd w:val="clear" w:color="auto" w:fill="FFFFFF"/>
          </w:tcPr>
          <w:p w14:paraId="09E3F2F8"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81"/>
                <w:id w:val="746384061"/>
              </w:sdtPr>
              <w:sdtContent>
                <w:r>
                  <w:rPr>
                    <w:rFonts w:ascii="Arial Unicode MS" w:eastAsia="Arial Unicode MS" w:hAnsi="Arial Unicode MS" w:cs="Arial Unicode MS"/>
                    <w:color w:val="000000"/>
                    <w:sz w:val="20"/>
                    <w:szCs w:val="20"/>
                  </w:rPr>
                  <w:t xml:space="preserve">　</w:t>
                </w:r>
              </w:sdtContent>
            </w:sdt>
          </w:p>
        </w:tc>
        <w:tc>
          <w:tcPr>
            <w:tcW w:w="128" w:type="pct"/>
            <w:tcBorders>
              <w:left w:val="nil"/>
              <w:bottom w:val="single" w:sz="4" w:space="0" w:color="000000"/>
              <w:right w:val="nil"/>
            </w:tcBorders>
            <w:shd w:val="clear" w:color="auto" w:fill="FFFFFF"/>
          </w:tcPr>
          <w:p w14:paraId="08ECBE5B"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82"/>
                <w:id w:val="1139148066"/>
              </w:sdtPr>
              <w:sdtContent>
                <w:r>
                  <w:rPr>
                    <w:rFonts w:ascii="Arial Unicode MS" w:eastAsia="Arial Unicode MS" w:hAnsi="Arial Unicode MS" w:cs="Arial Unicode MS"/>
                    <w:color w:val="000000"/>
                    <w:sz w:val="20"/>
                    <w:szCs w:val="20"/>
                  </w:rPr>
                  <w:t xml:space="preserve">　</w:t>
                </w:r>
              </w:sdtContent>
            </w:sdt>
          </w:p>
        </w:tc>
        <w:tc>
          <w:tcPr>
            <w:tcW w:w="464" w:type="pct"/>
            <w:tcBorders>
              <w:left w:val="nil"/>
              <w:bottom w:val="single" w:sz="4" w:space="0" w:color="000000"/>
              <w:right w:val="nil"/>
            </w:tcBorders>
            <w:shd w:val="clear" w:color="auto" w:fill="FFFFFF"/>
          </w:tcPr>
          <w:p w14:paraId="7D4F6D9D" w14:textId="77777777" w:rsidR="007373F6" w:rsidRDefault="007373F6">
            <w:pPr>
              <w:spacing w:after="0" w:line="240" w:lineRule="auto"/>
              <w:jc w:val="both"/>
              <w:rPr>
                <w:rFonts w:ascii="Times New Roman" w:eastAsia="Times New Roman" w:hAnsi="Times New Roman" w:cs="Times New Roman"/>
                <w:color w:val="000000"/>
                <w:sz w:val="20"/>
                <w:szCs w:val="20"/>
              </w:rPr>
            </w:pPr>
          </w:p>
        </w:tc>
        <w:tc>
          <w:tcPr>
            <w:tcW w:w="274" w:type="pct"/>
            <w:tcBorders>
              <w:left w:val="nil"/>
              <w:bottom w:val="single" w:sz="4" w:space="0" w:color="000000"/>
              <w:right w:val="nil"/>
            </w:tcBorders>
            <w:shd w:val="clear" w:color="auto" w:fill="FFFFFF"/>
          </w:tcPr>
          <w:p w14:paraId="6B2D27F4" w14:textId="77777777" w:rsidR="007373F6" w:rsidRDefault="007373F6">
            <w:pPr>
              <w:spacing w:after="0" w:line="240" w:lineRule="auto"/>
              <w:jc w:val="both"/>
              <w:rPr>
                <w:rFonts w:ascii="Times New Roman" w:eastAsia="Times New Roman" w:hAnsi="Times New Roman" w:cs="Times New Roman"/>
                <w:color w:val="000000"/>
                <w:sz w:val="20"/>
                <w:szCs w:val="20"/>
              </w:rPr>
            </w:pPr>
          </w:p>
        </w:tc>
        <w:tc>
          <w:tcPr>
            <w:tcW w:w="128" w:type="pct"/>
            <w:tcBorders>
              <w:left w:val="nil"/>
              <w:bottom w:val="single" w:sz="4" w:space="0" w:color="000000"/>
              <w:right w:val="nil"/>
            </w:tcBorders>
            <w:shd w:val="clear" w:color="auto" w:fill="FFFFFF"/>
          </w:tcPr>
          <w:p w14:paraId="3E62A8A9" w14:textId="77777777" w:rsidR="007373F6" w:rsidRDefault="007373F6">
            <w:pPr>
              <w:spacing w:after="0" w:line="240" w:lineRule="auto"/>
              <w:jc w:val="both"/>
              <w:rPr>
                <w:rFonts w:ascii="Times New Roman" w:eastAsia="Times New Roman" w:hAnsi="Times New Roman" w:cs="Times New Roman"/>
                <w:color w:val="000000"/>
                <w:sz w:val="20"/>
                <w:szCs w:val="20"/>
              </w:rPr>
            </w:pPr>
          </w:p>
        </w:tc>
        <w:tc>
          <w:tcPr>
            <w:tcW w:w="475" w:type="pct"/>
            <w:tcBorders>
              <w:left w:val="nil"/>
              <w:bottom w:val="single" w:sz="4" w:space="0" w:color="000000"/>
              <w:right w:val="nil"/>
            </w:tcBorders>
            <w:shd w:val="clear" w:color="auto" w:fill="FFFFFF"/>
          </w:tcPr>
          <w:p w14:paraId="69ED4052"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83"/>
                <w:id w:val="-258913898"/>
              </w:sdtPr>
              <w:sdtContent>
                <w:r>
                  <w:rPr>
                    <w:rFonts w:ascii="Arial Unicode MS" w:eastAsia="Arial Unicode MS" w:hAnsi="Arial Unicode MS" w:cs="Arial Unicode MS"/>
                    <w:color w:val="000000"/>
                    <w:sz w:val="20"/>
                    <w:szCs w:val="20"/>
                  </w:rPr>
                  <w:t xml:space="preserve">　</w:t>
                </w:r>
              </w:sdtContent>
            </w:sdt>
          </w:p>
        </w:tc>
        <w:tc>
          <w:tcPr>
            <w:tcW w:w="274" w:type="pct"/>
            <w:tcBorders>
              <w:left w:val="nil"/>
              <w:bottom w:val="single" w:sz="4" w:space="0" w:color="000000"/>
              <w:right w:val="nil"/>
            </w:tcBorders>
            <w:shd w:val="clear" w:color="auto" w:fill="FFFFFF"/>
          </w:tcPr>
          <w:p w14:paraId="4DC97D54" w14:textId="77777777" w:rsidR="007373F6" w:rsidRDefault="00000000">
            <w:pPr>
              <w:spacing w:after="0" w:line="240" w:lineRule="auto"/>
              <w:jc w:val="both"/>
              <w:rPr>
                <w:rFonts w:ascii="Times New Roman" w:eastAsia="Times New Roman" w:hAnsi="Times New Roman" w:cs="Times New Roman"/>
                <w:color w:val="000000"/>
                <w:sz w:val="20"/>
                <w:szCs w:val="20"/>
              </w:rPr>
            </w:pPr>
            <w:sdt>
              <w:sdtPr>
                <w:tag w:val="goog_rdk_84"/>
                <w:id w:val="149919045"/>
              </w:sdtPr>
              <w:sdtContent>
                <w:r>
                  <w:rPr>
                    <w:rFonts w:ascii="Arial Unicode MS" w:eastAsia="Arial Unicode MS" w:hAnsi="Arial Unicode MS" w:cs="Arial Unicode MS"/>
                    <w:color w:val="000000"/>
                    <w:sz w:val="20"/>
                    <w:szCs w:val="20"/>
                  </w:rPr>
                  <w:t xml:space="preserve">　</w:t>
                </w:r>
              </w:sdtContent>
            </w:sdt>
          </w:p>
        </w:tc>
      </w:tr>
      <w:tr w:rsidR="007373F6" w14:paraId="70AE7539" w14:textId="77777777" w:rsidTr="007008AE">
        <w:trPr>
          <w:trHeight w:val="280"/>
        </w:trPr>
        <w:tc>
          <w:tcPr>
            <w:tcW w:w="2104" w:type="pct"/>
            <w:gridSpan w:val="5"/>
            <w:tcBorders>
              <w:left w:val="nil"/>
              <w:right w:val="nil"/>
            </w:tcBorders>
            <w:shd w:val="clear" w:color="auto" w:fill="FFFFFF"/>
            <w:vAlign w:val="center"/>
          </w:tcPr>
          <w:p w14:paraId="51F883C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Dependent variable =</w:t>
            </w:r>
            <w:r>
              <w:rPr>
                <w:rFonts w:ascii="游明朝" w:eastAsia="游明朝" w:hAnsi="游明朝" w:cs="游明朝"/>
                <w:color w:val="000000"/>
                <w:sz w:val="21"/>
                <w:szCs w:val="21"/>
              </w:rPr>
              <w:t xml:space="preserve"> </w:t>
            </w:r>
            <w:r>
              <w:rPr>
                <w:rFonts w:ascii="Times New Roman" w:eastAsia="Times New Roman" w:hAnsi="Times New Roman" w:cs="Times New Roman"/>
                <w:color w:val="000000"/>
                <w:sz w:val="18"/>
                <w:szCs w:val="18"/>
              </w:rPr>
              <w:t>FOREIGN HELD NUM</w:t>
            </w:r>
          </w:p>
        </w:tc>
        <w:tc>
          <w:tcPr>
            <w:tcW w:w="280" w:type="pct"/>
            <w:tcBorders>
              <w:left w:val="nil"/>
              <w:right w:val="nil"/>
            </w:tcBorders>
            <w:shd w:val="clear" w:color="auto" w:fill="FFFFFF"/>
          </w:tcPr>
          <w:p w14:paraId="45E46B4B"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85"/>
                <w:id w:val="-1170724223"/>
              </w:sdtPr>
              <w:sdtContent>
                <w:r>
                  <w:rPr>
                    <w:rFonts w:ascii="Arial Unicode MS" w:eastAsia="Arial Unicode MS" w:hAnsi="Arial Unicode MS" w:cs="Arial Unicode MS"/>
                    <w:color w:val="000000"/>
                    <w:sz w:val="18"/>
                    <w:szCs w:val="18"/>
                  </w:rPr>
                  <w:t xml:space="preserve">　</w:t>
                </w:r>
              </w:sdtContent>
            </w:sdt>
          </w:p>
        </w:tc>
        <w:tc>
          <w:tcPr>
            <w:tcW w:w="128" w:type="pct"/>
            <w:tcBorders>
              <w:left w:val="nil"/>
              <w:right w:val="nil"/>
            </w:tcBorders>
            <w:shd w:val="clear" w:color="auto" w:fill="FFFFFF"/>
          </w:tcPr>
          <w:p w14:paraId="66F4FBB4"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86"/>
                <w:id w:val="-1660174056"/>
              </w:sdtPr>
              <w:sdtContent>
                <w:r>
                  <w:rPr>
                    <w:rFonts w:ascii="Arial Unicode MS" w:eastAsia="Arial Unicode MS" w:hAnsi="Arial Unicode MS" w:cs="Arial Unicode MS"/>
                    <w:color w:val="000000"/>
                    <w:sz w:val="18"/>
                    <w:szCs w:val="18"/>
                  </w:rPr>
                  <w:t xml:space="preserve">　</w:t>
                </w:r>
              </w:sdtContent>
            </w:sdt>
          </w:p>
        </w:tc>
        <w:tc>
          <w:tcPr>
            <w:tcW w:w="460" w:type="pct"/>
            <w:tcBorders>
              <w:left w:val="nil"/>
              <w:right w:val="nil"/>
            </w:tcBorders>
            <w:shd w:val="clear" w:color="auto" w:fill="FFFFFF"/>
          </w:tcPr>
          <w:p w14:paraId="5F6911F7"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87"/>
                <w:id w:val="826998907"/>
              </w:sdtPr>
              <w:sdtContent>
                <w:r>
                  <w:rPr>
                    <w:rFonts w:ascii="Arial Unicode MS" w:eastAsia="Arial Unicode MS" w:hAnsi="Arial Unicode MS" w:cs="Arial Unicode MS"/>
                    <w:color w:val="000000"/>
                    <w:sz w:val="18"/>
                    <w:szCs w:val="18"/>
                  </w:rPr>
                  <w:t xml:space="preserve">　</w:t>
                </w:r>
              </w:sdtContent>
            </w:sdt>
          </w:p>
        </w:tc>
        <w:tc>
          <w:tcPr>
            <w:tcW w:w="285" w:type="pct"/>
            <w:tcBorders>
              <w:left w:val="nil"/>
              <w:right w:val="nil"/>
            </w:tcBorders>
            <w:shd w:val="clear" w:color="auto" w:fill="FFFFFF"/>
          </w:tcPr>
          <w:p w14:paraId="5CE307F2"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88"/>
                <w:id w:val="-1872130165"/>
              </w:sdtPr>
              <w:sdtContent>
                <w:r>
                  <w:rPr>
                    <w:rFonts w:ascii="Arial Unicode MS" w:eastAsia="Arial Unicode MS" w:hAnsi="Arial Unicode MS" w:cs="Arial Unicode MS"/>
                    <w:color w:val="000000"/>
                    <w:sz w:val="18"/>
                    <w:szCs w:val="18"/>
                  </w:rPr>
                  <w:t xml:space="preserve">　</w:t>
                </w:r>
              </w:sdtContent>
            </w:sdt>
          </w:p>
        </w:tc>
        <w:tc>
          <w:tcPr>
            <w:tcW w:w="128" w:type="pct"/>
            <w:tcBorders>
              <w:left w:val="nil"/>
              <w:right w:val="nil"/>
            </w:tcBorders>
            <w:shd w:val="clear" w:color="auto" w:fill="FFFFFF"/>
          </w:tcPr>
          <w:p w14:paraId="0CB4B93E"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89"/>
                <w:id w:val="505167377"/>
              </w:sdtPr>
              <w:sdtContent>
                <w:r>
                  <w:rPr>
                    <w:rFonts w:ascii="Arial Unicode MS" w:eastAsia="Arial Unicode MS" w:hAnsi="Arial Unicode MS" w:cs="Arial Unicode MS"/>
                    <w:color w:val="000000"/>
                    <w:sz w:val="18"/>
                    <w:szCs w:val="18"/>
                  </w:rPr>
                  <w:t xml:space="preserve">　</w:t>
                </w:r>
              </w:sdtContent>
            </w:sdt>
          </w:p>
        </w:tc>
        <w:tc>
          <w:tcPr>
            <w:tcW w:w="464" w:type="pct"/>
            <w:tcBorders>
              <w:left w:val="nil"/>
              <w:right w:val="nil"/>
            </w:tcBorders>
            <w:shd w:val="clear" w:color="auto" w:fill="FFFFFF"/>
          </w:tcPr>
          <w:p w14:paraId="0C33295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21C5895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32333BF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tcPr>
          <w:p w14:paraId="7290D071"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90"/>
                <w:id w:val="-1581907833"/>
              </w:sdtPr>
              <w:sdtContent>
                <w:r>
                  <w:rPr>
                    <w:rFonts w:ascii="Arial Unicode MS" w:eastAsia="Arial Unicode MS" w:hAnsi="Arial Unicode MS" w:cs="Arial Unicode MS"/>
                    <w:color w:val="000000"/>
                    <w:sz w:val="18"/>
                    <w:szCs w:val="18"/>
                  </w:rPr>
                  <w:t xml:space="preserve">　</w:t>
                </w:r>
              </w:sdtContent>
            </w:sdt>
          </w:p>
        </w:tc>
        <w:tc>
          <w:tcPr>
            <w:tcW w:w="274" w:type="pct"/>
            <w:tcBorders>
              <w:left w:val="nil"/>
              <w:right w:val="nil"/>
            </w:tcBorders>
            <w:shd w:val="clear" w:color="auto" w:fill="FFFFFF"/>
          </w:tcPr>
          <w:p w14:paraId="38996B19"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91"/>
                <w:id w:val="16235552"/>
              </w:sdtPr>
              <w:sdtContent>
                <w:r>
                  <w:rPr>
                    <w:rFonts w:ascii="Arial Unicode MS" w:eastAsia="Arial Unicode MS" w:hAnsi="Arial Unicode MS" w:cs="Arial Unicode MS"/>
                    <w:color w:val="000000"/>
                    <w:sz w:val="18"/>
                    <w:szCs w:val="18"/>
                  </w:rPr>
                  <w:t xml:space="preserve">　</w:t>
                </w:r>
              </w:sdtContent>
            </w:sdt>
          </w:p>
        </w:tc>
      </w:tr>
      <w:tr w:rsidR="007373F6" w14:paraId="444F2973" w14:textId="77777777" w:rsidTr="007008AE">
        <w:trPr>
          <w:trHeight w:val="280"/>
        </w:trPr>
        <w:tc>
          <w:tcPr>
            <w:tcW w:w="787" w:type="pct"/>
            <w:tcBorders>
              <w:left w:val="nil"/>
              <w:bottom w:val="single" w:sz="4" w:space="0" w:color="000000"/>
              <w:right w:val="nil"/>
            </w:tcBorders>
            <w:shd w:val="clear" w:color="auto" w:fill="FFFFFF"/>
          </w:tcPr>
          <w:p w14:paraId="6FD3EF0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OLS Regression</w:t>
            </w:r>
          </w:p>
        </w:tc>
        <w:tc>
          <w:tcPr>
            <w:tcW w:w="454" w:type="pct"/>
            <w:tcBorders>
              <w:top w:val="single" w:sz="4" w:space="0" w:color="000000"/>
              <w:left w:val="nil"/>
              <w:bottom w:val="single" w:sz="4" w:space="0" w:color="000000"/>
              <w:right w:val="nil"/>
            </w:tcBorders>
            <w:shd w:val="clear" w:color="auto" w:fill="FFFFFF"/>
            <w:vAlign w:val="center"/>
          </w:tcPr>
          <w:p w14:paraId="30870D4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280" w:type="pct"/>
            <w:tcBorders>
              <w:top w:val="single" w:sz="4" w:space="0" w:color="000000"/>
              <w:left w:val="nil"/>
              <w:bottom w:val="single" w:sz="4" w:space="0" w:color="000000"/>
              <w:right w:val="nil"/>
            </w:tcBorders>
            <w:shd w:val="clear" w:color="auto" w:fill="FFFFFF"/>
          </w:tcPr>
          <w:p w14:paraId="48146BBA"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92"/>
                <w:id w:val="993757881"/>
              </w:sdtPr>
              <w:sdtContent>
                <w:r>
                  <w:rPr>
                    <w:rFonts w:ascii="Arial Unicode MS" w:eastAsia="Arial Unicode MS" w:hAnsi="Arial Unicode MS" w:cs="Arial Unicode MS"/>
                    <w:color w:val="000000"/>
                    <w:sz w:val="18"/>
                    <w:szCs w:val="18"/>
                  </w:rPr>
                  <w:t xml:space="preserve">　</w:t>
                </w:r>
              </w:sdtContent>
            </w:sdt>
          </w:p>
        </w:tc>
        <w:tc>
          <w:tcPr>
            <w:tcW w:w="128" w:type="pct"/>
            <w:tcBorders>
              <w:top w:val="single" w:sz="4" w:space="0" w:color="000000"/>
              <w:left w:val="nil"/>
              <w:bottom w:val="single" w:sz="4" w:space="0" w:color="000000"/>
              <w:right w:val="nil"/>
            </w:tcBorders>
            <w:shd w:val="clear" w:color="auto" w:fill="FFFFFF"/>
          </w:tcPr>
          <w:p w14:paraId="527594BD"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93"/>
                <w:id w:val="-1334210185"/>
              </w:sdtPr>
              <w:sdtContent>
                <w:r>
                  <w:rPr>
                    <w:rFonts w:ascii="Arial Unicode MS" w:eastAsia="Arial Unicode MS" w:hAnsi="Arial Unicode MS" w:cs="Arial Unicode MS"/>
                    <w:color w:val="000000"/>
                    <w:sz w:val="18"/>
                    <w:szCs w:val="18"/>
                  </w:rPr>
                  <w:t xml:space="preserve">　</w:t>
                </w:r>
              </w:sdtContent>
            </w:sdt>
          </w:p>
        </w:tc>
        <w:tc>
          <w:tcPr>
            <w:tcW w:w="454" w:type="pct"/>
            <w:tcBorders>
              <w:top w:val="single" w:sz="4" w:space="0" w:color="000000"/>
              <w:left w:val="nil"/>
              <w:bottom w:val="single" w:sz="4" w:space="0" w:color="000000"/>
              <w:right w:val="nil"/>
            </w:tcBorders>
            <w:shd w:val="clear" w:color="auto" w:fill="FFFFFF"/>
            <w:vAlign w:val="center"/>
          </w:tcPr>
          <w:p w14:paraId="03D7EC2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280" w:type="pct"/>
            <w:tcBorders>
              <w:top w:val="single" w:sz="4" w:space="0" w:color="000000"/>
              <w:left w:val="nil"/>
              <w:bottom w:val="single" w:sz="4" w:space="0" w:color="000000"/>
              <w:right w:val="nil"/>
            </w:tcBorders>
            <w:shd w:val="clear" w:color="auto" w:fill="FFFFFF"/>
          </w:tcPr>
          <w:p w14:paraId="0D8B77AD"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94"/>
                <w:id w:val="-160631596"/>
              </w:sdtPr>
              <w:sdtContent>
                <w:r>
                  <w:rPr>
                    <w:rFonts w:ascii="Arial Unicode MS" w:eastAsia="Arial Unicode MS" w:hAnsi="Arial Unicode MS" w:cs="Arial Unicode MS"/>
                    <w:color w:val="000000"/>
                    <w:sz w:val="18"/>
                    <w:szCs w:val="18"/>
                  </w:rPr>
                  <w:t xml:space="preserve">　</w:t>
                </w:r>
              </w:sdtContent>
            </w:sdt>
          </w:p>
        </w:tc>
        <w:tc>
          <w:tcPr>
            <w:tcW w:w="128" w:type="pct"/>
            <w:tcBorders>
              <w:top w:val="single" w:sz="4" w:space="0" w:color="000000"/>
              <w:left w:val="nil"/>
              <w:bottom w:val="single" w:sz="4" w:space="0" w:color="000000"/>
              <w:right w:val="nil"/>
            </w:tcBorders>
            <w:shd w:val="clear" w:color="auto" w:fill="FFFFFF"/>
          </w:tcPr>
          <w:p w14:paraId="3A7AE3B7"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95"/>
                <w:id w:val="1669873490"/>
              </w:sdtPr>
              <w:sdtContent>
                <w:r>
                  <w:rPr>
                    <w:rFonts w:ascii="Arial Unicode MS" w:eastAsia="Arial Unicode MS" w:hAnsi="Arial Unicode MS" w:cs="Arial Unicode MS"/>
                    <w:color w:val="000000"/>
                    <w:sz w:val="18"/>
                    <w:szCs w:val="18"/>
                  </w:rPr>
                  <w:t xml:space="preserve">　</w:t>
                </w:r>
              </w:sdtContent>
            </w:sdt>
          </w:p>
        </w:tc>
        <w:tc>
          <w:tcPr>
            <w:tcW w:w="460" w:type="pct"/>
            <w:tcBorders>
              <w:top w:val="single" w:sz="4" w:space="0" w:color="000000"/>
              <w:left w:val="nil"/>
              <w:bottom w:val="single" w:sz="4" w:space="0" w:color="000000"/>
              <w:right w:val="nil"/>
            </w:tcBorders>
            <w:shd w:val="clear" w:color="auto" w:fill="FFFFFF"/>
            <w:vAlign w:val="center"/>
          </w:tcPr>
          <w:p w14:paraId="177EC25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p>
        </w:tc>
        <w:tc>
          <w:tcPr>
            <w:tcW w:w="285" w:type="pct"/>
            <w:tcBorders>
              <w:top w:val="single" w:sz="4" w:space="0" w:color="000000"/>
              <w:left w:val="nil"/>
              <w:bottom w:val="single" w:sz="4" w:space="0" w:color="000000"/>
              <w:right w:val="nil"/>
            </w:tcBorders>
            <w:shd w:val="clear" w:color="auto" w:fill="FFFFFF"/>
          </w:tcPr>
          <w:p w14:paraId="74F25BCB"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96"/>
                <w:id w:val="-20114891"/>
              </w:sdtPr>
              <w:sdtContent>
                <w:r>
                  <w:rPr>
                    <w:rFonts w:ascii="Arial Unicode MS" w:eastAsia="Arial Unicode MS" w:hAnsi="Arial Unicode MS" w:cs="Arial Unicode MS"/>
                    <w:color w:val="000000"/>
                    <w:sz w:val="18"/>
                    <w:szCs w:val="18"/>
                  </w:rPr>
                  <w:t xml:space="preserve">　</w:t>
                </w:r>
              </w:sdtContent>
            </w:sdt>
          </w:p>
        </w:tc>
        <w:tc>
          <w:tcPr>
            <w:tcW w:w="128" w:type="pct"/>
            <w:tcBorders>
              <w:top w:val="single" w:sz="4" w:space="0" w:color="000000"/>
              <w:left w:val="nil"/>
              <w:bottom w:val="single" w:sz="4" w:space="0" w:color="000000"/>
              <w:right w:val="nil"/>
            </w:tcBorders>
            <w:shd w:val="clear" w:color="auto" w:fill="FFFFFF"/>
          </w:tcPr>
          <w:p w14:paraId="10B872EF"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97"/>
                <w:id w:val="287923118"/>
              </w:sdtPr>
              <w:sdtContent>
                <w:r>
                  <w:rPr>
                    <w:rFonts w:ascii="Arial Unicode MS" w:eastAsia="Arial Unicode MS" w:hAnsi="Arial Unicode MS" w:cs="Arial Unicode MS"/>
                    <w:color w:val="000000"/>
                    <w:sz w:val="18"/>
                    <w:szCs w:val="18"/>
                  </w:rPr>
                  <w:t xml:space="preserve">　</w:t>
                </w:r>
              </w:sdtContent>
            </w:sdt>
          </w:p>
        </w:tc>
        <w:tc>
          <w:tcPr>
            <w:tcW w:w="464" w:type="pct"/>
            <w:tcBorders>
              <w:top w:val="single" w:sz="4" w:space="0" w:color="000000"/>
              <w:left w:val="nil"/>
              <w:bottom w:val="single" w:sz="4" w:space="0" w:color="000000"/>
              <w:right w:val="nil"/>
            </w:tcBorders>
            <w:shd w:val="clear" w:color="auto" w:fill="FFFFFF"/>
          </w:tcPr>
          <w:p w14:paraId="0F1DFBC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w:t>
            </w:r>
          </w:p>
        </w:tc>
        <w:tc>
          <w:tcPr>
            <w:tcW w:w="274" w:type="pct"/>
            <w:tcBorders>
              <w:top w:val="single" w:sz="4" w:space="0" w:color="000000"/>
              <w:left w:val="nil"/>
              <w:bottom w:val="single" w:sz="4" w:space="0" w:color="000000"/>
              <w:right w:val="nil"/>
            </w:tcBorders>
            <w:shd w:val="clear" w:color="auto" w:fill="FFFFFF"/>
          </w:tcPr>
          <w:p w14:paraId="0C513A5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top w:val="single" w:sz="4" w:space="0" w:color="000000"/>
              <w:left w:val="nil"/>
              <w:bottom w:val="single" w:sz="4" w:space="0" w:color="000000"/>
              <w:right w:val="nil"/>
            </w:tcBorders>
            <w:shd w:val="clear" w:color="auto" w:fill="FFFFFF"/>
          </w:tcPr>
          <w:p w14:paraId="2338F4A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top w:val="single" w:sz="4" w:space="0" w:color="000000"/>
              <w:left w:val="nil"/>
              <w:bottom w:val="single" w:sz="4" w:space="0" w:color="000000"/>
              <w:right w:val="nil"/>
            </w:tcBorders>
            <w:shd w:val="clear" w:color="auto" w:fill="FFFFFF"/>
            <w:vAlign w:val="center"/>
          </w:tcPr>
          <w:p w14:paraId="5B0E6F9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w:t>
            </w:r>
          </w:p>
        </w:tc>
        <w:tc>
          <w:tcPr>
            <w:tcW w:w="274" w:type="pct"/>
            <w:tcBorders>
              <w:top w:val="single" w:sz="4" w:space="0" w:color="000000"/>
              <w:left w:val="nil"/>
              <w:bottom w:val="single" w:sz="4" w:space="0" w:color="000000"/>
              <w:right w:val="nil"/>
            </w:tcBorders>
            <w:shd w:val="clear" w:color="auto" w:fill="FFFFFF"/>
          </w:tcPr>
          <w:p w14:paraId="53DC44FB"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98"/>
                <w:id w:val="205070104"/>
              </w:sdtPr>
              <w:sdtContent>
                <w:r>
                  <w:rPr>
                    <w:rFonts w:ascii="Arial Unicode MS" w:eastAsia="Arial Unicode MS" w:hAnsi="Arial Unicode MS" w:cs="Arial Unicode MS"/>
                    <w:color w:val="000000"/>
                    <w:sz w:val="18"/>
                    <w:szCs w:val="18"/>
                  </w:rPr>
                  <w:t xml:space="preserve">　</w:t>
                </w:r>
              </w:sdtContent>
            </w:sdt>
          </w:p>
        </w:tc>
      </w:tr>
      <w:tr w:rsidR="007373F6" w14:paraId="0F87186A" w14:textId="77777777" w:rsidTr="007008AE">
        <w:trPr>
          <w:trHeight w:val="280"/>
        </w:trPr>
        <w:tc>
          <w:tcPr>
            <w:tcW w:w="787" w:type="pct"/>
            <w:tcBorders>
              <w:left w:val="nil"/>
              <w:right w:val="nil"/>
            </w:tcBorders>
            <w:shd w:val="clear" w:color="auto" w:fill="FFFFFF"/>
            <w:vAlign w:val="center"/>
          </w:tcPr>
          <w:p w14:paraId="2BF5F99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lastRenderedPageBreak/>
              <w:t xml:space="preserve">IFRS </w:t>
            </w:r>
          </w:p>
        </w:tc>
        <w:tc>
          <w:tcPr>
            <w:tcW w:w="454" w:type="pct"/>
            <w:tcBorders>
              <w:left w:val="nil"/>
              <w:right w:val="nil"/>
            </w:tcBorders>
            <w:shd w:val="clear" w:color="auto" w:fill="FFFFFF"/>
          </w:tcPr>
          <w:p w14:paraId="167412E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0.1091</w:t>
            </w:r>
          </w:p>
        </w:tc>
        <w:tc>
          <w:tcPr>
            <w:tcW w:w="280" w:type="pct"/>
            <w:tcBorders>
              <w:left w:val="nil"/>
              <w:right w:val="nil"/>
            </w:tcBorders>
            <w:shd w:val="clear" w:color="auto" w:fill="FFFFFF"/>
          </w:tcPr>
          <w:p w14:paraId="7E052E75"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27D42DD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tcPr>
          <w:p w14:paraId="11EFB4A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0.1092</w:t>
            </w:r>
          </w:p>
        </w:tc>
        <w:tc>
          <w:tcPr>
            <w:tcW w:w="280" w:type="pct"/>
            <w:tcBorders>
              <w:left w:val="nil"/>
              <w:right w:val="nil"/>
            </w:tcBorders>
            <w:shd w:val="clear" w:color="auto" w:fill="FFFFFF"/>
          </w:tcPr>
          <w:p w14:paraId="33F3185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0FF9334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vAlign w:val="center"/>
          </w:tcPr>
          <w:p w14:paraId="6631A9D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0.1260</w:t>
            </w:r>
          </w:p>
        </w:tc>
        <w:tc>
          <w:tcPr>
            <w:tcW w:w="285" w:type="pct"/>
            <w:tcBorders>
              <w:left w:val="nil"/>
              <w:right w:val="nil"/>
            </w:tcBorders>
            <w:shd w:val="clear" w:color="auto" w:fill="FFFFFF"/>
            <w:vAlign w:val="center"/>
          </w:tcPr>
          <w:p w14:paraId="1A4DCF5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3618DAF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7295B1D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0.1259</w:t>
            </w:r>
          </w:p>
        </w:tc>
        <w:tc>
          <w:tcPr>
            <w:tcW w:w="274" w:type="pct"/>
            <w:tcBorders>
              <w:left w:val="nil"/>
              <w:right w:val="nil"/>
            </w:tcBorders>
            <w:shd w:val="clear" w:color="auto" w:fill="FFFFFF"/>
          </w:tcPr>
          <w:p w14:paraId="73D54D9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90E7FA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1C4530B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0.1109</w:t>
            </w:r>
          </w:p>
        </w:tc>
        <w:tc>
          <w:tcPr>
            <w:tcW w:w="274" w:type="pct"/>
            <w:tcBorders>
              <w:left w:val="nil"/>
              <w:right w:val="nil"/>
            </w:tcBorders>
            <w:shd w:val="clear" w:color="auto" w:fill="FFFFFF"/>
            <w:vAlign w:val="center"/>
          </w:tcPr>
          <w:p w14:paraId="256ADC03"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019B8974" w14:textId="77777777" w:rsidTr="007008AE">
        <w:trPr>
          <w:trHeight w:val="280"/>
        </w:trPr>
        <w:tc>
          <w:tcPr>
            <w:tcW w:w="787" w:type="pct"/>
            <w:tcBorders>
              <w:left w:val="nil"/>
              <w:right w:val="nil"/>
            </w:tcBorders>
            <w:shd w:val="clear" w:color="auto" w:fill="FFFFFF"/>
          </w:tcPr>
          <w:p w14:paraId="4CC04C4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tcPr>
          <w:p w14:paraId="083A713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(0.025)</w:t>
            </w:r>
          </w:p>
        </w:tc>
        <w:tc>
          <w:tcPr>
            <w:tcW w:w="280" w:type="pct"/>
            <w:tcBorders>
              <w:left w:val="nil"/>
              <w:right w:val="nil"/>
            </w:tcBorders>
            <w:shd w:val="clear" w:color="auto" w:fill="FFFFFF"/>
          </w:tcPr>
          <w:p w14:paraId="4515503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DB46CD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tcPr>
          <w:p w14:paraId="6DC103F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(0.249)</w:t>
            </w:r>
          </w:p>
        </w:tc>
        <w:tc>
          <w:tcPr>
            <w:tcW w:w="280" w:type="pct"/>
            <w:tcBorders>
              <w:left w:val="nil"/>
              <w:right w:val="nil"/>
            </w:tcBorders>
            <w:shd w:val="clear" w:color="auto" w:fill="FFFFFF"/>
          </w:tcPr>
          <w:p w14:paraId="20C1347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2F06226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vAlign w:val="center"/>
          </w:tcPr>
          <w:p w14:paraId="1961ADB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(0.182)</w:t>
            </w:r>
          </w:p>
        </w:tc>
        <w:tc>
          <w:tcPr>
            <w:tcW w:w="285" w:type="pct"/>
            <w:tcBorders>
              <w:left w:val="nil"/>
              <w:right w:val="nil"/>
            </w:tcBorders>
            <w:shd w:val="clear" w:color="auto" w:fill="FFFFFF"/>
          </w:tcPr>
          <w:p w14:paraId="5352347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13B2F9F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542D536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(0.182)</w:t>
            </w:r>
          </w:p>
        </w:tc>
        <w:tc>
          <w:tcPr>
            <w:tcW w:w="274" w:type="pct"/>
            <w:tcBorders>
              <w:left w:val="nil"/>
              <w:right w:val="nil"/>
            </w:tcBorders>
            <w:shd w:val="clear" w:color="auto" w:fill="FFFFFF"/>
          </w:tcPr>
          <w:p w14:paraId="69E6416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41671CB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2BC4DF8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(0.241)</w:t>
            </w:r>
          </w:p>
        </w:tc>
        <w:tc>
          <w:tcPr>
            <w:tcW w:w="274" w:type="pct"/>
            <w:tcBorders>
              <w:left w:val="nil"/>
              <w:right w:val="nil"/>
            </w:tcBorders>
            <w:shd w:val="clear" w:color="auto" w:fill="FFFFFF"/>
          </w:tcPr>
          <w:p w14:paraId="3AC062D0"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3C9CE7CA" w14:textId="77777777" w:rsidTr="007008AE">
        <w:trPr>
          <w:trHeight w:val="280"/>
        </w:trPr>
        <w:tc>
          <w:tcPr>
            <w:tcW w:w="787" w:type="pct"/>
            <w:tcBorders>
              <w:left w:val="nil"/>
              <w:right w:val="nil"/>
            </w:tcBorders>
            <w:shd w:val="clear" w:color="auto" w:fill="FFFFFF"/>
            <w:vAlign w:val="center"/>
          </w:tcPr>
          <w:p w14:paraId="46F4C9F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POST</w:t>
            </w:r>
          </w:p>
        </w:tc>
        <w:tc>
          <w:tcPr>
            <w:tcW w:w="454" w:type="pct"/>
            <w:tcBorders>
              <w:left w:val="nil"/>
              <w:right w:val="nil"/>
            </w:tcBorders>
            <w:shd w:val="clear" w:color="auto" w:fill="FFFFFF"/>
            <w:vAlign w:val="center"/>
          </w:tcPr>
          <w:p w14:paraId="37F58DC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0.4886</w:t>
            </w:r>
          </w:p>
        </w:tc>
        <w:tc>
          <w:tcPr>
            <w:tcW w:w="280" w:type="pct"/>
            <w:tcBorders>
              <w:left w:val="nil"/>
              <w:right w:val="nil"/>
            </w:tcBorders>
            <w:shd w:val="clear" w:color="auto" w:fill="FFFFFF"/>
            <w:vAlign w:val="center"/>
          </w:tcPr>
          <w:p w14:paraId="624D10A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41852FE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vAlign w:val="center"/>
          </w:tcPr>
          <w:p w14:paraId="2D8AE10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0.4823</w:t>
            </w:r>
          </w:p>
        </w:tc>
        <w:tc>
          <w:tcPr>
            <w:tcW w:w="280" w:type="pct"/>
            <w:tcBorders>
              <w:left w:val="nil"/>
              <w:right w:val="nil"/>
            </w:tcBorders>
            <w:shd w:val="clear" w:color="auto" w:fill="FFFFFF"/>
            <w:vAlign w:val="center"/>
          </w:tcPr>
          <w:p w14:paraId="43E84B1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4194D6D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vAlign w:val="center"/>
          </w:tcPr>
          <w:p w14:paraId="0602E62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0.4877</w:t>
            </w:r>
          </w:p>
        </w:tc>
        <w:tc>
          <w:tcPr>
            <w:tcW w:w="285" w:type="pct"/>
            <w:tcBorders>
              <w:left w:val="nil"/>
              <w:right w:val="nil"/>
            </w:tcBorders>
            <w:shd w:val="clear" w:color="auto" w:fill="FFFFFF"/>
            <w:vAlign w:val="center"/>
          </w:tcPr>
          <w:p w14:paraId="3843224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0287EB8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3363175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0.4876</w:t>
            </w:r>
          </w:p>
        </w:tc>
        <w:tc>
          <w:tcPr>
            <w:tcW w:w="274" w:type="pct"/>
            <w:tcBorders>
              <w:left w:val="nil"/>
              <w:right w:val="nil"/>
            </w:tcBorders>
            <w:shd w:val="clear" w:color="auto" w:fill="FFFFFF"/>
          </w:tcPr>
          <w:p w14:paraId="7B83767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7D65A35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3F389CF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0.2327</w:t>
            </w:r>
          </w:p>
        </w:tc>
        <w:tc>
          <w:tcPr>
            <w:tcW w:w="274" w:type="pct"/>
            <w:tcBorders>
              <w:left w:val="nil"/>
              <w:right w:val="nil"/>
            </w:tcBorders>
            <w:shd w:val="clear" w:color="auto" w:fill="FFFFFF"/>
            <w:vAlign w:val="center"/>
          </w:tcPr>
          <w:p w14:paraId="79EAB7D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34AA7D17" w14:textId="77777777" w:rsidTr="007008AE">
        <w:trPr>
          <w:trHeight w:val="280"/>
        </w:trPr>
        <w:tc>
          <w:tcPr>
            <w:tcW w:w="787" w:type="pct"/>
            <w:tcBorders>
              <w:left w:val="nil"/>
              <w:right w:val="nil"/>
            </w:tcBorders>
            <w:shd w:val="clear" w:color="auto" w:fill="FFFFFF"/>
          </w:tcPr>
          <w:p w14:paraId="6A74FAEF"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99"/>
                <w:id w:val="1513493837"/>
              </w:sdtPr>
              <w:sdtContent>
                <w:r>
                  <w:rPr>
                    <w:rFonts w:ascii="Arial Unicode MS" w:eastAsia="Arial Unicode MS" w:hAnsi="Arial Unicode MS" w:cs="Arial Unicode MS"/>
                    <w:color w:val="000000"/>
                    <w:sz w:val="18"/>
                    <w:szCs w:val="18"/>
                  </w:rPr>
                  <w:t xml:space="preserve">　</w:t>
                </w:r>
              </w:sdtContent>
            </w:sdt>
          </w:p>
        </w:tc>
        <w:tc>
          <w:tcPr>
            <w:tcW w:w="454" w:type="pct"/>
            <w:tcBorders>
              <w:left w:val="nil"/>
              <w:right w:val="nil"/>
            </w:tcBorders>
            <w:shd w:val="clear" w:color="auto" w:fill="FFFFFF"/>
            <w:vAlign w:val="center"/>
          </w:tcPr>
          <w:p w14:paraId="24CB98C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80" w:type="pct"/>
            <w:tcBorders>
              <w:left w:val="nil"/>
              <w:right w:val="nil"/>
            </w:tcBorders>
            <w:shd w:val="clear" w:color="auto" w:fill="FFFFFF"/>
          </w:tcPr>
          <w:p w14:paraId="31B046E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29E0D5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vAlign w:val="center"/>
          </w:tcPr>
          <w:p w14:paraId="1472F6F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80" w:type="pct"/>
            <w:tcBorders>
              <w:left w:val="nil"/>
              <w:right w:val="nil"/>
            </w:tcBorders>
            <w:shd w:val="clear" w:color="auto" w:fill="FFFFFF"/>
          </w:tcPr>
          <w:p w14:paraId="1978F6D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0A3384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vAlign w:val="center"/>
          </w:tcPr>
          <w:p w14:paraId="20B3CEC5"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85" w:type="pct"/>
            <w:tcBorders>
              <w:left w:val="nil"/>
              <w:right w:val="nil"/>
            </w:tcBorders>
            <w:shd w:val="clear" w:color="auto" w:fill="FFFFFF"/>
          </w:tcPr>
          <w:p w14:paraId="2D102B8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062398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3345A9F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74" w:type="pct"/>
            <w:tcBorders>
              <w:left w:val="nil"/>
              <w:right w:val="nil"/>
            </w:tcBorders>
            <w:shd w:val="clear" w:color="auto" w:fill="FFFFFF"/>
          </w:tcPr>
          <w:p w14:paraId="12962BD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261DB3E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5C8B46A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(0.051)</w:t>
            </w:r>
          </w:p>
        </w:tc>
        <w:tc>
          <w:tcPr>
            <w:tcW w:w="274" w:type="pct"/>
            <w:tcBorders>
              <w:left w:val="nil"/>
              <w:right w:val="nil"/>
            </w:tcBorders>
            <w:shd w:val="clear" w:color="auto" w:fill="FFFFFF"/>
          </w:tcPr>
          <w:p w14:paraId="6621AB03"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00C2E23A" w14:textId="77777777" w:rsidTr="007008AE">
        <w:trPr>
          <w:trHeight w:val="280"/>
        </w:trPr>
        <w:tc>
          <w:tcPr>
            <w:tcW w:w="787" w:type="pct"/>
            <w:tcBorders>
              <w:left w:val="nil"/>
              <w:right w:val="nil"/>
            </w:tcBorders>
            <w:shd w:val="clear" w:color="auto" w:fill="FFFFFF"/>
          </w:tcPr>
          <w:p w14:paraId="0B8D9D85"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IFRS × POST</w:t>
            </w:r>
          </w:p>
        </w:tc>
        <w:tc>
          <w:tcPr>
            <w:tcW w:w="454" w:type="pct"/>
            <w:tcBorders>
              <w:left w:val="nil"/>
              <w:right w:val="nil"/>
            </w:tcBorders>
            <w:shd w:val="clear" w:color="auto" w:fill="FFFFFF"/>
            <w:vAlign w:val="center"/>
          </w:tcPr>
          <w:p w14:paraId="52E0B9B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0.5835</w:t>
            </w:r>
          </w:p>
        </w:tc>
        <w:tc>
          <w:tcPr>
            <w:tcW w:w="280" w:type="pct"/>
            <w:tcBorders>
              <w:left w:val="nil"/>
              <w:right w:val="nil"/>
            </w:tcBorders>
            <w:shd w:val="clear" w:color="auto" w:fill="FFFFFF"/>
          </w:tcPr>
          <w:p w14:paraId="124105A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6383D58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vAlign w:val="center"/>
          </w:tcPr>
          <w:p w14:paraId="53A281E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0.5833</w:t>
            </w:r>
          </w:p>
        </w:tc>
        <w:tc>
          <w:tcPr>
            <w:tcW w:w="280" w:type="pct"/>
            <w:tcBorders>
              <w:left w:val="nil"/>
              <w:right w:val="nil"/>
            </w:tcBorders>
            <w:shd w:val="clear" w:color="auto" w:fill="FFFFFF"/>
          </w:tcPr>
          <w:p w14:paraId="1C5ED5D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7D3F295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vAlign w:val="center"/>
          </w:tcPr>
          <w:p w14:paraId="7B2104C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0.5682</w:t>
            </w:r>
          </w:p>
        </w:tc>
        <w:tc>
          <w:tcPr>
            <w:tcW w:w="285" w:type="pct"/>
            <w:tcBorders>
              <w:left w:val="nil"/>
              <w:right w:val="nil"/>
            </w:tcBorders>
            <w:shd w:val="clear" w:color="auto" w:fill="FFFFFF"/>
          </w:tcPr>
          <w:p w14:paraId="3CC240C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033B17F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0D12144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0.5683</w:t>
            </w:r>
          </w:p>
        </w:tc>
        <w:tc>
          <w:tcPr>
            <w:tcW w:w="274" w:type="pct"/>
            <w:tcBorders>
              <w:left w:val="nil"/>
              <w:right w:val="nil"/>
            </w:tcBorders>
            <w:shd w:val="clear" w:color="auto" w:fill="FFFFFF"/>
          </w:tcPr>
          <w:p w14:paraId="09A0A33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72A2410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55A55BC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0.5885</w:t>
            </w:r>
          </w:p>
        </w:tc>
        <w:tc>
          <w:tcPr>
            <w:tcW w:w="274" w:type="pct"/>
            <w:tcBorders>
              <w:left w:val="nil"/>
              <w:right w:val="nil"/>
            </w:tcBorders>
            <w:shd w:val="clear" w:color="auto" w:fill="FFFFFF"/>
          </w:tcPr>
          <w:p w14:paraId="43BE90B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6C8331B0" w14:textId="77777777" w:rsidTr="007008AE">
        <w:trPr>
          <w:trHeight w:val="280"/>
        </w:trPr>
        <w:tc>
          <w:tcPr>
            <w:tcW w:w="787" w:type="pct"/>
            <w:tcBorders>
              <w:left w:val="nil"/>
              <w:right w:val="nil"/>
            </w:tcBorders>
            <w:shd w:val="clear" w:color="auto" w:fill="FFFFFF"/>
          </w:tcPr>
          <w:p w14:paraId="4F6D767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vAlign w:val="center"/>
          </w:tcPr>
          <w:p w14:paraId="3566208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80" w:type="pct"/>
            <w:tcBorders>
              <w:left w:val="nil"/>
              <w:right w:val="nil"/>
            </w:tcBorders>
            <w:shd w:val="clear" w:color="auto" w:fill="FFFFFF"/>
          </w:tcPr>
          <w:p w14:paraId="29F9A41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9180AA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vAlign w:val="center"/>
          </w:tcPr>
          <w:p w14:paraId="5A5D606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80" w:type="pct"/>
            <w:tcBorders>
              <w:left w:val="nil"/>
              <w:right w:val="nil"/>
            </w:tcBorders>
            <w:shd w:val="clear" w:color="auto" w:fill="FFFFFF"/>
          </w:tcPr>
          <w:p w14:paraId="4B48A1B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3C71CAB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vAlign w:val="center"/>
          </w:tcPr>
          <w:p w14:paraId="7479CBE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85" w:type="pct"/>
            <w:tcBorders>
              <w:left w:val="nil"/>
              <w:right w:val="nil"/>
            </w:tcBorders>
            <w:shd w:val="clear" w:color="auto" w:fill="FFFFFF"/>
          </w:tcPr>
          <w:p w14:paraId="7F8F5FE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3A6054E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1CA6E0B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74" w:type="pct"/>
            <w:tcBorders>
              <w:left w:val="nil"/>
              <w:right w:val="nil"/>
            </w:tcBorders>
            <w:shd w:val="clear" w:color="auto" w:fill="FFFFFF"/>
          </w:tcPr>
          <w:p w14:paraId="490887E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753840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09FE220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74" w:type="pct"/>
            <w:tcBorders>
              <w:left w:val="nil"/>
              <w:right w:val="nil"/>
            </w:tcBorders>
            <w:shd w:val="clear" w:color="auto" w:fill="FFFFFF"/>
          </w:tcPr>
          <w:p w14:paraId="756CDDBA"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5C6FB384" w14:textId="77777777" w:rsidTr="007008AE">
        <w:trPr>
          <w:trHeight w:val="280"/>
        </w:trPr>
        <w:tc>
          <w:tcPr>
            <w:tcW w:w="787" w:type="pct"/>
            <w:tcBorders>
              <w:left w:val="nil"/>
              <w:right w:val="nil"/>
            </w:tcBorders>
            <w:shd w:val="clear" w:color="auto" w:fill="FFFFFF"/>
            <w:vAlign w:val="center"/>
          </w:tcPr>
          <w:p w14:paraId="0016165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BUYBACK</w:t>
            </w:r>
          </w:p>
        </w:tc>
        <w:tc>
          <w:tcPr>
            <w:tcW w:w="454" w:type="pct"/>
            <w:tcBorders>
              <w:left w:val="nil"/>
              <w:right w:val="nil"/>
            </w:tcBorders>
            <w:shd w:val="clear" w:color="auto" w:fill="FFFFFF"/>
            <w:vAlign w:val="center"/>
          </w:tcPr>
          <w:p w14:paraId="6A64B72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-6.7152</w:t>
            </w:r>
          </w:p>
        </w:tc>
        <w:tc>
          <w:tcPr>
            <w:tcW w:w="280" w:type="pct"/>
            <w:tcBorders>
              <w:left w:val="nil"/>
              <w:right w:val="nil"/>
            </w:tcBorders>
            <w:shd w:val="clear" w:color="auto" w:fill="FFFFFF"/>
            <w:vAlign w:val="center"/>
          </w:tcPr>
          <w:p w14:paraId="34D2B34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1233773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vAlign w:val="center"/>
          </w:tcPr>
          <w:p w14:paraId="5B705D9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-6.7142</w:t>
            </w:r>
          </w:p>
        </w:tc>
        <w:tc>
          <w:tcPr>
            <w:tcW w:w="280" w:type="pct"/>
            <w:tcBorders>
              <w:left w:val="nil"/>
              <w:right w:val="nil"/>
            </w:tcBorders>
            <w:shd w:val="clear" w:color="auto" w:fill="FFFFFF"/>
            <w:vAlign w:val="center"/>
          </w:tcPr>
          <w:p w14:paraId="00C2DB4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4E61C99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vAlign w:val="center"/>
          </w:tcPr>
          <w:p w14:paraId="1880820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-6.9447</w:t>
            </w:r>
          </w:p>
        </w:tc>
        <w:tc>
          <w:tcPr>
            <w:tcW w:w="285" w:type="pct"/>
            <w:tcBorders>
              <w:left w:val="nil"/>
              <w:right w:val="nil"/>
            </w:tcBorders>
            <w:shd w:val="clear" w:color="auto" w:fill="FFFFFF"/>
            <w:vAlign w:val="center"/>
          </w:tcPr>
          <w:p w14:paraId="1509EEE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391E3CD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58114E7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-6.9440</w:t>
            </w:r>
          </w:p>
        </w:tc>
        <w:tc>
          <w:tcPr>
            <w:tcW w:w="274" w:type="pct"/>
            <w:tcBorders>
              <w:left w:val="nil"/>
              <w:right w:val="nil"/>
            </w:tcBorders>
            <w:shd w:val="clear" w:color="auto" w:fill="FFFFFF"/>
          </w:tcPr>
          <w:p w14:paraId="2AFCDC5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419DC1A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5C1B31E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-6.7230</w:t>
            </w:r>
          </w:p>
        </w:tc>
        <w:tc>
          <w:tcPr>
            <w:tcW w:w="274" w:type="pct"/>
            <w:tcBorders>
              <w:left w:val="nil"/>
              <w:right w:val="nil"/>
            </w:tcBorders>
            <w:shd w:val="clear" w:color="auto" w:fill="FFFFFF"/>
            <w:vAlign w:val="center"/>
          </w:tcPr>
          <w:p w14:paraId="1A557B8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75A6BDE9" w14:textId="77777777" w:rsidTr="007008AE">
        <w:trPr>
          <w:trHeight w:val="280"/>
        </w:trPr>
        <w:tc>
          <w:tcPr>
            <w:tcW w:w="787" w:type="pct"/>
            <w:tcBorders>
              <w:left w:val="nil"/>
              <w:right w:val="nil"/>
            </w:tcBorders>
            <w:shd w:val="clear" w:color="auto" w:fill="FFFFFF"/>
          </w:tcPr>
          <w:p w14:paraId="4446BCDF"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100"/>
                <w:id w:val="11782778"/>
              </w:sdtPr>
              <w:sdtContent>
                <w:r>
                  <w:rPr>
                    <w:rFonts w:ascii="Arial Unicode MS" w:eastAsia="Arial Unicode MS" w:hAnsi="Arial Unicode MS" w:cs="Arial Unicode MS"/>
                    <w:color w:val="000000"/>
                    <w:sz w:val="18"/>
                    <w:szCs w:val="18"/>
                  </w:rPr>
                  <w:t xml:space="preserve">　</w:t>
                </w:r>
              </w:sdtContent>
            </w:sdt>
          </w:p>
        </w:tc>
        <w:tc>
          <w:tcPr>
            <w:tcW w:w="454" w:type="pct"/>
            <w:tcBorders>
              <w:left w:val="nil"/>
              <w:right w:val="nil"/>
            </w:tcBorders>
            <w:shd w:val="clear" w:color="auto" w:fill="FFFFFF"/>
            <w:vAlign w:val="center"/>
          </w:tcPr>
          <w:p w14:paraId="68C8A2C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80" w:type="pct"/>
            <w:tcBorders>
              <w:left w:val="nil"/>
              <w:right w:val="nil"/>
            </w:tcBorders>
            <w:shd w:val="clear" w:color="auto" w:fill="FFFFFF"/>
          </w:tcPr>
          <w:p w14:paraId="7418CDF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76A215E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vAlign w:val="center"/>
          </w:tcPr>
          <w:p w14:paraId="432F405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80" w:type="pct"/>
            <w:tcBorders>
              <w:left w:val="nil"/>
              <w:right w:val="nil"/>
            </w:tcBorders>
            <w:shd w:val="clear" w:color="auto" w:fill="FFFFFF"/>
          </w:tcPr>
          <w:p w14:paraId="06C357F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0F117D5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vAlign w:val="center"/>
          </w:tcPr>
          <w:p w14:paraId="2D021C5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85" w:type="pct"/>
            <w:tcBorders>
              <w:left w:val="nil"/>
              <w:right w:val="nil"/>
            </w:tcBorders>
            <w:shd w:val="clear" w:color="auto" w:fill="FFFFFF"/>
          </w:tcPr>
          <w:p w14:paraId="4506161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158B2E9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1786A7A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74" w:type="pct"/>
            <w:tcBorders>
              <w:left w:val="nil"/>
              <w:right w:val="nil"/>
            </w:tcBorders>
            <w:shd w:val="clear" w:color="auto" w:fill="FFFFFF"/>
          </w:tcPr>
          <w:p w14:paraId="23DA7AE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0FA8A89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54593C3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74" w:type="pct"/>
            <w:tcBorders>
              <w:left w:val="nil"/>
              <w:right w:val="nil"/>
            </w:tcBorders>
            <w:shd w:val="clear" w:color="auto" w:fill="FFFFFF"/>
          </w:tcPr>
          <w:p w14:paraId="7E67F81F"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729529D2" w14:textId="77777777" w:rsidTr="007008AE">
        <w:trPr>
          <w:trHeight w:val="280"/>
        </w:trPr>
        <w:tc>
          <w:tcPr>
            <w:tcW w:w="787" w:type="pct"/>
            <w:tcBorders>
              <w:left w:val="nil"/>
              <w:right w:val="nil"/>
            </w:tcBorders>
            <w:shd w:val="clear" w:color="auto" w:fill="FFFFFF"/>
            <w:vAlign w:val="center"/>
          </w:tcPr>
          <w:p w14:paraId="18D08F3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CROSS</w:t>
            </w:r>
          </w:p>
        </w:tc>
        <w:tc>
          <w:tcPr>
            <w:tcW w:w="454" w:type="pct"/>
            <w:tcBorders>
              <w:left w:val="nil"/>
              <w:right w:val="nil"/>
            </w:tcBorders>
            <w:shd w:val="clear" w:color="auto" w:fill="FFFFFF"/>
            <w:vAlign w:val="center"/>
          </w:tcPr>
          <w:p w14:paraId="1412859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0.8600</w:t>
            </w:r>
          </w:p>
        </w:tc>
        <w:tc>
          <w:tcPr>
            <w:tcW w:w="280" w:type="pct"/>
            <w:tcBorders>
              <w:left w:val="nil"/>
              <w:right w:val="nil"/>
            </w:tcBorders>
            <w:shd w:val="clear" w:color="auto" w:fill="FFFFFF"/>
            <w:vAlign w:val="center"/>
          </w:tcPr>
          <w:p w14:paraId="259C11E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F67A42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vAlign w:val="center"/>
          </w:tcPr>
          <w:p w14:paraId="7611792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0.8554</w:t>
            </w:r>
          </w:p>
        </w:tc>
        <w:tc>
          <w:tcPr>
            <w:tcW w:w="280" w:type="pct"/>
            <w:tcBorders>
              <w:left w:val="nil"/>
              <w:right w:val="nil"/>
            </w:tcBorders>
            <w:shd w:val="clear" w:color="auto" w:fill="FFFFFF"/>
            <w:vAlign w:val="center"/>
          </w:tcPr>
          <w:p w14:paraId="1762D43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4574419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vAlign w:val="center"/>
          </w:tcPr>
          <w:p w14:paraId="1804D7C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0.9050</w:t>
            </w:r>
          </w:p>
        </w:tc>
        <w:tc>
          <w:tcPr>
            <w:tcW w:w="285" w:type="pct"/>
            <w:tcBorders>
              <w:left w:val="nil"/>
              <w:right w:val="nil"/>
            </w:tcBorders>
            <w:shd w:val="clear" w:color="auto" w:fill="FFFFFF"/>
            <w:vAlign w:val="center"/>
          </w:tcPr>
          <w:p w14:paraId="0CD6E7A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2B81BCE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2B38851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0.9035</w:t>
            </w:r>
          </w:p>
        </w:tc>
        <w:tc>
          <w:tcPr>
            <w:tcW w:w="274" w:type="pct"/>
            <w:tcBorders>
              <w:left w:val="nil"/>
              <w:right w:val="nil"/>
            </w:tcBorders>
            <w:shd w:val="clear" w:color="auto" w:fill="FFFFFF"/>
          </w:tcPr>
          <w:p w14:paraId="3257A74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67B8AD9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32E8B4E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0.7665</w:t>
            </w:r>
          </w:p>
        </w:tc>
        <w:tc>
          <w:tcPr>
            <w:tcW w:w="274" w:type="pct"/>
            <w:tcBorders>
              <w:left w:val="nil"/>
              <w:right w:val="nil"/>
            </w:tcBorders>
            <w:shd w:val="clear" w:color="auto" w:fill="FFFFFF"/>
            <w:vAlign w:val="center"/>
          </w:tcPr>
          <w:p w14:paraId="246FDD9A"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6E91F322" w14:textId="77777777" w:rsidTr="007008AE">
        <w:trPr>
          <w:trHeight w:val="280"/>
        </w:trPr>
        <w:tc>
          <w:tcPr>
            <w:tcW w:w="787" w:type="pct"/>
            <w:tcBorders>
              <w:left w:val="nil"/>
              <w:right w:val="nil"/>
            </w:tcBorders>
            <w:shd w:val="clear" w:color="auto" w:fill="FFFFFF"/>
          </w:tcPr>
          <w:p w14:paraId="5F72451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vAlign w:val="center"/>
          </w:tcPr>
          <w:p w14:paraId="3DD066A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(0.105)</w:t>
            </w:r>
          </w:p>
        </w:tc>
        <w:tc>
          <w:tcPr>
            <w:tcW w:w="280" w:type="pct"/>
            <w:tcBorders>
              <w:left w:val="nil"/>
              <w:right w:val="nil"/>
            </w:tcBorders>
            <w:shd w:val="clear" w:color="auto" w:fill="FFFFFF"/>
          </w:tcPr>
          <w:p w14:paraId="7F00025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3E65C6D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vAlign w:val="center"/>
          </w:tcPr>
          <w:p w14:paraId="618A628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(0.107)</w:t>
            </w:r>
          </w:p>
        </w:tc>
        <w:tc>
          <w:tcPr>
            <w:tcW w:w="280" w:type="pct"/>
            <w:tcBorders>
              <w:left w:val="nil"/>
              <w:right w:val="nil"/>
            </w:tcBorders>
            <w:shd w:val="clear" w:color="auto" w:fill="FFFFFF"/>
          </w:tcPr>
          <w:p w14:paraId="14F38E6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EAA83F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vAlign w:val="center"/>
          </w:tcPr>
          <w:p w14:paraId="4E96962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(0.081)</w:t>
            </w:r>
          </w:p>
        </w:tc>
        <w:tc>
          <w:tcPr>
            <w:tcW w:w="285" w:type="pct"/>
            <w:tcBorders>
              <w:left w:val="nil"/>
              <w:right w:val="nil"/>
            </w:tcBorders>
            <w:shd w:val="clear" w:color="auto" w:fill="FFFFFF"/>
          </w:tcPr>
          <w:p w14:paraId="020BC2D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183F90E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59A77225"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(0.081)</w:t>
            </w:r>
          </w:p>
        </w:tc>
        <w:tc>
          <w:tcPr>
            <w:tcW w:w="274" w:type="pct"/>
            <w:tcBorders>
              <w:left w:val="nil"/>
              <w:right w:val="nil"/>
            </w:tcBorders>
            <w:shd w:val="clear" w:color="auto" w:fill="FFFFFF"/>
          </w:tcPr>
          <w:p w14:paraId="07D2E01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3FEAB1D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29B61BE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(0.161)</w:t>
            </w:r>
          </w:p>
        </w:tc>
        <w:tc>
          <w:tcPr>
            <w:tcW w:w="274" w:type="pct"/>
            <w:tcBorders>
              <w:left w:val="nil"/>
              <w:right w:val="nil"/>
            </w:tcBorders>
            <w:shd w:val="clear" w:color="auto" w:fill="FFFFFF"/>
          </w:tcPr>
          <w:p w14:paraId="4A59B56D"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305AC179" w14:textId="77777777" w:rsidTr="007008AE">
        <w:trPr>
          <w:trHeight w:val="280"/>
        </w:trPr>
        <w:tc>
          <w:tcPr>
            <w:tcW w:w="787" w:type="pct"/>
            <w:tcBorders>
              <w:left w:val="nil"/>
              <w:right w:val="nil"/>
            </w:tcBorders>
            <w:shd w:val="clear" w:color="auto" w:fill="FFFFFF"/>
            <w:vAlign w:val="center"/>
          </w:tcPr>
          <w:p w14:paraId="702945B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BTM</w:t>
            </w:r>
          </w:p>
        </w:tc>
        <w:tc>
          <w:tcPr>
            <w:tcW w:w="454" w:type="pct"/>
            <w:tcBorders>
              <w:left w:val="nil"/>
              <w:right w:val="nil"/>
            </w:tcBorders>
            <w:shd w:val="clear" w:color="auto" w:fill="FFFFFF"/>
            <w:vAlign w:val="center"/>
          </w:tcPr>
          <w:p w14:paraId="7A63E90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-0.9259</w:t>
            </w:r>
          </w:p>
        </w:tc>
        <w:tc>
          <w:tcPr>
            <w:tcW w:w="280" w:type="pct"/>
            <w:tcBorders>
              <w:left w:val="nil"/>
              <w:right w:val="nil"/>
            </w:tcBorders>
            <w:shd w:val="clear" w:color="auto" w:fill="FFFFFF"/>
            <w:vAlign w:val="center"/>
          </w:tcPr>
          <w:p w14:paraId="65EF74E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2E64A72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vAlign w:val="center"/>
          </w:tcPr>
          <w:p w14:paraId="666D1F7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-0.9241</w:t>
            </w:r>
          </w:p>
        </w:tc>
        <w:tc>
          <w:tcPr>
            <w:tcW w:w="280" w:type="pct"/>
            <w:tcBorders>
              <w:left w:val="nil"/>
              <w:right w:val="nil"/>
            </w:tcBorders>
            <w:shd w:val="clear" w:color="auto" w:fill="FFFFFF"/>
            <w:vAlign w:val="center"/>
          </w:tcPr>
          <w:p w14:paraId="035DF19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4609753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vAlign w:val="center"/>
          </w:tcPr>
          <w:p w14:paraId="73E2662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-0.9455</w:t>
            </w:r>
          </w:p>
        </w:tc>
        <w:tc>
          <w:tcPr>
            <w:tcW w:w="285" w:type="pct"/>
            <w:tcBorders>
              <w:left w:val="nil"/>
              <w:right w:val="nil"/>
            </w:tcBorders>
            <w:shd w:val="clear" w:color="auto" w:fill="FFFFFF"/>
            <w:vAlign w:val="center"/>
          </w:tcPr>
          <w:p w14:paraId="4F76596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0A4FF5D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38963E6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-0.9456</w:t>
            </w:r>
          </w:p>
        </w:tc>
        <w:tc>
          <w:tcPr>
            <w:tcW w:w="274" w:type="pct"/>
            <w:tcBorders>
              <w:left w:val="nil"/>
              <w:right w:val="nil"/>
            </w:tcBorders>
            <w:shd w:val="clear" w:color="auto" w:fill="FFFFFF"/>
          </w:tcPr>
          <w:p w14:paraId="76E3AE7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17A99B1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60AEDB1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-0.9280</w:t>
            </w:r>
          </w:p>
        </w:tc>
        <w:tc>
          <w:tcPr>
            <w:tcW w:w="274" w:type="pct"/>
            <w:tcBorders>
              <w:left w:val="nil"/>
              <w:right w:val="nil"/>
            </w:tcBorders>
            <w:shd w:val="clear" w:color="auto" w:fill="FFFFFF"/>
            <w:vAlign w:val="center"/>
          </w:tcPr>
          <w:p w14:paraId="2F176A6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2670EA56" w14:textId="77777777" w:rsidTr="007008AE">
        <w:trPr>
          <w:trHeight w:val="280"/>
        </w:trPr>
        <w:tc>
          <w:tcPr>
            <w:tcW w:w="787" w:type="pct"/>
            <w:tcBorders>
              <w:left w:val="nil"/>
              <w:right w:val="nil"/>
            </w:tcBorders>
            <w:shd w:val="clear" w:color="auto" w:fill="FFFFFF"/>
          </w:tcPr>
          <w:p w14:paraId="24BD0BB0"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101"/>
                <w:id w:val="-1587069361"/>
              </w:sdtPr>
              <w:sdtContent>
                <w:r>
                  <w:rPr>
                    <w:rFonts w:ascii="Arial Unicode MS" w:eastAsia="Arial Unicode MS" w:hAnsi="Arial Unicode MS" w:cs="Arial Unicode MS"/>
                    <w:color w:val="000000"/>
                    <w:sz w:val="18"/>
                    <w:szCs w:val="18"/>
                  </w:rPr>
                  <w:t xml:space="preserve">　</w:t>
                </w:r>
              </w:sdtContent>
            </w:sdt>
          </w:p>
        </w:tc>
        <w:tc>
          <w:tcPr>
            <w:tcW w:w="454" w:type="pct"/>
            <w:tcBorders>
              <w:left w:val="nil"/>
              <w:right w:val="nil"/>
            </w:tcBorders>
            <w:shd w:val="clear" w:color="auto" w:fill="FFFFFF"/>
            <w:vAlign w:val="center"/>
          </w:tcPr>
          <w:p w14:paraId="0376126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80" w:type="pct"/>
            <w:tcBorders>
              <w:left w:val="nil"/>
              <w:right w:val="nil"/>
            </w:tcBorders>
            <w:shd w:val="clear" w:color="auto" w:fill="FFFFFF"/>
          </w:tcPr>
          <w:p w14:paraId="63AD3E2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0837441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vAlign w:val="center"/>
          </w:tcPr>
          <w:p w14:paraId="4B3C67A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80" w:type="pct"/>
            <w:tcBorders>
              <w:left w:val="nil"/>
              <w:right w:val="nil"/>
            </w:tcBorders>
            <w:shd w:val="clear" w:color="auto" w:fill="FFFFFF"/>
          </w:tcPr>
          <w:p w14:paraId="6761FD3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353CD92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vAlign w:val="center"/>
          </w:tcPr>
          <w:p w14:paraId="7A62F49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85" w:type="pct"/>
            <w:tcBorders>
              <w:left w:val="nil"/>
              <w:right w:val="nil"/>
            </w:tcBorders>
            <w:shd w:val="clear" w:color="auto" w:fill="FFFFFF"/>
          </w:tcPr>
          <w:p w14:paraId="414E661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77AFC91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2DC2426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74" w:type="pct"/>
            <w:tcBorders>
              <w:left w:val="nil"/>
              <w:right w:val="nil"/>
            </w:tcBorders>
            <w:shd w:val="clear" w:color="auto" w:fill="FFFFFF"/>
          </w:tcPr>
          <w:p w14:paraId="107B767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B7C7A6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2170FD6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74" w:type="pct"/>
            <w:tcBorders>
              <w:left w:val="nil"/>
              <w:right w:val="nil"/>
            </w:tcBorders>
            <w:shd w:val="clear" w:color="auto" w:fill="FFFFFF"/>
          </w:tcPr>
          <w:p w14:paraId="06B69B4F"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27C7015B" w14:textId="77777777" w:rsidTr="007008AE">
        <w:trPr>
          <w:trHeight w:val="280"/>
        </w:trPr>
        <w:tc>
          <w:tcPr>
            <w:tcW w:w="787" w:type="pct"/>
            <w:tcBorders>
              <w:left w:val="nil"/>
              <w:right w:val="nil"/>
            </w:tcBorders>
            <w:shd w:val="clear" w:color="auto" w:fill="FFFFFF"/>
            <w:vAlign w:val="center"/>
          </w:tcPr>
          <w:p w14:paraId="54DAA76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IRD1</w:t>
            </w:r>
          </w:p>
        </w:tc>
        <w:tc>
          <w:tcPr>
            <w:tcW w:w="454" w:type="pct"/>
            <w:tcBorders>
              <w:left w:val="nil"/>
              <w:right w:val="nil"/>
            </w:tcBorders>
            <w:shd w:val="clear" w:color="auto" w:fill="FFFFFF"/>
            <w:vAlign w:val="center"/>
          </w:tcPr>
          <w:p w14:paraId="6355032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0.0396</w:t>
            </w:r>
          </w:p>
        </w:tc>
        <w:tc>
          <w:tcPr>
            <w:tcW w:w="280" w:type="pct"/>
            <w:tcBorders>
              <w:left w:val="nil"/>
              <w:right w:val="nil"/>
            </w:tcBorders>
            <w:shd w:val="clear" w:color="auto" w:fill="FFFFFF"/>
            <w:vAlign w:val="center"/>
          </w:tcPr>
          <w:p w14:paraId="4F675FE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4BD75EF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tcPr>
          <w:p w14:paraId="2061E93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0" w:type="pct"/>
            <w:tcBorders>
              <w:left w:val="nil"/>
              <w:right w:val="nil"/>
            </w:tcBorders>
            <w:shd w:val="clear" w:color="auto" w:fill="FFFFFF"/>
          </w:tcPr>
          <w:p w14:paraId="673DB10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44BC907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vAlign w:val="center"/>
          </w:tcPr>
          <w:p w14:paraId="10FFE16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5" w:type="pct"/>
            <w:tcBorders>
              <w:left w:val="nil"/>
              <w:right w:val="nil"/>
            </w:tcBorders>
            <w:shd w:val="clear" w:color="auto" w:fill="FFFFFF"/>
            <w:vAlign w:val="center"/>
          </w:tcPr>
          <w:p w14:paraId="4378008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DB8B3B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61D2BB8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6C70503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2BC1BCE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tcPr>
          <w:p w14:paraId="42788D8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25D998C8"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01C1D32F" w14:textId="77777777" w:rsidTr="007008AE">
        <w:trPr>
          <w:trHeight w:val="280"/>
        </w:trPr>
        <w:tc>
          <w:tcPr>
            <w:tcW w:w="787" w:type="pct"/>
            <w:tcBorders>
              <w:left w:val="nil"/>
              <w:right w:val="nil"/>
            </w:tcBorders>
            <w:shd w:val="clear" w:color="auto" w:fill="FFFFFF"/>
          </w:tcPr>
          <w:p w14:paraId="188BCB97"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102"/>
                <w:id w:val="-886364544"/>
              </w:sdtPr>
              <w:sdtContent>
                <w:r>
                  <w:rPr>
                    <w:rFonts w:ascii="Arial Unicode MS" w:eastAsia="Arial Unicode MS" w:hAnsi="Arial Unicode MS" w:cs="Arial Unicode MS"/>
                    <w:color w:val="000000"/>
                    <w:sz w:val="18"/>
                    <w:szCs w:val="18"/>
                  </w:rPr>
                  <w:t xml:space="preserve">　</w:t>
                </w:r>
              </w:sdtContent>
            </w:sdt>
          </w:p>
        </w:tc>
        <w:tc>
          <w:tcPr>
            <w:tcW w:w="454" w:type="pct"/>
            <w:tcBorders>
              <w:left w:val="nil"/>
              <w:right w:val="nil"/>
            </w:tcBorders>
            <w:shd w:val="clear" w:color="auto" w:fill="FFFFFF"/>
            <w:vAlign w:val="center"/>
          </w:tcPr>
          <w:p w14:paraId="460E16E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(0.387)</w:t>
            </w:r>
          </w:p>
        </w:tc>
        <w:tc>
          <w:tcPr>
            <w:tcW w:w="280" w:type="pct"/>
            <w:tcBorders>
              <w:left w:val="nil"/>
              <w:right w:val="nil"/>
            </w:tcBorders>
            <w:shd w:val="clear" w:color="auto" w:fill="FFFFFF"/>
          </w:tcPr>
          <w:p w14:paraId="25926F5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7DC6565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tcPr>
          <w:p w14:paraId="3CEC0DF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0" w:type="pct"/>
            <w:tcBorders>
              <w:left w:val="nil"/>
              <w:right w:val="nil"/>
            </w:tcBorders>
            <w:shd w:val="clear" w:color="auto" w:fill="FFFFFF"/>
          </w:tcPr>
          <w:p w14:paraId="46E1ABC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A88D23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vAlign w:val="center"/>
          </w:tcPr>
          <w:p w14:paraId="4DF502F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5" w:type="pct"/>
            <w:tcBorders>
              <w:left w:val="nil"/>
              <w:right w:val="nil"/>
            </w:tcBorders>
            <w:shd w:val="clear" w:color="auto" w:fill="FFFFFF"/>
          </w:tcPr>
          <w:p w14:paraId="4B7F6AB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722CBB2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3915940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0BDB982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02689C9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tcPr>
          <w:p w14:paraId="024CC5F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56547964"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7A4E0F39" w14:textId="77777777" w:rsidTr="007008AE">
        <w:trPr>
          <w:trHeight w:val="280"/>
        </w:trPr>
        <w:tc>
          <w:tcPr>
            <w:tcW w:w="787" w:type="pct"/>
            <w:tcBorders>
              <w:left w:val="nil"/>
              <w:right w:val="nil"/>
            </w:tcBorders>
            <w:shd w:val="clear" w:color="auto" w:fill="FFFFFF"/>
            <w:vAlign w:val="center"/>
          </w:tcPr>
          <w:p w14:paraId="03CF667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IRD2</w:t>
            </w:r>
          </w:p>
        </w:tc>
        <w:tc>
          <w:tcPr>
            <w:tcW w:w="454" w:type="pct"/>
            <w:tcBorders>
              <w:left w:val="nil"/>
              <w:right w:val="nil"/>
            </w:tcBorders>
            <w:shd w:val="clear" w:color="auto" w:fill="FFFFFF"/>
          </w:tcPr>
          <w:p w14:paraId="469A225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0" w:type="pct"/>
            <w:tcBorders>
              <w:left w:val="nil"/>
              <w:right w:val="nil"/>
            </w:tcBorders>
            <w:shd w:val="clear" w:color="auto" w:fill="FFFFFF"/>
          </w:tcPr>
          <w:p w14:paraId="22246F4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ACD3E1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vAlign w:val="center"/>
          </w:tcPr>
          <w:p w14:paraId="5ED3257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0.0420</w:t>
            </w:r>
          </w:p>
        </w:tc>
        <w:tc>
          <w:tcPr>
            <w:tcW w:w="280" w:type="pct"/>
            <w:tcBorders>
              <w:left w:val="nil"/>
              <w:right w:val="nil"/>
            </w:tcBorders>
            <w:shd w:val="clear" w:color="auto" w:fill="FFFFFF"/>
            <w:vAlign w:val="center"/>
          </w:tcPr>
          <w:p w14:paraId="6551E41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11A7D1E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tcPr>
          <w:p w14:paraId="6E2C16F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5" w:type="pct"/>
            <w:tcBorders>
              <w:left w:val="nil"/>
              <w:right w:val="nil"/>
            </w:tcBorders>
            <w:shd w:val="clear" w:color="auto" w:fill="FFFFFF"/>
          </w:tcPr>
          <w:p w14:paraId="2C7A7E6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724F88A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703B90E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38335E3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25B22B8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3F3D128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vAlign w:val="center"/>
          </w:tcPr>
          <w:p w14:paraId="24FC3370"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119CE694" w14:textId="77777777" w:rsidTr="007008AE">
        <w:trPr>
          <w:trHeight w:val="280"/>
        </w:trPr>
        <w:tc>
          <w:tcPr>
            <w:tcW w:w="787" w:type="pct"/>
            <w:tcBorders>
              <w:left w:val="nil"/>
              <w:right w:val="nil"/>
            </w:tcBorders>
            <w:shd w:val="clear" w:color="auto" w:fill="FFFFFF"/>
          </w:tcPr>
          <w:p w14:paraId="1FAAFF1C"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103"/>
                <w:id w:val="-746145263"/>
              </w:sdtPr>
              <w:sdtContent>
                <w:r>
                  <w:rPr>
                    <w:rFonts w:ascii="Arial Unicode MS" w:eastAsia="Arial Unicode MS" w:hAnsi="Arial Unicode MS" w:cs="Arial Unicode MS"/>
                    <w:color w:val="000000"/>
                    <w:sz w:val="18"/>
                    <w:szCs w:val="18"/>
                  </w:rPr>
                  <w:t xml:space="preserve">　</w:t>
                </w:r>
              </w:sdtContent>
            </w:sdt>
          </w:p>
        </w:tc>
        <w:tc>
          <w:tcPr>
            <w:tcW w:w="454" w:type="pct"/>
            <w:tcBorders>
              <w:left w:val="nil"/>
              <w:right w:val="nil"/>
            </w:tcBorders>
            <w:shd w:val="clear" w:color="auto" w:fill="FFFFFF"/>
          </w:tcPr>
          <w:p w14:paraId="7E09A35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0" w:type="pct"/>
            <w:tcBorders>
              <w:left w:val="nil"/>
              <w:right w:val="nil"/>
            </w:tcBorders>
            <w:shd w:val="clear" w:color="auto" w:fill="FFFFFF"/>
          </w:tcPr>
          <w:p w14:paraId="52CB6BF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0F8A66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vAlign w:val="center"/>
          </w:tcPr>
          <w:p w14:paraId="3E15DEC5"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(0.320)</w:t>
            </w:r>
          </w:p>
        </w:tc>
        <w:tc>
          <w:tcPr>
            <w:tcW w:w="280" w:type="pct"/>
            <w:tcBorders>
              <w:left w:val="nil"/>
              <w:right w:val="nil"/>
            </w:tcBorders>
            <w:shd w:val="clear" w:color="auto" w:fill="FFFFFF"/>
          </w:tcPr>
          <w:p w14:paraId="680FFB5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482B09C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tcPr>
          <w:p w14:paraId="3623262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5" w:type="pct"/>
            <w:tcBorders>
              <w:left w:val="nil"/>
              <w:right w:val="nil"/>
            </w:tcBorders>
            <w:shd w:val="clear" w:color="auto" w:fill="FFFFFF"/>
          </w:tcPr>
          <w:p w14:paraId="7D7C9B7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3064D52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275250E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1BF65A9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4FD9D2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2081F22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3432881F"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7260EB71" w14:textId="77777777" w:rsidTr="007008AE">
        <w:trPr>
          <w:trHeight w:val="280"/>
        </w:trPr>
        <w:tc>
          <w:tcPr>
            <w:tcW w:w="787" w:type="pct"/>
            <w:tcBorders>
              <w:left w:val="nil"/>
              <w:right w:val="nil"/>
            </w:tcBorders>
            <w:shd w:val="clear" w:color="auto" w:fill="FFFFFF"/>
            <w:vAlign w:val="center"/>
          </w:tcPr>
          <w:p w14:paraId="4B46830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ERD1</w:t>
            </w:r>
          </w:p>
        </w:tc>
        <w:tc>
          <w:tcPr>
            <w:tcW w:w="454" w:type="pct"/>
            <w:tcBorders>
              <w:left w:val="nil"/>
              <w:right w:val="nil"/>
            </w:tcBorders>
            <w:shd w:val="clear" w:color="auto" w:fill="FFFFFF"/>
            <w:vAlign w:val="center"/>
          </w:tcPr>
          <w:p w14:paraId="6B1D4D0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0" w:type="pct"/>
            <w:tcBorders>
              <w:left w:val="nil"/>
              <w:right w:val="nil"/>
            </w:tcBorders>
            <w:shd w:val="clear" w:color="auto" w:fill="FFFFFF"/>
            <w:vAlign w:val="center"/>
          </w:tcPr>
          <w:p w14:paraId="5E21DDB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4428D6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tcPr>
          <w:p w14:paraId="18380B9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0" w:type="pct"/>
            <w:tcBorders>
              <w:left w:val="nil"/>
              <w:right w:val="nil"/>
            </w:tcBorders>
            <w:shd w:val="clear" w:color="auto" w:fill="FFFFFF"/>
          </w:tcPr>
          <w:p w14:paraId="3921E29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3FEBE4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vAlign w:val="center"/>
          </w:tcPr>
          <w:p w14:paraId="3ED69A8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-0.0413</w:t>
            </w:r>
          </w:p>
        </w:tc>
        <w:tc>
          <w:tcPr>
            <w:tcW w:w="285" w:type="pct"/>
            <w:tcBorders>
              <w:left w:val="nil"/>
              <w:right w:val="nil"/>
            </w:tcBorders>
            <w:shd w:val="clear" w:color="auto" w:fill="FFFFFF"/>
            <w:vAlign w:val="center"/>
          </w:tcPr>
          <w:p w14:paraId="49F447F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3B79139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2EF23BD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1DED62D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36F6C35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tcPr>
          <w:p w14:paraId="33B1325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2FE4AA2A"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72584FAF" w14:textId="77777777" w:rsidTr="007008AE">
        <w:trPr>
          <w:trHeight w:val="280"/>
        </w:trPr>
        <w:tc>
          <w:tcPr>
            <w:tcW w:w="787" w:type="pct"/>
            <w:tcBorders>
              <w:left w:val="nil"/>
              <w:right w:val="nil"/>
            </w:tcBorders>
            <w:shd w:val="clear" w:color="auto" w:fill="FFFFFF"/>
          </w:tcPr>
          <w:p w14:paraId="0B353442"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104"/>
                <w:id w:val="1469320756"/>
              </w:sdtPr>
              <w:sdtContent>
                <w:r>
                  <w:rPr>
                    <w:rFonts w:ascii="Arial Unicode MS" w:eastAsia="Arial Unicode MS" w:hAnsi="Arial Unicode MS" w:cs="Arial Unicode MS"/>
                    <w:color w:val="000000"/>
                    <w:sz w:val="18"/>
                    <w:szCs w:val="18"/>
                  </w:rPr>
                  <w:t xml:space="preserve">　</w:t>
                </w:r>
              </w:sdtContent>
            </w:sdt>
          </w:p>
        </w:tc>
        <w:tc>
          <w:tcPr>
            <w:tcW w:w="454" w:type="pct"/>
            <w:tcBorders>
              <w:left w:val="nil"/>
              <w:right w:val="nil"/>
            </w:tcBorders>
            <w:shd w:val="clear" w:color="auto" w:fill="FFFFFF"/>
            <w:vAlign w:val="center"/>
          </w:tcPr>
          <w:p w14:paraId="1322722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0" w:type="pct"/>
            <w:tcBorders>
              <w:left w:val="nil"/>
              <w:right w:val="nil"/>
            </w:tcBorders>
            <w:shd w:val="clear" w:color="auto" w:fill="FFFFFF"/>
          </w:tcPr>
          <w:p w14:paraId="2B8272D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467CD48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tcPr>
          <w:p w14:paraId="3DF16BB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0" w:type="pct"/>
            <w:tcBorders>
              <w:left w:val="nil"/>
              <w:right w:val="nil"/>
            </w:tcBorders>
            <w:shd w:val="clear" w:color="auto" w:fill="FFFFFF"/>
          </w:tcPr>
          <w:p w14:paraId="71BE72A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324106F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vAlign w:val="center"/>
          </w:tcPr>
          <w:p w14:paraId="03B6439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(0.918)</w:t>
            </w:r>
          </w:p>
        </w:tc>
        <w:tc>
          <w:tcPr>
            <w:tcW w:w="285" w:type="pct"/>
            <w:tcBorders>
              <w:left w:val="nil"/>
              <w:right w:val="nil"/>
            </w:tcBorders>
            <w:shd w:val="clear" w:color="auto" w:fill="FFFFFF"/>
          </w:tcPr>
          <w:p w14:paraId="024B173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15C5CD3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605F11C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3A39B26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27DA1E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tcPr>
          <w:p w14:paraId="38B8491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10D91070"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076B951A" w14:textId="77777777" w:rsidTr="007008AE">
        <w:trPr>
          <w:trHeight w:val="280"/>
        </w:trPr>
        <w:tc>
          <w:tcPr>
            <w:tcW w:w="787" w:type="pct"/>
            <w:tcBorders>
              <w:left w:val="nil"/>
              <w:right w:val="nil"/>
            </w:tcBorders>
            <w:shd w:val="clear" w:color="auto" w:fill="FFFFFF"/>
            <w:vAlign w:val="center"/>
          </w:tcPr>
          <w:p w14:paraId="40F5D2D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ERD2</w:t>
            </w:r>
          </w:p>
        </w:tc>
        <w:tc>
          <w:tcPr>
            <w:tcW w:w="454" w:type="pct"/>
            <w:tcBorders>
              <w:left w:val="nil"/>
              <w:right w:val="nil"/>
            </w:tcBorders>
            <w:shd w:val="clear" w:color="auto" w:fill="FFFFFF"/>
          </w:tcPr>
          <w:p w14:paraId="31A6CCC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0" w:type="pct"/>
            <w:tcBorders>
              <w:left w:val="nil"/>
              <w:right w:val="nil"/>
            </w:tcBorders>
            <w:shd w:val="clear" w:color="auto" w:fill="FFFFFF"/>
          </w:tcPr>
          <w:p w14:paraId="670B21D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311D573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vAlign w:val="center"/>
          </w:tcPr>
          <w:p w14:paraId="4DA7E8B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0" w:type="pct"/>
            <w:tcBorders>
              <w:left w:val="nil"/>
              <w:right w:val="nil"/>
            </w:tcBorders>
            <w:shd w:val="clear" w:color="auto" w:fill="FFFFFF"/>
            <w:vAlign w:val="center"/>
          </w:tcPr>
          <w:p w14:paraId="3D96B6F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9F6652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tcPr>
          <w:p w14:paraId="5C930B7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5" w:type="pct"/>
            <w:tcBorders>
              <w:left w:val="nil"/>
              <w:right w:val="nil"/>
            </w:tcBorders>
            <w:shd w:val="clear" w:color="auto" w:fill="FFFFFF"/>
          </w:tcPr>
          <w:p w14:paraId="102CAC7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1CE0A32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70DFCDC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-0.0915</w:t>
            </w:r>
          </w:p>
        </w:tc>
        <w:tc>
          <w:tcPr>
            <w:tcW w:w="274" w:type="pct"/>
            <w:tcBorders>
              <w:left w:val="nil"/>
              <w:right w:val="nil"/>
            </w:tcBorders>
            <w:shd w:val="clear" w:color="auto" w:fill="FFFFFF"/>
          </w:tcPr>
          <w:p w14:paraId="54E7525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494ED33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70097EE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vAlign w:val="center"/>
          </w:tcPr>
          <w:p w14:paraId="37565E47"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07BAFD07" w14:textId="77777777" w:rsidTr="007008AE">
        <w:trPr>
          <w:trHeight w:val="280"/>
        </w:trPr>
        <w:tc>
          <w:tcPr>
            <w:tcW w:w="787" w:type="pct"/>
            <w:tcBorders>
              <w:left w:val="nil"/>
              <w:right w:val="nil"/>
            </w:tcBorders>
            <w:shd w:val="clear" w:color="auto" w:fill="FFFFFF"/>
          </w:tcPr>
          <w:p w14:paraId="4543A89D"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105"/>
                <w:id w:val="370046519"/>
              </w:sdtPr>
              <w:sdtContent>
                <w:r>
                  <w:rPr>
                    <w:rFonts w:ascii="Arial Unicode MS" w:eastAsia="Arial Unicode MS" w:hAnsi="Arial Unicode MS" w:cs="Arial Unicode MS"/>
                    <w:color w:val="000000"/>
                    <w:sz w:val="18"/>
                    <w:szCs w:val="18"/>
                  </w:rPr>
                  <w:t xml:space="preserve">　</w:t>
                </w:r>
              </w:sdtContent>
            </w:sdt>
          </w:p>
        </w:tc>
        <w:tc>
          <w:tcPr>
            <w:tcW w:w="454" w:type="pct"/>
            <w:tcBorders>
              <w:left w:val="nil"/>
              <w:right w:val="nil"/>
            </w:tcBorders>
            <w:shd w:val="clear" w:color="auto" w:fill="FFFFFF"/>
          </w:tcPr>
          <w:p w14:paraId="4FA8624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0" w:type="pct"/>
            <w:tcBorders>
              <w:left w:val="nil"/>
              <w:right w:val="nil"/>
            </w:tcBorders>
            <w:shd w:val="clear" w:color="auto" w:fill="FFFFFF"/>
          </w:tcPr>
          <w:p w14:paraId="09CF366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D67DE5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vAlign w:val="center"/>
          </w:tcPr>
          <w:p w14:paraId="44CAB62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0" w:type="pct"/>
            <w:tcBorders>
              <w:left w:val="nil"/>
              <w:right w:val="nil"/>
            </w:tcBorders>
            <w:shd w:val="clear" w:color="auto" w:fill="FFFFFF"/>
          </w:tcPr>
          <w:p w14:paraId="2FBA051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0E628C9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tcPr>
          <w:p w14:paraId="75B9388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5" w:type="pct"/>
            <w:tcBorders>
              <w:left w:val="nil"/>
              <w:right w:val="nil"/>
            </w:tcBorders>
            <w:shd w:val="clear" w:color="auto" w:fill="FFFFFF"/>
          </w:tcPr>
          <w:p w14:paraId="5DBA768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562BB1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47B0403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(0.813)</w:t>
            </w:r>
          </w:p>
        </w:tc>
        <w:tc>
          <w:tcPr>
            <w:tcW w:w="274" w:type="pct"/>
            <w:tcBorders>
              <w:left w:val="nil"/>
              <w:right w:val="nil"/>
            </w:tcBorders>
            <w:shd w:val="clear" w:color="auto" w:fill="FFFFFF"/>
          </w:tcPr>
          <w:p w14:paraId="4F9C562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3BA2A7C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6A0C712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7A5E1E3D"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36735581" w14:textId="77777777" w:rsidTr="007008AE">
        <w:trPr>
          <w:trHeight w:val="280"/>
        </w:trPr>
        <w:tc>
          <w:tcPr>
            <w:tcW w:w="787" w:type="pct"/>
            <w:tcBorders>
              <w:left w:val="nil"/>
              <w:right w:val="nil"/>
            </w:tcBorders>
            <w:shd w:val="clear" w:color="auto" w:fill="FFFFFF"/>
            <w:vAlign w:val="center"/>
          </w:tcPr>
          <w:p w14:paraId="2B89BA8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Intercept</w:t>
            </w:r>
          </w:p>
        </w:tc>
        <w:tc>
          <w:tcPr>
            <w:tcW w:w="454" w:type="pct"/>
            <w:tcBorders>
              <w:left w:val="nil"/>
              <w:right w:val="nil"/>
            </w:tcBorders>
            <w:shd w:val="clear" w:color="auto" w:fill="FFFFFF"/>
            <w:vAlign w:val="center"/>
          </w:tcPr>
          <w:p w14:paraId="5DC6983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11.8680</w:t>
            </w:r>
          </w:p>
        </w:tc>
        <w:tc>
          <w:tcPr>
            <w:tcW w:w="280" w:type="pct"/>
            <w:tcBorders>
              <w:left w:val="nil"/>
              <w:right w:val="nil"/>
            </w:tcBorders>
            <w:shd w:val="clear" w:color="auto" w:fill="FFFFFF"/>
            <w:vAlign w:val="center"/>
          </w:tcPr>
          <w:p w14:paraId="26CABD3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4AC9C02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vAlign w:val="center"/>
          </w:tcPr>
          <w:p w14:paraId="38DD2B2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11.8647</w:t>
            </w:r>
          </w:p>
        </w:tc>
        <w:tc>
          <w:tcPr>
            <w:tcW w:w="280" w:type="pct"/>
            <w:tcBorders>
              <w:left w:val="nil"/>
              <w:right w:val="nil"/>
            </w:tcBorders>
            <w:shd w:val="clear" w:color="auto" w:fill="FFFFFF"/>
            <w:vAlign w:val="center"/>
          </w:tcPr>
          <w:p w14:paraId="17CC42B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12293DE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vAlign w:val="center"/>
          </w:tcPr>
          <w:p w14:paraId="5337A5D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11.9404</w:t>
            </w:r>
          </w:p>
        </w:tc>
        <w:tc>
          <w:tcPr>
            <w:tcW w:w="285" w:type="pct"/>
            <w:tcBorders>
              <w:left w:val="nil"/>
              <w:right w:val="nil"/>
            </w:tcBorders>
            <w:shd w:val="clear" w:color="auto" w:fill="FFFFFF"/>
            <w:vAlign w:val="center"/>
          </w:tcPr>
          <w:p w14:paraId="18E1554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1790BB5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2670B85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11.9418</w:t>
            </w:r>
          </w:p>
        </w:tc>
        <w:tc>
          <w:tcPr>
            <w:tcW w:w="274" w:type="pct"/>
            <w:tcBorders>
              <w:left w:val="nil"/>
              <w:right w:val="nil"/>
            </w:tcBorders>
            <w:shd w:val="clear" w:color="auto" w:fill="FFFFFF"/>
          </w:tcPr>
          <w:p w14:paraId="4D5C245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62E9FAE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454C95E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11.6453</w:t>
            </w:r>
          </w:p>
        </w:tc>
        <w:tc>
          <w:tcPr>
            <w:tcW w:w="274" w:type="pct"/>
            <w:tcBorders>
              <w:left w:val="nil"/>
              <w:right w:val="nil"/>
            </w:tcBorders>
            <w:shd w:val="clear" w:color="auto" w:fill="FFFFFF"/>
            <w:vAlign w:val="center"/>
          </w:tcPr>
          <w:p w14:paraId="26200BD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1CBAF10C" w14:textId="77777777" w:rsidTr="007008AE">
        <w:trPr>
          <w:trHeight w:val="280"/>
        </w:trPr>
        <w:tc>
          <w:tcPr>
            <w:tcW w:w="787" w:type="pct"/>
            <w:tcBorders>
              <w:left w:val="nil"/>
              <w:right w:val="nil"/>
            </w:tcBorders>
            <w:shd w:val="clear" w:color="auto" w:fill="FFFFFF"/>
          </w:tcPr>
          <w:p w14:paraId="01A40F42"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106"/>
                <w:id w:val="559528882"/>
              </w:sdtPr>
              <w:sdtContent>
                <w:r>
                  <w:rPr>
                    <w:rFonts w:ascii="Arial Unicode MS" w:eastAsia="Arial Unicode MS" w:hAnsi="Arial Unicode MS" w:cs="Arial Unicode MS"/>
                    <w:color w:val="000000"/>
                    <w:sz w:val="18"/>
                    <w:szCs w:val="18"/>
                  </w:rPr>
                  <w:t xml:space="preserve">　</w:t>
                </w:r>
              </w:sdtContent>
            </w:sdt>
          </w:p>
        </w:tc>
        <w:tc>
          <w:tcPr>
            <w:tcW w:w="454" w:type="pct"/>
            <w:tcBorders>
              <w:left w:val="nil"/>
              <w:right w:val="nil"/>
            </w:tcBorders>
            <w:shd w:val="clear" w:color="auto" w:fill="FFFFFF"/>
            <w:vAlign w:val="center"/>
          </w:tcPr>
          <w:p w14:paraId="0DE9FED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80" w:type="pct"/>
            <w:tcBorders>
              <w:left w:val="nil"/>
              <w:right w:val="nil"/>
            </w:tcBorders>
            <w:shd w:val="clear" w:color="auto" w:fill="FFFFFF"/>
          </w:tcPr>
          <w:p w14:paraId="64E249D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838546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vAlign w:val="center"/>
          </w:tcPr>
          <w:p w14:paraId="040ABC8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80" w:type="pct"/>
            <w:tcBorders>
              <w:left w:val="nil"/>
              <w:right w:val="nil"/>
            </w:tcBorders>
            <w:shd w:val="clear" w:color="auto" w:fill="FFFFFF"/>
          </w:tcPr>
          <w:p w14:paraId="2AF02B7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AC1321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vAlign w:val="center"/>
          </w:tcPr>
          <w:p w14:paraId="40AAF0A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85" w:type="pct"/>
            <w:tcBorders>
              <w:left w:val="nil"/>
              <w:right w:val="nil"/>
            </w:tcBorders>
            <w:shd w:val="clear" w:color="auto" w:fill="FFFFFF"/>
          </w:tcPr>
          <w:p w14:paraId="78DFD44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3DE02AF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5BDD515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74" w:type="pct"/>
            <w:tcBorders>
              <w:left w:val="nil"/>
              <w:right w:val="nil"/>
            </w:tcBorders>
            <w:shd w:val="clear" w:color="auto" w:fill="FFFFFF"/>
          </w:tcPr>
          <w:p w14:paraId="54859FD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2551C7E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4D6EF01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74" w:type="pct"/>
            <w:tcBorders>
              <w:left w:val="nil"/>
              <w:right w:val="nil"/>
            </w:tcBorders>
            <w:shd w:val="clear" w:color="auto" w:fill="FFFFFF"/>
          </w:tcPr>
          <w:p w14:paraId="33FD6FE8"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73DC9ECD" w14:textId="77777777" w:rsidTr="007008AE">
        <w:trPr>
          <w:trHeight w:val="280"/>
        </w:trPr>
        <w:tc>
          <w:tcPr>
            <w:tcW w:w="787" w:type="pct"/>
            <w:tcBorders>
              <w:left w:val="nil"/>
              <w:right w:val="nil"/>
            </w:tcBorders>
            <w:shd w:val="clear" w:color="auto" w:fill="FFFFFF"/>
          </w:tcPr>
          <w:p w14:paraId="4ABE241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INDUSTRY</w:t>
            </w:r>
          </w:p>
        </w:tc>
        <w:tc>
          <w:tcPr>
            <w:tcW w:w="454" w:type="pct"/>
            <w:tcBorders>
              <w:left w:val="nil"/>
              <w:right w:val="nil"/>
            </w:tcBorders>
            <w:shd w:val="clear" w:color="auto" w:fill="FFFFFF"/>
            <w:vAlign w:val="center"/>
          </w:tcPr>
          <w:p w14:paraId="7B7A575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Yes</w:t>
            </w:r>
          </w:p>
        </w:tc>
        <w:tc>
          <w:tcPr>
            <w:tcW w:w="280" w:type="pct"/>
            <w:tcBorders>
              <w:left w:val="nil"/>
              <w:right w:val="nil"/>
            </w:tcBorders>
            <w:shd w:val="clear" w:color="auto" w:fill="FFFFFF"/>
          </w:tcPr>
          <w:p w14:paraId="1F74D90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0B5CAB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vAlign w:val="center"/>
          </w:tcPr>
          <w:p w14:paraId="392E8FA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Yes</w:t>
            </w:r>
          </w:p>
        </w:tc>
        <w:tc>
          <w:tcPr>
            <w:tcW w:w="280" w:type="pct"/>
            <w:tcBorders>
              <w:left w:val="nil"/>
              <w:right w:val="nil"/>
            </w:tcBorders>
            <w:shd w:val="clear" w:color="auto" w:fill="FFFFFF"/>
          </w:tcPr>
          <w:p w14:paraId="4A4A6E0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246B293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vAlign w:val="center"/>
          </w:tcPr>
          <w:p w14:paraId="3E19827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Yes</w:t>
            </w:r>
          </w:p>
        </w:tc>
        <w:tc>
          <w:tcPr>
            <w:tcW w:w="285" w:type="pct"/>
            <w:tcBorders>
              <w:left w:val="nil"/>
              <w:right w:val="nil"/>
            </w:tcBorders>
            <w:shd w:val="clear" w:color="auto" w:fill="FFFFFF"/>
          </w:tcPr>
          <w:p w14:paraId="73AFEF3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3F7A04B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4713258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Yes</w:t>
            </w:r>
          </w:p>
        </w:tc>
        <w:tc>
          <w:tcPr>
            <w:tcW w:w="274" w:type="pct"/>
            <w:tcBorders>
              <w:left w:val="nil"/>
              <w:right w:val="nil"/>
            </w:tcBorders>
            <w:shd w:val="clear" w:color="auto" w:fill="FFFFFF"/>
          </w:tcPr>
          <w:p w14:paraId="4492EE4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3CCE66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76AFBC8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Yes</w:t>
            </w:r>
          </w:p>
        </w:tc>
        <w:tc>
          <w:tcPr>
            <w:tcW w:w="274" w:type="pct"/>
            <w:tcBorders>
              <w:left w:val="nil"/>
              <w:right w:val="nil"/>
            </w:tcBorders>
            <w:shd w:val="clear" w:color="auto" w:fill="FFFFFF"/>
          </w:tcPr>
          <w:p w14:paraId="4EDF9ED1"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18B5DB07" w14:textId="77777777" w:rsidTr="007008AE">
        <w:trPr>
          <w:trHeight w:val="280"/>
        </w:trPr>
        <w:tc>
          <w:tcPr>
            <w:tcW w:w="787" w:type="pct"/>
            <w:tcBorders>
              <w:left w:val="nil"/>
              <w:bottom w:val="single" w:sz="4" w:space="0" w:color="000000"/>
              <w:right w:val="nil"/>
            </w:tcBorders>
            <w:shd w:val="clear" w:color="auto" w:fill="FFFFFF"/>
            <w:vAlign w:val="center"/>
          </w:tcPr>
          <w:p w14:paraId="71C5075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YEAR</w:t>
            </w:r>
          </w:p>
        </w:tc>
        <w:tc>
          <w:tcPr>
            <w:tcW w:w="454" w:type="pct"/>
            <w:tcBorders>
              <w:left w:val="nil"/>
              <w:bottom w:val="single" w:sz="4" w:space="0" w:color="000000"/>
              <w:right w:val="nil"/>
            </w:tcBorders>
            <w:shd w:val="clear" w:color="auto" w:fill="FFFFFF"/>
            <w:vAlign w:val="center"/>
          </w:tcPr>
          <w:p w14:paraId="2EB8ACB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0" w:type="pct"/>
            <w:tcBorders>
              <w:left w:val="nil"/>
              <w:bottom w:val="single" w:sz="4" w:space="0" w:color="000000"/>
              <w:right w:val="nil"/>
            </w:tcBorders>
            <w:shd w:val="clear" w:color="auto" w:fill="FFFFFF"/>
          </w:tcPr>
          <w:p w14:paraId="7DC7B7C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bottom w:val="single" w:sz="4" w:space="0" w:color="000000"/>
              <w:right w:val="nil"/>
            </w:tcBorders>
            <w:shd w:val="clear" w:color="auto" w:fill="FFFFFF"/>
          </w:tcPr>
          <w:p w14:paraId="71E26DC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bottom w:val="single" w:sz="4" w:space="0" w:color="000000"/>
              <w:right w:val="nil"/>
            </w:tcBorders>
            <w:shd w:val="clear" w:color="auto" w:fill="FFFFFF"/>
            <w:vAlign w:val="center"/>
          </w:tcPr>
          <w:p w14:paraId="169ABB3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0" w:type="pct"/>
            <w:tcBorders>
              <w:left w:val="nil"/>
              <w:bottom w:val="single" w:sz="4" w:space="0" w:color="000000"/>
              <w:right w:val="nil"/>
            </w:tcBorders>
            <w:shd w:val="clear" w:color="auto" w:fill="FFFFFF"/>
          </w:tcPr>
          <w:p w14:paraId="490D2F4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bottom w:val="single" w:sz="4" w:space="0" w:color="000000"/>
              <w:right w:val="nil"/>
            </w:tcBorders>
            <w:shd w:val="clear" w:color="auto" w:fill="FFFFFF"/>
          </w:tcPr>
          <w:p w14:paraId="19DBB22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bottom w:val="single" w:sz="4" w:space="0" w:color="000000"/>
              <w:right w:val="nil"/>
            </w:tcBorders>
            <w:shd w:val="clear" w:color="auto" w:fill="FFFFFF"/>
            <w:vAlign w:val="center"/>
          </w:tcPr>
          <w:p w14:paraId="1C4D4EB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5" w:type="pct"/>
            <w:tcBorders>
              <w:left w:val="nil"/>
              <w:bottom w:val="single" w:sz="4" w:space="0" w:color="000000"/>
              <w:right w:val="nil"/>
            </w:tcBorders>
            <w:shd w:val="clear" w:color="auto" w:fill="FFFFFF"/>
          </w:tcPr>
          <w:p w14:paraId="5CD19B3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bottom w:val="single" w:sz="4" w:space="0" w:color="000000"/>
              <w:right w:val="nil"/>
            </w:tcBorders>
            <w:shd w:val="clear" w:color="auto" w:fill="FFFFFF"/>
          </w:tcPr>
          <w:p w14:paraId="703BA96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bottom w:val="single" w:sz="4" w:space="0" w:color="000000"/>
              <w:right w:val="nil"/>
            </w:tcBorders>
            <w:shd w:val="clear" w:color="auto" w:fill="FFFFFF"/>
          </w:tcPr>
          <w:p w14:paraId="3BDE9EE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bottom w:val="single" w:sz="4" w:space="0" w:color="000000"/>
              <w:right w:val="nil"/>
            </w:tcBorders>
            <w:shd w:val="clear" w:color="auto" w:fill="FFFFFF"/>
          </w:tcPr>
          <w:p w14:paraId="6682A64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bottom w:val="single" w:sz="4" w:space="0" w:color="000000"/>
              <w:right w:val="nil"/>
            </w:tcBorders>
            <w:shd w:val="clear" w:color="auto" w:fill="FFFFFF"/>
          </w:tcPr>
          <w:p w14:paraId="3D330CD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bottom w:val="single" w:sz="4" w:space="0" w:color="000000"/>
              <w:right w:val="nil"/>
            </w:tcBorders>
            <w:shd w:val="clear" w:color="auto" w:fill="FFFFFF"/>
            <w:vAlign w:val="center"/>
          </w:tcPr>
          <w:p w14:paraId="6A80CD1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Yes</w:t>
            </w:r>
          </w:p>
        </w:tc>
        <w:tc>
          <w:tcPr>
            <w:tcW w:w="274" w:type="pct"/>
            <w:tcBorders>
              <w:left w:val="nil"/>
              <w:bottom w:val="single" w:sz="4" w:space="0" w:color="000000"/>
              <w:right w:val="nil"/>
            </w:tcBorders>
            <w:shd w:val="clear" w:color="auto" w:fill="FFFFFF"/>
          </w:tcPr>
          <w:p w14:paraId="6A494A57"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36C82A3B" w14:textId="77777777" w:rsidTr="007008AE">
        <w:trPr>
          <w:trHeight w:val="280"/>
        </w:trPr>
        <w:tc>
          <w:tcPr>
            <w:tcW w:w="787" w:type="pct"/>
            <w:tcBorders>
              <w:left w:val="nil"/>
              <w:right w:val="nil"/>
            </w:tcBorders>
            <w:shd w:val="clear" w:color="auto" w:fill="FFFFFF"/>
            <w:vAlign w:val="center"/>
          </w:tcPr>
          <w:p w14:paraId="13A052D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Observations</w:t>
            </w:r>
          </w:p>
        </w:tc>
        <w:tc>
          <w:tcPr>
            <w:tcW w:w="454" w:type="pct"/>
            <w:tcBorders>
              <w:left w:val="nil"/>
              <w:right w:val="nil"/>
            </w:tcBorders>
            <w:shd w:val="clear" w:color="auto" w:fill="FFFFFF"/>
            <w:vAlign w:val="center"/>
          </w:tcPr>
          <w:p w14:paraId="0896DDE5"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4,019</w:t>
            </w:r>
          </w:p>
        </w:tc>
        <w:tc>
          <w:tcPr>
            <w:tcW w:w="280" w:type="pct"/>
            <w:tcBorders>
              <w:left w:val="nil"/>
              <w:right w:val="nil"/>
            </w:tcBorders>
            <w:shd w:val="clear" w:color="auto" w:fill="FFFFFF"/>
          </w:tcPr>
          <w:p w14:paraId="1ECB613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7B5DA90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vAlign w:val="center"/>
          </w:tcPr>
          <w:p w14:paraId="532ABC9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4,018</w:t>
            </w:r>
          </w:p>
        </w:tc>
        <w:tc>
          <w:tcPr>
            <w:tcW w:w="280" w:type="pct"/>
            <w:tcBorders>
              <w:left w:val="nil"/>
              <w:right w:val="nil"/>
            </w:tcBorders>
            <w:shd w:val="clear" w:color="auto" w:fill="FFFFFF"/>
          </w:tcPr>
          <w:p w14:paraId="29921D0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56FD75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vAlign w:val="center"/>
          </w:tcPr>
          <w:p w14:paraId="0EA57AA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3,989</w:t>
            </w:r>
          </w:p>
        </w:tc>
        <w:tc>
          <w:tcPr>
            <w:tcW w:w="285" w:type="pct"/>
            <w:tcBorders>
              <w:left w:val="nil"/>
              <w:right w:val="nil"/>
            </w:tcBorders>
            <w:shd w:val="clear" w:color="auto" w:fill="FFFFFF"/>
          </w:tcPr>
          <w:p w14:paraId="7D6016A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A524D1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7264B41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3,989</w:t>
            </w:r>
          </w:p>
        </w:tc>
        <w:tc>
          <w:tcPr>
            <w:tcW w:w="274" w:type="pct"/>
            <w:tcBorders>
              <w:left w:val="nil"/>
              <w:right w:val="nil"/>
            </w:tcBorders>
            <w:shd w:val="clear" w:color="auto" w:fill="FFFFFF"/>
          </w:tcPr>
          <w:p w14:paraId="1C5DA17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4F06F97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599D116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4,019</w:t>
            </w:r>
          </w:p>
        </w:tc>
        <w:tc>
          <w:tcPr>
            <w:tcW w:w="274" w:type="pct"/>
            <w:tcBorders>
              <w:left w:val="nil"/>
              <w:right w:val="nil"/>
            </w:tcBorders>
            <w:shd w:val="clear" w:color="auto" w:fill="FFFFFF"/>
          </w:tcPr>
          <w:p w14:paraId="79B1D869"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2BBD6031" w14:textId="77777777" w:rsidTr="007008AE">
        <w:trPr>
          <w:trHeight w:val="280"/>
        </w:trPr>
        <w:tc>
          <w:tcPr>
            <w:tcW w:w="787" w:type="pct"/>
            <w:tcBorders>
              <w:left w:val="nil"/>
              <w:right w:val="nil"/>
            </w:tcBorders>
            <w:shd w:val="clear" w:color="auto" w:fill="FFFFFF"/>
            <w:vAlign w:val="center"/>
          </w:tcPr>
          <w:p w14:paraId="3808FD7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R</w:t>
            </w:r>
            <w:r>
              <w:rPr>
                <w:rFonts w:ascii="Times New Roman" w:eastAsia="Times New Roman" w:hAnsi="Times New Roman" w:cs="Times New Roman"/>
                <w:color w:val="000000"/>
                <w:sz w:val="18"/>
                <w:szCs w:val="18"/>
                <w:vertAlign w:val="superscript"/>
              </w:rPr>
              <w:t>2</w:t>
            </w:r>
          </w:p>
        </w:tc>
        <w:tc>
          <w:tcPr>
            <w:tcW w:w="454" w:type="pct"/>
            <w:tcBorders>
              <w:left w:val="nil"/>
              <w:right w:val="nil"/>
            </w:tcBorders>
            <w:shd w:val="clear" w:color="auto" w:fill="FFFFFF"/>
            <w:vAlign w:val="center"/>
          </w:tcPr>
          <w:p w14:paraId="4BF0848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0.215</w:t>
            </w:r>
          </w:p>
        </w:tc>
        <w:tc>
          <w:tcPr>
            <w:tcW w:w="280" w:type="pct"/>
            <w:tcBorders>
              <w:left w:val="nil"/>
              <w:right w:val="nil"/>
            </w:tcBorders>
            <w:shd w:val="clear" w:color="auto" w:fill="FFFFFF"/>
          </w:tcPr>
          <w:p w14:paraId="65187DF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77A5478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right w:val="nil"/>
            </w:tcBorders>
            <w:shd w:val="clear" w:color="auto" w:fill="FFFFFF"/>
            <w:vAlign w:val="center"/>
          </w:tcPr>
          <w:p w14:paraId="1AB67F0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0.215</w:t>
            </w:r>
          </w:p>
        </w:tc>
        <w:tc>
          <w:tcPr>
            <w:tcW w:w="280" w:type="pct"/>
            <w:tcBorders>
              <w:left w:val="nil"/>
              <w:right w:val="nil"/>
            </w:tcBorders>
            <w:shd w:val="clear" w:color="auto" w:fill="FFFFFF"/>
          </w:tcPr>
          <w:p w14:paraId="6634202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78C29EF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right w:val="nil"/>
            </w:tcBorders>
            <w:shd w:val="clear" w:color="auto" w:fill="FFFFFF"/>
            <w:vAlign w:val="center"/>
          </w:tcPr>
          <w:p w14:paraId="5D59039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0.214</w:t>
            </w:r>
          </w:p>
        </w:tc>
        <w:tc>
          <w:tcPr>
            <w:tcW w:w="285" w:type="pct"/>
            <w:tcBorders>
              <w:left w:val="nil"/>
              <w:right w:val="nil"/>
            </w:tcBorders>
            <w:shd w:val="clear" w:color="auto" w:fill="FFFFFF"/>
          </w:tcPr>
          <w:p w14:paraId="3AEB383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CD905C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right w:val="nil"/>
            </w:tcBorders>
            <w:shd w:val="clear" w:color="auto" w:fill="FFFFFF"/>
          </w:tcPr>
          <w:p w14:paraId="5CBE7A2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0.214</w:t>
            </w:r>
          </w:p>
        </w:tc>
        <w:tc>
          <w:tcPr>
            <w:tcW w:w="274" w:type="pct"/>
            <w:tcBorders>
              <w:left w:val="nil"/>
              <w:right w:val="nil"/>
            </w:tcBorders>
            <w:shd w:val="clear" w:color="auto" w:fill="FFFFFF"/>
          </w:tcPr>
          <w:p w14:paraId="1262120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75B404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62BEEA6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0.218</w:t>
            </w:r>
          </w:p>
        </w:tc>
        <w:tc>
          <w:tcPr>
            <w:tcW w:w="274" w:type="pct"/>
            <w:tcBorders>
              <w:left w:val="nil"/>
              <w:right w:val="nil"/>
            </w:tcBorders>
            <w:shd w:val="clear" w:color="auto" w:fill="FFFFFF"/>
          </w:tcPr>
          <w:p w14:paraId="5132FA69"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29633CFC" w14:textId="77777777" w:rsidTr="007008AE">
        <w:trPr>
          <w:trHeight w:val="280"/>
        </w:trPr>
        <w:tc>
          <w:tcPr>
            <w:tcW w:w="787" w:type="pct"/>
            <w:tcBorders>
              <w:left w:val="nil"/>
              <w:bottom w:val="single" w:sz="4" w:space="0" w:color="000000"/>
              <w:right w:val="nil"/>
            </w:tcBorders>
            <w:shd w:val="clear" w:color="auto" w:fill="FFFFFF"/>
            <w:vAlign w:val="center"/>
          </w:tcPr>
          <w:p w14:paraId="1B200DAC" w14:textId="77777777" w:rsidR="007373F6" w:rsidRDefault="00000000">
            <w:pPr>
              <w:spacing w:after="0" w:line="240" w:lineRule="auto"/>
              <w:jc w:val="both"/>
              <w:rPr>
                <w:rFonts w:ascii="Times New Roman" w:eastAsia="Times New Roman" w:hAnsi="Times New Roman" w:cs="Times New Roman"/>
                <w:color w:val="000000"/>
                <w:sz w:val="18"/>
                <w:szCs w:val="18"/>
              </w:rPr>
            </w:pPr>
            <w:proofErr w:type="spellStart"/>
            <w:r>
              <w:rPr>
                <w:rFonts w:ascii="Times New Roman" w:eastAsia="Times New Roman" w:hAnsi="Times New Roman" w:cs="Times New Roman"/>
                <w:color w:val="000000"/>
                <w:sz w:val="20"/>
                <w:szCs w:val="20"/>
              </w:rPr>
              <w:t>Adj</w:t>
            </w:r>
            <w:proofErr w:type="spellEnd"/>
            <w:r>
              <w:rPr>
                <w:rFonts w:ascii="Times New Roman" w:eastAsia="Times New Roman" w:hAnsi="Times New Roman" w:cs="Times New Roman"/>
                <w:color w:val="000000"/>
                <w:sz w:val="18"/>
                <w:szCs w:val="18"/>
              </w:rPr>
              <w:t xml:space="preserve"> R</w:t>
            </w:r>
            <w:r>
              <w:rPr>
                <w:rFonts w:ascii="Times New Roman" w:eastAsia="Times New Roman" w:hAnsi="Times New Roman" w:cs="Times New Roman"/>
                <w:color w:val="000000"/>
                <w:sz w:val="18"/>
                <w:szCs w:val="18"/>
                <w:vertAlign w:val="superscript"/>
              </w:rPr>
              <w:t>2</w:t>
            </w:r>
          </w:p>
        </w:tc>
        <w:tc>
          <w:tcPr>
            <w:tcW w:w="454" w:type="pct"/>
            <w:tcBorders>
              <w:left w:val="nil"/>
              <w:bottom w:val="single" w:sz="4" w:space="0" w:color="000000"/>
              <w:right w:val="nil"/>
            </w:tcBorders>
            <w:shd w:val="clear" w:color="auto" w:fill="FFFFFF"/>
            <w:vAlign w:val="center"/>
          </w:tcPr>
          <w:p w14:paraId="37B9391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0.208</w:t>
            </w:r>
          </w:p>
        </w:tc>
        <w:tc>
          <w:tcPr>
            <w:tcW w:w="280" w:type="pct"/>
            <w:tcBorders>
              <w:left w:val="nil"/>
              <w:bottom w:val="single" w:sz="4" w:space="0" w:color="000000"/>
              <w:right w:val="nil"/>
            </w:tcBorders>
            <w:shd w:val="clear" w:color="auto" w:fill="FFFFFF"/>
          </w:tcPr>
          <w:p w14:paraId="57D08E6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bottom w:val="single" w:sz="4" w:space="0" w:color="000000"/>
              <w:right w:val="nil"/>
            </w:tcBorders>
            <w:shd w:val="clear" w:color="auto" w:fill="FFFFFF"/>
          </w:tcPr>
          <w:p w14:paraId="76F5190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4" w:type="pct"/>
            <w:tcBorders>
              <w:left w:val="nil"/>
              <w:bottom w:val="single" w:sz="4" w:space="0" w:color="000000"/>
              <w:right w:val="nil"/>
            </w:tcBorders>
            <w:shd w:val="clear" w:color="auto" w:fill="FFFFFF"/>
            <w:vAlign w:val="center"/>
          </w:tcPr>
          <w:p w14:paraId="33CF1B0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0.208</w:t>
            </w:r>
          </w:p>
        </w:tc>
        <w:tc>
          <w:tcPr>
            <w:tcW w:w="280" w:type="pct"/>
            <w:tcBorders>
              <w:left w:val="nil"/>
              <w:bottom w:val="single" w:sz="4" w:space="0" w:color="000000"/>
              <w:right w:val="nil"/>
            </w:tcBorders>
            <w:shd w:val="clear" w:color="auto" w:fill="FFFFFF"/>
          </w:tcPr>
          <w:p w14:paraId="2B4CDFF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bottom w:val="single" w:sz="4" w:space="0" w:color="000000"/>
              <w:right w:val="nil"/>
            </w:tcBorders>
            <w:shd w:val="clear" w:color="auto" w:fill="FFFFFF"/>
          </w:tcPr>
          <w:p w14:paraId="3F37F8D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0" w:type="pct"/>
            <w:tcBorders>
              <w:left w:val="nil"/>
              <w:bottom w:val="single" w:sz="4" w:space="0" w:color="000000"/>
              <w:right w:val="nil"/>
            </w:tcBorders>
            <w:shd w:val="clear" w:color="auto" w:fill="FFFFFF"/>
            <w:vAlign w:val="center"/>
          </w:tcPr>
          <w:p w14:paraId="615142B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0.207</w:t>
            </w:r>
          </w:p>
        </w:tc>
        <w:tc>
          <w:tcPr>
            <w:tcW w:w="285" w:type="pct"/>
            <w:tcBorders>
              <w:left w:val="nil"/>
              <w:bottom w:val="single" w:sz="4" w:space="0" w:color="000000"/>
              <w:right w:val="nil"/>
            </w:tcBorders>
            <w:shd w:val="clear" w:color="auto" w:fill="FFFFFF"/>
          </w:tcPr>
          <w:p w14:paraId="057949B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bottom w:val="single" w:sz="4" w:space="0" w:color="000000"/>
              <w:right w:val="nil"/>
            </w:tcBorders>
            <w:shd w:val="clear" w:color="auto" w:fill="FFFFFF"/>
          </w:tcPr>
          <w:p w14:paraId="190CAB4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4" w:type="pct"/>
            <w:tcBorders>
              <w:left w:val="nil"/>
              <w:bottom w:val="single" w:sz="4" w:space="0" w:color="000000"/>
              <w:right w:val="nil"/>
            </w:tcBorders>
            <w:shd w:val="clear" w:color="auto" w:fill="FFFFFF"/>
          </w:tcPr>
          <w:p w14:paraId="16144B9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0.207</w:t>
            </w:r>
          </w:p>
        </w:tc>
        <w:tc>
          <w:tcPr>
            <w:tcW w:w="274" w:type="pct"/>
            <w:tcBorders>
              <w:left w:val="nil"/>
              <w:bottom w:val="single" w:sz="4" w:space="0" w:color="000000"/>
              <w:right w:val="nil"/>
            </w:tcBorders>
            <w:shd w:val="clear" w:color="auto" w:fill="FFFFFF"/>
          </w:tcPr>
          <w:p w14:paraId="23A4B68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bottom w:val="single" w:sz="4" w:space="0" w:color="000000"/>
              <w:right w:val="nil"/>
            </w:tcBorders>
            <w:shd w:val="clear" w:color="auto" w:fill="FFFFFF"/>
          </w:tcPr>
          <w:p w14:paraId="00FBF8C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bottom w:val="single" w:sz="4" w:space="0" w:color="000000"/>
              <w:right w:val="nil"/>
            </w:tcBorders>
            <w:shd w:val="clear" w:color="auto" w:fill="FFFFFF"/>
            <w:vAlign w:val="center"/>
          </w:tcPr>
          <w:p w14:paraId="5D83643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0.209</w:t>
            </w:r>
          </w:p>
        </w:tc>
        <w:tc>
          <w:tcPr>
            <w:tcW w:w="274" w:type="pct"/>
            <w:tcBorders>
              <w:left w:val="nil"/>
              <w:bottom w:val="single" w:sz="4" w:space="0" w:color="000000"/>
              <w:right w:val="nil"/>
            </w:tcBorders>
            <w:shd w:val="clear" w:color="auto" w:fill="FFFFFF"/>
          </w:tcPr>
          <w:p w14:paraId="14A8C391"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bl>
    <w:p w14:paraId="5F2768EF" w14:textId="77777777" w:rsidR="007373F6" w:rsidRDefault="00000000">
      <w:pPr>
        <w:widowControl w:val="0"/>
        <w:spacing w:before="4"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Notes: The regression results are based on ordinary least squares estimation and show a heteroscedasticity-robust estimator based on the White and Brochu-Pagan test results. p-values are given in parentheses. *** and ** indicate statistical significance at the 1% and 5%, respectively.</w:t>
      </w:r>
    </w:p>
    <w:p w14:paraId="05F18D6B" w14:textId="77777777" w:rsidR="007373F6" w:rsidRDefault="007373F6">
      <w:pPr>
        <w:widowControl w:val="0"/>
        <w:tabs>
          <w:tab w:val="left" w:pos="945"/>
        </w:tabs>
        <w:spacing w:after="0" w:line="299" w:lineRule="auto"/>
        <w:jc w:val="both"/>
        <w:rPr>
          <w:rFonts w:ascii="Times New Roman" w:eastAsia="Times New Roman" w:hAnsi="Times New Roman" w:cs="Times New Roman"/>
          <w:b/>
          <w:color w:val="000000"/>
          <w:sz w:val="24"/>
          <w:szCs w:val="24"/>
        </w:rPr>
      </w:pPr>
    </w:p>
    <w:p w14:paraId="1ECAE743" w14:textId="77777777" w:rsidR="007373F6" w:rsidRDefault="007373F6">
      <w:pPr>
        <w:widowControl w:val="0"/>
        <w:spacing w:after="0" w:line="20" w:lineRule="auto"/>
        <w:ind w:left="1061"/>
        <w:jc w:val="both"/>
        <w:rPr>
          <w:rFonts w:ascii="Times New Roman" w:eastAsia="Times New Roman" w:hAnsi="Times New Roman" w:cs="Times New Roman"/>
          <w:color w:val="000000"/>
          <w:sz w:val="2"/>
          <w:szCs w:val="2"/>
        </w:rPr>
      </w:pPr>
    </w:p>
    <w:p w14:paraId="6916C151" w14:textId="77777777" w:rsidR="007373F6" w:rsidRDefault="007373F6">
      <w:pPr>
        <w:spacing w:after="0" w:line="240" w:lineRule="auto"/>
        <w:jc w:val="both"/>
        <w:rPr>
          <w:rFonts w:ascii="Times New Roman" w:eastAsia="Times New Roman" w:hAnsi="Times New Roman" w:cs="Times New Roman"/>
          <w:b/>
          <w:color w:val="000000"/>
          <w:sz w:val="21"/>
          <w:szCs w:val="21"/>
        </w:rPr>
      </w:pPr>
    </w:p>
    <w:p w14:paraId="2903214F" w14:textId="77777777" w:rsidR="007373F6" w:rsidRPr="007008AE" w:rsidRDefault="00000000">
      <w:pPr>
        <w:spacing w:after="0" w:line="240" w:lineRule="auto"/>
        <w:jc w:val="both"/>
        <w:rPr>
          <w:rFonts w:ascii="Times New Roman" w:eastAsia="Times New Roman" w:hAnsi="Times New Roman" w:cs="Times New Roman"/>
          <w:b/>
          <w:color w:val="000000"/>
          <w:sz w:val="20"/>
          <w:szCs w:val="20"/>
        </w:rPr>
      </w:pPr>
      <w:r w:rsidRPr="007008AE">
        <w:rPr>
          <w:rFonts w:ascii="Times New Roman" w:eastAsia="Times New Roman" w:hAnsi="Times New Roman" w:cs="Times New Roman"/>
          <w:b/>
          <w:color w:val="000000"/>
        </w:rPr>
        <w:t xml:space="preserve">Table 6: </w:t>
      </w:r>
      <w:r w:rsidRPr="007008AE">
        <w:rPr>
          <w:rFonts w:ascii="Times New Roman" w:eastAsia="Times New Roman" w:hAnsi="Times New Roman" w:cs="Times New Roman"/>
          <w:bCs/>
          <w:color w:val="000000"/>
        </w:rPr>
        <w:t xml:space="preserve">Panel data analysis to estimate foreign shareholders’ ratio using </w:t>
      </w:r>
      <w:proofErr w:type="spellStart"/>
      <w:r w:rsidRPr="007008AE">
        <w:rPr>
          <w:rFonts w:ascii="Times New Roman" w:eastAsia="Times New Roman" w:hAnsi="Times New Roman" w:cs="Times New Roman"/>
          <w:bCs/>
          <w:color w:val="000000"/>
        </w:rPr>
        <w:t>winsorized</w:t>
      </w:r>
      <w:proofErr w:type="spellEnd"/>
      <w:r w:rsidRPr="007008AE">
        <w:rPr>
          <w:rFonts w:ascii="Times New Roman" w:eastAsia="Times New Roman" w:hAnsi="Times New Roman" w:cs="Times New Roman"/>
          <w:bCs/>
          <w:color w:val="000000"/>
        </w:rPr>
        <w:t xml:space="preserve"> data</w:t>
      </w:r>
    </w:p>
    <w:tbl>
      <w:tblPr>
        <w:tblStyle w:val="af3"/>
        <w:tblW w:w="5000" w:type="pct"/>
        <w:tblLook w:val="0400" w:firstRow="0" w:lastRow="0" w:firstColumn="0" w:lastColumn="0" w:noHBand="0" w:noVBand="1"/>
      </w:tblPr>
      <w:tblGrid>
        <w:gridCol w:w="1449"/>
        <w:gridCol w:w="802"/>
        <w:gridCol w:w="507"/>
        <w:gridCol w:w="231"/>
        <w:gridCol w:w="811"/>
        <w:gridCol w:w="507"/>
        <w:gridCol w:w="231"/>
        <w:gridCol w:w="827"/>
        <w:gridCol w:w="516"/>
        <w:gridCol w:w="231"/>
        <w:gridCol w:w="836"/>
        <w:gridCol w:w="495"/>
        <w:gridCol w:w="231"/>
        <w:gridCol w:w="857"/>
        <w:gridCol w:w="495"/>
      </w:tblGrid>
      <w:tr w:rsidR="007373F6" w14:paraId="55C01EF3" w14:textId="77777777" w:rsidTr="007008AE">
        <w:trPr>
          <w:trHeight w:val="270"/>
        </w:trPr>
        <w:tc>
          <w:tcPr>
            <w:tcW w:w="803" w:type="pct"/>
            <w:tcBorders>
              <w:left w:val="nil"/>
              <w:bottom w:val="single" w:sz="4" w:space="0" w:color="000000"/>
              <w:right w:val="nil"/>
            </w:tcBorders>
            <w:shd w:val="clear" w:color="auto" w:fill="FFFFFF"/>
          </w:tcPr>
          <w:p w14:paraId="7821A837" w14:textId="30EB3530" w:rsidR="007373F6" w:rsidRDefault="007373F6">
            <w:pPr>
              <w:spacing w:after="0" w:line="240" w:lineRule="auto"/>
              <w:jc w:val="both"/>
              <w:rPr>
                <w:rFonts w:ascii="Times New Roman" w:eastAsia="Times New Roman" w:hAnsi="Times New Roman" w:cs="Times New Roman"/>
                <w:color w:val="000000"/>
                <w:sz w:val="20"/>
                <w:szCs w:val="20"/>
              </w:rPr>
            </w:pPr>
          </w:p>
        </w:tc>
        <w:tc>
          <w:tcPr>
            <w:tcW w:w="444" w:type="pct"/>
            <w:tcBorders>
              <w:left w:val="nil"/>
              <w:bottom w:val="single" w:sz="4" w:space="0" w:color="000000"/>
              <w:right w:val="nil"/>
            </w:tcBorders>
            <w:shd w:val="clear" w:color="auto" w:fill="FFFFFF"/>
          </w:tcPr>
          <w:p w14:paraId="3E3F41FD" w14:textId="5A0C9CE0" w:rsidR="007373F6" w:rsidRDefault="007373F6">
            <w:pPr>
              <w:spacing w:after="0" w:line="240" w:lineRule="auto"/>
              <w:jc w:val="both"/>
              <w:rPr>
                <w:rFonts w:ascii="Times New Roman" w:eastAsia="Times New Roman" w:hAnsi="Times New Roman" w:cs="Times New Roman"/>
                <w:color w:val="000000"/>
                <w:sz w:val="20"/>
                <w:szCs w:val="20"/>
              </w:rPr>
            </w:pPr>
          </w:p>
        </w:tc>
        <w:tc>
          <w:tcPr>
            <w:tcW w:w="281" w:type="pct"/>
            <w:tcBorders>
              <w:left w:val="nil"/>
              <w:bottom w:val="single" w:sz="4" w:space="0" w:color="000000"/>
              <w:right w:val="nil"/>
            </w:tcBorders>
            <w:shd w:val="clear" w:color="auto" w:fill="FFFFFF"/>
          </w:tcPr>
          <w:p w14:paraId="1BD35211" w14:textId="567177C5" w:rsidR="007373F6" w:rsidRDefault="007373F6">
            <w:pPr>
              <w:spacing w:after="0" w:line="240" w:lineRule="auto"/>
              <w:jc w:val="both"/>
              <w:rPr>
                <w:rFonts w:ascii="Times New Roman" w:eastAsia="Times New Roman" w:hAnsi="Times New Roman" w:cs="Times New Roman"/>
                <w:color w:val="000000"/>
                <w:sz w:val="20"/>
                <w:szCs w:val="20"/>
              </w:rPr>
            </w:pPr>
          </w:p>
        </w:tc>
        <w:tc>
          <w:tcPr>
            <w:tcW w:w="128" w:type="pct"/>
            <w:tcBorders>
              <w:left w:val="nil"/>
              <w:bottom w:val="single" w:sz="4" w:space="0" w:color="000000"/>
              <w:right w:val="nil"/>
            </w:tcBorders>
            <w:shd w:val="clear" w:color="auto" w:fill="FFFFFF"/>
          </w:tcPr>
          <w:p w14:paraId="150010C6" w14:textId="2D133F55" w:rsidR="007373F6" w:rsidRDefault="007373F6">
            <w:pPr>
              <w:spacing w:after="0" w:line="240" w:lineRule="auto"/>
              <w:jc w:val="both"/>
              <w:rPr>
                <w:rFonts w:ascii="Times New Roman" w:eastAsia="Times New Roman" w:hAnsi="Times New Roman" w:cs="Times New Roman"/>
                <w:color w:val="000000"/>
                <w:sz w:val="20"/>
                <w:szCs w:val="20"/>
              </w:rPr>
            </w:pPr>
          </w:p>
        </w:tc>
        <w:tc>
          <w:tcPr>
            <w:tcW w:w="449" w:type="pct"/>
            <w:tcBorders>
              <w:left w:val="nil"/>
              <w:bottom w:val="single" w:sz="4" w:space="0" w:color="000000"/>
              <w:right w:val="nil"/>
            </w:tcBorders>
            <w:shd w:val="clear" w:color="auto" w:fill="FFFFFF"/>
          </w:tcPr>
          <w:p w14:paraId="3E90310E" w14:textId="3A140511" w:rsidR="007373F6" w:rsidRDefault="007373F6">
            <w:pPr>
              <w:spacing w:after="0" w:line="240" w:lineRule="auto"/>
              <w:jc w:val="both"/>
              <w:rPr>
                <w:rFonts w:ascii="Times New Roman" w:eastAsia="Times New Roman" w:hAnsi="Times New Roman" w:cs="Times New Roman"/>
                <w:color w:val="000000"/>
                <w:sz w:val="20"/>
                <w:szCs w:val="20"/>
              </w:rPr>
            </w:pPr>
          </w:p>
        </w:tc>
        <w:tc>
          <w:tcPr>
            <w:tcW w:w="281" w:type="pct"/>
            <w:tcBorders>
              <w:left w:val="nil"/>
              <w:bottom w:val="single" w:sz="4" w:space="0" w:color="000000"/>
              <w:right w:val="nil"/>
            </w:tcBorders>
            <w:shd w:val="clear" w:color="auto" w:fill="FFFFFF"/>
          </w:tcPr>
          <w:p w14:paraId="3CB6B79C" w14:textId="66327DE1" w:rsidR="007373F6" w:rsidRDefault="007373F6">
            <w:pPr>
              <w:spacing w:after="0" w:line="240" w:lineRule="auto"/>
              <w:jc w:val="both"/>
              <w:rPr>
                <w:rFonts w:ascii="Times New Roman" w:eastAsia="Times New Roman" w:hAnsi="Times New Roman" w:cs="Times New Roman"/>
                <w:color w:val="000000"/>
                <w:sz w:val="20"/>
                <w:szCs w:val="20"/>
              </w:rPr>
            </w:pPr>
          </w:p>
        </w:tc>
        <w:tc>
          <w:tcPr>
            <w:tcW w:w="128" w:type="pct"/>
            <w:tcBorders>
              <w:left w:val="nil"/>
              <w:bottom w:val="single" w:sz="4" w:space="0" w:color="000000"/>
              <w:right w:val="nil"/>
            </w:tcBorders>
            <w:shd w:val="clear" w:color="auto" w:fill="FFFFFF"/>
          </w:tcPr>
          <w:p w14:paraId="48AEA720" w14:textId="0837F805" w:rsidR="007373F6" w:rsidRDefault="007373F6">
            <w:pPr>
              <w:spacing w:after="0" w:line="240" w:lineRule="auto"/>
              <w:jc w:val="both"/>
              <w:rPr>
                <w:rFonts w:ascii="Times New Roman" w:eastAsia="Times New Roman" w:hAnsi="Times New Roman" w:cs="Times New Roman"/>
                <w:color w:val="000000"/>
                <w:sz w:val="20"/>
                <w:szCs w:val="20"/>
              </w:rPr>
            </w:pPr>
          </w:p>
        </w:tc>
        <w:tc>
          <w:tcPr>
            <w:tcW w:w="458" w:type="pct"/>
            <w:tcBorders>
              <w:left w:val="nil"/>
              <w:bottom w:val="single" w:sz="4" w:space="0" w:color="000000"/>
              <w:right w:val="nil"/>
            </w:tcBorders>
            <w:shd w:val="clear" w:color="auto" w:fill="FFFFFF"/>
          </w:tcPr>
          <w:p w14:paraId="6F4E4D17" w14:textId="3265D8B9" w:rsidR="007373F6" w:rsidRDefault="007373F6">
            <w:pPr>
              <w:spacing w:after="0" w:line="240" w:lineRule="auto"/>
              <w:jc w:val="both"/>
              <w:rPr>
                <w:rFonts w:ascii="Times New Roman" w:eastAsia="Times New Roman" w:hAnsi="Times New Roman" w:cs="Times New Roman"/>
                <w:color w:val="000000"/>
                <w:sz w:val="20"/>
                <w:szCs w:val="20"/>
              </w:rPr>
            </w:pPr>
          </w:p>
        </w:tc>
        <w:tc>
          <w:tcPr>
            <w:tcW w:w="286" w:type="pct"/>
            <w:tcBorders>
              <w:left w:val="nil"/>
              <w:bottom w:val="single" w:sz="4" w:space="0" w:color="000000"/>
              <w:right w:val="nil"/>
            </w:tcBorders>
            <w:shd w:val="clear" w:color="auto" w:fill="FFFFFF"/>
          </w:tcPr>
          <w:p w14:paraId="29F05CB9" w14:textId="0C1590EF" w:rsidR="007373F6" w:rsidRDefault="007373F6">
            <w:pPr>
              <w:spacing w:after="0" w:line="240" w:lineRule="auto"/>
              <w:jc w:val="both"/>
              <w:rPr>
                <w:rFonts w:ascii="Times New Roman" w:eastAsia="Times New Roman" w:hAnsi="Times New Roman" w:cs="Times New Roman"/>
                <w:color w:val="000000"/>
                <w:sz w:val="20"/>
                <w:szCs w:val="20"/>
              </w:rPr>
            </w:pPr>
          </w:p>
        </w:tc>
        <w:tc>
          <w:tcPr>
            <w:tcW w:w="128" w:type="pct"/>
            <w:tcBorders>
              <w:left w:val="nil"/>
              <w:bottom w:val="single" w:sz="4" w:space="0" w:color="000000"/>
              <w:right w:val="nil"/>
            </w:tcBorders>
            <w:shd w:val="clear" w:color="auto" w:fill="FFFFFF"/>
          </w:tcPr>
          <w:p w14:paraId="0521F84E" w14:textId="272330D8" w:rsidR="007373F6" w:rsidRDefault="007373F6">
            <w:pPr>
              <w:spacing w:after="0" w:line="240" w:lineRule="auto"/>
              <w:jc w:val="both"/>
              <w:rPr>
                <w:rFonts w:ascii="Times New Roman" w:eastAsia="Times New Roman" w:hAnsi="Times New Roman" w:cs="Times New Roman"/>
                <w:color w:val="000000"/>
                <w:sz w:val="20"/>
                <w:szCs w:val="20"/>
              </w:rPr>
            </w:pPr>
          </w:p>
        </w:tc>
        <w:tc>
          <w:tcPr>
            <w:tcW w:w="463" w:type="pct"/>
            <w:tcBorders>
              <w:left w:val="nil"/>
              <w:bottom w:val="single" w:sz="4" w:space="0" w:color="000000"/>
              <w:right w:val="nil"/>
            </w:tcBorders>
            <w:shd w:val="clear" w:color="auto" w:fill="FFFFFF"/>
          </w:tcPr>
          <w:p w14:paraId="033F8CAD" w14:textId="77777777" w:rsidR="007373F6" w:rsidRDefault="007373F6">
            <w:pPr>
              <w:spacing w:after="0" w:line="240" w:lineRule="auto"/>
              <w:jc w:val="both"/>
              <w:rPr>
                <w:rFonts w:ascii="Times New Roman" w:eastAsia="Times New Roman" w:hAnsi="Times New Roman" w:cs="Times New Roman"/>
                <w:color w:val="000000"/>
                <w:sz w:val="20"/>
                <w:szCs w:val="20"/>
              </w:rPr>
            </w:pPr>
          </w:p>
        </w:tc>
        <w:tc>
          <w:tcPr>
            <w:tcW w:w="274" w:type="pct"/>
            <w:tcBorders>
              <w:left w:val="nil"/>
              <w:bottom w:val="single" w:sz="4" w:space="0" w:color="000000"/>
              <w:right w:val="nil"/>
            </w:tcBorders>
            <w:shd w:val="clear" w:color="auto" w:fill="FFFFFF"/>
          </w:tcPr>
          <w:p w14:paraId="38046F23" w14:textId="77777777" w:rsidR="007373F6" w:rsidRDefault="007373F6">
            <w:pPr>
              <w:spacing w:after="0" w:line="240" w:lineRule="auto"/>
              <w:jc w:val="both"/>
              <w:rPr>
                <w:rFonts w:ascii="Times New Roman" w:eastAsia="Times New Roman" w:hAnsi="Times New Roman" w:cs="Times New Roman"/>
                <w:color w:val="000000"/>
                <w:sz w:val="20"/>
                <w:szCs w:val="20"/>
              </w:rPr>
            </w:pPr>
          </w:p>
        </w:tc>
        <w:tc>
          <w:tcPr>
            <w:tcW w:w="128" w:type="pct"/>
            <w:tcBorders>
              <w:left w:val="nil"/>
              <w:bottom w:val="single" w:sz="4" w:space="0" w:color="000000"/>
              <w:right w:val="nil"/>
            </w:tcBorders>
            <w:shd w:val="clear" w:color="auto" w:fill="FFFFFF"/>
          </w:tcPr>
          <w:p w14:paraId="1D286497" w14:textId="77777777" w:rsidR="007373F6" w:rsidRDefault="007373F6">
            <w:pPr>
              <w:spacing w:after="0" w:line="240" w:lineRule="auto"/>
              <w:jc w:val="both"/>
              <w:rPr>
                <w:rFonts w:ascii="Times New Roman" w:eastAsia="Times New Roman" w:hAnsi="Times New Roman" w:cs="Times New Roman"/>
                <w:color w:val="000000"/>
                <w:sz w:val="20"/>
                <w:szCs w:val="20"/>
              </w:rPr>
            </w:pPr>
          </w:p>
        </w:tc>
        <w:tc>
          <w:tcPr>
            <w:tcW w:w="475" w:type="pct"/>
            <w:tcBorders>
              <w:left w:val="nil"/>
              <w:bottom w:val="single" w:sz="4" w:space="0" w:color="000000"/>
              <w:right w:val="nil"/>
            </w:tcBorders>
            <w:shd w:val="clear" w:color="auto" w:fill="FFFFFF"/>
          </w:tcPr>
          <w:p w14:paraId="31A7BB4A" w14:textId="431C1374" w:rsidR="007373F6" w:rsidRDefault="007373F6">
            <w:pPr>
              <w:spacing w:after="0" w:line="240" w:lineRule="auto"/>
              <w:jc w:val="both"/>
              <w:rPr>
                <w:rFonts w:ascii="Times New Roman" w:eastAsia="Times New Roman" w:hAnsi="Times New Roman" w:cs="Times New Roman"/>
                <w:color w:val="000000"/>
                <w:sz w:val="20"/>
                <w:szCs w:val="20"/>
              </w:rPr>
            </w:pPr>
          </w:p>
        </w:tc>
        <w:tc>
          <w:tcPr>
            <w:tcW w:w="274" w:type="pct"/>
            <w:tcBorders>
              <w:left w:val="nil"/>
              <w:bottom w:val="single" w:sz="4" w:space="0" w:color="000000"/>
              <w:right w:val="nil"/>
            </w:tcBorders>
            <w:shd w:val="clear" w:color="auto" w:fill="FFFFFF"/>
          </w:tcPr>
          <w:p w14:paraId="0AC8D5D6" w14:textId="67765EB4" w:rsidR="007373F6" w:rsidRDefault="007373F6">
            <w:pPr>
              <w:spacing w:after="0" w:line="240" w:lineRule="auto"/>
              <w:jc w:val="both"/>
              <w:rPr>
                <w:rFonts w:ascii="Times New Roman" w:eastAsia="Times New Roman" w:hAnsi="Times New Roman" w:cs="Times New Roman"/>
                <w:color w:val="000000"/>
                <w:sz w:val="20"/>
                <w:szCs w:val="20"/>
              </w:rPr>
            </w:pPr>
          </w:p>
        </w:tc>
      </w:tr>
      <w:tr w:rsidR="007373F6" w:rsidRPr="007008AE" w14:paraId="5B8FBCB8" w14:textId="77777777" w:rsidTr="007008AE">
        <w:trPr>
          <w:trHeight w:val="280"/>
        </w:trPr>
        <w:tc>
          <w:tcPr>
            <w:tcW w:w="2105" w:type="pct"/>
            <w:gridSpan w:val="5"/>
            <w:tcBorders>
              <w:left w:val="nil"/>
              <w:right w:val="nil"/>
            </w:tcBorders>
            <w:shd w:val="clear" w:color="auto" w:fill="FFFFFF"/>
            <w:vAlign w:val="center"/>
          </w:tcPr>
          <w:p w14:paraId="4670308F" w14:textId="77777777" w:rsidR="007373F6" w:rsidRPr="007008AE" w:rsidRDefault="00000000">
            <w:pPr>
              <w:spacing w:after="0" w:line="240" w:lineRule="auto"/>
              <w:jc w:val="both"/>
              <w:rPr>
                <w:rFonts w:ascii="Times New Roman" w:eastAsia="Times New Roman" w:hAnsi="Times New Roman" w:cs="Times New Roman"/>
                <w:b/>
                <w:bCs/>
                <w:color w:val="000000"/>
                <w:sz w:val="18"/>
                <w:szCs w:val="18"/>
              </w:rPr>
            </w:pPr>
            <w:r w:rsidRPr="007008AE">
              <w:rPr>
                <w:rFonts w:ascii="Times New Roman" w:eastAsia="Times New Roman" w:hAnsi="Times New Roman" w:cs="Times New Roman"/>
                <w:b/>
                <w:bCs/>
                <w:color w:val="000000"/>
                <w:sz w:val="18"/>
                <w:szCs w:val="18"/>
              </w:rPr>
              <w:t>Dependent variable =</w:t>
            </w:r>
            <w:r w:rsidRPr="007008AE">
              <w:rPr>
                <w:rFonts w:ascii="游明朝" w:eastAsia="游明朝" w:hAnsi="游明朝" w:cs="游明朝"/>
                <w:b/>
                <w:bCs/>
                <w:color w:val="000000"/>
                <w:sz w:val="21"/>
                <w:szCs w:val="21"/>
              </w:rPr>
              <w:t xml:space="preserve"> </w:t>
            </w:r>
            <w:r w:rsidRPr="007008AE">
              <w:rPr>
                <w:rFonts w:ascii="Times New Roman" w:eastAsia="Times New Roman" w:hAnsi="Times New Roman" w:cs="Times New Roman"/>
                <w:b/>
                <w:bCs/>
                <w:color w:val="000000"/>
                <w:sz w:val="18"/>
                <w:szCs w:val="18"/>
              </w:rPr>
              <w:t>FOREIGN HELD</w:t>
            </w:r>
          </w:p>
        </w:tc>
        <w:tc>
          <w:tcPr>
            <w:tcW w:w="281" w:type="pct"/>
            <w:tcBorders>
              <w:left w:val="nil"/>
              <w:right w:val="nil"/>
            </w:tcBorders>
            <w:shd w:val="clear" w:color="auto" w:fill="FFFFFF"/>
          </w:tcPr>
          <w:p w14:paraId="5903C772" w14:textId="77777777" w:rsidR="007373F6" w:rsidRPr="007008AE" w:rsidRDefault="00000000">
            <w:pPr>
              <w:spacing w:after="0" w:line="240" w:lineRule="auto"/>
              <w:jc w:val="both"/>
              <w:rPr>
                <w:rFonts w:ascii="Times New Roman" w:eastAsia="Times New Roman" w:hAnsi="Times New Roman" w:cs="Times New Roman"/>
                <w:b/>
                <w:bCs/>
                <w:color w:val="000000"/>
                <w:sz w:val="18"/>
                <w:szCs w:val="18"/>
              </w:rPr>
            </w:pPr>
            <w:sdt>
              <w:sdtPr>
                <w:rPr>
                  <w:b/>
                  <w:bCs/>
                </w:rPr>
                <w:tag w:val="goog_rdk_119"/>
                <w:id w:val="1951210513"/>
              </w:sdtPr>
              <w:sdtContent>
                <w:r w:rsidRPr="007008AE">
                  <w:rPr>
                    <w:rFonts w:ascii="Arial Unicode MS" w:eastAsia="Arial Unicode MS" w:hAnsi="Arial Unicode MS" w:cs="Arial Unicode MS"/>
                    <w:b/>
                    <w:bCs/>
                    <w:color w:val="000000"/>
                    <w:sz w:val="18"/>
                    <w:szCs w:val="18"/>
                  </w:rPr>
                  <w:t xml:space="preserve">　</w:t>
                </w:r>
              </w:sdtContent>
            </w:sdt>
          </w:p>
        </w:tc>
        <w:tc>
          <w:tcPr>
            <w:tcW w:w="128" w:type="pct"/>
            <w:tcBorders>
              <w:left w:val="nil"/>
              <w:right w:val="nil"/>
            </w:tcBorders>
            <w:shd w:val="clear" w:color="auto" w:fill="FFFFFF"/>
          </w:tcPr>
          <w:p w14:paraId="01075708" w14:textId="77777777" w:rsidR="007373F6" w:rsidRPr="007008AE" w:rsidRDefault="00000000">
            <w:pPr>
              <w:spacing w:after="0" w:line="240" w:lineRule="auto"/>
              <w:jc w:val="both"/>
              <w:rPr>
                <w:rFonts w:ascii="Times New Roman" w:eastAsia="Times New Roman" w:hAnsi="Times New Roman" w:cs="Times New Roman"/>
                <w:b/>
                <w:bCs/>
                <w:color w:val="000000"/>
                <w:sz w:val="18"/>
                <w:szCs w:val="18"/>
              </w:rPr>
            </w:pPr>
            <w:sdt>
              <w:sdtPr>
                <w:rPr>
                  <w:b/>
                  <w:bCs/>
                </w:rPr>
                <w:tag w:val="goog_rdk_120"/>
                <w:id w:val="-1461065933"/>
              </w:sdtPr>
              <w:sdtContent>
                <w:r w:rsidRPr="007008AE">
                  <w:rPr>
                    <w:rFonts w:ascii="Arial Unicode MS" w:eastAsia="Arial Unicode MS" w:hAnsi="Arial Unicode MS" w:cs="Arial Unicode MS"/>
                    <w:b/>
                    <w:bCs/>
                    <w:color w:val="000000"/>
                    <w:sz w:val="18"/>
                    <w:szCs w:val="18"/>
                  </w:rPr>
                  <w:t xml:space="preserve">　</w:t>
                </w:r>
              </w:sdtContent>
            </w:sdt>
          </w:p>
        </w:tc>
        <w:tc>
          <w:tcPr>
            <w:tcW w:w="458" w:type="pct"/>
            <w:tcBorders>
              <w:left w:val="nil"/>
              <w:right w:val="nil"/>
            </w:tcBorders>
            <w:shd w:val="clear" w:color="auto" w:fill="FFFFFF"/>
          </w:tcPr>
          <w:p w14:paraId="11A26FA1" w14:textId="77777777" w:rsidR="007373F6" w:rsidRPr="007008AE" w:rsidRDefault="00000000">
            <w:pPr>
              <w:spacing w:after="0" w:line="240" w:lineRule="auto"/>
              <w:jc w:val="both"/>
              <w:rPr>
                <w:rFonts w:ascii="Times New Roman" w:eastAsia="Times New Roman" w:hAnsi="Times New Roman" w:cs="Times New Roman"/>
                <w:b/>
                <w:bCs/>
                <w:color w:val="000000"/>
                <w:sz w:val="18"/>
                <w:szCs w:val="18"/>
              </w:rPr>
            </w:pPr>
            <w:sdt>
              <w:sdtPr>
                <w:rPr>
                  <w:b/>
                  <w:bCs/>
                </w:rPr>
                <w:tag w:val="goog_rdk_121"/>
                <w:id w:val="1241086029"/>
              </w:sdtPr>
              <w:sdtContent>
                <w:r w:rsidRPr="007008AE">
                  <w:rPr>
                    <w:rFonts w:ascii="Arial Unicode MS" w:eastAsia="Arial Unicode MS" w:hAnsi="Arial Unicode MS" w:cs="Arial Unicode MS"/>
                    <w:b/>
                    <w:bCs/>
                    <w:color w:val="000000"/>
                    <w:sz w:val="18"/>
                    <w:szCs w:val="18"/>
                  </w:rPr>
                  <w:t xml:space="preserve">　</w:t>
                </w:r>
              </w:sdtContent>
            </w:sdt>
          </w:p>
        </w:tc>
        <w:tc>
          <w:tcPr>
            <w:tcW w:w="286" w:type="pct"/>
            <w:tcBorders>
              <w:left w:val="nil"/>
              <w:right w:val="nil"/>
            </w:tcBorders>
            <w:shd w:val="clear" w:color="auto" w:fill="FFFFFF"/>
          </w:tcPr>
          <w:p w14:paraId="1FA11CED" w14:textId="77777777" w:rsidR="007373F6" w:rsidRPr="007008AE" w:rsidRDefault="00000000">
            <w:pPr>
              <w:spacing w:after="0" w:line="240" w:lineRule="auto"/>
              <w:jc w:val="both"/>
              <w:rPr>
                <w:rFonts w:ascii="Times New Roman" w:eastAsia="Times New Roman" w:hAnsi="Times New Roman" w:cs="Times New Roman"/>
                <w:b/>
                <w:bCs/>
                <w:color w:val="000000"/>
                <w:sz w:val="18"/>
                <w:szCs w:val="18"/>
              </w:rPr>
            </w:pPr>
            <w:sdt>
              <w:sdtPr>
                <w:rPr>
                  <w:b/>
                  <w:bCs/>
                </w:rPr>
                <w:tag w:val="goog_rdk_122"/>
                <w:id w:val="-1073612636"/>
              </w:sdtPr>
              <w:sdtContent>
                <w:r w:rsidRPr="007008AE">
                  <w:rPr>
                    <w:rFonts w:ascii="Arial Unicode MS" w:eastAsia="Arial Unicode MS" w:hAnsi="Arial Unicode MS" w:cs="Arial Unicode MS"/>
                    <w:b/>
                    <w:bCs/>
                    <w:color w:val="000000"/>
                    <w:sz w:val="18"/>
                    <w:szCs w:val="18"/>
                  </w:rPr>
                  <w:t xml:space="preserve">　</w:t>
                </w:r>
              </w:sdtContent>
            </w:sdt>
          </w:p>
        </w:tc>
        <w:tc>
          <w:tcPr>
            <w:tcW w:w="128" w:type="pct"/>
            <w:tcBorders>
              <w:left w:val="nil"/>
              <w:right w:val="nil"/>
            </w:tcBorders>
            <w:shd w:val="clear" w:color="auto" w:fill="FFFFFF"/>
          </w:tcPr>
          <w:p w14:paraId="02DF803D" w14:textId="77777777" w:rsidR="007373F6" w:rsidRPr="007008AE" w:rsidRDefault="00000000">
            <w:pPr>
              <w:spacing w:after="0" w:line="240" w:lineRule="auto"/>
              <w:jc w:val="both"/>
              <w:rPr>
                <w:rFonts w:ascii="Times New Roman" w:eastAsia="Times New Roman" w:hAnsi="Times New Roman" w:cs="Times New Roman"/>
                <w:b/>
                <w:bCs/>
                <w:color w:val="000000"/>
                <w:sz w:val="18"/>
                <w:szCs w:val="18"/>
              </w:rPr>
            </w:pPr>
            <w:sdt>
              <w:sdtPr>
                <w:rPr>
                  <w:b/>
                  <w:bCs/>
                </w:rPr>
                <w:tag w:val="goog_rdk_123"/>
                <w:id w:val="548663630"/>
              </w:sdtPr>
              <w:sdtContent>
                <w:r w:rsidRPr="007008AE">
                  <w:rPr>
                    <w:rFonts w:ascii="Arial Unicode MS" w:eastAsia="Arial Unicode MS" w:hAnsi="Arial Unicode MS" w:cs="Arial Unicode MS"/>
                    <w:b/>
                    <w:bCs/>
                    <w:color w:val="000000"/>
                    <w:sz w:val="18"/>
                    <w:szCs w:val="18"/>
                  </w:rPr>
                  <w:t xml:space="preserve">　</w:t>
                </w:r>
              </w:sdtContent>
            </w:sdt>
          </w:p>
        </w:tc>
        <w:tc>
          <w:tcPr>
            <w:tcW w:w="463" w:type="pct"/>
            <w:tcBorders>
              <w:left w:val="nil"/>
              <w:right w:val="nil"/>
            </w:tcBorders>
            <w:shd w:val="clear" w:color="auto" w:fill="FFFFFF"/>
          </w:tcPr>
          <w:p w14:paraId="53474E9B" w14:textId="77777777" w:rsidR="007373F6" w:rsidRPr="007008AE" w:rsidRDefault="007373F6">
            <w:pPr>
              <w:spacing w:after="0" w:line="240" w:lineRule="auto"/>
              <w:jc w:val="both"/>
              <w:rPr>
                <w:rFonts w:ascii="Times New Roman" w:eastAsia="Times New Roman" w:hAnsi="Times New Roman" w:cs="Times New Roman"/>
                <w:b/>
                <w:bCs/>
                <w:color w:val="000000"/>
                <w:sz w:val="18"/>
                <w:szCs w:val="18"/>
              </w:rPr>
            </w:pPr>
          </w:p>
        </w:tc>
        <w:tc>
          <w:tcPr>
            <w:tcW w:w="274" w:type="pct"/>
            <w:tcBorders>
              <w:left w:val="nil"/>
              <w:right w:val="nil"/>
            </w:tcBorders>
            <w:shd w:val="clear" w:color="auto" w:fill="FFFFFF"/>
          </w:tcPr>
          <w:p w14:paraId="719F7978" w14:textId="77777777" w:rsidR="007373F6" w:rsidRPr="007008AE" w:rsidRDefault="007373F6">
            <w:pPr>
              <w:spacing w:after="0" w:line="240" w:lineRule="auto"/>
              <w:jc w:val="both"/>
              <w:rPr>
                <w:rFonts w:ascii="Times New Roman" w:eastAsia="Times New Roman" w:hAnsi="Times New Roman" w:cs="Times New Roman"/>
                <w:b/>
                <w:bCs/>
                <w:color w:val="000000"/>
                <w:sz w:val="18"/>
                <w:szCs w:val="18"/>
              </w:rPr>
            </w:pPr>
          </w:p>
        </w:tc>
        <w:tc>
          <w:tcPr>
            <w:tcW w:w="128" w:type="pct"/>
            <w:tcBorders>
              <w:left w:val="nil"/>
              <w:right w:val="nil"/>
            </w:tcBorders>
            <w:shd w:val="clear" w:color="auto" w:fill="FFFFFF"/>
          </w:tcPr>
          <w:p w14:paraId="0E03F200" w14:textId="77777777" w:rsidR="007373F6" w:rsidRPr="007008AE" w:rsidRDefault="007373F6">
            <w:pPr>
              <w:spacing w:after="0" w:line="240" w:lineRule="auto"/>
              <w:jc w:val="both"/>
              <w:rPr>
                <w:rFonts w:ascii="Times New Roman" w:eastAsia="Times New Roman" w:hAnsi="Times New Roman" w:cs="Times New Roman"/>
                <w:b/>
                <w:bCs/>
                <w:color w:val="000000"/>
                <w:sz w:val="18"/>
                <w:szCs w:val="18"/>
              </w:rPr>
            </w:pPr>
          </w:p>
        </w:tc>
        <w:tc>
          <w:tcPr>
            <w:tcW w:w="475" w:type="pct"/>
            <w:tcBorders>
              <w:left w:val="nil"/>
              <w:right w:val="nil"/>
            </w:tcBorders>
            <w:shd w:val="clear" w:color="auto" w:fill="FFFFFF"/>
          </w:tcPr>
          <w:p w14:paraId="486791C9" w14:textId="77777777" w:rsidR="007373F6" w:rsidRPr="007008AE" w:rsidRDefault="00000000">
            <w:pPr>
              <w:spacing w:after="0" w:line="240" w:lineRule="auto"/>
              <w:jc w:val="both"/>
              <w:rPr>
                <w:rFonts w:ascii="Times New Roman" w:eastAsia="Times New Roman" w:hAnsi="Times New Roman" w:cs="Times New Roman"/>
                <w:b/>
                <w:bCs/>
                <w:color w:val="000000"/>
                <w:sz w:val="18"/>
                <w:szCs w:val="18"/>
              </w:rPr>
            </w:pPr>
            <w:sdt>
              <w:sdtPr>
                <w:rPr>
                  <w:b/>
                  <w:bCs/>
                </w:rPr>
                <w:tag w:val="goog_rdk_124"/>
                <w:id w:val="748333187"/>
              </w:sdtPr>
              <w:sdtContent>
                <w:r w:rsidRPr="007008AE">
                  <w:rPr>
                    <w:rFonts w:ascii="Arial Unicode MS" w:eastAsia="Arial Unicode MS" w:hAnsi="Arial Unicode MS" w:cs="Arial Unicode MS"/>
                    <w:b/>
                    <w:bCs/>
                    <w:color w:val="000000"/>
                    <w:sz w:val="18"/>
                    <w:szCs w:val="18"/>
                  </w:rPr>
                  <w:t xml:space="preserve">　</w:t>
                </w:r>
              </w:sdtContent>
            </w:sdt>
          </w:p>
        </w:tc>
        <w:tc>
          <w:tcPr>
            <w:tcW w:w="274" w:type="pct"/>
            <w:tcBorders>
              <w:left w:val="nil"/>
              <w:right w:val="nil"/>
            </w:tcBorders>
            <w:shd w:val="clear" w:color="auto" w:fill="FFFFFF"/>
          </w:tcPr>
          <w:p w14:paraId="4850B72B" w14:textId="77777777" w:rsidR="007373F6" w:rsidRPr="007008AE" w:rsidRDefault="00000000">
            <w:pPr>
              <w:spacing w:after="0" w:line="240" w:lineRule="auto"/>
              <w:jc w:val="both"/>
              <w:rPr>
                <w:rFonts w:ascii="Times New Roman" w:eastAsia="Times New Roman" w:hAnsi="Times New Roman" w:cs="Times New Roman"/>
                <w:b/>
                <w:bCs/>
                <w:color w:val="000000"/>
                <w:sz w:val="18"/>
                <w:szCs w:val="18"/>
              </w:rPr>
            </w:pPr>
            <w:sdt>
              <w:sdtPr>
                <w:rPr>
                  <w:b/>
                  <w:bCs/>
                </w:rPr>
                <w:tag w:val="goog_rdk_125"/>
                <w:id w:val="-1384496867"/>
              </w:sdtPr>
              <w:sdtContent>
                <w:r w:rsidRPr="007008AE">
                  <w:rPr>
                    <w:rFonts w:ascii="Arial Unicode MS" w:eastAsia="Arial Unicode MS" w:hAnsi="Arial Unicode MS" w:cs="Arial Unicode MS"/>
                    <w:b/>
                    <w:bCs/>
                    <w:color w:val="000000"/>
                    <w:sz w:val="18"/>
                    <w:szCs w:val="18"/>
                  </w:rPr>
                  <w:t xml:space="preserve">　</w:t>
                </w:r>
              </w:sdtContent>
            </w:sdt>
          </w:p>
        </w:tc>
      </w:tr>
      <w:tr w:rsidR="007373F6" w:rsidRPr="007008AE" w14:paraId="737064AD" w14:textId="77777777" w:rsidTr="007008AE">
        <w:trPr>
          <w:trHeight w:val="280"/>
        </w:trPr>
        <w:tc>
          <w:tcPr>
            <w:tcW w:w="803" w:type="pct"/>
            <w:tcBorders>
              <w:left w:val="nil"/>
              <w:bottom w:val="single" w:sz="4" w:space="0" w:color="000000"/>
              <w:right w:val="nil"/>
            </w:tcBorders>
            <w:shd w:val="clear" w:color="auto" w:fill="FFFFFF"/>
          </w:tcPr>
          <w:p w14:paraId="3447BF5A" w14:textId="77777777" w:rsidR="007373F6" w:rsidRPr="007008AE" w:rsidRDefault="00000000">
            <w:pPr>
              <w:spacing w:after="0" w:line="240" w:lineRule="auto"/>
              <w:jc w:val="both"/>
              <w:rPr>
                <w:rFonts w:ascii="Times New Roman" w:eastAsia="Times New Roman" w:hAnsi="Times New Roman" w:cs="Times New Roman"/>
                <w:b/>
                <w:bCs/>
                <w:color w:val="000000"/>
                <w:sz w:val="18"/>
                <w:szCs w:val="18"/>
              </w:rPr>
            </w:pPr>
            <w:r w:rsidRPr="007008AE">
              <w:rPr>
                <w:rFonts w:ascii="Times New Roman" w:eastAsia="Times New Roman" w:hAnsi="Times New Roman" w:cs="Times New Roman"/>
                <w:b/>
                <w:bCs/>
                <w:color w:val="000000"/>
                <w:sz w:val="18"/>
                <w:szCs w:val="18"/>
              </w:rPr>
              <w:t>OLS Regression</w:t>
            </w:r>
          </w:p>
        </w:tc>
        <w:tc>
          <w:tcPr>
            <w:tcW w:w="444" w:type="pct"/>
            <w:tcBorders>
              <w:top w:val="single" w:sz="4" w:space="0" w:color="000000"/>
              <w:left w:val="nil"/>
              <w:bottom w:val="single" w:sz="4" w:space="0" w:color="000000"/>
              <w:right w:val="nil"/>
            </w:tcBorders>
            <w:shd w:val="clear" w:color="auto" w:fill="FFFFFF"/>
            <w:vAlign w:val="center"/>
          </w:tcPr>
          <w:p w14:paraId="3F84B7BD" w14:textId="77777777" w:rsidR="007373F6" w:rsidRPr="007008AE" w:rsidRDefault="00000000">
            <w:pPr>
              <w:spacing w:after="0" w:line="240" w:lineRule="auto"/>
              <w:jc w:val="both"/>
              <w:rPr>
                <w:rFonts w:ascii="Times New Roman" w:eastAsia="Times New Roman" w:hAnsi="Times New Roman" w:cs="Times New Roman"/>
                <w:b/>
                <w:bCs/>
                <w:color w:val="000000"/>
                <w:sz w:val="18"/>
                <w:szCs w:val="18"/>
              </w:rPr>
            </w:pPr>
            <w:r w:rsidRPr="007008AE">
              <w:rPr>
                <w:rFonts w:ascii="Times New Roman" w:eastAsia="Times New Roman" w:hAnsi="Times New Roman" w:cs="Times New Roman"/>
                <w:b/>
                <w:bCs/>
                <w:color w:val="000000"/>
                <w:sz w:val="18"/>
                <w:szCs w:val="18"/>
              </w:rPr>
              <w:t>[1]</w:t>
            </w:r>
          </w:p>
        </w:tc>
        <w:tc>
          <w:tcPr>
            <w:tcW w:w="281" w:type="pct"/>
            <w:tcBorders>
              <w:top w:val="single" w:sz="4" w:space="0" w:color="000000"/>
              <w:left w:val="nil"/>
              <w:bottom w:val="single" w:sz="4" w:space="0" w:color="000000"/>
              <w:right w:val="nil"/>
            </w:tcBorders>
            <w:shd w:val="clear" w:color="auto" w:fill="FFFFFF"/>
          </w:tcPr>
          <w:p w14:paraId="6189918B" w14:textId="77777777" w:rsidR="007373F6" w:rsidRPr="007008AE" w:rsidRDefault="00000000">
            <w:pPr>
              <w:spacing w:after="0" w:line="240" w:lineRule="auto"/>
              <w:jc w:val="both"/>
              <w:rPr>
                <w:rFonts w:ascii="Times New Roman" w:eastAsia="Times New Roman" w:hAnsi="Times New Roman" w:cs="Times New Roman"/>
                <w:b/>
                <w:bCs/>
                <w:color w:val="000000"/>
                <w:sz w:val="18"/>
                <w:szCs w:val="18"/>
              </w:rPr>
            </w:pPr>
            <w:sdt>
              <w:sdtPr>
                <w:rPr>
                  <w:b/>
                  <w:bCs/>
                </w:rPr>
                <w:tag w:val="goog_rdk_126"/>
                <w:id w:val="-1743561368"/>
              </w:sdtPr>
              <w:sdtContent>
                <w:r w:rsidRPr="007008AE">
                  <w:rPr>
                    <w:rFonts w:ascii="Arial Unicode MS" w:eastAsia="Arial Unicode MS" w:hAnsi="Arial Unicode MS" w:cs="Arial Unicode MS"/>
                    <w:b/>
                    <w:bCs/>
                    <w:color w:val="000000"/>
                    <w:sz w:val="18"/>
                    <w:szCs w:val="18"/>
                  </w:rPr>
                  <w:t xml:space="preserve">　</w:t>
                </w:r>
              </w:sdtContent>
            </w:sdt>
          </w:p>
        </w:tc>
        <w:tc>
          <w:tcPr>
            <w:tcW w:w="128" w:type="pct"/>
            <w:tcBorders>
              <w:top w:val="single" w:sz="4" w:space="0" w:color="000000"/>
              <w:left w:val="nil"/>
              <w:bottom w:val="single" w:sz="4" w:space="0" w:color="000000"/>
              <w:right w:val="nil"/>
            </w:tcBorders>
            <w:shd w:val="clear" w:color="auto" w:fill="FFFFFF"/>
          </w:tcPr>
          <w:p w14:paraId="75A17110" w14:textId="77777777" w:rsidR="007373F6" w:rsidRPr="007008AE" w:rsidRDefault="00000000">
            <w:pPr>
              <w:spacing w:after="0" w:line="240" w:lineRule="auto"/>
              <w:jc w:val="both"/>
              <w:rPr>
                <w:rFonts w:ascii="Times New Roman" w:eastAsia="Times New Roman" w:hAnsi="Times New Roman" w:cs="Times New Roman"/>
                <w:b/>
                <w:bCs/>
                <w:color w:val="000000"/>
                <w:sz w:val="18"/>
                <w:szCs w:val="18"/>
              </w:rPr>
            </w:pPr>
            <w:sdt>
              <w:sdtPr>
                <w:rPr>
                  <w:b/>
                  <w:bCs/>
                </w:rPr>
                <w:tag w:val="goog_rdk_127"/>
                <w:id w:val="-755696524"/>
              </w:sdtPr>
              <w:sdtContent>
                <w:r w:rsidRPr="007008AE">
                  <w:rPr>
                    <w:rFonts w:ascii="Arial Unicode MS" w:eastAsia="Arial Unicode MS" w:hAnsi="Arial Unicode MS" w:cs="Arial Unicode MS"/>
                    <w:b/>
                    <w:bCs/>
                    <w:color w:val="000000"/>
                    <w:sz w:val="18"/>
                    <w:szCs w:val="18"/>
                  </w:rPr>
                  <w:t xml:space="preserve">　</w:t>
                </w:r>
              </w:sdtContent>
            </w:sdt>
          </w:p>
        </w:tc>
        <w:tc>
          <w:tcPr>
            <w:tcW w:w="449" w:type="pct"/>
            <w:tcBorders>
              <w:top w:val="single" w:sz="4" w:space="0" w:color="000000"/>
              <w:left w:val="nil"/>
              <w:bottom w:val="single" w:sz="4" w:space="0" w:color="000000"/>
              <w:right w:val="nil"/>
            </w:tcBorders>
            <w:shd w:val="clear" w:color="auto" w:fill="FFFFFF"/>
            <w:vAlign w:val="center"/>
          </w:tcPr>
          <w:p w14:paraId="4D7B5E69" w14:textId="77777777" w:rsidR="007373F6" w:rsidRPr="007008AE" w:rsidRDefault="00000000">
            <w:pPr>
              <w:spacing w:after="0" w:line="240" w:lineRule="auto"/>
              <w:jc w:val="both"/>
              <w:rPr>
                <w:rFonts w:ascii="Times New Roman" w:eastAsia="Times New Roman" w:hAnsi="Times New Roman" w:cs="Times New Roman"/>
                <w:b/>
                <w:bCs/>
                <w:color w:val="000000"/>
                <w:sz w:val="18"/>
                <w:szCs w:val="18"/>
              </w:rPr>
            </w:pPr>
            <w:r w:rsidRPr="007008AE">
              <w:rPr>
                <w:rFonts w:ascii="Times New Roman" w:eastAsia="Times New Roman" w:hAnsi="Times New Roman" w:cs="Times New Roman"/>
                <w:b/>
                <w:bCs/>
                <w:color w:val="000000"/>
                <w:sz w:val="18"/>
                <w:szCs w:val="18"/>
              </w:rPr>
              <w:t>[2]</w:t>
            </w:r>
          </w:p>
        </w:tc>
        <w:tc>
          <w:tcPr>
            <w:tcW w:w="281" w:type="pct"/>
            <w:tcBorders>
              <w:top w:val="single" w:sz="4" w:space="0" w:color="000000"/>
              <w:left w:val="nil"/>
              <w:bottom w:val="single" w:sz="4" w:space="0" w:color="000000"/>
              <w:right w:val="nil"/>
            </w:tcBorders>
            <w:shd w:val="clear" w:color="auto" w:fill="FFFFFF"/>
          </w:tcPr>
          <w:p w14:paraId="10E1B5B1" w14:textId="77777777" w:rsidR="007373F6" w:rsidRPr="007008AE" w:rsidRDefault="00000000">
            <w:pPr>
              <w:spacing w:after="0" w:line="240" w:lineRule="auto"/>
              <w:jc w:val="both"/>
              <w:rPr>
                <w:rFonts w:ascii="Times New Roman" w:eastAsia="Times New Roman" w:hAnsi="Times New Roman" w:cs="Times New Roman"/>
                <w:b/>
                <w:bCs/>
                <w:color w:val="000000"/>
                <w:sz w:val="18"/>
                <w:szCs w:val="18"/>
              </w:rPr>
            </w:pPr>
            <w:sdt>
              <w:sdtPr>
                <w:rPr>
                  <w:b/>
                  <w:bCs/>
                </w:rPr>
                <w:tag w:val="goog_rdk_128"/>
                <w:id w:val="1456214716"/>
              </w:sdtPr>
              <w:sdtContent>
                <w:r w:rsidRPr="007008AE">
                  <w:rPr>
                    <w:rFonts w:ascii="Arial Unicode MS" w:eastAsia="Arial Unicode MS" w:hAnsi="Arial Unicode MS" w:cs="Arial Unicode MS"/>
                    <w:b/>
                    <w:bCs/>
                    <w:color w:val="000000"/>
                    <w:sz w:val="18"/>
                    <w:szCs w:val="18"/>
                  </w:rPr>
                  <w:t xml:space="preserve">　</w:t>
                </w:r>
              </w:sdtContent>
            </w:sdt>
          </w:p>
        </w:tc>
        <w:tc>
          <w:tcPr>
            <w:tcW w:w="128" w:type="pct"/>
            <w:tcBorders>
              <w:top w:val="single" w:sz="4" w:space="0" w:color="000000"/>
              <w:left w:val="nil"/>
              <w:bottom w:val="single" w:sz="4" w:space="0" w:color="000000"/>
              <w:right w:val="nil"/>
            </w:tcBorders>
            <w:shd w:val="clear" w:color="auto" w:fill="FFFFFF"/>
          </w:tcPr>
          <w:p w14:paraId="3E040F15" w14:textId="77777777" w:rsidR="007373F6" w:rsidRPr="007008AE" w:rsidRDefault="00000000">
            <w:pPr>
              <w:spacing w:after="0" w:line="240" w:lineRule="auto"/>
              <w:jc w:val="both"/>
              <w:rPr>
                <w:rFonts w:ascii="Times New Roman" w:eastAsia="Times New Roman" w:hAnsi="Times New Roman" w:cs="Times New Roman"/>
                <w:b/>
                <w:bCs/>
                <w:color w:val="000000"/>
                <w:sz w:val="18"/>
                <w:szCs w:val="18"/>
              </w:rPr>
            </w:pPr>
            <w:sdt>
              <w:sdtPr>
                <w:rPr>
                  <w:b/>
                  <w:bCs/>
                </w:rPr>
                <w:tag w:val="goog_rdk_129"/>
                <w:id w:val="-1409613592"/>
              </w:sdtPr>
              <w:sdtContent>
                <w:r w:rsidRPr="007008AE">
                  <w:rPr>
                    <w:rFonts w:ascii="Arial Unicode MS" w:eastAsia="Arial Unicode MS" w:hAnsi="Arial Unicode MS" w:cs="Arial Unicode MS"/>
                    <w:b/>
                    <w:bCs/>
                    <w:color w:val="000000"/>
                    <w:sz w:val="18"/>
                    <w:szCs w:val="18"/>
                  </w:rPr>
                  <w:t xml:space="preserve">　</w:t>
                </w:r>
              </w:sdtContent>
            </w:sdt>
          </w:p>
        </w:tc>
        <w:tc>
          <w:tcPr>
            <w:tcW w:w="458" w:type="pct"/>
            <w:tcBorders>
              <w:top w:val="single" w:sz="4" w:space="0" w:color="000000"/>
              <w:left w:val="nil"/>
              <w:bottom w:val="single" w:sz="4" w:space="0" w:color="000000"/>
              <w:right w:val="nil"/>
            </w:tcBorders>
            <w:shd w:val="clear" w:color="auto" w:fill="FFFFFF"/>
            <w:vAlign w:val="center"/>
          </w:tcPr>
          <w:p w14:paraId="3CC372EB" w14:textId="77777777" w:rsidR="007373F6" w:rsidRPr="007008AE" w:rsidRDefault="00000000">
            <w:pPr>
              <w:spacing w:after="0" w:line="240" w:lineRule="auto"/>
              <w:jc w:val="both"/>
              <w:rPr>
                <w:rFonts w:ascii="Times New Roman" w:eastAsia="Times New Roman" w:hAnsi="Times New Roman" w:cs="Times New Roman"/>
                <w:b/>
                <w:bCs/>
                <w:color w:val="000000"/>
                <w:sz w:val="18"/>
                <w:szCs w:val="18"/>
              </w:rPr>
            </w:pPr>
            <w:r w:rsidRPr="007008AE">
              <w:rPr>
                <w:rFonts w:ascii="Times New Roman" w:eastAsia="Times New Roman" w:hAnsi="Times New Roman" w:cs="Times New Roman"/>
                <w:b/>
                <w:bCs/>
                <w:color w:val="000000"/>
                <w:sz w:val="18"/>
                <w:szCs w:val="18"/>
              </w:rPr>
              <w:t>[3]</w:t>
            </w:r>
          </w:p>
        </w:tc>
        <w:tc>
          <w:tcPr>
            <w:tcW w:w="286" w:type="pct"/>
            <w:tcBorders>
              <w:top w:val="single" w:sz="4" w:space="0" w:color="000000"/>
              <w:left w:val="nil"/>
              <w:bottom w:val="single" w:sz="4" w:space="0" w:color="000000"/>
              <w:right w:val="nil"/>
            </w:tcBorders>
            <w:shd w:val="clear" w:color="auto" w:fill="FFFFFF"/>
          </w:tcPr>
          <w:p w14:paraId="311C767E" w14:textId="77777777" w:rsidR="007373F6" w:rsidRPr="007008AE" w:rsidRDefault="00000000">
            <w:pPr>
              <w:spacing w:after="0" w:line="240" w:lineRule="auto"/>
              <w:jc w:val="both"/>
              <w:rPr>
                <w:rFonts w:ascii="Times New Roman" w:eastAsia="Times New Roman" w:hAnsi="Times New Roman" w:cs="Times New Roman"/>
                <w:b/>
                <w:bCs/>
                <w:color w:val="000000"/>
                <w:sz w:val="18"/>
                <w:szCs w:val="18"/>
              </w:rPr>
            </w:pPr>
            <w:sdt>
              <w:sdtPr>
                <w:rPr>
                  <w:b/>
                  <w:bCs/>
                </w:rPr>
                <w:tag w:val="goog_rdk_130"/>
                <w:id w:val="-1211753274"/>
              </w:sdtPr>
              <w:sdtContent>
                <w:r w:rsidRPr="007008AE">
                  <w:rPr>
                    <w:rFonts w:ascii="Arial Unicode MS" w:eastAsia="Arial Unicode MS" w:hAnsi="Arial Unicode MS" w:cs="Arial Unicode MS"/>
                    <w:b/>
                    <w:bCs/>
                    <w:color w:val="000000"/>
                    <w:sz w:val="18"/>
                    <w:szCs w:val="18"/>
                  </w:rPr>
                  <w:t xml:space="preserve">　</w:t>
                </w:r>
              </w:sdtContent>
            </w:sdt>
          </w:p>
        </w:tc>
        <w:tc>
          <w:tcPr>
            <w:tcW w:w="128" w:type="pct"/>
            <w:tcBorders>
              <w:top w:val="single" w:sz="4" w:space="0" w:color="000000"/>
              <w:left w:val="nil"/>
              <w:bottom w:val="single" w:sz="4" w:space="0" w:color="000000"/>
              <w:right w:val="nil"/>
            </w:tcBorders>
            <w:shd w:val="clear" w:color="auto" w:fill="FFFFFF"/>
          </w:tcPr>
          <w:p w14:paraId="2BFA8070" w14:textId="77777777" w:rsidR="007373F6" w:rsidRPr="007008AE" w:rsidRDefault="00000000">
            <w:pPr>
              <w:spacing w:after="0" w:line="240" w:lineRule="auto"/>
              <w:jc w:val="both"/>
              <w:rPr>
                <w:rFonts w:ascii="Times New Roman" w:eastAsia="Times New Roman" w:hAnsi="Times New Roman" w:cs="Times New Roman"/>
                <w:b/>
                <w:bCs/>
                <w:color w:val="000000"/>
                <w:sz w:val="18"/>
                <w:szCs w:val="18"/>
              </w:rPr>
            </w:pPr>
            <w:sdt>
              <w:sdtPr>
                <w:rPr>
                  <w:b/>
                  <w:bCs/>
                </w:rPr>
                <w:tag w:val="goog_rdk_131"/>
                <w:id w:val="1436351817"/>
              </w:sdtPr>
              <w:sdtContent>
                <w:r w:rsidRPr="007008AE">
                  <w:rPr>
                    <w:rFonts w:ascii="Arial Unicode MS" w:eastAsia="Arial Unicode MS" w:hAnsi="Arial Unicode MS" w:cs="Arial Unicode MS"/>
                    <w:b/>
                    <w:bCs/>
                    <w:color w:val="000000"/>
                    <w:sz w:val="18"/>
                    <w:szCs w:val="18"/>
                  </w:rPr>
                  <w:t xml:space="preserve">　</w:t>
                </w:r>
              </w:sdtContent>
            </w:sdt>
          </w:p>
        </w:tc>
        <w:tc>
          <w:tcPr>
            <w:tcW w:w="463" w:type="pct"/>
            <w:tcBorders>
              <w:top w:val="single" w:sz="4" w:space="0" w:color="000000"/>
              <w:left w:val="nil"/>
              <w:bottom w:val="single" w:sz="4" w:space="0" w:color="000000"/>
              <w:right w:val="nil"/>
            </w:tcBorders>
            <w:shd w:val="clear" w:color="auto" w:fill="FFFFFF"/>
          </w:tcPr>
          <w:p w14:paraId="441E1929" w14:textId="77777777" w:rsidR="007373F6" w:rsidRPr="007008AE" w:rsidRDefault="00000000">
            <w:pPr>
              <w:spacing w:after="0" w:line="240" w:lineRule="auto"/>
              <w:jc w:val="both"/>
              <w:rPr>
                <w:rFonts w:ascii="Times New Roman" w:eastAsia="Times New Roman" w:hAnsi="Times New Roman" w:cs="Times New Roman"/>
                <w:b/>
                <w:bCs/>
                <w:color w:val="000000"/>
                <w:sz w:val="18"/>
                <w:szCs w:val="18"/>
              </w:rPr>
            </w:pPr>
            <w:r w:rsidRPr="007008AE">
              <w:rPr>
                <w:rFonts w:ascii="Times New Roman" w:eastAsia="Times New Roman" w:hAnsi="Times New Roman" w:cs="Times New Roman"/>
                <w:b/>
                <w:bCs/>
                <w:color w:val="000000"/>
                <w:sz w:val="18"/>
                <w:szCs w:val="18"/>
              </w:rPr>
              <w:t>[4]</w:t>
            </w:r>
          </w:p>
        </w:tc>
        <w:tc>
          <w:tcPr>
            <w:tcW w:w="274" w:type="pct"/>
            <w:tcBorders>
              <w:top w:val="single" w:sz="4" w:space="0" w:color="000000"/>
              <w:left w:val="nil"/>
              <w:bottom w:val="single" w:sz="4" w:space="0" w:color="000000"/>
              <w:right w:val="nil"/>
            </w:tcBorders>
            <w:shd w:val="clear" w:color="auto" w:fill="FFFFFF"/>
          </w:tcPr>
          <w:p w14:paraId="51B816E1" w14:textId="77777777" w:rsidR="007373F6" w:rsidRPr="007008AE" w:rsidRDefault="007373F6">
            <w:pPr>
              <w:spacing w:after="0" w:line="240" w:lineRule="auto"/>
              <w:jc w:val="both"/>
              <w:rPr>
                <w:rFonts w:ascii="Times New Roman" w:eastAsia="Times New Roman" w:hAnsi="Times New Roman" w:cs="Times New Roman"/>
                <w:b/>
                <w:bCs/>
                <w:color w:val="000000"/>
                <w:sz w:val="18"/>
                <w:szCs w:val="18"/>
              </w:rPr>
            </w:pPr>
          </w:p>
        </w:tc>
        <w:tc>
          <w:tcPr>
            <w:tcW w:w="128" w:type="pct"/>
            <w:tcBorders>
              <w:top w:val="single" w:sz="4" w:space="0" w:color="000000"/>
              <w:left w:val="nil"/>
              <w:bottom w:val="single" w:sz="4" w:space="0" w:color="000000"/>
              <w:right w:val="nil"/>
            </w:tcBorders>
            <w:shd w:val="clear" w:color="auto" w:fill="FFFFFF"/>
          </w:tcPr>
          <w:p w14:paraId="1E529F8A" w14:textId="77777777" w:rsidR="007373F6" w:rsidRPr="007008AE" w:rsidRDefault="007373F6">
            <w:pPr>
              <w:spacing w:after="0" w:line="240" w:lineRule="auto"/>
              <w:jc w:val="both"/>
              <w:rPr>
                <w:rFonts w:ascii="Times New Roman" w:eastAsia="Times New Roman" w:hAnsi="Times New Roman" w:cs="Times New Roman"/>
                <w:b/>
                <w:bCs/>
                <w:color w:val="000000"/>
                <w:sz w:val="18"/>
                <w:szCs w:val="18"/>
              </w:rPr>
            </w:pPr>
          </w:p>
        </w:tc>
        <w:tc>
          <w:tcPr>
            <w:tcW w:w="475" w:type="pct"/>
            <w:tcBorders>
              <w:top w:val="single" w:sz="4" w:space="0" w:color="000000"/>
              <w:left w:val="nil"/>
              <w:bottom w:val="single" w:sz="4" w:space="0" w:color="000000"/>
              <w:right w:val="nil"/>
            </w:tcBorders>
            <w:shd w:val="clear" w:color="auto" w:fill="FFFFFF"/>
            <w:vAlign w:val="center"/>
          </w:tcPr>
          <w:p w14:paraId="62BF36E4" w14:textId="77777777" w:rsidR="007373F6" w:rsidRPr="007008AE" w:rsidRDefault="00000000">
            <w:pPr>
              <w:spacing w:after="0" w:line="240" w:lineRule="auto"/>
              <w:jc w:val="both"/>
              <w:rPr>
                <w:rFonts w:ascii="Times New Roman" w:eastAsia="Times New Roman" w:hAnsi="Times New Roman" w:cs="Times New Roman"/>
                <w:b/>
                <w:bCs/>
                <w:color w:val="000000"/>
                <w:sz w:val="18"/>
                <w:szCs w:val="18"/>
              </w:rPr>
            </w:pPr>
            <w:r w:rsidRPr="007008AE">
              <w:rPr>
                <w:rFonts w:ascii="Times New Roman" w:eastAsia="Times New Roman" w:hAnsi="Times New Roman" w:cs="Times New Roman"/>
                <w:b/>
                <w:bCs/>
                <w:color w:val="000000"/>
                <w:sz w:val="18"/>
                <w:szCs w:val="18"/>
              </w:rPr>
              <w:t>[5]</w:t>
            </w:r>
          </w:p>
        </w:tc>
        <w:tc>
          <w:tcPr>
            <w:tcW w:w="274" w:type="pct"/>
            <w:tcBorders>
              <w:top w:val="single" w:sz="4" w:space="0" w:color="000000"/>
              <w:left w:val="nil"/>
              <w:bottom w:val="single" w:sz="4" w:space="0" w:color="000000"/>
              <w:right w:val="nil"/>
            </w:tcBorders>
            <w:shd w:val="clear" w:color="auto" w:fill="FFFFFF"/>
          </w:tcPr>
          <w:p w14:paraId="5CA9A6C9" w14:textId="77777777" w:rsidR="007373F6" w:rsidRPr="007008AE" w:rsidRDefault="00000000">
            <w:pPr>
              <w:spacing w:after="0" w:line="240" w:lineRule="auto"/>
              <w:jc w:val="both"/>
              <w:rPr>
                <w:rFonts w:ascii="Times New Roman" w:eastAsia="Times New Roman" w:hAnsi="Times New Roman" w:cs="Times New Roman"/>
                <w:b/>
                <w:bCs/>
                <w:color w:val="000000"/>
                <w:sz w:val="18"/>
                <w:szCs w:val="18"/>
              </w:rPr>
            </w:pPr>
            <w:sdt>
              <w:sdtPr>
                <w:rPr>
                  <w:b/>
                  <w:bCs/>
                </w:rPr>
                <w:tag w:val="goog_rdk_132"/>
                <w:id w:val="-1941449778"/>
              </w:sdtPr>
              <w:sdtContent>
                <w:r w:rsidRPr="007008AE">
                  <w:rPr>
                    <w:rFonts w:ascii="Arial Unicode MS" w:eastAsia="Arial Unicode MS" w:hAnsi="Arial Unicode MS" w:cs="Arial Unicode MS"/>
                    <w:b/>
                    <w:bCs/>
                    <w:color w:val="000000"/>
                    <w:sz w:val="18"/>
                    <w:szCs w:val="18"/>
                  </w:rPr>
                  <w:t xml:space="preserve">　</w:t>
                </w:r>
              </w:sdtContent>
            </w:sdt>
          </w:p>
        </w:tc>
      </w:tr>
      <w:tr w:rsidR="007373F6" w14:paraId="1BB0D77C" w14:textId="77777777" w:rsidTr="007008AE">
        <w:trPr>
          <w:trHeight w:val="280"/>
        </w:trPr>
        <w:tc>
          <w:tcPr>
            <w:tcW w:w="803" w:type="pct"/>
            <w:tcBorders>
              <w:left w:val="nil"/>
              <w:right w:val="nil"/>
            </w:tcBorders>
            <w:shd w:val="clear" w:color="auto" w:fill="FFFFFF"/>
            <w:vAlign w:val="center"/>
          </w:tcPr>
          <w:p w14:paraId="39D3441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IFRS </w:t>
            </w:r>
          </w:p>
        </w:tc>
        <w:tc>
          <w:tcPr>
            <w:tcW w:w="444" w:type="pct"/>
            <w:tcBorders>
              <w:left w:val="nil"/>
              <w:right w:val="nil"/>
            </w:tcBorders>
            <w:shd w:val="clear" w:color="auto" w:fill="FFFFFF"/>
          </w:tcPr>
          <w:p w14:paraId="78E93C1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-0.0103</w:t>
            </w:r>
          </w:p>
        </w:tc>
        <w:tc>
          <w:tcPr>
            <w:tcW w:w="281" w:type="pct"/>
            <w:tcBorders>
              <w:left w:val="nil"/>
              <w:right w:val="nil"/>
            </w:tcBorders>
            <w:shd w:val="clear" w:color="auto" w:fill="FFFFFF"/>
          </w:tcPr>
          <w:p w14:paraId="26B32E9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430F815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tcPr>
          <w:p w14:paraId="44E0E32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-0.0104</w:t>
            </w:r>
          </w:p>
        </w:tc>
        <w:tc>
          <w:tcPr>
            <w:tcW w:w="281" w:type="pct"/>
            <w:tcBorders>
              <w:left w:val="nil"/>
              <w:right w:val="nil"/>
            </w:tcBorders>
            <w:shd w:val="clear" w:color="auto" w:fill="FFFFFF"/>
          </w:tcPr>
          <w:p w14:paraId="027844F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5AFB594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vAlign w:val="center"/>
          </w:tcPr>
          <w:p w14:paraId="779BE70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-0.0104</w:t>
            </w:r>
          </w:p>
        </w:tc>
        <w:tc>
          <w:tcPr>
            <w:tcW w:w="286" w:type="pct"/>
            <w:tcBorders>
              <w:left w:val="nil"/>
              <w:right w:val="nil"/>
            </w:tcBorders>
            <w:shd w:val="clear" w:color="auto" w:fill="FFFFFF"/>
            <w:vAlign w:val="center"/>
          </w:tcPr>
          <w:p w14:paraId="32FC102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0B03883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218CC79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-0.0104</w:t>
            </w:r>
          </w:p>
        </w:tc>
        <w:tc>
          <w:tcPr>
            <w:tcW w:w="274" w:type="pct"/>
            <w:tcBorders>
              <w:left w:val="nil"/>
              <w:right w:val="nil"/>
            </w:tcBorders>
            <w:shd w:val="clear" w:color="auto" w:fill="FFFFFF"/>
          </w:tcPr>
          <w:p w14:paraId="30D10AF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5E9ED19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0DDC681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-0.0100</w:t>
            </w:r>
          </w:p>
        </w:tc>
        <w:tc>
          <w:tcPr>
            <w:tcW w:w="274" w:type="pct"/>
            <w:tcBorders>
              <w:left w:val="nil"/>
              <w:right w:val="nil"/>
            </w:tcBorders>
            <w:shd w:val="clear" w:color="auto" w:fill="FFFFFF"/>
            <w:vAlign w:val="center"/>
          </w:tcPr>
          <w:p w14:paraId="5B926EC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5D586A5F" w14:textId="77777777" w:rsidTr="007008AE">
        <w:trPr>
          <w:trHeight w:val="280"/>
        </w:trPr>
        <w:tc>
          <w:tcPr>
            <w:tcW w:w="803" w:type="pct"/>
            <w:tcBorders>
              <w:left w:val="nil"/>
              <w:right w:val="nil"/>
            </w:tcBorders>
            <w:shd w:val="clear" w:color="auto" w:fill="FFFFFF"/>
          </w:tcPr>
          <w:p w14:paraId="6A4767F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4" w:type="pct"/>
            <w:tcBorders>
              <w:left w:val="nil"/>
              <w:right w:val="nil"/>
            </w:tcBorders>
            <w:shd w:val="clear" w:color="auto" w:fill="FFFFFF"/>
          </w:tcPr>
          <w:p w14:paraId="506B75B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(0.074)</w:t>
            </w:r>
          </w:p>
        </w:tc>
        <w:tc>
          <w:tcPr>
            <w:tcW w:w="281" w:type="pct"/>
            <w:tcBorders>
              <w:left w:val="nil"/>
              <w:right w:val="nil"/>
            </w:tcBorders>
            <w:shd w:val="clear" w:color="auto" w:fill="FFFFFF"/>
          </w:tcPr>
          <w:p w14:paraId="459006A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415B592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tcPr>
          <w:p w14:paraId="68791BD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(0.072)</w:t>
            </w:r>
          </w:p>
        </w:tc>
        <w:tc>
          <w:tcPr>
            <w:tcW w:w="281" w:type="pct"/>
            <w:tcBorders>
              <w:left w:val="nil"/>
              <w:right w:val="nil"/>
            </w:tcBorders>
            <w:shd w:val="clear" w:color="auto" w:fill="FFFFFF"/>
          </w:tcPr>
          <w:p w14:paraId="092EEB8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80EE97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vAlign w:val="center"/>
          </w:tcPr>
          <w:p w14:paraId="1F1E8BD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(0.070)</w:t>
            </w:r>
          </w:p>
        </w:tc>
        <w:tc>
          <w:tcPr>
            <w:tcW w:w="286" w:type="pct"/>
            <w:tcBorders>
              <w:left w:val="nil"/>
              <w:right w:val="nil"/>
            </w:tcBorders>
            <w:shd w:val="clear" w:color="auto" w:fill="FFFFFF"/>
          </w:tcPr>
          <w:p w14:paraId="71E861C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7AFB9D2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21C8D23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(0.070)</w:t>
            </w:r>
          </w:p>
        </w:tc>
        <w:tc>
          <w:tcPr>
            <w:tcW w:w="274" w:type="pct"/>
            <w:tcBorders>
              <w:left w:val="nil"/>
              <w:right w:val="nil"/>
            </w:tcBorders>
            <w:shd w:val="clear" w:color="auto" w:fill="FFFFFF"/>
          </w:tcPr>
          <w:p w14:paraId="3036256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2844F56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7887FB6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(0.081)</w:t>
            </w:r>
          </w:p>
        </w:tc>
        <w:tc>
          <w:tcPr>
            <w:tcW w:w="274" w:type="pct"/>
            <w:tcBorders>
              <w:left w:val="nil"/>
              <w:right w:val="nil"/>
            </w:tcBorders>
            <w:shd w:val="clear" w:color="auto" w:fill="FFFFFF"/>
          </w:tcPr>
          <w:p w14:paraId="13C3E5ED"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665C6080" w14:textId="77777777" w:rsidTr="007008AE">
        <w:trPr>
          <w:trHeight w:val="280"/>
        </w:trPr>
        <w:tc>
          <w:tcPr>
            <w:tcW w:w="803" w:type="pct"/>
            <w:tcBorders>
              <w:left w:val="nil"/>
              <w:right w:val="nil"/>
            </w:tcBorders>
            <w:shd w:val="clear" w:color="auto" w:fill="FFFFFF"/>
            <w:vAlign w:val="center"/>
          </w:tcPr>
          <w:p w14:paraId="23F59DF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POST</w:t>
            </w:r>
          </w:p>
        </w:tc>
        <w:tc>
          <w:tcPr>
            <w:tcW w:w="444" w:type="pct"/>
            <w:tcBorders>
              <w:left w:val="nil"/>
              <w:right w:val="nil"/>
            </w:tcBorders>
            <w:shd w:val="clear" w:color="auto" w:fill="FFFFFF"/>
            <w:vAlign w:val="center"/>
          </w:tcPr>
          <w:p w14:paraId="20BA1CA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0.0135</w:t>
            </w:r>
          </w:p>
        </w:tc>
        <w:tc>
          <w:tcPr>
            <w:tcW w:w="281" w:type="pct"/>
            <w:tcBorders>
              <w:left w:val="nil"/>
              <w:right w:val="nil"/>
            </w:tcBorders>
            <w:shd w:val="clear" w:color="auto" w:fill="FFFFFF"/>
            <w:vAlign w:val="center"/>
          </w:tcPr>
          <w:p w14:paraId="1EEAA35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2A89049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vAlign w:val="center"/>
          </w:tcPr>
          <w:p w14:paraId="6580FED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0.0132</w:t>
            </w:r>
          </w:p>
        </w:tc>
        <w:tc>
          <w:tcPr>
            <w:tcW w:w="281" w:type="pct"/>
            <w:tcBorders>
              <w:left w:val="nil"/>
              <w:right w:val="nil"/>
            </w:tcBorders>
            <w:shd w:val="clear" w:color="auto" w:fill="FFFFFF"/>
            <w:vAlign w:val="center"/>
          </w:tcPr>
          <w:p w14:paraId="20BDB24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286E549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vAlign w:val="center"/>
          </w:tcPr>
          <w:p w14:paraId="2BB11C0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0.0125</w:t>
            </w:r>
          </w:p>
        </w:tc>
        <w:tc>
          <w:tcPr>
            <w:tcW w:w="286" w:type="pct"/>
            <w:tcBorders>
              <w:left w:val="nil"/>
              <w:right w:val="nil"/>
            </w:tcBorders>
            <w:shd w:val="clear" w:color="auto" w:fill="FFFFFF"/>
            <w:vAlign w:val="center"/>
          </w:tcPr>
          <w:p w14:paraId="448CD7D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6A42104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0377493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0.0126</w:t>
            </w:r>
          </w:p>
        </w:tc>
        <w:tc>
          <w:tcPr>
            <w:tcW w:w="274" w:type="pct"/>
            <w:tcBorders>
              <w:left w:val="nil"/>
              <w:right w:val="nil"/>
            </w:tcBorders>
            <w:shd w:val="clear" w:color="auto" w:fill="FFFFFF"/>
          </w:tcPr>
          <w:p w14:paraId="1240792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4E74B38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6E17D3C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0.0061</w:t>
            </w:r>
          </w:p>
        </w:tc>
        <w:tc>
          <w:tcPr>
            <w:tcW w:w="274" w:type="pct"/>
            <w:tcBorders>
              <w:left w:val="nil"/>
              <w:right w:val="nil"/>
            </w:tcBorders>
            <w:shd w:val="clear" w:color="auto" w:fill="FFFFFF"/>
            <w:vAlign w:val="center"/>
          </w:tcPr>
          <w:p w14:paraId="23253B30"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2AE51A61" w14:textId="77777777" w:rsidTr="007008AE">
        <w:trPr>
          <w:trHeight w:val="280"/>
        </w:trPr>
        <w:tc>
          <w:tcPr>
            <w:tcW w:w="803" w:type="pct"/>
            <w:tcBorders>
              <w:left w:val="nil"/>
              <w:right w:val="nil"/>
            </w:tcBorders>
            <w:shd w:val="clear" w:color="auto" w:fill="FFFFFF"/>
          </w:tcPr>
          <w:p w14:paraId="00EEF3F5"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133"/>
                <w:id w:val="-411778970"/>
              </w:sdtPr>
              <w:sdtContent>
                <w:r>
                  <w:rPr>
                    <w:rFonts w:ascii="Arial Unicode MS" w:eastAsia="Arial Unicode MS" w:hAnsi="Arial Unicode MS" w:cs="Arial Unicode MS"/>
                    <w:color w:val="000000"/>
                    <w:sz w:val="18"/>
                    <w:szCs w:val="18"/>
                  </w:rPr>
                  <w:t xml:space="preserve">　</w:t>
                </w:r>
              </w:sdtContent>
            </w:sdt>
          </w:p>
        </w:tc>
        <w:tc>
          <w:tcPr>
            <w:tcW w:w="444" w:type="pct"/>
            <w:tcBorders>
              <w:left w:val="nil"/>
              <w:right w:val="nil"/>
            </w:tcBorders>
            <w:shd w:val="clear" w:color="auto" w:fill="FFFFFF"/>
            <w:vAlign w:val="center"/>
          </w:tcPr>
          <w:p w14:paraId="6A11AF3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(0.029)</w:t>
            </w:r>
          </w:p>
        </w:tc>
        <w:tc>
          <w:tcPr>
            <w:tcW w:w="281" w:type="pct"/>
            <w:tcBorders>
              <w:left w:val="nil"/>
              <w:right w:val="nil"/>
            </w:tcBorders>
            <w:shd w:val="clear" w:color="auto" w:fill="FFFFFF"/>
          </w:tcPr>
          <w:p w14:paraId="437C513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1345583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vAlign w:val="center"/>
          </w:tcPr>
          <w:p w14:paraId="6655312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(0.034)</w:t>
            </w:r>
          </w:p>
        </w:tc>
        <w:tc>
          <w:tcPr>
            <w:tcW w:w="281" w:type="pct"/>
            <w:tcBorders>
              <w:left w:val="nil"/>
              <w:right w:val="nil"/>
            </w:tcBorders>
            <w:shd w:val="clear" w:color="auto" w:fill="FFFFFF"/>
          </w:tcPr>
          <w:p w14:paraId="6D4ABD5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74DAFB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vAlign w:val="center"/>
          </w:tcPr>
          <w:p w14:paraId="2A5A802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(0.038)</w:t>
            </w:r>
          </w:p>
        </w:tc>
        <w:tc>
          <w:tcPr>
            <w:tcW w:w="286" w:type="pct"/>
            <w:tcBorders>
              <w:left w:val="nil"/>
              <w:right w:val="nil"/>
            </w:tcBorders>
            <w:shd w:val="clear" w:color="auto" w:fill="FFFFFF"/>
          </w:tcPr>
          <w:p w14:paraId="6CF34A5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4C787E5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4594B8F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(0.037)</w:t>
            </w:r>
          </w:p>
        </w:tc>
        <w:tc>
          <w:tcPr>
            <w:tcW w:w="274" w:type="pct"/>
            <w:tcBorders>
              <w:left w:val="nil"/>
              <w:right w:val="nil"/>
            </w:tcBorders>
            <w:shd w:val="clear" w:color="auto" w:fill="FFFFFF"/>
          </w:tcPr>
          <w:p w14:paraId="7589776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35B6C52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3FB5F9B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(0.428)</w:t>
            </w:r>
          </w:p>
        </w:tc>
        <w:tc>
          <w:tcPr>
            <w:tcW w:w="274" w:type="pct"/>
            <w:tcBorders>
              <w:left w:val="nil"/>
              <w:right w:val="nil"/>
            </w:tcBorders>
            <w:shd w:val="clear" w:color="auto" w:fill="FFFFFF"/>
          </w:tcPr>
          <w:p w14:paraId="433A33E1"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1BFAA036" w14:textId="77777777" w:rsidTr="007008AE">
        <w:trPr>
          <w:trHeight w:val="280"/>
        </w:trPr>
        <w:tc>
          <w:tcPr>
            <w:tcW w:w="803" w:type="pct"/>
            <w:tcBorders>
              <w:left w:val="nil"/>
              <w:right w:val="nil"/>
            </w:tcBorders>
            <w:shd w:val="clear" w:color="auto" w:fill="FFFFFF"/>
          </w:tcPr>
          <w:p w14:paraId="3231B45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IFRS × POST</w:t>
            </w:r>
          </w:p>
        </w:tc>
        <w:tc>
          <w:tcPr>
            <w:tcW w:w="444" w:type="pct"/>
            <w:tcBorders>
              <w:left w:val="nil"/>
              <w:right w:val="nil"/>
            </w:tcBorders>
            <w:shd w:val="clear" w:color="auto" w:fill="FFFFFF"/>
            <w:vAlign w:val="center"/>
          </w:tcPr>
          <w:p w14:paraId="37E00A7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0.0259</w:t>
            </w:r>
          </w:p>
        </w:tc>
        <w:tc>
          <w:tcPr>
            <w:tcW w:w="281" w:type="pct"/>
            <w:tcBorders>
              <w:left w:val="nil"/>
              <w:right w:val="nil"/>
            </w:tcBorders>
            <w:shd w:val="clear" w:color="auto" w:fill="FFFFFF"/>
          </w:tcPr>
          <w:p w14:paraId="28FDDB5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2DD51C6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vAlign w:val="center"/>
          </w:tcPr>
          <w:p w14:paraId="63AEABC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0.0260</w:t>
            </w:r>
          </w:p>
        </w:tc>
        <w:tc>
          <w:tcPr>
            <w:tcW w:w="281" w:type="pct"/>
            <w:tcBorders>
              <w:left w:val="nil"/>
              <w:right w:val="nil"/>
            </w:tcBorders>
            <w:shd w:val="clear" w:color="auto" w:fill="FFFFFF"/>
          </w:tcPr>
          <w:p w14:paraId="3F00B26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18C913B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vAlign w:val="center"/>
          </w:tcPr>
          <w:p w14:paraId="7505A4A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0.0261</w:t>
            </w:r>
          </w:p>
        </w:tc>
        <w:tc>
          <w:tcPr>
            <w:tcW w:w="286" w:type="pct"/>
            <w:tcBorders>
              <w:left w:val="nil"/>
              <w:right w:val="nil"/>
            </w:tcBorders>
            <w:shd w:val="clear" w:color="auto" w:fill="FFFFFF"/>
          </w:tcPr>
          <w:p w14:paraId="748A605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7B9F33D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25947C2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0.0260</w:t>
            </w:r>
          </w:p>
        </w:tc>
        <w:tc>
          <w:tcPr>
            <w:tcW w:w="274" w:type="pct"/>
            <w:tcBorders>
              <w:left w:val="nil"/>
              <w:right w:val="nil"/>
            </w:tcBorders>
            <w:shd w:val="clear" w:color="auto" w:fill="FFFFFF"/>
          </w:tcPr>
          <w:p w14:paraId="4C6C7F5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795D56B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0CD5645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0.0256</w:t>
            </w:r>
          </w:p>
        </w:tc>
        <w:tc>
          <w:tcPr>
            <w:tcW w:w="274" w:type="pct"/>
            <w:tcBorders>
              <w:left w:val="nil"/>
              <w:right w:val="nil"/>
            </w:tcBorders>
            <w:shd w:val="clear" w:color="auto" w:fill="FFFFFF"/>
          </w:tcPr>
          <w:p w14:paraId="7177CCD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4362D75B" w14:textId="77777777" w:rsidTr="007008AE">
        <w:trPr>
          <w:trHeight w:val="280"/>
        </w:trPr>
        <w:tc>
          <w:tcPr>
            <w:tcW w:w="803" w:type="pct"/>
            <w:tcBorders>
              <w:left w:val="nil"/>
              <w:right w:val="nil"/>
            </w:tcBorders>
            <w:shd w:val="clear" w:color="auto" w:fill="FFFFFF"/>
          </w:tcPr>
          <w:p w14:paraId="78E1095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4" w:type="pct"/>
            <w:tcBorders>
              <w:left w:val="nil"/>
              <w:right w:val="nil"/>
            </w:tcBorders>
            <w:shd w:val="clear" w:color="auto" w:fill="FFFFFF"/>
            <w:vAlign w:val="center"/>
          </w:tcPr>
          <w:p w14:paraId="6C31152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(0.002)</w:t>
            </w:r>
          </w:p>
        </w:tc>
        <w:tc>
          <w:tcPr>
            <w:tcW w:w="281" w:type="pct"/>
            <w:tcBorders>
              <w:left w:val="nil"/>
              <w:right w:val="nil"/>
            </w:tcBorders>
            <w:shd w:val="clear" w:color="auto" w:fill="FFFFFF"/>
          </w:tcPr>
          <w:p w14:paraId="3204F6B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0378E4C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vAlign w:val="center"/>
          </w:tcPr>
          <w:p w14:paraId="4FEE7A0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(0.002)</w:t>
            </w:r>
          </w:p>
        </w:tc>
        <w:tc>
          <w:tcPr>
            <w:tcW w:w="281" w:type="pct"/>
            <w:tcBorders>
              <w:left w:val="nil"/>
              <w:right w:val="nil"/>
            </w:tcBorders>
            <w:shd w:val="clear" w:color="auto" w:fill="FFFFFF"/>
          </w:tcPr>
          <w:p w14:paraId="0ACBDAB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4992BAE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vAlign w:val="center"/>
          </w:tcPr>
          <w:p w14:paraId="1D1A207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(0.002)</w:t>
            </w:r>
          </w:p>
        </w:tc>
        <w:tc>
          <w:tcPr>
            <w:tcW w:w="286" w:type="pct"/>
            <w:tcBorders>
              <w:left w:val="nil"/>
              <w:right w:val="nil"/>
            </w:tcBorders>
            <w:shd w:val="clear" w:color="auto" w:fill="FFFFFF"/>
          </w:tcPr>
          <w:p w14:paraId="0E5D480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2BA2297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071D6EA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(0.002)</w:t>
            </w:r>
          </w:p>
        </w:tc>
        <w:tc>
          <w:tcPr>
            <w:tcW w:w="274" w:type="pct"/>
            <w:tcBorders>
              <w:left w:val="nil"/>
              <w:right w:val="nil"/>
            </w:tcBorders>
            <w:shd w:val="clear" w:color="auto" w:fill="FFFFFF"/>
          </w:tcPr>
          <w:p w14:paraId="0F2BE8B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228CB19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0A84DAC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(0.002)</w:t>
            </w:r>
          </w:p>
        </w:tc>
        <w:tc>
          <w:tcPr>
            <w:tcW w:w="274" w:type="pct"/>
            <w:tcBorders>
              <w:left w:val="nil"/>
              <w:right w:val="nil"/>
            </w:tcBorders>
            <w:shd w:val="clear" w:color="auto" w:fill="FFFFFF"/>
          </w:tcPr>
          <w:p w14:paraId="25C9A244"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36F117E1" w14:textId="77777777" w:rsidTr="007008AE">
        <w:trPr>
          <w:trHeight w:val="280"/>
        </w:trPr>
        <w:tc>
          <w:tcPr>
            <w:tcW w:w="803" w:type="pct"/>
            <w:tcBorders>
              <w:left w:val="nil"/>
              <w:right w:val="nil"/>
            </w:tcBorders>
            <w:shd w:val="clear" w:color="auto" w:fill="FFFFFF"/>
            <w:vAlign w:val="center"/>
          </w:tcPr>
          <w:p w14:paraId="41EC90E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BUYBACK</w:t>
            </w:r>
          </w:p>
        </w:tc>
        <w:tc>
          <w:tcPr>
            <w:tcW w:w="444" w:type="pct"/>
            <w:tcBorders>
              <w:left w:val="nil"/>
              <w:right w:val="nil"/>
            </w:tcBorders>
            <w:shd w:val="clear" w:color="auto" w:fill="FFFFFF"/>
            <w:vAlign w:val="center"/>
          </w:tcPr>
          <w:p w14:paraId="2B80D04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-0.2746</w:t>
            </w:r>
          </w:p>
        </w:tc>
        <w:tc>
          <w:tcPr>
            <w:tcW w:w="281" w:type="pct"/>
            <w:tcBorders>
              <w:left w:val="nil"/>
              <w:right w:val="nil"/>
            </w:tcBorders>
            <w:shd w:val="clear" w:color="auto" w:fill="FFFFFF"/>
            <w:vAlign w:val="center"/>
          </w:tcPr>
          <w:p w14:paraId="07C226A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3E50C03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vAlign w:val="center"/>
          </w:tcPr>
          <w:p w14:paraId="3AEB9E2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-0.2750</w:t>
            </w:r>
          </w:p>
        </w:tc>
        <w:tc>
          <w:tcPr>
            <w:tcW w:w="281" w:type="pct"/>
            <w:tcBorders>
              <w:left w:val="nil"/>
              <w:right w:val="nil"/>
            </w:tcBorders>
            <w:shd w:val="clear" w:color="auto" w:fill="FFFFFF"/>
            <w:vAlign w:val="center"/>
          </w:tcPr>
          <w:p w14:paraId="7C1F2EA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534CEF5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vAlign w:val="center"/>
          </w:tcPr>
          <w:p w14:paraId="4986CB6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-0.2813</w:t>
            </w:r>
          </w:p>
        </w:tc>
        <w:tc>
          <w:tcPr>
            <w:tcW w:w="286" w:type="pct"/>
            <w:tcBorders>
              <w:left w:val="nil"/>
              <w:right w:val="nil"/>
            </w:tcBorders>
            <w:shd w:val="clear" w:color="auto" w:fill="FFFFFF"/>
            <w:vAlign w:val="center"/>
          </w:tcPr>
          <w:p w14:paraId="5336E0E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7B5DC7C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57C5949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-0.2812</w:t>
            </w:r>
          </w:p>
        </w:tc>
        <w:tc>
          <w:tcPr>
            <w:tcW w:w="274" w:type="pct"/>
            <w:tcBorders>
              <w:left w:val="nil"/>
              <w:right w:val="nil"/>
            </w:tcBorders>
            <w:shd w:val="clear" w:color="auto" w:fill="FFFFFF"/>
          </w:tcPr>
          <w:p w14:paraId="51E2AF1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0063C25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0E23A4A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-0.2761</w:t>
            </w:r>
          </w:p>
        </w:tc>
        <w:tc>
          <w:tcPr>
            <w:tcW w:w="274" w:type="pct"/>
            <w:tcBorders>
              <w:left w:val="nil"/>
              <w:right w:val="nil"/>
            </w:tcBorders>
            <w:shd w:val="clear" w:color="auto" w:fill="FFFFFF"/>
            <w:vAlign w:val="center"/>
          </w:tcPr>
          <w:p w14:paraId="086F753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0C51763A" w14:textId="77777777" w:rsidTr="007008AE">
        <w:trPr>
          <w:trHeight w:val="280"/>
        </w:trPr>
        <w:tc>
          <w:tcPr>
            <w:tcW w:w="803" w:type="pct"/>
            <w:tcBorders>
              <w:left w:val="nil"/>
              <w:right w:val="nil"/>
            </w:tcBorders>
            <w:shd w:val="clear" w:color="auto" w:fill="FFFFFF"/>
          </w:tcPr>
          <w:p w14:paraId="5A2DEEA8"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134"/>
                <w:id w:val="652306948"/>
              </w:sdtPr>
              <w:sdtContent>
                <w:r>
                  <w:rPr>
                    <w:rFonts w:ascii="Arial Unicode MS" w:eastAsia="Arial Unicode MS" w:hAnsi="Arial Unicode MS" w:cs="Arial Unicode MS"/>
                    <w:color w:val="000000"/>
                    <w:sz w:val="18"/>
                    <w:szCs w:val="18"/>
                  </w:rPr>
                  <w:t xml:space="preserve">　</w:t>
                </w:r>
              </w:sdtContent>
            </w:sdt>
          </w:p>
        </w:tc>
        <w:tc>
          <w:tcPr>
            <w:tcW w:w="444" w:type="pct"/>
            <w:tcBorders>
              <w:left w:val="nil"/>
              <w:right w:val="nil"/>
            </w:tcBorders>
            <w:shd w:val="clear" w:color="auto" w:fill="FFFFFF"/>
            <w:vAlign w:val="center"/>
          </w:tcPr>
          <w:p w14:paraId="2F297FD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81" w:type="pct"/>
            <w:tcBorders>
              <w:left w:val="nil"/>
              <w:right w:val="nil"/>
            </w:tcBorders>
            <w:shd w:val="clear" w:color="auto" w:fill="FFFFFF"/>
          </w:tcPr>
          <w:p w14:paraId="661B438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3EF9C69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vAlign w:val="center"/>
          </w:tcPr>
          <w:p w14:paraId="0F446C1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81" w:type="pct"/>
            <w:tcBorders>
              <w:left w:val="nil"/>
              <w:right w:val="nil"/>
            </w:tcBorders>
            <w:shd w:val="clear" w:color="auto" w:fill="FFFFFF"/>
          </w:tcPr>
          <w:p w14:paraId="4EF2A08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4D04C7B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vAlign w:val="center"/>
          </w:tcPr>
          <w:p w14:paraId="4B6E7033"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86" w:type="pct"/>
            <w:tcBorders>
              <w:left w:val="nil"/>
              <w:right w:val="nil"/>
            </w:tcBorders>
            <w:shd w:val="clear" w:color="auto" w:fill="FFFFFF"/>
          </w:tcPr>
          <w:p w14:paraId="66D3419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1895C9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1DB1A895"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74" w:type="pct"/>
            <w:tcBorders>
              <w:left w:val="nil"/>
              <w:right w:val="nil"/>
            </w:tcBorders>
            <w:shd w:val="clear" w:color="auto" w:fill="FFFFFF"/>
          </w:tcPr>
          <w:p w14:paraId="439D178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7C9D314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357814F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74" w:type="pct"/>
            <w:tcBorders>
              <w:left w:val="nil"/>
              <w:right w:val="nil"/>
            </w:tcBorders>
            <w:shd w:val="clear" w:color="auto" w:fill="FFFFFF"/>
          </w:tcPr>
          <w:p w14:paraId="5AC9D732"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2218BE8A" w14:textId="77777777" w:rsidTr="007008AE">
        <w:trPr>
          <w:trHeight w:val="280"/>
        </w:trPr>
        <w:tc>
          <w:tcPr>
            <w:tcW w:w="803" w:type="pct"/>
            <w:tcBorders>
              <w:left w:val="nil"/>
              <w:right w:val="nil"/>
            </w:tcBorders>
            <w:shd w:val="clear" w:color="auto" w:fill="FFFFFF"/>
            <w:vAlign w:val="center"/>
          </w:tcPr>
          <w:p w14:paraId="2C31597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CROSS</w:t>
            </w:r>
          </w:p>
        </w:tc>
        <w:tc>
          <w:tcPr>
            <w:tcW w:w="444" w:type="pct"/>
            <w:tcBorders>
              <w:left w:val="nil"/>
              <w:right w:val="nil"/>
            </w:tcBorders>
            <w:shd w:val="clear" w:color="auto" w:fill="FFFFFF"/>
            <w:vAlign w:val="center"/>
          </w:tcPr>
          <w:p w14:paraId="7C425EF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0.0275</w:t>
            </w:r>
          </w:p>
        </w:tc>
        <w:tc>
          <w:tcPr>
            <w:tcW w:w="281" w:type="pct"/>
            <w:tcBorders>
              <w:left w:val="nil"/>
              <w:right w:val="nil"/>
            </w:tcBorders>
            <w:shd w:val="clear" w:color="auto" w:fill="FFFFFF"/>
            <w:vAlign w:val="center"/>
          </w:tcPr>
          <w:p w14:paraId="1941BB5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09BCC67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vAlign w:val="center"/>
          </w:tcPr>
          <w:p w14:paraId="2A1645C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0.0271</w:t>
            </w:r>
          </w:p>
        </w:tc>
        <w:tc>
          <w:tcPr>
            <w:tcW w:w="281" w:type="pct"/>
            <w:tcBorders>
              <w:left w:val="nil"/>
              <w:right w:val="nil"/>
            </w:tcBorders>
            <w:shd w:val="clear" w:color="auto" w:fill="FFFFFF"/>
            <w:vAlign w:val="center"/>
          </w:tcPr>
          <w:p w14:paraId="337FC3E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478A476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vAlign w:val="center"/>
          </w:tcPr>
          <w:p w14:paraId="1EE160B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0.0278</w:t>
            </w:r>
          </w:p>
        </w:tc>
        <w:tc>
          <w:tcPr>
            <w:tcW w:w="286" w:type="pct"/>
            <w:tcBorders>
              <w:left w:val="nil"/>
              <w:right w:val="nil"/>
            </w:tcBorders>
            <w:shd w:val="clear" w:color="auto" w:fill="FFFFFF"/>
            <w:vAlign w:val="center"/>
          </w:tcPr>
          <w:p w14:paraId="4748AF8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4A821CA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7C928B0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0.0277</w:t>
            </w:r>
          </w:p>
        </w:tc>
        <w:tc>
          <w:tcPr>
            <w:tcW w:w="274" w:type="pct"/>
            <w:tcBorders>
              <w:left w:val="nil"/>
              <w:right w:val="nil"/>
            </w:tcBorders>
            <w:shd w:val="clear" w:color="auto" w:fill="FFFFFF"/>
          </w:tcPr>
          <w:p w14:paraId="1CEDAE7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54AFA5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0873107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0.0249</w:t>
            </w:r>
          </w:p>
        </w:tc>
        <w:tc>
          <w:tcPr>
            <w:tcW w:w="274" w:type="pct"/>
            <w:tcBorders>
              <w:left w:val="nil"/>
              <w:right w:val="nil"/>
            </w:tcBorders>
            <w:shd w:val="clear" w:color="auto" w:fill="FFFFFF"/>
            <w:vAlign w:val="center"/>
          </w:tcPr>
          <w:p w14:paraId="414C2AF5"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3518882A" w14:textId="77777777" w:rsidTr="007008AE">
        <w:trPr>
          <w:trHeight w:val="280"/>
        </w:trPr>
        <w:tc>
          <w:tcPr>
            <w:tcW w:w="803" w:type="pct"/>
            <w:tcBorders>
              <w:left w:val="nil"/>
              <w:right w:val="nil"/>
            </w:tcBorders>
            <w:shd w:val="clear" w:color="auto" w:fill="FFFFFF"/>
          </w:tcPr>
          <w:p w14:paraId="2A527D3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4" w:type="pct"/>
            <w:tcBorders>
              <w:left w:val="nil"/>
              <w:right w:val="nil"/>
            </w:tcBorders>
            <w:shd w:val="clear" w:color="auto" w:fill="FFFFFF"/>
            <w:vAlign w:val="center"/>
          </w:tcPr>
          <w:p w14:paraId="3999781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(0.353)</w:t>
            </w:r>
          </w:p>
        </w:tc>
        <w:tc>
          <w:tcPr>
            <w:tcW w:w="281" w:type="pct"/>
            <w:tcBorders>
              <w:left w:val="nil"/>
              <w:right w:val="nil"/>
            </w:tcBorders>
            <w:shd w:val="clear" w:color="auto" w:fill="FFFFFF"/>
          </w:tcPr>
          <w:p w14:paraId="4FA132D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76295C0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vAlign w:val="center"/>
          </w:tcPr>
          <w:p w14:paraId="2BBCF35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(0.360)</w:t>
            </w:r>
          </w:p>
        </w:tc>
        <w:tc>
          <w:tcPr>
            <w:tcW w:w="281" w:type="pct"/>
            <w:tcBorders>
              <w:left w:val="nil"/>
              <w:right w:val="nil"/>
            </w:tcBorders>
            <w:shd w:val="clear" w:color="auto" w:fill="FFFFFF"/>
          </w:tcPr>
          <w:p w14:paraId="0ACFB58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D74F2D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vAlign w:val="center"/>
          </w:tcPr>
          <w:p w14:paraId="6A94C4F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(0.346)</w:t>
            </w:r>
          </w:p>
        </w:tc>
        <w:tc>
          <w:tcPr>
            <w:tcW w:w="286" w:type="pct"/>
            <w:tcBorders>
              <w:left w:val="nil"/>
              <w:right w:val="nil"/>
            </w:tcBorders>
            <w:shd w:val="clear" w:color="auto" w:fill="FFFFFF"/>
          </w:tcPr>
          <w:p w14:paraId="6854638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087A6C2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5B93427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(0.348)</w:t>
            </w:r>
          </w:p>
        </w:tc>
        <w:tc>
          <w:tcPr>
            <w:tcW w:w="274" w:type="pct"/>
            <w:tcBorders>
              <w:left w:val="nil"/>
              <w:right w:val="nil"/>
            </w:tcBorders>
            <w:shd w:val="clear" w:color="auto" w:fill="FFFFFF"/>
          </w:tcPr>
          <w:p w14:paraId="3B6ADC6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0D9716B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784F518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(0.415)</w:t>
            </w:r>
          </w:p>
        </w:tc>
        <w:tc>
          <w:tcPr>
            <w:tcW w:w="274" w:type="pct"/>
            <w:tcBorders>
              <w:left w:val="nil"/>
              <w:right w:val="nil"/>
            </w:tcBorders>
            <w:shd w:val="clear" w:color="auto" w:fill="FFFFFF"/>
          </w:tcPr>
          <w:p w14:paraId="15F6B8B4"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792A2805" w14:textId="77777777" w:rsidTr="007008AE">
        <w:trPr>
          <w:trHeight w:val="280"/>
        </w:trPr>
        <w:tc>
          <w:tcPr>
            <w:tcW w:w="803" w:type="pct"/>
            <w:tcBorders>
              <w:left w:val="nil"/>
              <w:right w:val="nil"/>
            </w:tcBorders>
            <w:shd w:val="clear" w:color="auto" w:fill="FFFFFF"/>
            <w:vAlign w:val="center"/>
          </w:tcPr>
          <w:p w14:paraId="092C84A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BTM</w:t>
            </w:r>
          </w:p>
        </w:tc>
        <w:tc>
          <w:tcPr>
            <w:tcW w:w="444" w:type="pct"/>
            <w:tcBorders>
              <w:left w:val="nil"/>
              <w:right w:val="nil"/>
            </w:tcBorders>
            <w:shd w:val="clear" w:color="auto" w:fill="FFFFFF"/>
            <w:vAlign w:val="center"/>
          </w:tcPr>
          <w:p w14:paraId="0BE8F85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-0.0671</w:t>
            </w:r>
          </w:p>
        </w:tc>
        <w:tc>
          <w:tcPr>
            <w:tcW w:w="281" w:type="pct"/>
            <w:tcBorders>
              <w:left w:val="nil"/>
              <w:right w:val="nil"/>
            </w:tcBorders>
            <w:shd w:val="clear" w:color="auto" w:fill="FFFFFF"/>
            <w:vAlign w:val="center"/>
          </w:tcPr>
          <w:p w14:paraId="038D0CD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55331E2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vAlign w:val="center"/>
          </w:tcPr>
          <w:p w14:paraId="25197E6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-0.0671</w:t>
            </w:r>
          </w:p>
        </w:tc>
        <w:tc>
          <w:tcPr>
            <w:tcW w:w="281" w:type="pct"/>
            <w:tcBorders>
              <w:left w:val="nil"/>
              <w:right w:val="nil"/>
            </w:tcBorders>
            <w:shd w:val="clear" w:color="auto" w:fill="FFFFFF"/>
            <w:vAlign w:val="center"/>
          </w:tcPr>
          <w:p w14:paraId="5E1368B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29A54E3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vAlign w:val="center"/>
          </w:tcPr>
          <w:p w14:paraId="45B72325"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-0.0682</w:t>
            </w:r>
          </w:p>
        </w:tc>
        <w:tc>
          <w:tcPr>
            <w:tcW w:w="286" w:type="pct"/>
            <w:tcBorders>
              <w:left w:val="nil"/>
              <w:right w:val="nil"/>
            </w:tcBorders>
            <w:shd w:val="clear" w:color="auto" w:fill="FFFFFF"/>
            <w:vAlign w:val="center"/>
          </w:tcPr>
          <w:p w14:paraId="1DCC29F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3C73D02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42059B6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-0.0682</w:t>
            </w:r>
          </w:p>
        </w:tc>
        <w:tc>
          <w:tcPr>
            <w:tcW w:w="274" w:type="pct"/>
            <w:tcBorders>
              <w:left w:val="nil"/>
              <w:right w:val="nil"/>
            </w:tcBorders>
            <w:shd w:val="clear" w:color="auto" w:fill="FFFFFF"/>
          </w:tcPr>
          <w:p w14:paraId="6C275E1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3D52520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1A20D7B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-0.0651</w:t>
            </w:r>
          </w:p>
        </w:tc>
        <w:tc>
          <w:tcPr>
            <w:tcW w:w="274" w:type="pct"/>
            <w:tcBorders>
              <w:left w:val="nil"/>
              <w:right w:val="nil"/>
            </w:tcBorders>
            <w:shd w:val="clear" w:color="auto" w:fill="FFFFFF"/>
            <w:vAlign w:val="center"/>
          </w:tcPr>
          <w:p w14:paraId="78FF674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0EF157AF" w14:textId="77777777" w:rsidTr="007008AE">
        <w:trPr>
          <w:trHeight w:val="280"/>
        </w:trPr>
        <w:tc>
          <w:tcPr>
            <w:tcW w:w="803" w:type="pct"/>
            <w:tcBorders>
              <w:left w:val="nil"/>
              <w:right w:val="nil"/>
            </w:tcBorders>
            <w:shd w:val="clear" w:color="auto" w:fill="FFFFFF"/>
          </w:tcPr>
          <w:p w14:paraId="614E3330"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135"/>
                <w:id w:val="-964023902"/>
              </w:sdtPr>
              <w:sdtContent>
                <w:r>
                  <w:rPr>
                    <w:rFonts w:ascii="Arial Unicode MS" w:eastAsia="Arial Unicode MS" w:hAnsi="Arial Unicode MS" w:cs="Arial Unicode MS"/>
                    <w:color w:val="000000"/>
                    <w:sz w:val="18"/>
                    <w:szCs w:val="18"/>
                  </w:rPr>
                  <w:t xml:space="preserve">　</w:t>
                </w:r>
              </w:sdtContent>
            </w:sdt>
          </w:p>
        </w:tc>
        <w:tc>
          <w:tcPr>
            <w:tcW w:w="444" w:type="pct"/>
            <w:tcBorders>
              <w:left w:val="nil"/>
              <w:right w:val="nil"/>
            </w:tcBorders>
            <w:shd w:val="clear" w:color="auto" w:fill="FFFFFF"/>
            <w:vAlign w:val="center"/>
          </w:tcPr>
          <w:p w14:paraId="100E9D85"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81" w:type="pct"/>
            <w:tcBorders>
              <w:left w:val="nil"/>
              <w:right w:val="nil"/>
            </w:tcBorders>
            <w:shd w:val="clear" w:color="auto" w:fill="FFFFFF"/>
          </w:tcPr>
          <w:p w14:paraId="1BBDAC1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67EDD3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vAlign w:val="center"/>
          </w:tcPr>
          <w:p w14:paraId="5BF98D6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81" w:type="pct"/>
            <w:tcBorders>
              <w:left w:val="nil"/>
              <w:right w:val="nil"/>
            </w:tcBorders>
            <w:shd w:val="clear" w:color="auto" w:fill="FFFFFF"/>
          </w:tcPr>
          <w:p w14:paraId="0FB27D0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4D72B8B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vAlign w:val="center"/>
          </w:tcPr>
          <w:p w14:paraId="45249859"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86" w:type="pct"/>
            <w:tcBorders>
              <w:left w:val="nil"/>
              <w:right w:val="nil"/>
            </w:tcBorders>
            <w:shd w:val="clear" w:color="auto" w:fill="FFFFFF"/>
          </w:tcPr>
          <w:p w14:paraId="27F568B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0CBE50C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7C2CB8A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74" w:type="pct"/>
            <w:tcBorders>
              <w:left w:val="nil"/>
              <w:right w:val="nil"/>
            </w:tcBorders>
            <w:shd w:val="clear" w:color="auto" w:fill="FFFFFF"/>
          </w:tcPr>
          <w:p w14:paraId="5AB4D5E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67DF24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08C469F5"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74" w:type="pct"/>
            <w:tcBorders>
              <w:left w:val="nil"/>
              <w:right w:val="nil"/>
            </w:tcBorders>
            <w:shd w:val="clear" w:color="auto" w:fill="FFFFFF"/>
          </w:tcPr>
          <w:p w14:paraId="72219F83"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49A28A5C" w14:textId="77777777" w:rsidTr="007008AE">
        <w:trPr>
          <w:trHeight w:val="280"/>
        </w:trPr>
        <w:tc>
          <w:tcPr>
            <w:tcW w:w="803" w:type="pct"/>
            <w:tcBorders>
              <w:left w:val="nil"/>
              <w:right w:val="nil"/>
            </w:tcBorders>
            <w:shd w:val="clear" w:color="auto" w:fill="FFFFFF"/>
            <w:vAlign w:val="center"/>
          </w:tcPr>
          <w:p w14:paraId="5BBD880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IRD1</w:t>
            </w:r>
          </w:p>
        </w:tc>
        <w:tc>
          <w:tcPr>
            <w:tcW w:w="444" w:type="pct"/>
            <w:tcBorders>
              <w:left w:val="nil"/>
              <w:right w:val="nil"/>
            </w:tcBorders>
            <w:shd w:val="clear" w:color="auto" w:fill="FFFFFF"/>
            <w:vAlign w:val="center"/>
          </w:tcPr>
          <w:p w14:paraId="11192C6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0.0009</w:t>
            </w:r>
          </w:p>
        </w:tc>
        <w:tc>
          <w:tcPr>
            <w:tcW w:w="281" w:type="pct"/>
            <w:tcBorders>
              <w:left w:val="nil"/>
              <w:right w:val="nil"/>
            </w:tcBorders>
            <w:shd w:val="clear" w:color="auto" w:fill="FFFFFF"/>
            <w:vAlign w:val="center"/>
          </w:tcPr>
          <w:p w14:paraId="0DC8F81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71E20BD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tcPr>
          <w:p w14:paraId="07ED9C5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1" w:type="pct"/>
            <w:tcBorders>
              <w:left w:val="nil"/>
              <w:right w:val="nil"/>
            </w:tcBorders>
            <w:shd w:val="clear" w:color="auto" w:fill="FFFFFF"/>
          </w:tcPr>
          <w:p w14:paraId="4192751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2AA3C16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vAlign w:val="center"/>
          </w:tcPr>
          <w:p w14:paraId="673EC35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6" w:type="pct"/>
            <w:tcBorders>
              <w:left w:val="nil"/>
              <w:right w:val="nil"/>
            </w:tcBorders>
            <w:shd w:val="clear" w:color="auto" w:fill="FFFFFF"/>
            <w:vAlign w:val="center"/>
          </w:tcPr>
          <w:p w14:paraId="6DD99CC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061526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40A2B22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3C99444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EDC536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tcPr>
          <w:p w14:paraId="4578251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2D34475D"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4397A45B" w14:textId="77777777" w:rsidTr="007008AE">
        <w:trPr>
          <w:trHeight w:val="280"/>
        </w:trPr>
        <w:tc>
          <w:tcPr>
            <w:tcW w:w="803" w:type="pct"/>
            <w:tcBorders>
              <w:left w:val="nil"/>
              <w:right w:val="nil"/>
            </w:tcBorders>
            <w:shd w:val="clear" w:color="auto" w:fill="FFFFFF"/>
          </w:tcPr>
          <w:p w14:paraId="7BA2C183"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136"/>
                <w:id w:val="-1303284562"/>
              </w:sdtPr>
              <w:sdtContent>
                <w:r>
                  <w:rPr>
                    <w:rFonts w:ascii="Arial Unicode MS" w:eastAsia="Arial Unicode MS" w:hAnsi="Arial Unicode MS" w:cs="Arial Unicode MS"/>
                    <w:color w:val="000000"/>
                    <w:sz w:val="18"/>
                    <w:szCs w:val="18"/>
                  </w:rPr>
                  <w:t xml:space="preserve">　</w:t>
                </w:r>
              </w:sdtContent>
            </w:sdt>
          </w:p>
        </w:tc>
        <w:tc>
          <w:tcPr>
            <w:tcW w:w="444" w:type="pct"/>
            <w:tcBorders>
              <w:left w:val="nil"/>
              <w:right w:val="nil"/>
            </w:tcBorders>
            <w:shd w:val="clear" w:color="auto" w:fill="FFFFFF"/>
            <w:vAlign w:val="center"/>
          </w:tcPr>
          <w:p w14:paraId="2DE6B37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(0.745)</w:t>
            </w:r>
          </w:p>
        </w:tc>
        <w:tc>
          <w:tcPr>
            <w:tcW w:w="281" w:type="pct"/>
            <w:tcBorders>
              <w:left w:val="nil"/>
              <w:right w:val="nil"/>
            </w:tcBorders>
            <w:shd w:val="clear" w:color="auto" w:fill="FFFFFF"/>
          </w:tcPr>
          <w:p w14:paraId="068036F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7FC8C3C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tcPr>
          <w:p w14:paraId="540B3EF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1" w:type="pct"/>
            <w:tcBorders>
              <w:left w:val="nil"/>
              <w:right w:val="nil"/>
            </w:tcBorders>
            <w:shd w:val="clear" w:color="auto" w:fill="FFFFFF"/>
          </w:tcPr>
          <w:p w14:paraId="4E7AB6C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4C313E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vAlign w:val="center"/>
          </w:tcPr>
          <w:p w14:paraId="5AE0ACA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6" w:type="pct"/>
            <w:tcBorders>
              <w:left w:val="nil"/>
              <w:right w:val="nil"/>
            </w:tcBorders>
            <w:shd w:val="clear" w:color="auto" w:fill="FFFFFF"/>
          </w:tcPr>
          <w:p w14:paraId="784BC9D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0E8C55F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38CBACF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78B85D3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3DC279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tcPr>
          <w:p w14:paraId="3FE7E9B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3EFE79E9"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3AEA9219" w14:textId="77777777" w:rsidTr="007008AE">
        <w:trPr>
          <w:trHeight w:val="280"/>
        </w:trPr>
        <w:tc>
          <w:tcPr>
            <w:tcW w:w="803" w:type="pct"/>
            <w:tcBorders>
              <w:left w:val="nil"/>
              <w:right w:val="nil"/>
            </w:tcBorders>
            <w:shd w:val="clear" w:color="auto" w:fill="FFFFFF"/>
            <w:vAlign w:val="center"/>
          </w:tcPr>
          <w:p w14:paraId="2B89003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lastRenderedPageBreak/>
              <w:t>IRD2</w:t>
            </w:r>
          </w:p>
        </w:tc>
        <w:tc>
          <w:tcPr>
            <w:tcW w:w="444" w:type="pct"/>
            <w:tcBorders>
              <w:left w:val="nil"/>
              <w:right w:val="nil"/>
            </w:tcBorders>
            <w:shd w:val="clear" w:color="auto" w:fill="FFFFFF"/>
          </w:tcPr>
          <w:p w14:paraId="41D9161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1" w:type="pct"/>
            <w:tcBorders>
              <w:left w:val="nil"/>
              <w:right w:val="nil"/>
            </w:tcBorders>
            <w:shd w:val="clear" w:color="auto" w:fill="FFFFFF"/>
          </w:tcPr>
          <w:p w14:paraId="403061D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1B2662E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vAlign w:val="center"/>
          </w:tcPr>
          <w:p w14:paraId="2AAC093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0.0011</w:t>
            </w:r>
          </w:p>
        </w:tc>
        <w:tc>
          <w:tcPr>
            <w:tcW w:w="281" w:type="pct"/>
            <w:tcBorders>
              <w:left w:val="nil"/>
              <w:right w:val="nil"/>
            </w:tcBorders>
            <w:shd w:val="clear" w:color="auto" w:fill="FFFFFF"/>
            <w:vAlign w:val="center"/>
          </w:tcPr>
          <w:p w14:paraId="24E939C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225B2C4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tcPr>
          <w:p w14:paraId="1EBDE86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6" w:type="pct"/>
            <w:tcBorders>
              <w:left w:val="nil"/>
              <w:right w:val="nil"/>
            </w:tcBorders>
            <w:shd w:val="clear" w:color="auto" w:fill="FFFFFF"/>
          </w:tcPr>
          <w:p w14:paraId="768A482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31FF06F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1FBB02E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646A40B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B41713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78A02DE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vAlign w:val="center"/>
          </w:tcPr>
          <w:p w14:paraId="340EE817"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3C2C1E68" w14:textId="77777777" w:rsidTr="007008AE">
        <w:trPr>
          <w:trHeight w:val="280"/>
        </w:trPr>
        <w:tc>
          <w:tcPr>
            <w:tcW w:w="803" w:type="pct"/>
            <w:tcBorders>
              <w:left w:val="nil"/>
              <w:right w:val="nil"/>
            </w:tcBorders>
            <w:shd w:val="clear" w:color="auto" w:fill="FFFFFF"/>
          </w:tcPr>
          <w:p w14:paraId="53F39775"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137"/>
                <w:id w:val="-673585262"/>
              </w:sdtPr>
              <w:sdtContent>
                <w:r>
                  <w:rPr>
                    <w:rFonts w:ascii="Arial Unicode MS" w:eastAsia="Arial Unicode MS" w:hAnsi="Arial Unicode MS" w:cs="Arial Unicode MS"/>
                    <w:color w:val="000000"/>
                    <w:sz w:val="18"/>
                    <w:szCs w:val="18"/>
                  </w:rPr>
                  <w:t xml:space="preserve">　</w:t>
                </w:r>
              </w:sdtContent>
            </w:sdt>
          </w:p>
        </w:tc>
        <w:tc>
          <w:tcPr>
            <w:tcW w:w="444" w:type="pct"/>
            <w:tcBorders>
              <w:left w:val="nil"/>
              <w:right w:val="nil"/>
            </w:tcBorders>
            <w:shd w:val="clear" w:color="auto" w:fill="FFFFFF"/>
          </w:tcPr>
          <w:p w14:paraId="43063D3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1" w:type="pct"/>
            <w:tcBorders>
              <w:left w:val="nil"/>
              <w:right w:val="nil"/>
            </w:tcBorders>
            <w:shd w:val="clear" w:color="auto" w:fill="FFFFFF"/>
          </w:tcPr>
          <w:p w14:paraId="61666AE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311FDB3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vAlign w:val="center"/>
          </w:tcPr>
          <w:p w14:paraId="2E288DE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(0.693)</w:t>
            </w:r>
          </w:p>
        </w:tc>
        <w:tc>
          <w:tcPr>
            <w:tcW w:w="281" w:type="pct"/>
            <w:tcBorders>
              <w:left w:val="nil"/>
              <w:right w:val="nil"/>
            </w:tcBorders>
            <w:shd w:val="clear" w:color="auto" w:fill="FFFFFF"/>
          </w:tcPr>
          <w:p w14:paraId="64D91CC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7832D9A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tcPr>
          <w:p w14:paraId="51D5058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6" w:type="pct"/>
            <w:tcBorders>
              <w:left w:val="nil"/>
              <w:right w:val="nil"/>
            </w:tcBorders>
            <w:shd w:val="clear" w:color="auto" w:fill="FFFFFF"/>
          </w:tcPr>
          <w:p w14:paraId="744203D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239AAD0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7FED59B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4F9859D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22BC41B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2B32A9F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51AEDB9E"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0CD66D7A" w14:textId="77777777" w:rsidTr="007008AE">
        <w:trPr>
          <w:trHeight w:val="280"/>
        </w:trPr>
        <w:tc>
          <w:tcPr>
            <w:tcW w:w="803" w:type="pct"/>
            <w:tcBorders>
              <w:left w:val="nil"/>
              <w:right w:val="nil"/>
            </w:tcBorders>
            <w:shd w:val="clear" w:color="auto" w:fill="FFFFFF"/>
            <w:vAlign w:val="center"/>
          </w:tcPr>
          <w:p w14:paraId="039745B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ERD1</w:t>
            </w:r>
          </w:p>
        </w:tc>
        <w:tc>
          <w:tcPr>
            <w:tcW w:w="444" w:type="pct"/>
            <w:tcBorders>
              <w:left w:val="nil"/>
              <w:right w:val="nil"/>
            </w:tcBorders>
            <w:shd w:val="clear" w:color="auto" w:fill="FFFFFF"/>
            <w:vAlign w:val="center"/>
          </w:tcPr>
          <w:p w14:paraId="5D5B21D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1" w:type="pct"/>
            <w:tcBorders>
              <w:left w:val="nil"/>
              <w:right w:val="nil"/>
            </w:tcBorders>
            <w:shd w:val="clear" w:color="auto" w:fill="FFFFFF"/>
            <w:vAlign w:val="center"/>
          </w:tcPr>
          <w:p w14:paraId="0C2E78E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DE0B4B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tcPr>
          <w:p w14:paraId="6081D44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1" w:type="pct"/>
            <w:tcBorders>
              <w:left w:val="nil"/>
              <w:right w:val="nil"/>
            </w:tcBorders>
            <w:shd w:val="clear" w:color="auto" w:fill="FFFFFF"/>
          </w:tcPr>
          <w:p w14:paraId="6FB9951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3D9A53E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vAlign w:val="center"/>
          </w:tcPr>
          <w:p w14:paraId="64917AC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0.0408</w:t>
            </w:r>
          </w:p>
        </w:tc>
        <w:tc>
          <w:tcPr>
            <w:tcW w:w="286" w:type="pct"/>
            <w:tcBorders>
              <w:left w:val="nil"/>
              <w:right w:val="nil"/>
            </w:tcBorders>
            <w:shd w:val="clear" w:color="auto" w:fill="FFFFFF"/>
            <w:vAlign w:val="center"/>
          </w:tcPr>
          <w:p w14:paraId="3C20883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4716E1A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53DC840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4DC327F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2E0F38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tcPr>
          <w:p w14:paraId="1AEADF0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3F7BD63B"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5BE07C0B" w14:textId="77777777" w:rsidTr="007008AE">
        <w:trPr>
          <w:trHeight w:val="280"/>
        </w:trPr>
        <w:tc>
          <w:tcPr>
            <w:tcW w:w="803" w:type="pct"/>
            <w:tcBorders>
              <w:left w:val="nil"/>
              <w:right w:val="nil"/>
            </w:tcBorders>
            <w:shd w:val="clear" w:color="auto" w:fill="FFFFFF"/>
          </w:tcPr>
          <w:p w14:paraId="1932A535"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138"/>
                <w:id w:val="1806427662"/>
              </w:sdtPr>
              <w:sdtContent>
                <w:r>
                  <w:rPr>
                    <w:rFonts w:ascii="Arial Unicode MS" w:eastAsia="Arial Unicode MS" w:hAnsi="Arial Unicode MS" w:cs="Arial Unicode MS"/>
                    <w:color w:val="000000"/>
                    <w:sz w:val="18"/>
                    <w:szCs w:val="18"/>
                  </w:rPr>
                  <w:t xml:space="preserve">　</w:t>
                </w:r>
              </w:sdtContent>
            </w:sdt>
          </w:p>
        </w:tc>
        <w:tc>
          <w:tcPr>
            <w:tcW w:w="444" w:type="pct"/>
            <w:tcBorders>
              <w:left w:val="nil"/>
              <w:right w:val="nil"/>
            </w:tcBorders>
            <w:shd w:val="clear" w:color="auto" w:fill="FFFFFF"/>
            <w:vAlign w:val="center"/>
          </w:tcPr>
          <w:p w14:paraId="46F8AB7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1" w:type="pct"/>
            <w:tcBorders>
              <w:left w:val="nil"/>
              <w:right w:val="nil"/>
            </w:tcBorders>
            <w:shd w:val="clear" w:color="auto" w:fill="FFFFFF"/>
          </w:tcPr>
          <w:p w14:paraId="4CD6931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ED61FF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tcPr>
          <w:p w14:paraId="57961B0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1" w:type="pct"/>
            <w:tcBorders>
              <w:left w:val="nil"/>
              <w:right w:val="nil"/>
            </w:tcBorders>
            <w:shd w:val="clear" w:color="auto" w:fill="FFFFFF"/>
          </w:tcPr>
          <w:p w14:paraId="3498C26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365B1F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vAlign w:val="center"/>
          </w:tcPr>
          <w:p w14:paraId="4F6A444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(0.097)</w:t>
            </w:r>
          </w:p>
        </w:tc>
        <w:tc>
          <w:tcPr>
            <w:tcW w:w="286" w:type="pct"/>
            <w:tcBorders>
              <w:left w:val="nil"/>
              <w:right w:val="nil"/>
            </w:tcBorders>
            <w:shd w:val="clear" w:color="auto" w:fill="FFFFFF"/>
          </w:tcPr>
          <w:p w14:paraId="3ACB0E7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1AF6086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6BAD1AD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6AEC095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7C2E467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tcPr>
          <w:p w14:paraId="1651F53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6138D216"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23F11E63" w14:textId="77777777" w:rsidTr="007008AE">
        <w:trPr>
          <w:trHeight w:val="280"/>
        </w:trPr>
        <w:tc>
          <w:tcPr>
            <w:tcW w:w="803" w:type="pct"/>
            <w:tcBorders>
              <w:left w:val="nil"/>
              <w:right w:val="nil"/>
            </w:tcBorders>
            <w:shd w:val="clear" w:color="auto" w:fill="FFFFFF"/>
            <w:vAlign w:val="center"/>
          </w:tcPr>
          <w:p w14:paraId="4E039AF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ERD2</w:t>
            </w:r>
          </w:p>
        </w:tc>
        <w:tc>
          <w:tcPr>
            <w:tcW w:w="444" w:type="pct"/>
            <w:tcBorders>
              <w:left w:val="nil"/>
              <w:right w:val="nil"/>
            </w:tcBorders>
            <w:shd w:val="clear" w:color="auto" w:fill="FFFFFF"/>
          </w:tcPr>
          <w:p w14:paraId="7B5D084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1" w:type="pct"/>
            <w:tcBorders>
              <w:left w:val="nil"/>
              <w:right w:val="nil"/>
            </w:tcBorders>
            <w:shd w:val="clear" w:color="auto" w:fill="FFFFFF"/>
          </w:tcPr>
          <w:p w14:paraId="3B13E3D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05176FD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vAlign w:val="center"/>
          </w:tcPr>
          <w:p w14:paraId="6F2962D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1" w:type="pct"/>
            <w:tcBorders>
              <w:left w:val="nil"/>
              <w:right w:val="nil"/>
            </w:tcBorders>
            <w:shd w:val="clear" w:color="auto" w:fill="FFFFFF"/>
            <w:vAlign w:val="center"/>
          </w:tcPr>
          <w:p w14:paraId="21C0C71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7BA37F9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tcPr>
          <w:p w14:paraId="4A63D9A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6" w:type="pct"/>
            <w:tcBorders>
              <w:left w:val="nil"/>
              <w:right w:val="nil"/>
            </w:tcBorders>
            <w:shd w:val="clear" w:color="auto" w:fill="FFFFFF"/>
          </w:tcPr>
          <w:p w14:paraId="73A245F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3363148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7B18874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0.0381</w:t>
            </w:r>
          </w:p>
        </w:tc>
        <w:tc>
          <w:tcPr>
            <w:tcW w:w="274" w:type="pct"/>
            <w:tcBorders>
              <w:left w:val="nil"/>
              <w:right w:val="nil"/>
            </w:tcBorders>
            <w:shd w:val="clear" w:color="auto" w:fill="FFFFFF"/>
          </w:tcPr>
          <w:p w14:paraId="770B1DD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00839F3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547EBA3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vAlign w:val="center"/>
          </w:tcPr>
          <w:p w14:paraId="1CB9EE21"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4B604962" w14:textId="77777777" w:rsidTr="007008AE">
        <w:trPr>
          <w:trHeight w:val="280"/>
        </w:trPr>
        <w:tc>
          <w:tcPr>
            <w:tcW w:w="803" w:type="pct"/>
            <w:tcBorders>
              <w:left w:val="nil"/>
              <w:right w:val="nil"/>
            </w:tcBorders>
            <w:shd w:val="clear" w:color="auto" w:fill="FFFFFF"/>
          </w:tcPr>
          <w:p w14:paraId="742790DB"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139"/>
                <w:id w:val="430465867"/>
              </w:sdtPr>
              <w:sdtContent>
                <w:r>
                  <w:rPr>
                    <w:rFonts w:ascii="Arial Unicode MS" w:eastAsia="Arial Unicode MS" w:hAnsi="Arial Unicode MS" w:cs="Arial Unicode MS"/>
                    <w:color w:val="000000"/>
                    <w:sz w:val="18"/>
                    <w:szCs w:val="18"/>
                  </w:rPr>
                  <w:t xml:space="preserve">　</w:t>
                </w:r>
              </w:sdtContent>
            </w:sdt>
          </w:p>
        </w:tc>
        <w:tc>
          <w:tcPr>
            <w:tcW w:w="444" w:type="pct"/>
            <w:tcBorders>
              <w:left w:val="nil"/>
              <w:right w:val="nil"/>
            </w:tcBorders>
            <w:shd w:val="clear" w:color="auto" w:fill="FFFFFF"/>
          </w:tcPr>
          <w:p w14:paraId="2CED1A0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1" w:type="pct"/>
            <w:tcBorders>
              <w:left w:val="nil"/>
              <w:right w:val="nil"/>
            </w:tcBorders>
            <w:shd w:val="clear" w:color="auto" w:fill="FFFFFF"/>
          </w:tcPr>
          <w:p w14:paraId="1F0CF4D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4F196B3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vAlign w:val="center"/>
          </w:tcPr>
          <w:p w14:paraId="1D33F78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1" w:type="pct"/>
            <w:tcBorders>
              <w:left w:val="nil"/>
              <w:right w:val="nil"/>
            </w:tcBorders>
            <w:shd w:val="clear" w:color="auto" w:fill="FFFFFF"/>
          </w:tcPr>
          <w:p w14:paraId="6DABACE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E147F2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tcPr>
          <w:p w14:paraId="235F747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6" w:type="pct"/>
            <w:tcBorders>
              <w:left w:val="nil"/>
              <w:right w:val="nil"/>
            </w:tcBorders>
            <w:shd w:val="clear" w:color="auto" w:fill="FFFFFF"/>
          </w:tcPr>
          <w:p w14:paraId="20036C4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3E5D5CA5"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1EB80E05"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(0.109)</w:t>
            </w:r>
          </w:p>
        </w:tc>
        <w:tc>
          <w:tcPr>
            <w:tcW w:w="274" w:type="pct"/>
            <w:tcBorders>
              <w:left w:val="nil"/>
              <w:right w:val="nil"/>
            </w:tcBorders>
            <w:shd w:val="clear" w:color="auto" w:fill="FFFFFF"/>
          </w:tcPr>
          <w:p w14:paraId="15FE94C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29DA02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5415010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right w:val="nil"/>
            </w:tcBorders>
            <w:shd w:val="clear" w:color="auto" w:fill="FFFFFF"/>
          </w:tcPr>
          <w:p w14:paraId="44D57117"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39274A00" w14:textId="77777777" w:rsidTr="007008AE">
        <w:trPr>
          <w:trHeight w:val="280"/>
        </w:trPr>
        <w:tc>
          <w:tcPr>
            <w:tcW w:w="803" w:type="pct"/>
            <w:tcBorders>
              <w:left w:val="nil"/>
              <w:right w:val="nil"/>
            </w:tcBorders>
            <w:shd w:val="clear" w:color="auto" w:fill="FFFFFF"/>
            <w:vAlign w:val="center"/>
          </w:tcPr>
          <w:p w14:paraId="47EC202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Intercept</w:t>
            </w:r>
          </w:p>
        </w:tc>
        <w:tc>
          <w:tcPr>
            <w:tcW w:w="444" w:type="pct"/>
            <w:tcBorders>
              <w:left w:val="nil"/>
              <w:right w:val="nil"/>
            </w:tcBorders>
            <w:shd w:val="clear" w:color="auto" w:fill="FFFFFF"/>
            <w:vAlign w:val="center"/>
          </w:tcPr>
          <w:p w14:paraId="4899383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0.2422</w:t>
            </w:r>
          </w:p>
        </w:tc>
        <w:tc>
          <w:tcPr>
            <w:tcW w:w="281" w:type="pct"/>
            <w:tcBorders>
              <w:left w:val="nil"/>
              <w:right w:val="nil"/>
            </w:tcBorders>
            <w:shd w:val="clear" w:color="auto" w:fill="FFFFFF"/>
            <w:vAlign w:val="center"/>
          </w:tcPr>
          <w:p w14:paraId="390DEEC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668EBBA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vAlign w:val="center"/>
          </w:tcPr>
          <w:p w14:paraId="0CC21B0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0.2422</w:t>
            </w:r>
          </w:p>
        </w:tc>
        <w:tc>
          <w:tcPr>
            <w:tcW w:w="281" w:type="pct"/>
            <w:tcBorders>
              <w:left w:val="nil"/>
              <w:right w:val="nil"/>
            </w:tcBorders>
            <w:shd w:val="clear" w:color="auto" w:fill="FFFFFF"/>
            <w:vAlign w:val="center"/>
          </w:tcPr>
          <w:p w14:paraId="0D93FD8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017265B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vAlign w:val="center"/>
          </w:tcPr>
          <w:p w14:paraId="1CB5A58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0.2455</w:t>
            </w:r>
          </w:p>
        </w:tc>
        <w:tc>
          <w:tcPr>
            <w:tcW w:w="286" w:type="pct"/>
            <w:tcBorders>
              <w:left w:val="nil"/>
              <w:right w:val="nil"/>
            </w:tcBorders>
            <w:shd w:val="clear" w:color="auto" w:fill="FFFFFF"/>
            <w:vAlign w:val="center"/>
          </w:tcPr>
          <w:p w14:paraId="7F9C09C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2030058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6D51C3D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0.2454</w:t>
            </w:r>
          </w:p>
        </w:tc>
        <w:tc>
          <w:tcPr>
            <w:tcW w:w="274" w:type="pct"/>
            <w:tcBorders>
              <w:left w:val="nil"/>
              <w:right w:val="nil"/>
            </w:tcBorders>
            <w:shd w:val="clear" w:color="auto" w:fill="FFFFFF"/>
          </w:tcPr>
          <w:p w14:paraId="74D221B5"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c>
          <w:tcPr>
            <w:tcW w:w="128" w:type="pct"/>
            <w:tcBorders>
              <w:left w:val="nil"/>
              <w:right w:val="nil"/>
            </w:tcBorders>
            <w:shd w:val="clear" w:color="auto" w:fill="FFFFFF"/>
          </w:tcPr>
          <w:p w14:paraId="3C64157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669841A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0.2181</w:t>
            </w:r>
          </w:p>
        </w:tc>
        <w:tc>
          <w:tcPr>
            <w:tcW w:w="274" w:type="pct"/>
            <w:tcBorders>
              <w:left w:val="nil"/>
              <w:right w:val="nil"/>
            </w:tcBorders>
            <w:shd w:val="clear" w:color="auto" w:fill="FFFFFF"/>
            <w:vAlign w:val="center"/>
          </w:tcPr>
          <w:p w14:paraId="7A1CAD0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7373F6" w14:paraId="700C1CB2" w14:textId="77777777" w:rsidTr="007008AE">
        <w:trPr>
          <w:trHeight w:val="280"/>
        </w:trPr>
        <w:tc>
          <w:tcPr>
            <w:tcW w:w="803" w:type="pct"/>
            <w:tcBorders>
              <w:left w:val="nil"/>
              <w:right w:val="nil"/>
            </w:tcBorders>
            <w:shd w:val="clear" w:color="auto" w:fill="FFFFFF"/>
          </w:tcPr>
          <w:p w14:paraId="334EB519" w14:textId="77777777" w:rsidR="007373F6" w:rsidRDefault="00000000">
            <w:pPr>
              <w:spacing w:after="0" w:line="240" w:lineRule="auto"/>
              <w:jc w:val="both"/>
              <w:rPr>
                <w:rFonts w:ascii="Times New Roman" w:eastAsia="Times New Roman" w:hAnsi="Times New Roman" w:cs="Times New Roman"/>
                <w:color w:val="000000"/>
                <w:sz w:val="18"/>
                <w:szCs w:val="18"/>
              </w:rPr>
            </w:pPr>
            <w:sdt>
              <w:sdtPr>
                <w:tag w:val="goog_rdk_140"/>
                <w:id w:val="1477346162"/>
              </w:sdtPr>
              <w:sdtContent>
                <w:r>
                  <w:rPr>
                    <w:rFonts w:ascii="Arial Unicode MS" w:eastAsia="Arial Unicode MS" w:hAnsi="Arial Unicode MS" w:cs="Arial Unicode MS"/>
                    <w:color w:val="000000"/>
                    <w:sz w:val="18"/>
                    <w:szCs w:val="18"/>
                  </w:rPr>
                  <w:t xml:space="preserve">　</w:t>
                </w:r>
              </w:sdtContent>
            </w:sdt>
          </w:p>
        </w:tc>
        <w:tc>
          <w:tcPr>
            <w:tcW w:w="444" w:type="pct"/>
            <w:tcBorders>
              <w:left w:val="nil"/>
              <w:right w:val="nil"/>
            </w:tcBorders>
            <w:shd w:val="clear" w:color="auto" w:fill="FFFFFF"/>
            <w:vAlign w:val="center"/>
          </w:tcPr>
          <w:p w14:paraId="6D86446A"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81" w:type="pct"/>
            <w:tcBorders>
              <w:left w:val="nil"/>
              <w:right w:val="nil"/>
            </w:tcBorders>
            <w:shd w:val="clear" w:color="auto" w:fill="FFFFFF"/>
          </w:tcPr>
          <w:p w14:paraId="52FB898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16D7ACA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vAlign w:val="center"/>
          </w:tcPr>
          <w:p w14:paraId="6B0652E2"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81" w:type="pct"/>
            <w:tcBorders>
              <w:left w:val="nil"/>
              <w:right w:val="nil"/>
            </w:tcBorders>
            <w:shd w:val="clear" w:color="auto" w:fill="FFFFFF"/>
          </w:tcPr>
          <w:p w14:paraId="6CA6A35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4FD5D29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vAlign w:val="center"/>
          </w:tcPr>
          <w:p w14:paraId="58FDDB4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86" w:type="pct"/>
            <w:tcBorders>
              <w:left w:val="nil"/>
              <w:right w:val="nil"/>
            </w:tcBorders>
            <w:shd w:val="clear" w:color="auto" w:fill="FFFFFF"/>
          </w:tcPr>
          <w:p w14:paraId="1DD2118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1EF64C1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69D2F4F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74" w:type="pct"/>
            <w:tcBorders>
              <w:left w:val="nil"/>
              <w:right w:val="nil"/>
            </w:tcBorders>
            <w:shd w:val="clear" w:color="auto" w:fill="FFFFFF"/>
          </w:tcPr>
          <w:p w14:paraId="5D0C67F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3FFC7BF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542B9BE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(0.000)</w:t>
            </w:r>
          </w:p>
        </w:tc>
        <w:tc>
          <w:tcPr>
            <w:tcW w:w="274" w:type="pct"/>
            <w:tcBorders>
              <w:left w:val="nil"/>
              <w:right w:val="nil"/>
            </w:tcBorders>
            <w:shd w:val="clear" w:color="auto" w:fill="FFFFFF"/>
          </w:tcPr>
          <w:p w14:paraId="2808AE1B"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17574547" w14:textId="77777777" w:rsidTr="007008AE">
        <w:trPr>
          <w:trHeight w:val="280"/>
        </w:trPr>
        <w:tc>
          <w:tcPr>
            <w:tcW w:w="803" w:type="pct"/>
            <w:tcBorders>
              <w:left w:val="nil"/>
              <w:right w:val="nil"/>
            </w:tcBorders>
            <w:shd w:val="clear" w:color="auto" w:fill="FFFFFF"/>
          </w:tcPr>
          <w:p w14:paraId="1BB5BF2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INDUSTRY</w:t>
            </w:r>
          </w:p>
        </w:tc>
        <w:tc>
          <w:tcPr>
            <w:tcW w:w="444" w:type="pct"/>
            <w:tcBorders>
              <w:left w:val="nil"/>
              <w:right w:val="nil"/>
            </w:tcBorders>
            <w:shd w:val="clear" w:color="auto" w:fill="FFFFFF"/>
            <w:vAlign w:val="center"/>
          </w:tcPr>
          <w:p w14:paraId="26739AA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Yes</w:t>
            </w:r>
          </w:p>
        </w:tc>
        <w:tc>
          <w:tcPr>
            <w:tcW w:w="281" w:type="pct"/>
            <w:tcBorders>
              <w:left w:val="nil"/>
              <w:right w:val="nil"/>
            </w:tcBorders>
            <w:shd w:val="clear" w:color="auto" w:fill="FFFFFF"/>
          </w:tcPr>
          <w:p w14:paraId="3C01D8A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2DE2726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vAlign w:val="center"/>
          </w:tcPr>
          <w:p w14:paraId="634B1E5F"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Yes</w:t>
            </w:r>
          </w:p>
        </w:tc>
        <w:tc>
          <w:tcPr>
            <w:tcW w:w="281" w:type="pct"/>
            <w:tcBorders>
              <w:left w:val="nil"/>
              <w:right w:val="nil"/>
            </w:tcBorders>
            <w:shd w:val="clear" w:color="auto" w:fill="FFFFFF"/>
          </w:tcPr>
          <w:p w14:paraId="53D91D9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4B5220F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vAlign w:val="center"/>
          </w:tcPr>
          <w:p w14:paraId="28C6C8F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Yes</w:t>
            </w:r>
          </w:p>
        </w:tc>
        <w:tc>
          <w:tcPr>
            <w:tcW w:w="286" w:type="pct"/>
            <w:tcBorders>
              <w:left w:val="nil"/>
              <w:right w:val="nil"/>
            </w:tcBorders>
            <w:shd w:val="clear" w:color="auto" w:fill="FFFFFF"/>
          </w:tcPr>
          <w:p w14:paraId="6D19936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0938120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4717B6D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Yes</w:t>
            </w:r>
          </w:p>
        </w:tc>
        <w:tc>
          <w:tcPr>
            <w:tcW w:w="274" w:type="pct"/>
            <w:tcBorders>
              <w:left w:val="nil"/>
              <w:right w:val="nil"/>
            </w:tcBorders>
            <w:shd w:val="clear" w:color="auto" w:fill="FFFFFF"/>
          </w:tcPr>
          <w:p w14:paraId="73CEF17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512FA8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2422478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Yes</w:t>
            </w:r>
          </w:p>
        </w:tc>
        <w:tc>
          <w:tcPr>
            <w:tcW w:w="274" w:type="pct"/>
            <w:tcBorders>
              <w:left w:val="nil"/>
              <w:right w:val="nil"/>
            </w:tcBorders>
            <w:shd w:val="clear" w:color="auto" w:fill="FFFFFF"/>
          </w:tcPr>
          <w:p w14:paraId="521F56F1"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7DBAF3BC" w14:textId="77777777" w:rsidTr="007008AE">
        <w:trPr>
          <w:trHeight w:val="280"/>
        </w:trPr>
        <w:tc>
          <w:tcPr>
            <w:tcW w:w="803" w:type="pct"/>
            <w:tcBorders>
              <w:left w:val="nil"/>
              <w:bottom w:val="single" w:sz="4" w:space="0" w:color="000000"/>
              <w:right w:val="nil"/>
            </w:tcBorders>
            <w:shd w:val="clear" w:color="auto" w:fill="FFFFFF"/>
            <w:vAlign w:val="center"/>
          </w:tcPr>
          <w:p w14:paraId="0A09739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YEAR</w:t>
            </w:r>
          </w:p>
        </w:tc>
        <w:tc>
          <w:tcPr>
            <w:tcW w:w="444" w:type="pct"/>
            <w:tcBorders>
              <w:left w:val="nil"/>
              <w:bottom w:val="single" w:sz="4" w:space="0" w:color="000000"/>
              <w:right w:val="nil"/>
            </w:tcBorders>
            <w:shd w:val="clear" w:color="auto" w:fill="FFFFFF"/>
            <w:vAlign w:val="center"/>
          </w:tcPr>
          <w:p w14:paraId="27A3FD3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1" w:type="pct"/>
            <w:tcBorders>
              <w:left w:val="nil"/>
              <w:bottom w:val="single" w:sz="4" w:space="0" w:color="000000"/>
              <w:right w:val="nil"/>
            </w:tcBorders>
            <w:shd w:val="clear" w:color="auto" w:fill="FFFFFF"/>
          </w:tcPr>
          <w:p w14:paraId="5935D18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bottom w:val="single" w:sz="4" w:space="0" w:color="000000"/>
              <w:right w:val="nil"/>
            </w:tcBorders>
            <w:shd w:val="clear" w:color="auto" w:fill="FFFFFF"/>
          </w:tcPr>
          <w:p w14:paraId="00B47B9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bottom w:val="single" w:sz="4" w:space="0" w:color="000000"/>
              <w:right w:val="nil"/>
            </w:tcBorders>
            <w:shd w:val="clear" w:color="auto" w:fill="FFFFFF"/>
            <w:vAlign w:val="center"/>
          </w:tcPr>
          <w:p w14:paraId="26F53AC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1" w:type="pct"/>
            <w:tcBorders>
              <w:left w:val="nil"/>
              <w:bottom w:val="single" w:sz="4" w:space="0" w:color="000000"/>
              <w:right w:val="nil"/>
            </w:tcBorders>
            <w:shd w:val="clear" w:color="auto" w:fill="FFFFFF"/>
          </w:tcPr>
          <w:p w14:paraId="28DB9FC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bottom w:val="single" w:sz="4" w:space="0" w:color="000000"/>
              <w:right w:val="nil"/>
            </w:tcBorders>
            <w:shd w:val="clear" w:color="auto" w:fill="FFFFFF"/>
          </w:tcPr>
          <w:p w14:paraId="0C8CA9D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bottom w:val="single" w:sz="4" w:space="0" w:color="000000"/>
              <w:right w:val="nil"/>
            </w:tcBorders>
            <w:shd w:val="clear" w:color="auto" w:fill="FFFFFF"/>
            <w:vAlign w:val="center"/>
          </w:tcPr>
          <w:p w14:paraId="0B5B419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86" w:type="pct"/>
            <w:tcBorders>
              <w:left w:val="nil"/>
              <w:bottom w:val="single" w:sz="4" w:space="0" w:color="000000"/>
              <w:right w:val="nil"/>
            </w:tcBorders>
            <w:shd w:val="clear" w:color="auto" w:fill="FFFFFF"/>
          </w:tcPr>
          <w:p w14:paraId="46F0998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bottom w:val="single" w:sz="4" w:space="0" w:color="000000"/>
              <w:right w:val="nil"/>
            </w:tcBorders>
            <w:shd w:val="clear" w:color="auto" w:fill="FFFFFF"/>
          </w:tcPr>
          <w:p w14:paraId="173DE94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bottom w:val="single" w:sz="4" w:space="0" w:color="000000"/>
              <w:right w:val="nil"/>
            </w:tcBorders>
            <w:shd w:val="clear" w:color="auto" w:fill="FFFFFF"/>
          </w:tcPr>
          <w:p w14:paraId="3D2B313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274" w:type="pct"/>
            <w:tcBorders>
              <w:left w:val="nil"/>
              <w:bottom w:val="single" w:sz="4" w:space="0" w:color="000000"/>
              <w:right w:val="nil"/>
            </w:tcBorders>
            <w:shd w:val="clear" w:color="auto" w:fill="FFFFFF"/>
          </w:tcPr>
          <w:p w14:paraId="3D0CF94E"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bottom w:val="single" w:sz="4" w:space="0" w:color="000000"/>
              <w:right w:val="nil"/>
            </w:tcBorders>
            <w:shd w:val="clear" w:color="auto" w:fill="FFFFFF"/>
          </w:tcPr>
          <w:p w14:paraId="35C500C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bottom w:val="single" w:sz="4" w:space="0" w:color="000000"/>
              <w:right w:val="nil"/>
            </w:tcBorders>
            <w:shd w:val="clear" w:color="auto" w:fill="FFFFFF"/>
            <w:vAlign w:val="center"/>
          </w:tcPr>
          <w:p w14:paraId="61BA904D"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Yes</w:t>
            </w:r>
          </w:p>
        </w:tc>
        <w:tc>
          <w:tcPr>
            <w:tcW w:w="274" w:type="pct"/>
            <w:tcBorders>
              <w:left w:val="nil"/>
              <w:bottom w:val="single" w:sz="4" w:space="0" w:color="000000"/>
              <w:right w:val="nil"/>
            </w:tcBorders>
            <w:shd w:val="clear" w:color="auto" w:fill="FFFFFF"/>
          </w:tcPr>
          <w:p w14:paraId="4D3ECFE9"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6FCE6676" w14:textId="77777777" w:rsidTr="007008AE">
        <w:trPr>
          <w:trHeight w:val="280"/>
        </w:trPr>
        <w:tc>
          <w:tcPr>
            <w:tcW w:w="803" w:type="pct"/>
            <w:tcBorders>
              <w:left w:val="nil"/>
              <w:right w:val="nil"/>
            </w:tcBorders>
            <w:shd w:val="clear" w:color="auto" w:fill="FFFFFF"/>
            <w:vAlign w:val="center"/>
          </w:tcPr>
          <w:p w14:paraId="0825683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Observations</w:t>
            </w:r>
          </w:p>
        </w:tc>
        <w:tc>
          <w:tcPr>
            <w:tcW w:w="444" w:type="pct"/>
            <w:tcBorders>
              <w:left w:val="nil"/>
              <w:right w:val="nil"/>
            </w:tcBorders>
            <w:shd w:val="clear" w:color="auto" w:fill="FFFFFF"/>
            <w:vAlign w:val="center"/>
          </w:tcPr>
          <w:p w14:paraId="1E1ABAB4"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4,019</w:t>
            </w:r>
          </w:p>
        </w:tc>
        <w:tc>
          <w:tcPr>
            <w:tcW w:w="281" w:type="pct"/>
            <w:tcBorders>
              <w:left w:val="nil"/>
              <w:right w:val="nil"/>
            </w:tcBorders>
            <w:shd w:val="clear" w:color="auto" w:fill="FFFFFF"/>
          </w:tcPr>
          <w:p w14:paraId="027946E3"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01A12E7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vAlign w:val="center"/>
          </w:tcPr>
          <w:p w14:paraId="1F81117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4,018</w:t>
            </w:r>
          </w:p>
        </w:tc>
        <w:tc>
          <w:tcPr>
            <w:tcW w:w="281" w:type="pct"/>
            <w:tcBorders>
              <w:left w:val="nil"/>
              <w:right w:val="nil"/>
            </w:tcBorders>
            <w:shd w:val="clear" w:color="auto" w:fill="FFFFFF"/>
          </w:tcPr>
          <w:p w14:paraId="358882A1"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1083736"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vAlign w:val="center"/>
          </w:tcPr>
          <w:p w14:paraId="433AF72C"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3,989</w:t>
            </w:r>
          </w:p>
        </w:tc>
        <w:tc>
          <w:tcPr>
            <w:tcW w:w="286" w:type="pct"/>
            <w:tcBorders>
              <w:left w:val="nil"/>
              <w:right w:val="nil"/>
            </w:tcBorders>
            <w:shd w:val="clear" w:color="auto" w:fill="FFFFFF"/>
          </w:tcPr>
          <w:p w14:paraId="482923A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D4ABC1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671F0EE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3,989</w:t>
            </w:r>
          </w:p>
        </w:tc>
        <w:tc>
          <w:tcPr>
            <w:tcW w:w="274" w:type="pct"/>
            <w:tcBorders>
              <w:left w:val="nil"/>
              <w:right w:val="nil"/>
            </w:tcBorders>
            <w:shd w:val="clear" w:color="auto" w:fill="FFFFFF"/>
          </w:tcPr>
          <w:p w14:paraId="2D8ABB0F"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3E3708D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6059EFA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4,019</w:t>
            </w:r>
          </w:p>
        </w:tc>
        <w:tc>
          <w:tcPr>
            <w:tcW w:w="274" w:type="pct"/>
            <w:tcBorders>
              <w:left w:val="nil"/>
              <w:right w:val="nil"/>
            </w:tcBorders>
            <w:shd w:val="clear" w:color="auto" w:fill="FFFFFF"/>
          </w:tcPr>
          <w:p w14:paraId="754B9635"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7686D4BE" w14:textId="77777777" w:rsidTr="007008AE">
        <w:trPr>
          <w:trHeight w:val="280"/>
        </w:trPr>
        <w:tc>
          <w:tcPr>
            <w:tcW w:w="803" w:type="pct"/>
            <w:tcBorders>
              <w:left w:val="nil"/>
              <w:right w:val="nil"/>
            </w:tcBorders>
            <w:shd w:val="clear" w:color="auto" w:fill="FFFFFF"/>
            <w:vAlign w:val="center"/>
          </w:tcPr>
          <w:p w14:paraId="5C3DBCC5"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R</w:t>
            </w:r>
            <w:r>
              <w:rPr>
                <w:rFonts w:ascii="Times New Roman" w:eastAsia="Times New Roman" w:hAnsi="Times New Roman" w:cs="Times New Roman"/>
                <w:color w:val="000000"/>
                <w:sz w:val="18"/>
                <w:szCs w:val="18"/>
                <w:vertAlign w:val="superscript"/>
              </w:rPr>
              <w:t>2</w:t>
            </w:r>
          </w:p>
        </w:tc>
        <w:tc>
          <w:tcPr>
            <w:tcW w:w="444" w:type="pct"/>
            <w:tcBorders>
              <w:left w:val="nil"/>
              <w:right w:val="nil"/>
            </w:tcBorders>
            <w:shd w:val="clear" w:color="auto" w:fill="FFFFFF"/>
            <w:vAlign w:val="center"/>
          </w:tcPr>
          <w:p w14:paraId="477FADCE"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0.177</w:t>
            </w:r>
          </w:p>
        </w:tc>
        <w:tc>
          <w:tcPr>
            <w:tcW w:w="281" w:type="pct"/>
            <w:tcBorders>
              <w:left w:val="nil"/>
              <w:right w:val="nil"/>
            </w:tcBorders>
            <w:shd w:val="clear" w:color="auto" w:fill="FFFFFF"/>
          </w:tcPr>
          <w:p w14:paraId="083B825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6E032607"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right w:val="nil"/>
            </w:tcBorders>
            <w:shd w:val="clear" w:color="auto" w:fill="FFFFFF"/>
            <w:vAlign w:val="center"/>
          </w:tcPr>
          <w:p w14:paraId="09D6DB2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0.177</w:t>
            </w:r>
          </w:p>
        </w:tc>
        <w:tc>
          <w:tcPr>
            <w:tcW w:w="281" w:type="pct"/>
            <w:tcBorders>
              <w:left w:val="nil"/>
              <w:right w:val="nil"/>
            </w:tcBorders>
            <w:shd w:val="clear" w:color="auto" w:fill="FFFFFF"/>
          </w:tcPr>
          <w:p w14:paraId="12A1026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45E6614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right w:val="nil"/>
            </w:tcBorders>
            <w:shd w:val="clear" w:color="auto" w:fill="FFFFFF"/>
            <w:vAlign w:val="center"/>
          </w:tcPr>
          <w:p w14:paraId="322F4A5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0.178</w:t>
            </w:r>
          </w:p>
        </w:tc>
        <w:tc>
          <w:tcPr>
            <w:tcW w:w="286" w:type="pct"/>
            <w:tcBorders>
              <w:left w:val="nil"/>
              <w:right w:val="nil"/>
            </w:tcBorders>
            <w:shd w:val="clear" w:color="auto" w:fill="FFFFFF"/>
          </w:tcPr>
          <w:p w14:paraId="5B43F27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58BA0A5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right w:val="nil"/>
            </w:tcBorders>
            <w:shd w:val="clear" w:color="auto" w:fill="FFFFFF"/>
          </w:tcPr>
          <w:p w14:paraId="742C55AB"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0.178</w:t>
            </w:r>
          </w:p>
        </w:tc>
        <w:tc>
          <w:tcPr>
            <w:tcW w:w="274" w:type="pct"/>
            <w:tcBorders>
              <w:left w:val="nil"/>
              <w:right w:val="nil"/>
            </w:tcBorders>
            <w:shd w:val="clear" w:color="auto" w:fill="FFFFFF"/>
          </w:tcPr>
          <w:p w14:paraId="63DF70B0"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right w:val="nil"/>
            </w:tcBorders>
            <w:shd w:val="clear" w:color="auto" w:fill="FFFFFF"/>
          </w:tcPr>
          <w:p w14:paraId="0DF2FB9D"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right w:val="nil"/>
            </w:tcBorders>
            <w:shd w:val="clear" w:color="auto" w:fill="FFFFFF"/>
            <w:vAlign w:val="center"/>
          </w:tcPr>
          <w:p w14:paraId="3DAB6A3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0.182</w:t>
            </w:r>
          </w:p>
        </w:tc>
        <w:tc>
          <w:tcPr>
            <w:tcW w:w="274" w:type="pct"/>
            <w:tcBorders>
              <w:left w:val="nil"/>
              <w:right w:val="nil"/>
            </w:tcBorders>
            <w:shd w:val="clear" w:color="auto" w:fill="FFFFFF"/>
          </w:tcPr>
          <w:p w14:paraId="74157718"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r w:rsidR="007373F6" w14:paraId="525900A8" w14:textId="77777777" w:rsidTr="007008AE">
        <w:trPr>
          <w:trHeight w:val="280"/>
        </w:trPr>
        <w:tc>
          <w:tcPr>
            <w:tcW w:w="803" w:type="pct"/>
            <w:tcBorders>
              <w:left w:val="nil"/>
              <w:bottom w:val="single" w:sz="4" w:space="0" w:color="000000"/>
              <w:right w:val="nil"/>
            </w:tcBorders>
            <w:shd w:val="clear" w:color="auto" w:fill="FFFFFF"/>
            <w:vAlign w:val="center"/>
          </w:tcPr>
          <w:p w14:paraId="2D9C7523" w14:textId="77777777" w:rsidR="007373F6" w:rsidRDefault="00000000">
            <w:pPr>
              <w:spacing w:after="0" w:line="240" w:lineRule="auto"/>
              <w:jc w:val="both"/>
              <w:rPr>
                <w:rFonts w:ascii="Times New Roman" w:eastAsia="Times New Roman" w:hAnsi="Times New Roman" w:cs="Times New Roman"/>
                <w:color w:val="000000"/>
                <w:sz w:val="18"/>
                <w:szCs w:val="18"/>
              </w:rPr>
            </w:pPr>
            <w:proofErr w:type="spellStart"/>
            <w:r>
              <w:rPr>
                <w:rFonts w:ascii="Times New Roman" w:eastAsia="Times New Roman" w:hAnsi="Times New Roman" w:cs="Times New Roman"/>
                <w:color w:val="000000"/>
                <w:sz w:val="20"/>
                <w:szCs w:val="20"/>
              </w:rPr>
              <w:t>Adj</w:t>
            </w:r>
            <w:proofErr w:type="spellEnd"/>
            <w:r>
              <w:rPr>
                <w:rFonts w:ascii="Times New Roman" w:eastAsia="Times New Roman" w:hAnsi="Times New Roman" w:cs="Times New Roman"/>
                <w:color w:val="000000"/>
                <w:sz w:val="18"/>
                <w:szCs w:val="18"/>
              </w:rPr>
              <w:t xml:space="preserve"> R</w:t>
            </w:r>
            <w:r>
              <w:rPr>
                <w:rFonts w:ascii="Times New Roman" w:eastAsia="Times New Roman" w:hAnsi="Times New Roman" w:cs="Times New Roman"/>
                <w:color w:val="000000"/>
                <w:sz w:val="18"/>
                <w:szCs w:val="18"/>
                <w:vertAlign w:val="superscript"/>
              </w:rPr>
              <w:t>2</w:t>
            </w:r>
          </w:p>
        </w:tc>
        <w:tc>
          <w:tcPr>
            <w:tcW w:w="444" w:type="pct"/>
            <w:tcBorders>
              <w:left w:val="nil"/>
              <w:bottom w:val="single" w:sz="4" w:space="0" w:color="000000"/>
              <w:right w:val="nil"/>
            </w:tcBorders>
            <w:shd w:val="clear" w:color="auto" w:fill="FFFFFF"/>
            <w:vAlign w:val="center"/>
          </w:tcPr>
          <w:p w14:paraId="664679C8"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0.170</w:t>
            </w:r>
          </w:p>
        </w:tc>
        <w:tc>
          <w:tcPr>
            <w:tcW w:w="281" w:type="pct"/>
            <w:tcBorders>
              <w:left w:val="nil"/>
              <w:bottom w:val="single" w:sz="4" w:space="0" w:color="000000"/>
              <w:right w:val="nil"/>
            </w:tcBorders>
            <w:shd w:val="clear" w:color="auto" w:fill="FFFFFF"/>
          </w:tcPr>
          <w:p w14:paraId="38BAE518"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bottom w:val="single" w:sz="4" w:space="0" w:color="000000"/>
              <w:right w:val="nil"/>
            </w:tcBorders>
            <w:shd w:val="clear" w:color="auto" w:fill="FFFFFF"/>
          </w:tcPr>
          <w:p w14:paraId="74F391B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49" w:type="pct"/>
            <w:tcBorders>
              <w:left w:val="nil"/>
              <w:bottom w:val="single" w:sz="4" w:space="0" w:color="000000"/>
              <w:right w:val="nil"/>
            </w:tcBorders>
            <w:shd w:val="clear" w:color="auto" w:fill="FFFFFF"/>
            <w:vAlign w:val="center"/>
          </w:tcPr>
          <w:p w14:paraId="3F2A5567"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0.170</w:t>
            </w:r>
          </w:p>
        </w:tc>
        <w:tc>
          <w:tcPr>
            <w:tcW w:w="281" w:type="pct"/>
            <w:tcBorders>
              <w:left w:val="nil"/>
              <w:bottom w:val="single" w:sz="4" w:space="0" w:color="000000"/>
              <w:right w:val="nil"/>
            </w:tcBorders>
            <w:shd w:val="clear" w:color="auto" w:fill="FFFFFF"/>
          </w:tcPr>
          <w:p w14:paraId="561B192C"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bottom w:val="single" w:sz="4" w:space="0" w:color="000000"/>
              <w:right w:val="nil"/>
            </w:tcBorders>
            <w:shd w:val="clear" w:color="auto" w:fill="FFFFFF"/>
          </w:tcPr>
          <w:p w14:paraId="68A19522"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58" w:type="pct"/>
            <w:tcBorders>
              <w:left w:val="nil"/>
              <w:bottom w:val="single" w:sz="4" w:space="0" w:color="000000"/>
              <w:right w:val="nil"/>
            </w:tcBorders>
            <w:shd w:val="clear" w:color="auto" w:fill="FFFFFF"/>
            <w:vAlign w:val="center"/>
          </w:tcPr>
          <w:p w14:paraId="19E325A0"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0.171</w:t>
            </w:r>
          </w:p>
        </w:tc>
        <w:tc>
          <w:tcPr>
            <w:tcW w:w="286" w:type="pct"/>
            <w:tcBorders>
              <w:left w:val="nil"/>
              <w:bottom w:val="single" w:sz="4" w:space="0" w:color="000000"/>
              <w:right w:val="nil"/>
            </w:tcBorders>
            <w:shd w:val="clear" w:color="auto" w:fill="FFFFFF"/>
          </w:tcPr>
          <w:p w14:paraId="3A2730A9"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bottom w:val="single" w:sz="4" w:space="0" w:color="000000"/>
              <w:right w:val="nil"/>
            </w:tcBorders>
            <w:shd w:val="clear" w:color="auto" w:fill="FFFFFF"/>
          </w:tcPr>
          <w:p w14:paraId="0C828C74"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63" w:type="pct"/>
            <w:tcBorders>
              <w:left w:val="nil"/>
              <w:bottom w:val="single" w:sz="4" w:space="0" w:color="000000"/>
              <w:right w:val="nil"/>
            </w:tcBorders>
            <w:shd w:val="clear" w:color="auto" w:fill="FFFFFF"/>
          </w:tcPr>
          <w:p w14:paraId="0752F571"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0.171</w:t>
            </w:r>
          </w:p>
        </w:tc>
        <w:tc>
          <w:tcPr>
            <w:tcW w:w="274" w:type="pct"/>
            <w:tcBorders>
              <w:left w:val="nil"/>
              <w:bottom w:val="single" w:sz="4" w:space="0" w:color="000000"/>
              <w:right w:val="nil"/>
            </w:tcBorders>
            <w:shd w:val="clear" w:color="auto" w:fill="FFFFFF"/>
          </w:tcPr>
          <w:p w14:paraId="149EA57A"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128" w:type="pct"/>
            <w:tcBorders>
              <w:left w:val="nil"/>
              <w:bottom w:val="single" w:sz="4" w:space="0" w:color="000000"/>
              <w:right w:val="nil"/>
            </w:tcBorders>
            <w:shd w:val="clear" w:color="auto" w:fill="FFFFFF"/>
          </w:tcPr>
          <w:p w14:paraId="253F005B" w14:textId="77777777" w:rsidR="007373F6" w:rsidRDefault="007373F6">
            <w:pPr>
              <w:spacing w:after="0" w:line="240" w:lineRule="auto"/>
              <w:jc w:val="both"/>
              <w:rPr>
                <w:rFonts w:ascii="Times New Roman" w:eastAsia="Times New Roman" w:hAnsi="Times New Roman" w:cs="Times New Roman"/>
                <w:color w:val="000000"/>
                <w:sz w:val="18"/>
                <w:szCs w:val="18"/>
              </w:rPr>
            </w:pPr>
          </w:p>
        </w:tc>
        <w:tc>
          <w:tcPr>
            <w:tcW w:w="475" w:type="pct"/>
            <w:tcBorders>
              <w:left w:val="nil"/>
              <w:bottom w:val="single" w:sz="4" w:space="0" w:color="000000"/>
              <w:right w:val="nil"/>
            </w:tcBorders>
            <w:shd w:val="clear" w:color="auto" w:fill="FFFFFF"/>
            <w:vAlign w:val="center"/>
          </w:tcPr>
          <w:p w14:paraId="7CFD5E06" w14:textId="77777777" w:rsidR="007373F6" w:rsidRDefault="00000000">
            <w:pPr>
              <w:spacing w:after="0" w:line="240" w:lineRule="auto"/>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0.173</w:t>
            </w:r>
          </w:p>
        </w:tc>
        <w:tc>
          <w:tcPr>
            <w:tcW w:w="274" w:type="pct"/>
            <w:tcBorders>
              <w:left w:val="nil"/>
              <w:bottom w:val="single" w:sz="4" w:space="0" w:color="000000"/>
              <w:right w:val="nil"/>
            </w:tcBorders>
            <w:shd w:val="clear" w:color="auto" w:fill="FFFFFF"/>
          </w:tcPr>
          <w:p w14:paraId="1F0D0A83" w14:textId="77777777" w:rsidR="007373F6" w:rsidRDefault="007373F6">
            <w:pPr>
              <w:spacing w:after="0" w:line="240" w:lineRule="auto"/>
              <w:jc w:val="both"/>
              <w:rPr>
                <w:rFonts w:ascii="Times New Roman" w:eastAsia="Times New Roman" w:hAnsi="Times New Roman" w:cs="Times New Roman"/>
                <w:color w:val="000000"/>
                <w:sz w:val="18"/>
                <w:szCs w:val="18"/>
              </w:rPr>
            </w:pPr>
          </w:p>
        </w:tc>
      </w:tr>
    </w:tbl>
    <w:p w14:paraId="3B7B084B" w14:textId="77777777" w:rsidR="007373F6" w:rsidRDefault="00000000">
      <w:pPr>
        <w:widowControl w:val="0"/>
        <w:spacing w:before="4"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Notes: The regression results are based on an ordinary least squares estimation and show a heteroscedasticity-robust estimator based on the White and Brochu-Pagan test </w:t>
      </w:r>
      <w:proofErr w:type="spellStart"/>
      <w:r>
        <w:rPr>
          <w:rFonts w:ascii="Times New Roman" w:eastAsia="Times New Roman" w:hAnsi="Times New Roman" w:cs="Times New Roman"/>
          <w:color w:val="000000"/>
          <w:sz w:val="20"/>
          <w:szCs w:val="20"/>
        </w:rPr>
        <w:t>resultss</w:t>
      </w:r>
      <w:proofErr w:type="spellEnd"/>
      <w:r>
        <w:rPr>
          <w:rFonts w:ascii="Times New Roman" w:eastAsia="Times New Roman" w:hAnsi="Times New Roman" w:cs="Times New Roman"/>
          <w:color w:val="000000"/>
          <w:sz w:val="20"/>
          <w:szCs w:val="20"/>
        </w:rPr>
        <w:t xml:space="preserve">. p-values are given in parentheses. ***, **, and * indicate statistical significance at the 1%, 5%, and 10% levels, respectively. All continuous variables are </w:t>
      </w:r>
      <w:proofErr w:type="spellStart"/>
      <w:r>
        <w:rPr>
          <w:rFonts w:ascii="Times New Roman" w:eastAsia="Times New Roman" w:hAnsi="Times New Roman" w:cs="Times New Roman"/>
          <w:color w:val="000000"/>
          <w:sz w:val="20"/>
          <w:szCs w:val="20"/>
        </w:rPr>
        <w:t>winsorized</w:t>
      </w:r>
      <w:proofErr w:type="spellEnd"/>
      <w:r>
        <w:rPr>
          <w:rFonts w:ascii="Times New Roman" w:eastAsia="Times New Roman" w:hAnsi="Times New Roman" w:cs="Times New Roman"/>
          <w:color w:val="000000"/>
          <w:sz w:val="20"/>
          <w:szCs w:val="20"/>
        </w:rPr>
        <w:t xml:space="preserve"> at the 1st/99th percentiles to mitigate the influence of outliers.</w:t>
      </w:r>
    </w:p>
    <w:p w14:paraId="39F0406D" w14:textId="77777777" w:rsidR="007008AE" w:rsidRDefault="007008AE">
      <w:pPr>
        <w:widowControl w:val="0"/>
        <w:tabs>
          <w:tab w:val="left" w:pos="945"/>
        </w:tabs>
        <w:spacing w:after="0" w:line="240" w:lineRule="auto"/>
        <w:jc w:val="both"/>
        <w:rPr>
          <w:rFonts w:ascii="Times New Roman" w:eastAsia="Times New Roman" w:hAnsi="Times New Roman" w:cs="Times New Roman"/>
          <w:b/>
          <w:color w:val="000000"/>
          <w:sz w:val="24"/>
          <w:szCs w:val="24"/>
        </w:rPr>
      </w:pPr>
    </w:p>
    <w:p w14:paraId="796989CE" w14:textId="0A92B9D8" w:rsidR="007373F6" w:rsidRPr="007008AE" w:rsidRDefault="00000000">
      <w:pPr>
        <w:widowControl w:val="0"/>
        <w:tabs>
          <w:tab w:val="left" w:pos="945"/>
        </w:tabs>
        <w:spacing w:after="0" w:line="24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
          <w:color w:val="000000"/>
          <w:sz w:val="24"/>
          <w:szCs w:val="24"/>
        </w:rPr>
        <w:t xml:space="preserve">Appendix A: </w:t>
      </w:r>
      <w:r w:rsidRPr="007008AE">
        <w:rPr>
          <w:rFonts w:ascii="Times New Roman" w:eastAsia="Times New Roman" w:hAnsi="Times New Roman" w:cs="Times New Roman"/>
          <w:bCs/>
          <w:color w:val="000000"/>
          <w:sz w:val="24"/>
          <w:szCs w:val="24"/>
        </w:rPr>
        <w:t>Literature on the relationship between IFRS adoption and foreign investment</w:t>
      </w:r>
    </w:p>
    <w:tbl>
      <w:tblPr>
        <w:tblStyle w:val="af4"/>
        <w:tblW w:w="9026" w:type="dxa"/>
        <w:tblLayout w:type="fixed"/>
        <w:tblLook w:val="0400" w:firstRow="0" w:lastRow="0" w:firstColumn="0" w:lastColumn="0" w:noHBand="0" w:noVBand="1"/>
      </w:tblPr>
      <w:tblGrid>
        <w:gridCol w:w="1302"/>
        <w:gridCol w:w="760"/>
        <w:gridCol w:w="1037"/>
        <w:gridCol w:w="1236"/>
        <w:gridCol w:w="972"/>
        <w:gridCol w:w="2042"/>
        <w:gridCol w:w="1677"/>
      </w:tblGrid>
      <w:tr w:rsidR="007373F6" w:rsidRPr="007008AE" w14:paraId="124266A9" w14:textId="77777777">
        <w:trPr>
          <w:trHeight w:val="300"/>
        </w:trPr>
        <w:tc>
          <w:tcPr>
            <w:tcW w:w="1302" w:type="dxa"/>
            <w:tcBorders>
              <w:top w:val="single" w:sz="4" w:space="0" w:color="000000"/>
              <w:left w:val="nil"/>
              <w:bottom w:val="single" w:sz="4" w:space="0" w:color="000000"/>
              <w:right w:val="nil"/>
            </w:tcBorders>
            <w:shd w:val="clear" w:color="auto" w:fill="FFFFFF"/>
            <w:vAlign w:val="center"/>
          </w:tcPr>
          <w:p w14:paraId="60D89FC4" w14:textId="77777777" w:rsidR="007373F6" w:rsidRPr="007008AE" w:rsidRDefault="00000000">
            <w:pPr>
              <w:spacing w:after="0" w:line="240" w:lineRule="auto"/>
              <w:jc w:val="both"/>
              <w:rPr>
                <w:rFonts w:ascii="Times New Roman" w:eastAsia="Times New Roman" w:hAnsi="Times New Roman" w:cs="Times New Roman"/>
                <w:b/>
                <w:bCs/>
                <w:color w:val="000000"/>
                <w:sz w:val="20"/>
                <w:szCs w:val="20"/>
              </w:rPr>
            </w:pPr>
            <w:r w:rsidRPr="007008AE">
              <w:rPr>
                <w:rFonts w:ascii="Times New Roman" w:eastAsia="Times New Roman" w:hAnsi="Times New Roman" w:cs="Times New Roman"/>
                <w:b/>
                <w:bCs/>
                <w:color w:val="000000"/>
                <w:sz w:val="20"/>
                <w:szCs w:val="20"/>
              </w:rPr>
              <w:t>Authors</w:t>
            </w:r>
          </w:p>
        </w:tc>
        <w:tc>
          <w:tcPr>
            <w:tcW w:w="760" w:type="dxa"/>
            <w:tcBorders>
              <w:top w:val="single" w:sz="4" w:space="0" w:color="000000"/>
              <w:left w:val="nil"/>
              <w:bottom w:val="single" w:sz="4" w:space="0" w:color="000000"/>
              <w:right w:val="nil"/>
            </w:tcBorders>
            <w:shd w:val="clear" w:color="auto" w:fill="FFFFFF"/>
            <w:vAlign w:val="center"/>
          </w:tcPr>
          <w:p w14:paraId="71760CD3" w14:textId="77777777" w:rsidR="007373F6" w:rsidRPr="007008AE" w:rsidRDefault="00000000">
            <w:pPr>
              <w:spacing w:after="0" w:line="240" w:lineRule="auto"/>
              <w:jc w:val="both"/>
              <w:rPr>
                <w:rFonts w:ascii="Times New Roman" w:eastAsia="Times New Roman" w:hAnsi="Times New Roman" w:cs="Times New Roman"/>
                <w:b/>
                <w:bCs/>
                <w:color w:val="000000"/>
                <w:sz w:val="20"/>
                <w:szCs w:val="20"/>
              </w:rPr>
            </w:pPr>
            <w:r w:rsidRPr="007008AE">
              <w:rPr>
                <w:rFonts w:ascii="Times New Roman" w:eastAsia="Times New Roman" w:hAnsi="Times New Roman" w:cs="Times New Roman"/>
                <w:b/>
                <w:bCs/>
                <w:color w:val="000000"/>
                <w:sz w:val="20"/>
                <w:szCs w:val="20"/>
              </w:rPr>
              <w:t>(Year)</w:t>
            </w:r>
          </w:p>
        </w:tc>
        <w:tc>
          <w:tcPr>
            <w:tcW w:w="1037" w:type="dxa"/>
            <w:tcBorders>
              <w:top w:val="single" w:sz="4" w:space="0" w:color="000000"/>
              <w:left w:val="nil"/>
              <w:bottom w:val="single" w:sz="4" w:space="0" w:color="000000"/>
              <w:right w:val="nil"/>
            </w:tcBorders>
            <w:shd w:val="clear" w:color="auto" w:fill="FFFFFF"/>
            <w:vAlign w:val="center"/>
          </w:tcPr>
          <w:p w14:paraId="58D6E6B3" w14:textId="77777777" w:rsidR="007373F6" w:rsidRPr="007008AE" w:rsidRDefault="00000000">
            <w:pPr>
              <w:spacing w:after="0" w:line="240" w:lineRule="auto"/>
              <w:jc w:val="both"/>
              <w:rPr>
                <w:rFonts w:ascii="Times New Roman" w:eastAsia="Times New Roman" w:hAnsi="Times New Roman" w:cs="Times New Roman"/>
                <w:b/>
                <w:bCs/>
                <w:color w:val="000000"/>
                <w:sz w:val="20"/>
                <w:szCs w:val="20"/>
              </w:rPr>
            </w:pPr>
            <w:r w:rsidRPr="007008AE">
              <w:rPr>
                <w:rFonts w:ascii="Times New Roman" w:eastAsia="Times New Roman" w:hAnsi="Times New Roman" w:cs="Times New Roman"/>
                <w:b/>
                <w:bCs/>
                <w:color w:val="000000"/>
                <w:sz w:val="20"/>
                <w:szCs w:val="20"/>
              </w:rPr>
              <w:t>Countries</w:t>
            </w:r>
          </w:p>
        </w:tc>
        <w:tc>
          <w:tcPr>
            <w:tcW w:w="1236" w:type="dxa"/>
            <w:tcBorders>
              <w:top w:val="single" w:sz="4" w:space="0" w:color="000000"/>
              <w:left w:val="nil"/>
              <w:bottom w:val="single" w:sz="4" w:space="0" w:color="000000"/>
              <w:right w:val="nil"/>
            </w:tcBorders>
            <w:shd w:val="clear" w:color="auto" w:fill="FFFFFF"/>
            <w:vAlign w:val="center"/>
          </w:tcPr>
          <w:p w14:paraId="475D382B" w14:textId="77777777" w:rsidR="007373F6" w:rsidRPr="007008AE" w:rsidRDefault="00000000">
            <w:pPr>
              <w:spacing w:after="0" w:line="240" w:lineRule="auto"/>
              <w:jc w:val="both"/>
              <w:rPr>
                <w:rFonts w:ascii="Times New Roman" w:eastAsia="Times New Roman" w:hAnsi="Times New Roman" w:cs="Times New Roman"/>
                <w:b/>
                <w:bCs/>
                <w:color w:val="000000"/>
                <w:sz w:val="20"/>
                <w:szCs w:val="20"/>
              </w:rPr>
            </w:pPr>
            <w:r w:rsidRPr="007008AE">
              <w:rPr>
                <w:rFonts w:ascii="Times New Roman" w:eastAsia="Times New Roman" w:hAnsi="Times New Roman" w:cs="Times New Roman"/>
                <w:b/>
                <w:bCs/>
                <w:color w:val="000000"/>
                <w:sz w:val="20"/>
                <w:szCs w:val="20"/>
              </w:rPr>
              <w:t>Sample size</w:t>
            </w:r>
          </w:p>
        </w:tc>
        <w:tc>
          <w:tcPr>
            <w:tcW w:w="972" w:type="dxa"/>
            <w:tcBorders>
              <w:top w:val="single" w:sz="4" w:space="0" w:color="000000"/>
              <w:left w:val="nil"/>
              <w:bottom w:val="single" w:sz="4" w:space="0" w:color="000000"/>
              <w:right w:val="nil"/>
            </w:tcBorders>
            <w:shd w:val="clear" w:color="auto" w:fill="FFFFFF"/>
            <w:vAlign w:val="center"/>
          </w:tcPr>
          <w:p w14:paraId="5E40ACF9" w14:textId="77777777" w:rsidR="007373F6" w:rsidRPr="007008AE" w:rsidRDefault="00000000">
            <w:pPr>
              <w:spacing w:after="0" w:line="240" w:lineRule="auto"/>
              <w:jc w:val="both"/>
              <w:rPr>
                <w:rFonts w:ascii="Times New Roman" w:eastAsia="Times New Roman" w:hAnsi="Times New Roman" w:cs="Times New Roman"/>
                <w:b/>
                <w:bCs/>
                <w:color w:val="000000"/>
                <w:sz w:val="20"/>
                <w:szCs w:val="20"/>
              </w:rPr>
            </w:pPr>
            <w:r w:rsidRPr="007008AE">
              <w:rPr>
                <w:rFonts w:ascii="Times New Roman" w:eastAsia="Times New Roman" w:hAnsi="Times New Roman" w:cs="Times New Roman"/>
                <w:b/>
                <w:bCs/>
                <w:color w:val="000000"/>
                <w:sz w:val="20"/>
                <w:szCs w:val="20"/>
              </w:rPr>
              <w:t>Sample period</w:t>
            </w:r>
          </w:p>
        </w:tc>
        <w:tc>
          <w:tcPr>
            <w:tcW w:w="2042" w:type="dxa"/>
            <w:tcBorders>
              <w:top w:val="single" w:sz="4" w:space="0" w:color="000000"/>
              <w:left w:val="nil"/>
              <w:bottom w:val="single" w:sz="4" w:space="0" w:color="000000"/>
              <w:right w:val="nil"/>
            </w:tcBorders>
            <w:shd w:val="clear" w:color="auto" w:fill="FFFFFF"/>
            <w:vAlign w:val="center"/>
          </w:tcPr>
          <w:p w14:paraId="7238C71D" w14:textId="77777777" w:rsidR="007373F6" w:rsidRPr="007008AE" w:rsidRDefault="00000000">
            <w:pPr>
              <w:spacing w:after="0" w:line="240" w:lineRule="auto"/>
              <w:jc w:val="both"/>
              <w:rPr>
                <w:rFonts w:ascii="Times New Roman" w:eastAsia="Times New Roman" w:hAnsi="Times New Roman" w:cs="Times New Roman"/>
                <w:b/>
                <w:bCs/>
                <w:color w:val="000000"/>
                <w:sz w:val="20"/>
                <w:szCs w:val="20"/>
              </w:rPr>
            </w:pPr>
            <w:r w:rsidRPr="007008AE">
              <w:rPr>
                <w:rFonts w:ascii="Times New Roman" w:eastAsia="Times New Roman" w:hAnsi="Times New Roman" w:cs="Times New Roman"/>
                <w:b/>
                <w:bCs/>
                <w:color w:val="000000"/>
                <w:sz w:val="20"/>
                <w:szCs w:val="20"/>
              </w:rPr>
              <w:t>Dependent variable</w:t>
            </w:r>
          </w:p>
        </w:tc>
        <w:tc>
          <w:tcPr>
            <w:tcW w:w="1677" w:type="dxa"/>
            <w:tcBorders>
              <w:top w:val="single" w:sz="4" w:space="0" w:color="000000"/>
              <w:left w:val="nil"/>
              <w:bottom w:val="single" w:sz="4" w:space="0" w:color="000000"/>
              <w:right w:val="nil"/>
            </w:tcBorders>
            <w:shd w:val="clear" w:color="auto" w:fill="FFFFFF"/>
            <w:vAlign w:val="center"/>
          </w:tcPr>
          <w:p w14:paraId="073B8AA4" w14:textId="77777777" w:rsidR="007373F6" w:rsidRPr="007008AE" w:rsidRDefault="00000000">
            <w:pPr>
              <w:spacing w:after="0" w:line="240" w:lineRule="auto"/>
              <w:jc w:val="both"/>
              <w:rPr>
                <w:rFonts w:ascii="Times New Roman" w:eastAsia="Times New Roman" w:hAnsi="Times New Roman" w:cs="Times New Roman"/>
                <w:b/>
                <w:bCs/>
                <w:color w:val="000000"/>
                <w:sz w:val="20"/>
                <w:szCs w:val="20"/>
              </w:rPr>
            </w:pPr>
            <w:r w:rsidRPr="007008AE">
              <w:rPr>
                <w:rFonts w:ascii="Times New Roman" w:eastAsia="Times New Roman" w:hAnsi="Times New Roman" w:cs="Times New Roman"/>
                <w:b/>
                <w:bCs/>
                <w:color w:val="000000"/>
                <w:sz w:val="20"/>
                <w:szCs w:val="20"/>
              </w:rPr>
              <w:t>Independent variables</w:t>
            </w:r>
          </w:p>
        </w:tc>
      </w:tr>
      <w:tr w:rsidR="007373F6" w14:paraId="65D2CB30" w14:textId="77777777">
        <w:trPr>
          <w:trHeight w:val="600"/>
        </w:trPr>
        <w:tc>
          <w:tcPr>
            <w:tcW w:w="1302" w:type="dxa"/>
            <w:tcBorders>
              <w:left w:val="nil"/>
              <w:bottom w:val="single" w:sz="4" w:space="0" w:color="000000"/>
              <w:right w:val="nil"/>
            </w:tcBorders>
            <w:shd w:val="clear" w:color="auto" w:fill="FFFFFF"/>
            <w:vAlign w:val="center"/>
          </w:tcPr>
          <w:p w14:paraId="186913E6"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Shima and Gordon </w:t>
            </w:r>
          </w:p>
        </w:tc>
        <w:tc>
          <w:tcPr>
            <w:tcW w:w="760" w:type="dxa"/>
            <w:tcBorders>
              <w:left w:val="nil"/>
              <w:bottom w:val="single" w:sz="4" w:space="0" w:color="000000"/>
              <w:right w:val="nil"/>
            </w:tcBorders>
            <w:shd w:val="clear" w:color="auto" w:fill="FFFFFF"/>
            <w:vAlign w:val="center"/>
          </w:tcPr>
          <w:p w14:paraId="122D225E"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(2011)</w:t>
            </w:r>
          </w:p>
        </w:tc>
        <w:tc>
          <w:tcPr>
            <w:tcW w:w="1037" w:type="dxa"/>
            <w:tcBorders>
              <w:left w:val="nil"/>
              <w:bottom w:val="single" w:sz="4" w:space="0" w:color="000000"/>
              <w:right w:val="nil"/>
            </w:tcBorders>
            <w:shd w:val="clear" w:color="auto" w:fill="FFFFFF"/>
            <w:vAlign w:val="center"/>
          </w:tcPr>
          <w:p w14:paraId="688C3262"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44</w:t>
            </w:r>
          </w:p>
        </w:tc>
        <w:tc>
          <w:tcPr>
            <w:tcW w:w="1236" w:type="dxa"/>
            <w:tcBorders>
              <w:left w:val="nil"/>
              <w:bottom w:val="single" w:sz="4" w:space="0" w:color="000000"/>
              <w:right w:val="nil"/>
            </w:tcBorders>
            <w:shd w:val="clear" w:color="auto" w:fill="FFFFFF"/>
            <w:vAlign w:val="center"/>
          </w:tcPr>
          <w:p w14:paraId="6575C951"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152</w:t>
            </w:r>
          </w:p>
        </w:tc>
        <w:tc>
          <w:tcPr>
            <w:tcW w:w="972" w:type="dxa"/>
            <w:tcBorders>
              <w:left w:val="nil"/>
              <w:bottom w:val="single" w:sz="4" w:space="0" w:color="000000"/>
              <w:right w:val="nil"/>
            </w:tcBorders>
            <w:shd w:val="clear" w:color="auto" w:fill="FFFFFF"/>
            <w:vAlign w:val="center"/>
          </w:tcPr>
          <w:p w14:paraId="72B921F5"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2003–2006</w:t>
            </w:r>
          </w:p>
        </w:tc>
        <w:tc>
          <w:tcPr>
            <w:tcW w:w="2042" w:type="dxa"/>
            <w:tcBorders>
              <w:left w:val="nil"/>
              <w:bottom w:val="single" w:sz="4" w:space="0" w:color="000000"/>
              <w:right w:val="nil"/>
            </w:tcBorders>
            <w:shd w:val="clear" w:color="auto" w:fill="FFFFFF"/>
            <w:vAlign w:val="center"/>
          </w:tcPr>
          <w:p w14:paraId="4358A5AC"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EQUITY (equity investment from the US / GDP of target countries) </w:t>
            </w:r>
          </w:p>
        </w:tc>
        <w:tc>
          <w:tcPr>
            <w:tcW w:w="1677" w:type="dxa"/>
            <w:tcBorders>
              <w:left w:val="nil"/>
              <w:bottom w:val="single" w:sz="4" w:space="0" w:color="000000"/>
              <w:right w:val="nil"/>
            </w:tcBorders>
            <w:shd w:val="clear" w:color="auto" w:fill="FFFFFF"/>
            <w:vAlign w:val="center"/>
          </w:tcPr>
          <w:p w14:paraId="3AD88017"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IFRS (insignificant), </w:t>
            </w:r>
          </w:p>
          <w:p w14:paraId="1EB6CC92"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Legal (+), Enforce(+)</w:t>
            </w:r>
          </w:p>
        </w:tc>
      </w:tr>
      <w:tr w:rsidR="007373F6" w14:paraId="3FB9DEC8" w14:textId="77777777">
        <w:trPr>
          <w:trHeight w:val="600"/>
        </w:trPr>
        <w:tc>
          <w:tcPr>
            <w:tcW w:w="1302" w:type="dxa"/>
            <w:tcBorders>
              <w:left w:val="nil"/>
              <w:bottom w:val="single" w:sz="4" w:space="0" w:color="000000"/>
              <w:right w:val="nil"/>
            </w:tcBorders>
            <w:shd w:val="clear" w:color="auto" w:fill="FFFFFF"/>
            <w:vAlign w:val="center"/>
          </w:tcPr>
          <w:p w14:paraId="62C9DB95" w14:textId="77777777" w:rsidR="007373F6" w:rsidRDefault="00000000">
            <w:pPr>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DeFond</w:t>
            </w:r>
            <w:proofErr w:type="spellEnd"/>
            <w:r>
              <w:rPr>
                <w:rFonts w:ascii="Times New Roman" w:eastAsia="Times New Roman" w:hAnsi="Times New Roman" w:cs="Times New Roman"/>
                <w:color w:val="000000"/>
                <w:sz w:val="20"/>
                <w:szCs w:val="20"/>
              </w:rPr>
              <w:t xml:space="preserve"> et al.</w:t>
            </w:r>
          </w:p>
        </w:tc>
        <w:tc>
          <w:tcPr>
            <w:tcW w:w="760" w:type="dxa"/>
            <w:tcBorders>
              <w:left w:val="nil"/>
              <w:bottom w:val="single" w:sz="4" w:space="0" w:color="000000"/>
              <w:right w:val="nil"/>
            </w:tcBorders>
            <w:shd w:val="clear" w:color="auto" w:fill="FFFFFF"/>
            <w:vAlign w:val="center"/>
          </w:tcPr>
          <w:p w14:paraId="74F9D996"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(2011)</w:t>
            </w:r>
          </w:p>
        </w:tc>
        <w:tc>
          <w:tcPr>
            <w:tcW w:w="1037" w:type="dxa"/>
            <w:tcBorders>
              <w:left w:val="nil"/>
              <w:bottom w:val="single" w:sz="4" w:space="0" w:color="000000"/>
              <w:right w:val="nil"/>
            </w:tcBorders>
            <w:shd w:val="clear" w:color="auto" w:fill="FFFFFF"/>
            <w:vAlign w:val="center"/>
          </w:tcPr>
          <w:p w14:paraId="301D565D"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14 EU,      </w:t>
            </w:r>
          </w:p>
          <w:p w14:paraId="708705D3"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 Controls</w:t>
            </w:r>
          </w:p>
        </w:tc>
        <w:tc>
          <w:tcPr>
            <w:tcW w:w="1236" w:type="dxa"/>
            <w:tcBorders>
              <w:left w:val="nil"/>
              <w:bottom w:val="single" w:sz="4" w:space="0" w:color="000000"/>
              <w:right w:val="nil"/>
            </w:tcBorders>
            <w:shd w:val="clear" w:color="auto" w:fill="FFFFFF"/>
          </w:tcPr>
          <w:p w14:paraId="06F759E8"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5,460 EU,         30,520 Controls</w:t>
            </w:r>
          </w:p>
        </w:tc>
        <w:tc>
          <w:tcPr>
            <w:tcW w:w="972" w:type="dxa"/>
            <w:tcBorders>
              <w:left w:val="nil"/>
              <w:bottom w:val="single" w:sz="4" w:space="0" w:color="000000"/>
              <w:right w:val="nil"/>
            </w:tcBorders>
            <w:shd w:val="clear" w:color="auto" w:fill="FFFFFF"/>
            <w:vAlign w:val="center"/>
          </w:tcPr>
          <w:p w14:paraId="5A40BC46"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2003–2004, 2006–2007</w:t>
            </w:r>
          </w:p>
        </w:tc>
        <w:tc>
          <w:tcPr>
            <w:tcW w:w="2042" w:type="dxa"/>
            <w:tcBorders>
              <w:left w:val="nil"/>
              <w:bottom w:val="single" w:sz="4" w:space="0" w:color="000000"/>
              <w:right w:val="nil"/>
            </w:tcBorders>
            <w:shd w:val="clear" w:color="auto" w:fill="FFFFFF"/>
            <w:vAlign w:val="center"/>
          </w:tcPr>
          <w:p w14:paraId="00839C9B"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Foreign mutual fund ownership</w:t>
            </w:r>
          </w:p>
        </w:tc>
        <w:tc>
          <w:tcPr>
            <w:tcW w:w="1677" w:type="dxa"/>
            <w:tcBorders>
              <w:left w:val="nil"/>
              <w:bottom w:val="single" w:sz="4" w:space="0" w:color="000000"/>
              <w:right w:val="nil"/>
            </w:tcBorders>
            <w:shd w:val="clear" w:color="auto" w:fill="FFFFFF"/>
            <w:vAlign w:val="center"/>
          </w:tcPr>
          <w:p w14:paraId="541B8B3F"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Mandatory adopters (+), Post (+)</w:t>
            </w:r>
          </w:p>
        </w:tc>
      </w:tr>
      <w:tr w:rsidR="007373F6" w14:paraId="67E30D27" w14:textId="77777777">
        <w:trPr>
          <w:trHeight w:val="600"/>
        </w:trPr>
        <w:tc>
          <w:tcPr>
            <w:tcW w:w="1302" w:type="dxa"/>
            <w:tcBorders>
              <w:left w:val="nil"/>
              <w:bottom w:val="single" w:sz="4" w:space="0" w:color="000000"/>
              <w:right w:val="nil"/>
            </w:tcBorders>
            <w:shd w:val="clear" w:color="auto" w:fill="FFFFFF"/>
            <w:vAlign w:val="center"/>
          </w:tcPr>
          <w:p w14:paraId="58A47D5D"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Florou and Pope</w:t>
            </w:r>
          </w:p>
        </w:tc>
        <w:tc>
          <w:tcPr>
            <w:tcW w:w="760" w:type="dxa"/>
            <w:tcBorders>
              <w:left w:val="nil"/>
              <w:bottom w:val="single" w:sz="4" w:space="0" w:color="000000"/>
              <w:right w:val="nil"/>
            </w:tcBorders>
            <w:shd w:val="clear" w:color="auto" w:fill="FFFFFF"/>
            <w:vAlign w:val="center"/>
          </w:tcPr>
          <w:p w14:paraId="396A4967"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(2012)</w:t>
            </w:r>
          </w:p>
        </w:tc>
        <w:tc>
          <w:tcPr>
            <w:tcW w:w="1037" w:type="dxa"/>
            <w:tcBorders>
              <w:left w:val="nil"/>
              <w:bottom w:val="single" w:sz="4" w:space="0" w:color="000000"/>
              <w:right w:val="nil"/>
            </w:tcBorders>
            <w:shd w:val="clear" w:color="auto" w:fill="FFFFFF"/>
            <w:vAlign w:val="center"/>
          </w:tcPr>
          <w:p w14:paraId="3D8ECE7B"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w:t>
            </w:r>
          </w:p>
        </w:tc>
        <w:tc>
          <w:tcPr>
            <w:tcW w:w="1236" w:type="dxa"/>
            <w:tcBorders>
              <w:left w:val="nil"/>
              <w:bottom w:val="single" w:sz="4" w:space="0" w:color="000000"/>
              <w:right w:val="nil"/>
            </w:tcBorders>
            <w:shd w:val="clear" w:color="auto" w:fill="FFFFFF"/>
            <w:vAlign w:val="center"/>
          </w:tcPr>
          <w:p w14:paraId="2A942B43"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11,926 Treatment, 23,234 Controls</w:t>
            </w:r>
          </w:p>
        </w:tc>
        <w:tc>
          <w:tcPr>
            <w:tcW w:w="972" w:type="dxa"/>
            <w:tcBorders>
              <w:left w:val="nil"/>
              <w:bottom w:val="single" w:sz="4" w:space="0" w:color="000000"/>
              <w:right w:val="nil"/>
            </w:tcBorders>
            <w:shd w:val="clear" w:color="auto" w:fill="FFFFFF"/>
            <w:vAlign w:val="center"/>
          </w:tcPr>
          <w:p w14:paraId="114C765F"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2003–2006</w:t>
            </w:r>
          </w:p>
        </w:tc>
        <w:tc>
          <w:tcPr>
            <w:tcW w:w="2042" w:type="dxa"/>
            <w:tcBorders>
              <w:left w:val="nil"/>
              <w:bottom w:val="single" w:sz="4" w:space="0" w:color="000000"/>
              <w:right w:val="nil"/>
            </w:tcBorders>
            <w:shd w:val="clear" w:color="auto" w:fill="FFFFFF"/>
            <w:vAlign w:val="center"/>
          </w:tcPr>
          <w:p w14:paraId="3D65C37F"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ＭＳ 明朝" w:hAnsi="ＭＳ 明朝" w:cs="ＭＳ 明朝"/>
                <w:color w:val="000000"/>
                <w:sz w:val="20"/>
                <w:szCs w:val="20"/>
              </w:rPr>
              <w:t>△</w:t>
            </w:r>
            <w:r>
              <w:rPr>
                <w:rFonts w:ascii="Times New Roman" w:eastAsia="Times New Roman" w:hAnsi="Times New Roman" w:cs="Times New Roman"/>
                <w:color w:val="000000"/>
                <w:sz w:val="20"/>
                <w:szCs w:val="20"/>
              </w:rPr>
              <w:t>Institutional Holdings</w:t>
            </w:r>
          </w:p>
        </w:tc>
        <w:tc>
          <w:tcPr>
            <w:tcW w:w="1677" w:type="dxa"/>
            <w:tcBorders>
              <w:left w:val="nil"/>
              <w:bottom w:val="single" w:sz="4" w:space="0" w:color="000000"/>
              <w:right w:val="nil"/>
            </w:tcBorders>
            <w:shd w:val="clear" w:color="auto" w:fill="FFFFFF"/>
            <w:vAlign w:val="center"/>
          </w:tcPr>
          <w:p w14:paraId="0409C6B1"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Mandatory (+),  </w:t>
            </w:r>
          </w:p>
          <w:p w14:paraId="061828D4"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Voluntary (+)</w:t>
            </w:r>
          </w:p>
        </w:tc>
      </w:tr>
      <w:tr w:rsidR="007373F6" w14:paraId="4F5A1780" w14:textId="77777777">
        <w:trPr>
          <w:trHeight w:val="600"/>
        </w:trPr>
        <w:tc>
          <w:tcPr>
            <w:tcW w:w="1302" w:type="dxa"/>
            <w:tcBorders>
              <w:left w:val="nil"/>
              <w:bottom w:val="single" w:sz="4" w:space="0" w:color="000000"/>
              <w:right w:val="nil"/>
            </w:tcBorders>
            <w:shd w:val="clear" w:color="auto" w:fill="FFFFFF"/>
            <w:vAlign w:val="center"/>
          </w:tcPr>
          <w:p w14:paraId="0C7C7D98" w14:textId="77777777" w:rsidR="007373F6" w:rsidRDefault="00000000">
            <w:pPr>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DeFond</w:t>
            </w:r>
            <w:proofErr w:type="spellEnd"/>
            <w:r>
              <w:rPr>
                <w:rFonts w:ascii="Times New Roman" w:eastAsia="Times New Roman" w:hAnsi="Times New Roman" w:cs="Times New Roman"/>
                <w:color w:val="000000"/>
                <w:sz w:val="20"/>
                <w:szCs w:val="20"/>
              </w:rPr>
              <w:t xml:space="preserve"> et al.</w:t>
            </w:r>
          </w:p>
        </w:tc>
        <w:tc>
          <w:tcPr>
            <w:tcW w:w="760" w:type="dxa"/>
            <w:tcBorders>
              <w:left w:val="nil"/>
              <w:bottom w:val="single" w:sz="4" w:space="0" w:color="000000"/>
              <w:right w:val="nil"/>
            </w:tcBorders>
            <w:shd w:val="clear" w:color="auto" w:fill="FFFFFF"/>
            <w:vAlign w:val="center"/>
          </w:tcPr>
          <w:p w14:paraId="1EEADD54"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(2012)</w:t>
            </w:r>
          </w:p>
        </w:tc>
        <w:tc>
          <w:tcPr>
            <w:tcW w:w="1037" w:type="dxa"/>
            <w:tcBorders>
              <w:left w:val="nil"/>
              <w:bottom w:val="single" w:sz="4" w:space="0" w:color="000000"/>
              <w:right w:val="nil"/>
            </w:tcBorders>
            <w:shd w:val="clear" w:color="auto" w:fill="FFFFFF"/>
            <w:vAlign w:val="center"/>
          </w:tcPr>
          <w:p w14:paraId="3339A054"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 EU, US</w:t>
            </w:r>
          </w:p>
        </w:tc>
        <w:tc>
          <w:tcPr>
            <w:tcW w:w="1236" w:type="dxa"/>
            <w:tcBorders>
              <w:left w:val="nil"/>
              <w:bottom w:val="single" w:sz="4" w:space="0" w:color="000000"/>
              <w:right w:val="nil"/>
            </w:tcBorders>
            <w:shd w:val="clear" w:color="auto" w:fill="FFFFFF"/>
          </w:tcPr>
          <w:p w14:paraId="44C894ED"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5,460 EU,      13,496 US</w:t>
            </w:r>
          </w:p>
        </w:tc>
        <w:tc>
          <w:tcPr>
            <w:tcW w:w="972" w:type="dxa"/>
            <w:tcBorders>
              <w:left w:val="nil"/>
              <w:bottom w:val="single" w:sz="4" w:space="0" w:color="000000"/>
              <w:right w:val="nil"/>
            </w:tcBorders>
            <w:shd w:val="clear" w:color="auto" w:fill="FFFFFF"/>
            <w:vAlign w:val="center"/>
          </w:tcPr>
          <w:p w14:paraId="5E061CD7"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2003–2004, 2006–2007</w:t>
            </w:r>
          </w:p>
        </w:tc>
        <w:tc>
          <w:tcPr>
            <w:tcW w:w="2042" w:type="dxa"/>
            <w:tcBorders>
              <w:left w:val="nil"/>
              <w:bottom w:val="single" w:sz="4" w:space="0" w:color="000000"/>
              <w:right w:val="nil"/>
            </w:tcBorders>
            <w:shd w:val="clear" w:color="auto" w:fill="FFFFFF"/>
            <w:vAlign w:val="center"/>
          </w:tcPr>
          <w:p w14:paraId="2B8D4EA8"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Foreign Fund</w:t>
            </w:r>
          </w:p>
        </w:tc>
        <w:tc>
          <w:tcPr>
            <w:tcW w:w="1677" w:type="dxa"/>
            <w:tcBorders>
              <w:left w:val="nil"/>
              <w:bottom w:val="single" w:sz="4" w:space="0" w:color="000000"/>
              <w:right w:val="nil"/>
            </w:tcBorders>
            <w:shd w:val="clear" w:color="auto" w:fill="FFFFFF"/>
            <w:vAlign w:val="center"/>
          </w:tcPr>
          <w:p w14:paraId="670F41BF"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US Firms (-)</w:t>
            </w:r>
          </w:p>
        </w:tc>
      </w:tr>
      <w:tr w:rsidR="007373F6" w14:paraId="250F5B5B" w14:textId="77777777">
        <w:trPr>
          <w:trHeight w:val="600"/>
        </w:trPr>
        <w:tc>
          <w:tcPr>
            <w:tcW w:w="1302" w:type="dxa"/>
            <w:tcBorders>
              <w:left w:val="nil"/>
              <w:bottom w:val="single" w:sz="4" w:space="0" w:color="000000"/>
              <w:right w:val="nil"/>
            </w:tcBorders>
            <w:shd w:val="clear" w:color="auto" w:fill="FFFFFF"/>
            <w:vAlign w:val="center"/>
          </w:tcPr>
          <w:p w14:paraId="4E445E8B"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Amiram</w:t>
            </w:r>
          </w:p>
        </w:tc>
        <w:tc>
          <w:tcPr>
            <w:tcW w:w="760" w:type="dxa"/>
            <w:tcBorders>
              <w:left w:val="nil"/>
              <w:bottom w:val="single" w:sz="4" w:space="0" w:color="000000"/>
              <w:right w:val="nil"/>
            </w:tcBorders>
            <w:shd w:val="clear" w:color="auto" w:fill="FFFFFF"/>
            <w:vAlign w:val="center"/>
          </w:tcPr>
          <w:p w14:paraId="2FEBDA8E"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(2012)</w:t>
            </w:r>
          </w:p>
        </w:tc>
        <w:tc>
          <w:tcPr>
            <w:tcW w:w="1037" w:type="dxa"/>
            <w:tcBorders>
              <w:left w:val="nil"/>
              <w:bottom w:val="single" w:sz="4" w:space="0" w:color="000000"/>
              <w:right w:val="nil"/>
            </w:tcBorders>
            <w:shd w:val="clear" w:color="auto" w:fill="FFFFFF"/>
            <w:vAlign w:val="center"/>
          </w:tcPr>
          <w:p w14:paraId="062C4E2F"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73</w:t>
            </w:r>
          </w:p>
        </w:tc>
        <w:tc>
          <w:tcPr>
            <w:tcW w:w="1236" w:type="dxa"/>
            <w:tcBorders>
              <w:left w:val="nil"/>
              <w:bottom w:val="single" w:sz="4" w:space="0" w:color="000000"/>
              <w:right w:val="nil"/>
            </w:tcBorders>
            <w:shd w:val="clear" w:color="auto" w:fill="FFFFFF"/>
            <w:vAlign w:val="center"/>
          </w:tcPr>
          <w:p w14:paraId="6CC01752"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122,640</w:t>
            </w:r>
          </w:p>
        </w:tc>
        <w:tc>
          <w:tcPr>
            <w:tcW w:w="972" w:type="dxa"/>
            <w:tcBorders>
              <w:left w:val="nil"/>
              <w:bottom w:val="single" w:sz="4" w:space="0" w:color="000000"/>
              <w:right w:val="nil"/>
            </w:tcBorders>
            <w:shd w:val="clear" w:color="auto" w:fill="FFFFFF"/>
            <w:vAlign w:val="center"/>
          </w:tcPr>
          <w:p w14:paraId="204B921D"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2001–2006</w:t>
            </w:r>
          </w:p>
        </w:tc>
        <w:tc>
          <w:tcPr>
            <w:tcW w:w="2042" w:type="dxa"/>
            <w:tcBorders>
              <w:left w:val="nil"/>
              <w:bottom w:val="single" w:sz="4" w:space="0" w:color="000000"/>
              <w:right w:val="nil"/>
            </w:tcBorders>
            <w:shd w:val="clear" w:color="auto" w:fill="FFFFFF"/>
            <w:vAlign w:val="center"/>
          </w:tcPr>
          <w:p w14:paraId="0E31169D"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Equity FPI</w:t>
            </w:r>
          </w:p>
        </w:tc>
        <w:tc>
          <w:tcPr>
            <w:tcW w:w="1677" w:type="dxa"/>
            <w:tcBorders>
              <w:left w:val="nil"/>
              <w:bottom w:val="single" w:sz="4" w:space="0" w:color="000000"/>
              <w:right w:val="nil"/>
            </w:tcBorders>
            <w:shd w:val="clear" w:color="auto" w:fill="FFFFFF"/>
            <w:vAlign w:val="center"/>
          </w:tcPr>
          <w:p w14:paraId="0C3D41BB" w14:textId="77777777" w:rsidR="007373F6" w:rsidRDefault="00000000">
            <w:pPr>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IFRS</w:t>
            </w:r>
            <w:r>
              <w:rPr>
                <w:rFonts w:ascii="Times New Roman" w:eastAsia="Times New Roman" w:hAnsi="Times New Roman" w:cs="Times New Roman"/>
                <w:color w:val="000000"/>
                <w:sz w:val="20"/>
                <w:szCs w:val="20"/>
                <w:vertAlign w:val="superscript"/>
              </w:rPr>
              <w:t>Investee</w:t>
            </w:r>
            <w:proofErr w:type="spellEnd"/>
            <w:r>
              <w:rPr>
                <w:rFonts w:ascii="Times New Roman" w:eastAsia="Times New Roman" w:hAnsi="Times New Roman" w:cs="Times New Roman"/>
                <w:color w:val="000000"/>
                <w:sz w:val="20"/>
                <w:szCs w:val="20"/>
                <w:vertAlign w:val="superscript"/>
              </w:rPr>
              <w:t xml:space="preserve">  </w:t>
            </w:r>
            <w:r>
              <w:rPr>
                <w:rFonts w:ascii="Times New Roman" w:eastAsia="Times New Roman" w:hAnsi="Times New Roman" w:cs="Times New Roman"/>
                <w:color w:val="000000"/>
                <w:sz w:val="20"/>
                <w:szCs w:val="20"/>
              </w:rPr>
              <w:t>(+)</w:t>
            </w:r>
          </w:p>
        </w:tc>
      </w:tr>
      <w:tr w:rsidR="007373F6" w14:paraId="370FD2FD" w14:textId="77777777">
        <w:trPr>
          <w:trHeight w:val="600"/>
        </w:trPr>
        <w:tc>
          <w:tcPr>
            <w:tcW w:w="1302" w:type="dxa"/>
            <w:tcBorders>
              <w:left w:val="nil"/>
              <w:bottom w:val="single" w:sz="4" w:space="0" w:color="000000"/>
              <w:right w:val="nil"/>
            </w:tcBorders>
            <w:shd w:val="clear" w:color="auto" w:fill="FFFFFF"/>
            <w:vAlign w:val="center"/>
          </w:tcPr>
          <w:p w14:paraId="59308348"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Gordon et al. </w:t>
            </w:r>
          </w:p>
        </w:tc>
        <w:tc>
          <w:tcPr>
            <w:tcW w:w="760" w:type="dxa"/>
            <w:tcBorders>
              <w:left w:val="nil"/>
              <w:bottom w:val="single" w:sz="4" w:space="0" w:color="000000"/>
              <w:right w:val="nil"/>
            </w:tcBorders>
            <w:shd w:val="clear" w:color="auto" w:fill="FFFFFF"/>
            <w:vAlign w:val="center"/>
          </w:tcPr>
          <w:p w14:paraId="3529371A"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(2012)</w:t>
            </w:r>
          </w:p>
        </w:tc>
        <w:tc>
          <w:tcPr>
            <w:tcW w:w="1037" w:type="dxa"/>
            <w:tcBorders>
              <w:left w:val="nil"/>
              <w:bottom w:val="single" w:sz="4" w:space="0" w:color="000000"/>
              <w:right w:val="nil"/>
            </w:tcBorders>
            <w:shd w:val="clear" w:color="auto" w:fill="FFFFFF"/>
            <w:vAlign w:val="center"/>
          </w:tcPr>
          <w:p w14:paraId="0933A10A"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124 countries</w:t>
            </w:r>
          </w:p>
        </w:tc>
        <w:tc>
          <w:tcPr>
            <w:tcW w:w="1236" w:type="dxa"/>
            <w:tcBorders>
              <w:left w:val="nil"/>
              <w:bottom w:val="single" w:sz="4" w:space="0" w:color="000000"/>
              <w:right w:val="nil"/>
            </w:tcBorders>
            <w:shd w:val="clear" w:color="auto" w:fill="FFFFFF"/>
            <w:vAlign w:val="center"/>
          </w:tcPr>
          <w:p w14:paraId="1CB59FC7"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1,300</w:t>
            </w:r>
          </w:p>
        </w:tc>
        <w:tc>
          <w:tcPr>
            <w:tcW w:w="972" w:type="dxa"/>
            <w:tcBorders>
              <w:left w:val="nil"/>
              <w:bottom w:val="single" w:sz="4" w:space="0" w:color="000000"/>
              <w:right w:val="nil"/>
            </w:tcBorders>
            <w:shd w:val="clear" w:color="auto" w:fill="FFFFFF"/>
            <w:vAlign w:val="center"/>
          </w:tcPr>
          <w:p w14:paraId="7EBF5009"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1996-2009</w:t>
            </w:r>
          </w:p>
        </w:tc>
        <w:tc>
          <w:tcPr>
            <w:tcW w:w="2042" w:type="dxa"/>
            <w:tcBorders>
              <w:left w:val="nil"/>
              <w:bottom w:val="single" w:sz="4" w:space="0" w:color="000000"/>
              <w:right w:val="nil"/>
            </w:tcBorders>
            <w:shd w:val="clear" w:color="auto" w:fill="FFFFFF"/>
            <w:vAlign w:val="center"/>
          </w:tcPr>
          <w:p w14:paraId="0C6E52B2"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FDI inflows</w:t>
            </w:r>
          </w:p>
        </w:tc>
        <w:tc>
          <w:tcPr>
            <w:tcW w:w="1677" w:type="dxa"/>
            <w:tcBorders>
              <w:left w:val="nil"/>
              <w:bottom w:val="single" w:sz="4" w:space="0" w:color="000000"/>
              <w:right w:val="nil"/>
            </w:tcBorders>
            <w:shd w:val="clear" w:color="auto" w:fill="FFFFFF"/>
            <w:vAlign w:val="center"/>
          </w:tcPr>
          <w:p w14:paraId="7F674004"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IFRS (+) in developing countries</w:t>
            </w:r>
          </w:p>
        </w:tc>
      </w:tr>
      <w:tr w:rsidR="007373F6" w14:paraId="0EF6CCA0" w14:textId="77777777">
        <w:trPr>
          <w:trHeight w:val="600"/>
        </w:trPr>
        <w:tc>
          <w:tcPr>
            <w:tcW w:w="1302" w:type="dxa"/>
            <w:tcBorders>
              <w:left w:val="nil"/>
              <w:bottom w:val="single" w:sz="4" w:space="0" w:color="000000"/>
              <w:right w:val="nil"/>
            </w:tcBorders>
            <w:shd w:val="clear" w:color="auto" w:fill="FFFFFF"/>
            <w:vAlign w:val="center"/>
          </w:tcPr>
          <w:p w14:paraId="751DFF5C"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Hamberg et al.</w:t>
            </w:r>
          </w:p>
        </w:tc>
        <w:tc>
          <w:tcPr>
            <w:tcW w:w="760" w:type="dxa"/>
            <w:tcBorders>
              <w:left w:val="nil"/>
              <w:bottom w:val="single" w:sz="4" w:space="0" w:color="000000"/>
              <w:right w:val="nil"/>
            </w:tcBorders>
            <w:shd w:val="clear" w:color="auto" w:fill="FFFFFF"/>
            <w:vAlign w:val="center"/>
          </w:tcPr>
          <w:p w14:paraId="1ADA6941"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(2013)</w:t>
            </w:r>
          </w:p>
        </w:tc>
        <w:tc>
          <w:tcPr>
            <w:tcW w:w="1037" w:type="dxa"/>
            <w:tcBorders>
              <w:left w:val="nil"/>
              <w:bottom w:val="single" w:sz="4" w:space="0" w:color="000000"/>
              <w:right w:val="nil"/>
            </w:tcBorders>
            <w:shd w:val="clear" w:color="auto" w:fill="FFFFFF"/>
            <w:vAlign w:val="center"/>
          </w:tcPr>
          <w:p w14:paraId="4804ADC4"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Sweden</w:t>
            </w:r>
          </w:p>
        </w:tc>
        <w:tc>
          <w:tcPr>
            <w:tcW w:w="1236" w:type="dxa"/>
            <w:tcBorders>
              <w:left w:val="nil"/>
              <w:bottom w:val="single" w:sz="4" w:space="0" w:color="000000"/>
              <w:right w:val="nil"/>
            </w:tcBorders>
            <w:shd w:val="clear" w:color="auto" w:fill="FFFFFF"/>
            <w:vAlign w:val="center"/>
          </w:tcPr>
          <w:p w14:paraId="768B1928"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1,795</w:t>
            </w:r>
          </w:p>
        </w:tc>
        <w:tc>
          <w:tcPr>
            <w:tcW w:w="972" w:type="dxa"/>
            <w:tcBorders>
              <w:left w:val="nil"/>
              <w:bottom w:val="single" w:sz="4" w:space="0" w:color="000000"/>
              <w:right w:val="nil"/>
            </w:tcBorders>
            <w:shd w:val="clear" w:color="auto" w:fill="FFFFFF"/>
            <w:vAlign w:val="center"/>
          </w:tcPr>
          <w:p w14:paraId="51511562"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2001–2007</w:t>
            </w:r>
          </w:p>
        </w:tc>
        <w:tc>
          <w:tcPr>
            <w:tcW w:w="2042" w:type="dxa"/>
            <w:tcBorders>
              <w:left w:val="nil"/>
              <w:bottom w:val="single" w:sz="4" w:space="0" w:color="000000"/>
              <w:right w:val="nil"/>
            </w:tcBorders>
            <w:shd w:val="clear" w:color="auto" w:fill="FFFFFF"/>
          </w:tcPr>
          <w:p w14:paraId="2EAE2233"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Foreign owners (no. of people),               Foreign ownership (no. of shares)</w:t>
            </w:r>
          </w:p>
        </w:tc>
        <w:tc>
          <w:tcPr>
            <w:tcW w:w="1677" w:type="dxa"/>
            <w:tcBorders>
              <w:left w:val="nil"/>
              <w:bottom w:val="single" w:sz="4" w:space="0" w:color="000000"/>
              <w:right w:val="nil"/>
            </w:tcBorders>
            <w:shd w:val="clear" w:color="auto" w:fill="FFFFFF"/>
            <w:vAlign w:val="center"/>
          </w:tcPr>
          <w:p w14:paraId="6962D0F2"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IFRS (+, +)</w:t>
            </w:r>
          </w:p>
        </w:tc>
      </w:tr>
      <w:tr w:rsidR="007373F6" w14:paraId="6F87FF77" w14:textId="77777777">
        <w:trPr>
          <w:trHeight w:val="600"/>
        </w:trPr>
        <w:tc>
          <w:tcPr>
            <w:tcW w:w="1302" w:type="dxa"/>
            <w:tcBorders>
              <w:left w:val="nil"/>
              <w:bottom w:val="single" w:sz="4" w:space="0" w:color="000000"/>
              <w:right w:val="nil"/>
            </w:tcBorders>
            <w:shd w:val="clear" w:color="auto" w:fill="FFFFFF"/>
            <w:vAlign w:val="center"/>
          </w:tcPr>
          <w:p w14:paraId="2D14E181"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Chen et al. </w:t>
            </w:r>
          </w:p>
        </w:tc>
        <w:tc>
          <w:tcPr>
            <w:tcW w:w="760" w:type="dxa"/>
            <w:tcBorders>
              <w:left w:val="nil"/>
              <w:bottom w:val="single" w:sz="4" w:space="0" w:color="000000"/>
              <w:right w:val="nil"/>
            </w:tcBorders>
            <w:shd w:val="clear" w:color="auto" w:fill="FFFFFF"/>
            <w:vAlign w:val="center"/>
          </w:tcPr>
          <w:p w14:paraId="151BE15D"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(2014)</w:t>
            </w:r>
          </w:p>
        </w:tc>
        <w:tc>
          <w:tcPr>
            <w:tcW w:w="1037" w:type="dxa"/>
            <w:tcBorders>
              <w:left w:val="nil"/>
              <w:bottom w:val="single" w:sz="4" w:space="0" w:color="000000"/>
              <w:right w:val="nil"/>
            </w:tcBorders>
            <w:shd w:val="clear" w:color="auto" w:fill="FFFFFF"/>
            <w:vAlign w:val="center"/>
          </w:tcPr>
          <w:p w14:paraId="69A17BE8"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30 OECD countries</w:t>
            </w:r>
          </w:p>
        </w:tc>
        <w:tc>
          <w:tcPr>
            <w:tcW w:w="1236" w:type="dxa"/>
            <w:tcBorders>
              <w:left w:val="nil"/>
              <w:bottom w:val="single" w:sz="4" w:space="0" w:color="000000"/>
              <w:right w:val="nil"/>
            </w:tcBorders>
            <w:shd w:val="clear" w:color="auto" w:fill="FFFFFF"/>
            <w:vAlign w:val="center"/>
          </w:tcPr>
          <w:p w14:paraId="731B6C4A"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1,110 -2,142</w:t>
            </w:r>
          </w:p>
        </w:tc>
        <w:tc>
          <w:tcPr>
            <w:tcW w:w="972" w:type="dxa"/>
            <w:tcBorders>
              <w:left w:val="nil"/>
              <w:bottom w:val="single" w:sz="4" w:space="0" w:color="000000"/>
              <w:right w:val="nil"/>
            </w:tcBorders>
            <w:shd w:val="clear" w:color="auto" w:fill="FFFFFF"/>
            <w:vAlign w:val="center"/>
          </w:tcPr>
          <w:p w14:paraId="7E163A21"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2000-2005</w:t>
            </w:r>
          </w:p>
        </w:tc>
        <w:tc>
          <w:tcPr>
            <w:tcW w:w="2042" w:type="dxa"/>
            <w:tcBorders>
              <w:left w:val="nil"/>
              <w:bottom w:val="single" w:sz="4" w:space="0" w:color="000000"/>
              <w:right w:val="nil"/>
            </w:tcBorders>
            <w:shd w:val="clear" w:color="auto" w:fill="FFFFFF"/>
          </w:tcPr>
          <w:p w14:paraId="35C10FE1"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FDI flows</w:t>
            </w:r>
          </w:p>
          <w:p w14:paraId="4A8B095F"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FDI growth</w:t>
            </w:r>
          </w:p>
        </w:tc>
        <w:tc>
          <w:tcPr>
            <w:tcW w:w="1677" w:type="dxa"/>
            <w:tcBorders>
              <w:left w:val="nil"/>
              <w:bottom w:val="single" w:sz="4" w:space="0" w:color="000000"/>
              <w:right w:val="nil"/>
            </w:tcBorders>
            <w:shd w:val="clear" w:color="auto" w:fill="FFFFFF"/>
            <w:vAlign w:val="center"/>
          </w:tcPr>
          <w:p w14:paraId="52F36B29"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IFRS Conformity (+)</w:t>
            </w:r>
          </w:p>
          <w:p w14:paraId="5F62E214"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Degree of convergence (+)</w:t>
            </w:r>
          </w:p>
        </w:tc>
      </w:tr>
      <w:tr w:rsidR="007373F6" w14:paraId="7111E85E" w14:textId="77777777">
        <w:trPr>
          <w:trHeight w:val="600"/>
        </w:trPr>
        <w:tc>
          <w:tcPr>
            <w:tcW w:w="1302" w:type="dxa"/>
            <w:tcBorders>
              <w:left w:val="nil"/>
              <w:bottom w:val="single" w:sz="4" w:space="0" w:color="000000"/>
              <w:right w:val="nil"/>
            </w:tcBorders>
            <w:shd w:val="clear" w:color="auto" w:fill="FFFFFF"/>
            <w:vAlign w:val="center"/>
          </w:tcPr>
          <w:p w14:paraId="4F606F24"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Hsu et al. </w:t>
            </w:r>
          </w:p>
        </w:tc>
        <w:tc>
          <w:tcPr>
            <w:tcW w:w="760" w:type="dxa"/>
            <w:tcBorders>
              <w:left w:val="nil"/>
              <w:bottom w:val="single" w:sz="4" w:space="0" w:color="000000"/>
              <w:right w:val="nil"/>
            </w:tcBorders>
            <w:shd w:val="clear" w:color="auto" w:fill="FFFFFF"/>
            <w:vAlign w:val="center"/>
          </w:tcPr>
          <w:p w14:paraId="41949C1C"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(2015)</w:t>
            </w:r>
          </w:p>
        </w:tc>
        <w:tc>
          <w:tcPr>
            <w:tcW w:w="1037" w:type="dxa"/>
            <w:tcBorders>
              <w:left w:val="nil"/>
              <w:bottom w:val="single" w:sz="4" w:space="0" w:color="000000"/>
              <w:right w:val="nil"/>
            </w:tcBorders>
            <w:shd w:val="clear" w:color="auto" w:fill="FFFFFF"/>
            <w:vAlign w:val="center"/>
          </w:tcPr>
          <w:p w14:paraId="7D35A474"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Taiwan</w:t>
            </w:r>
          </w:p>
        </w:tc>
        <w:tc>
          <w:tcPr>
            <w:tcW w:w="1236" w:type="dxa"/>
            <w:tcBorders>
              <w:left w:val="nil"/>
              <w:bottom w:val="single" w:sz="4" w:space="0" w:color="000000"/>
              <w:right w:val="nil"/>
            </w:tcBorders>
            <w:shd w:val="clear" w:color="auto" w:fill="FFFFFF"/>
            <w:vAlign w:val="center"/>
          </w:tcPr>
          <w:p w14:paraId="0DF2DE85"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420 firms</w:t>
            </w:r>
          </w:p>
          <w:p w14:paraId="394F48D8"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2,389 firm-year</w:t>
            </w:r>
          </w:p>
        </w:tc>
        <w:tc>
          <w:tcPr>
            <w:tcW w:w="972" w:type="dxa"/>
            <w:tcBorders>
              <w:left w:val="nil"/>
              <w:bottom w:val="single" w:sz="4" w:space="0" w:color="000000"/>
              <w:right w:val="nil"/>
            </w:tcBorders>
            <w:shd w:val="clear" w:color="auto" w:fill="FFFFFF"/>
            <w:vAlign w:val="center"/>
          </w:tcPr>
          <w:p w14:paraId="31AA469C"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2001-2003,</w:t>
            </w:r>
          </w:p>
          <w:p w14:paraId="6C6394BA"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2006-2008</w:t>
            </w:r>
          </w:p>
        </w:tc>
        <w:tc>
          <w:tcPr>
            <w:tcW w:w="2042" w:type="dxa"/>
            <w:tcBorders>
              <w:left w:val="nil"/>
              <w:bottom w:val="single" w:sz="4" w:space="0" w:color="000000"/>
              <w:right w:val="nil"/>
            </w:tcBorders>
            <w:shd w:val="clear" w:color="auto" w:fill="FFFFFF"/>
          </w:tcPr>
          <w:p w14:paraId="434D9D67"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Foreign investors’ shareholdings</w:t>
            </w:r>
          </w:p>
        </w:tc>
        <w:tc>
          <w:tcPr>
            <w:tcW w:w="1677" w:type="dxa"/>
            <w:tcBorders>
              <w:left w:val="nil"/>
              <w:bottom w:val="single" w:sz="4" w:space="0" w:color="000000"/>
              <w:right w:val="nil"/>
            </w:tcBorders>
            <w:shd w:val="clear" w:color="auto" w:fill="FFFFFF"/>
            <w:vAlign w:val="center"/>
          </w:tcPr>
          <w:p w14:paraId="139C5FBF"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IAS-27 adoption (+)</w:t>
            </w:r>
          </w:p>
        </w:tc>
      </w:tr>
      <w:tr w:rsidR="007373F6" w14:paraId="30431481" w14:textId="77777777">
        <w:trPr>
          <w:trHeight w:val="600"/>
        </w:trPr>
        <w:tc>
          <w:tcPr>
            <w:tcW w:w="1302" w:type="dxa"/>
            <w:tcBorders>
              <w:left w:val="nil"/>
              <w:bottom w:val="single" w:sz="4" w:space="0" w:color="000000"/>
              <w:right w:val="nil"/>
            </w:tcBorders>
            <w:shd w:val="clear" w:color="auto" w:fill="FFFFFF"/>
            <w:vAlign w:val="center"/>
          </w:tcPr>
          <w:p w14:paraId="570C5103"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 xml:space="preserve">Nnadi and </w:t>
            </w:r>
            <w:proofErr w:type="spellStart"/>
            <w:r>
              <w:rPr>
                <w:rFonts w:ascii="Times New Roman" w:eastAsia="Times New Roman" w:hAnsi="Times New Roman" w:cs="Times New Roman"/>
                <w:color w:val="000000"/>
                <w:sz w:val="20"/>
                <w:szCs w:val="20"/>
              </w:rPr>
              <w:t>Soobaroyen</w:t>
            </w:r>
            <w:proofErr w:type="spellEnd"/>
          </w:p>
        </w:tc>
        <w:tc>
          <w:tcPr>
            <w:tcW w:w="760" w:type="dxa"/>
            <w:tcBorders>
              <w:left w:val="nil"/>
              <w:bottom w:val="single" w:sz="4" w:space="0" w:color="000000"/>
              <w:right w:val="nil"/>
            </w:tcBorders>
            <w:shd w:val="clear" w:color="auto" w:fill="FFFFFF"/>
            <w:vAlign w:val="center"/>
          </w:tcPr>
          <w:p w14:paraId="0E8CCB77"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(2015)</w:t>
            </w:r>
          </w:p>
        </w:tc>
        <w:tc>
          <w:tcPr>
            <w:tcW w:w="1037" w:type="dxa"/>
            <w:tcBorders>
              <w:left w:val="nil"/>
              <w:bottom w:val="single" w:sz="4" w:space="0" w:color="000000"/>
              <w:right w:val="nil"/>
            </w:tcBorders>
            <w:shd w:val="clear" w:color="auto" w:fill="FFFFFF"/>
            <w:vAlign w:val="center"/>
          </w:tcPr>
          <w:p w14:paraId="4A6652DF"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34 African countries</w:t>
            </w:r>
          </w:p>
        </w:tc>
        <w:tc>
          <w:tcPr>
            <w:tcW w:w="1236" w:type="dxa"/>
            <w:tcBorders>
              <w:left w:val="nil"/>
              <w:bottom w:val="single" w:sz="4" w:space="0" w:color="000000"/>
              <w:right w:val="nil"/>
            </w:tcBorders>
            <w:shd w:val="clear" w:color="auto" w:fill="FFFFFF"/>
            <w:vAlign w:val="center"/>
          </w:tcPr>
          <w:p w14:paraId="52860928"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875-908</w:t>
            </w:r>
          </w:p>
        </w:tc>
        <w:tc>
          <w:tcPr>
            <w:tcW w:w="972" w:type="dxa"/>
            <w:tcBorders>
              <w:left w:val="nil"/>
              <w:bottom w:val="single" w:sz="4" w:space="0" w:color="000000"/>
              <w:right w:val="nil"/>
            </w:tcBorders>
            <w:shd w:val="clear" w:color="auto" w:fill="FFFFFF"/>
            <w:vAlign w:val="center"/>
          </w:tcPr>
          <w:p w14:paraId="7B1A1CB1"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1990-2014</w:t>
            </w:r>
          </w:p>
        </w:tc>
        <w:tc>
          <w:tcPr>
            <w:tcW w:w="2042" w:type="dxa"/>
            <w:tcBorders>
              <w:left w:val="nil"/>
              <w:bottom w:val="single" w:sz="4" w:space="0" w:color="000000"/>
              <w:right w:val="nil"/>
            </w:tcBorders>
            <w:shd w:val="clear" w:color="auto" w:fill="FFFFFF"/>
          </w:tcPr>
          <w:p w14:paraId="33CBB859"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FDI</w:t>
            </w:r>
          </w:p>
        </w:tc>
        <w:tc>
          <w:tcPr>
            <w:tcW w:w="1677" w:type="dxa"/>
            <w:tcBorders>
              <w:left w:val="nil"/>
              <w:bottom w:val="single" w:sz="4" w:space="0" w:color="000000"/>
              <w:right w:val="nil"/>
            </w:tcBorders>
            <w:shd w:val="clear" w:color="auto" w:fill="FFFFFF"/>
            <w:vAlign w:val="center"/>
          </w:tcPr>
          <w:p w14:paraId="296C0686"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IFRS (-)</w:t>
            </w:r>
          </w:p>
        </w:tc>
      </w:tr>
      <w:tr w:rsidR="007373F6" w14:paraId="3EB8DFB4" w14:textId="77777777">
        <w:trPr>
          <w:trHeight w:val="600"/>
        </w:trPr>
        <w:tc>
          <w:tcPr>
            <w:tcW w:w="1302" w:type="dxa"/>
            <w:tcBorders>
              <w:left w:val="nil"/>
              <w:bottom w:val="single" w:sz="4" w:space="0" w:color="000000"/>
              <w:right w:val="nil"/>
            </w:tcBorders>
            <w:shd w:val="clear" w:color="auto" w:fill="FFFFFF"/>
            <w:vAlign w:val="center"/>
          </w:tcPr>
          <w:p w14:paraId="187659D4"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Mita et al. </w:t>
            </w:r>
          </w:p>
        </w:tc>
        <w:tc>
          <w:tcPr>
            <w:tcW w:w="760" w:type="dxa"/>
            <w:tcBorders>
              <w:left w:val="nil"/>
              <w:bottom w:val="single" w:sz="4" w:space="0" w:color="000000"/>
              <w:right w:val="nil"/>
            </w:tcBorders>
            <w:shd w:val="clear" w:color="auto" w:fill="FFFFFF"/>
            <w:vAlign w:val="center"/>
          </w:tcPr>
          <w:p w14:paraId="0F60E000"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(2018)</w:t>
            </w:r>
          </w:p>
        </w:tc>
        <w:tc>
          <w:tcPr>
            <w:tcW w:w="1037" w:type="dxa"/>
            <w:tcBorders>
              <w:left w:val="nil"/>
              <w:bottom w:val="single" w:sz="4" w:space="0" w:color="000000"/>
              <w:right w:val="nil"/>
            </w:tcBorders>
            <w:shd w:val="clear" w:color="auto" w:fill="FFFFFF"/>
            <w:vAlign w:val="center"/>
          </w:tcPr>
          <w:p w14:paraId="127E2C81"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w:t>
            </w:r>
          </w:p>
        </w:tc>
        <w:tc>
          <w:tcPr>
            <w:tcW w:w="1236" w:type="dxa"/>
            <w:tcBorders>
              <w:left w:val="nil"/>
              <w:bottom w:val="single" w:sz="4" w:space="0" w:color="000000"/>
              <w:right w:val="nil"/>
            </w:tcBorders>
            <w:shd w:val="clear" w:color="auto" w:fill="FFFFFF"/>
            <w:vAlign w:val="center"/>
          </w:tcPr>
          <w:p w14:paraId="0D7E15CD"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35,899</w:t>
            </w:r>
          </w:p>
        </w:tc>
        <w:tc>
          <w:tcPr>
            <w:tcW w:w="972" w:type="dxa"/>
            <w:tcBorders>
              <w:left w:val="nil"/>
              <w:bottom w:val="single" w:sz="4" w:space="0" w:color="000000"/>
              <w:right w:val="nil"/>
            </w:tcBorders>
            <w:shd w:val="clear" w:color="auto" w:fill="FFFFFF"/>
            <w:vAlign w:val="center"/>
          </w:tcPr>
          <w:p w14:paraId="39171125"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2003–2012</w:t>
            </w:r>
          </w:p>
        </w:tc>
        <w:tc>
          <w:tcPr>
            <w:tcW w:w="2042" w:type="dxa"/>
            <w:tcBorders>
              <w:left w:val="nil"/>
              <w:bottom w:val="single" w:sz="4" w:space="0" w:color="000000"/>
              <w:right w:val="nil"/>
            </w:tcBorders>
            <w:shd w:val="clear" w:color="auto" w:fill="FFFFFF"/>
            <w:vAlign w:val="center"/>
          </w:tcPr>
          <w:p w14:paraId="44F990B5"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Comp (comparability of financial statements), FIO (foreign shareholders’ ratio)</w:t>
            </w:r>
          </w:p>
        </w:tc>
        <w:tc>
          <w:tcPr>
            <w:tcW w:w="1677" w:type="dxa"/>
            <w:tcBorders>
              <w:left w:val="nil"/>
              <w:bottom w:val="single" w:sz="4" w:space="0" w:color="000000"/>
              <w:right w:val="nil"/>
            </w:tcBorders>
            <w:shd w:val="clear" w:color="auto" w:fill="FFFFFF"/>
            <w:vAlign w:val="center"/>
          </w:tcPr>
          <w:p w14:paraId="3531488B"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IFRS (+, +)</w:t>
            </w:r>
          </w:p>
        </w:tc>
      </w:tr>
      <w:tr w:rsidR="007373F6" w14:paraId="2F052C9C" w14:textId="77777777">
        <w:trPr>
          <w:trHeight w:val="600"/>
        </w:trPr>
        <w:tc>
          <w:tcPr>
            <w:tcW w:w="1302" w:type="dxa"/>
            <w:tcBorders>
              <w:left w:val="nil"/>
              <w:bottom w:val="single" w:sz="4" w:space="0" w:color="000000"/>
              <w:right w:val="nil"/>
            </w:tcBorders>
            <w:shd w:val="clear" w:color="auto" w:fill="FFFFFF"/>
            <w:vAlign w:val="center"/>
          </w:tcPr>
          <w:p w14:paraId="556AC2BF" w14:textId="77777777" w:rsidR="007373F6" w:rsidRDefault="00000000">
            <w:pPr>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DeFond</w:t>
            </w:r>
            <w:proofErr w:type="spellEnd"/>
            <w:r>
              <w:rPr>
                <w:rFonts w:ascii="Times New Roman" w:eastAsia="Times New Roman" w:hAnsi="Times New Roman" w:cs="Times New Roman"/>
                <w:color w:val="000000"/>
                <w:sz w:val="20"/>
                <w:szCs w:val="20"/>
              </w:rPr>
              <w:t xml:space="preserve"> et al.</w:t>
            </w:r>
          </w:p>
        </w:tc>
        <w:tc>
          <w:tcPr>
            <w:tcW w:w="760" w:type="dxa"/>
            <w:tcBorders>
              <w:left w:val="nil"/>
              <w:bottom w:val="single" w:sz="4" w:space="0" w:color="000000"/>
              <w:right w:val="nil"/>
            </w:tcBorders>
            <w:shd w:val="clear" w:color="auto" w:fill="FFFFFF"/>
            <w:vAlign w:val="center"/>
          </w:tcPr>
          <w:p w14:paraId="7BBE08BA"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(2019)</w:t>
            </w:r>
          </w:p>
        </w:tc>
        <w:tc>
          <w:tcPr>
            <w:tcW w:w="1037" w:type="dxa"/>
            <w:tcBorders>
              <w:left w:val="nil"/>
              <w:bottom w:val="single" w:sz="4" w:space="0" w:color="000000"/>
              <w:right w:val="nil"/>
            </w:tcBorders>
            <w:shd w:val="clear" w:color="auto" w:fill="FFFFFF"/>
            <w:vAlign w:val="center"/>
          </w:tcPr>
          <w:p w14:paraId="4461C4A0"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China</w:t>
            </w:r>
          </w:p>
        </w:tc>
        <w:tc>
          <w:tcPr>
            <w:tcW w:w="1236" w:type="dxa"/>
            <w:tcBorders>
              <w:left w:val="nil"/>
              <w:bottom w:val="single" w:sz="4" w:space="0" w:color="000000"/>
              <w:right w:val="nil"/>
            </w:tcBorders>
            <w:shd w:val="clear" w:color="auto" w:fill="FFFFFF"/>
            <w:vAlign w:val="center"/>
          </w:tcPr>
          <w:p w14:paraId="75C10E1B"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5,518</w:t>
            </w:r>
          </w:p>
        </w:tc>
        <w:tc>
          <w:tcPr>
            <w:tcW w:w="972" w:type="dxa"/>
            <w:tcBorders>
              <w:left w:val="nil"/>
              <w:bottom w:val="single" w:sz="4" w:space="0" w:color="000000"/>
              <w:right w:val="nil"/>
            </w:tcBorders>
            <w:shd w:val="clear" w:color="auto" w:fill="FFFFFF"/>
            <w:vAlign w:val="center"/>
          </w:tcPr>
          <w:p w14:paraId="0A4715CD"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2005–2008</w:t>
            </w:r>
          </w:p>
        </w:tc>
        <w:tc>
          <w:tcPr>
            <w:tcW w:w="2042" w:type="dxa"/>
            <w:tcBorders>
              <w:left w:val="nil"/>
              <w:bottom w:val="single" w:sz="4" w:space="0" w:color="000000"/>
              <w:right w:val="nil"/>
            </w:tcBorders>
            <w:shd w:val="clear" w:color="auto" w:fill="FFFFFF"/>
            <w:vAlign w:val="center"/>
          </w:tcPr>
          <w:p w14:paraId="641C13D7"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QFII (Qualified Foreign Institutional Investors)</w:t>
            </w:r>
          </w:p>
        </w:tc>
        <w:tc>
          <w:tcPr>
            <w:tcW w:w="1677" w:type="dxa"/>
            <w:tcBorders>
              <w:left w:val="nil"/>
              <w:bottom w:val="single" w:sz="4" w:space="0" w:color="000000"/>
              <w:right w:val="nil"/>
            </w:tcBorders>
            <w:shd w:val="clear" w:color="auto" w:fill="FFFFFF"/>
            <w:vAlign w:val="center"/>
          </w:tcPr>
          <w:p w14:paraId="24320C0E"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Post (-)</w:t>
            </w:r>
          </w:p>
        </w:tc>
      </w:tr>
      <w:tr w:rsidR="007373F6" w14:paraId="509182FA" w14:textId="77777777">
        <w:trPr>
          <w:trHeight w:val="610"/>
        </w:trPr>
        <w:tc>
          <w:tcPr>
            <w:tcW w:w="1302" w:type="dxa"/>
            <w:tcBorders>
              <w:left w:val="nil"/>
              <w:bottom w:val="single" w:sz="4" w:space="0" w:color="000000"/>
              <w:right w:val="nil"/>
            </w:tcBorders>
            <w:shd w:val="clear" w:color="auto" w:fill="FFFFFF"/>
            <w:vAlign w:val="center"/>
          </w:tcPr>
          <w:p w14:paraId="748D26FF"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Kim et al.</w:t>
            </w:r>
          </w:p>
        </w:tc>
        <w:tc>
          <w:tcPr>
            <w:tcW w:w="760" w:type="dxa"/>
            <w:tcBorders>
              <w:left w:val="nil"/>
              <w:bottom w:val="single" w:sz="4" w:space="0" w:color="000000"/>
              <w:right w:val="nil"/>
            </w:tcBorders>
            <w:shd w:val="clear" w:color="auto" w:fill="FFFFFF"/>
            <w:vAlign w:val="center"/>
          </w:tcPr>
          <w:p w14:paraId="661E0C08"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(2019)</w:t>
            </w:r>
          </w:p>
        </w:tc>
        <w:tc>
          <w:tcPr>
            <w:tcW w:w="1037" w:type="dxa"/>
            <w:tcBorders>
              <w:left w:val="nil"/>
              <w:bottom w:val="single" w:sz="4" w:space="0" w:color="000000"/>
              <w:right w:val="nil"/>
            </w:tcBorders>
            <w:shd w:val="clear" w:color="auto" w:fill="FFFFFF"/>
            <w:vAlign w:val="center"/>
          </w:tcPr>
          <w:p w14:paraId="29C07170"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Japan</w:t>
            </w:r>
          </w:p>
        </w:tc>
        <w:tc>
          <w:tcPr>
            <w:tcW w:w="1236" w:type="dxa"/>
            <w:tcBorders>
              <w:left w:val="nil"/>
              <w:bottom w:val="single" w:sz="4" w:space="0" w:color="000000"/>
              <w:right w:val="nil"/>
            </w:tcBorders>
            <w:shd w:val="clear" w:color="auto" w:fill="FFFFFF"/>
          </w:tcPr>
          <w:p w14:paraId="56CCAA0E"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704 Treatment,   704 Controls</w:t>
            </w:r>
          </w:p>
        </w:tc>
        <w:tc>
          <w:tcPr>
            <w:tcW w:w="972" w:type="dxa"/>
            <w:tcBorders>
              <w:left w:val="nil"/>
              <w:bottom w:val="single" w:sz="4" w:space="0" w:color="000000"/>
              <w:right w:val="nil"/>
            </w:tcBorders>
            <w:shd w:val="clear" w:color="auto" w:fill="FFFFFF"/>
            <w:vAlign w:val="center"/>
          </w:tcPr>
          <w:p w14:paraId="04A4C929"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2010–2018</w:t>
            </w:r>
          </w:p>
        </w:tc>
        <w:tc>
          <w:tcPr>
            <w:tcW w:w="2042" w:type="dxa"/>
            <w:tcBorders>
              <w:left w:val="nil"/>
              <w:bottom w:val="single" w:sz="4" w:space="0" w:color="000000"/>
              <w:right w:val="nil"/>
            </w:tcBorders>
            <w:shd w:val="clear" w:color="auto" w:fill="FFFFFF"/>
          </w:tcPr>
          <w:p w14:paraId="40C5D6DA" w14:textId="77777777" w:rsidR="007373F6" w:rsidRDefault="00000000">
            <w:pPr>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A_Following</w:t>
            </w:r>
            <w:proofErr w:type="spellEnd"/>
            <w:r>
              <w:rPr>
                <w:rFonts w:ascii="Times New Roman" w:eastAsia="Times New Roman" w:hAnsi="Times New Roman" w:cs="Times New Roman"/>
                <w:color w:val="000000"/>
                <w:sz w:val="20"/>
                <w:szCs w:val="20"/>
              </w:rPr>
              <w:t xml:space="preserve"> (no. of analysts),        </w:t>
            </w:r>
            <w:proofErr w:type="spellStart"/>
            <w:r>
              <w:rPr>
                <w:rFonts w:ascii="Times New Roman" w:eastAsia="Times New Roman" w:hAnsi="Times New Roman" w:cs="Times New Roman"/>
                <w:color w:val="000000"/>
                <w:sz w:val="20"/>
                <w:szCs w:val="20"/>
              </w:rPr>
              <w:t>Foreign_Held</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Seisaku_Held</w:t>
            </w:r>
            <w:proofErr w:type="spellEnd"/>
          </w:p>
        </w:tc>
        <w:tc>
          <w:tcPr>
            <w:tcW w:w="1677" w:type="dxa"/>
            <w:tcBorders>
              <w:left w:val="nil"/>
              <w:bottom w:val="single" w:sz="4" w:space="0" w:color="000000"/>
              <w:right w:val="nil"/>
            </w:tcBorders>
            <w:shd w:val="clear" w:color="auto" w:fill="FFFFFF"/>
            <w:vAlign w:val="center"/>
          </w:tcPr>
          <w:p w14:paraId="00D04270" w14:textId="77777777" w:rsidR="007373F6" w:rsidRDefault="00000000">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IFRS (insignificant, insignificant, -)</w:t>
            </w:r>
          </w:p>
        </w:tc>
      </w:tr>
    </w:tbl>
    <w:p w14:paraId="795A84D0" w14:textId="77777777" w:rsidR="007373F6" w:rsidRDefault="007373F6">
      <w:pPr>
        <w:spacing w:after="0" w:line="240" w:lineRule="auto"/>
        <w:jc w:val="both"/>
        <w:rPr>
          <w:rFonts w:ascii="Times New Roman" w:eastAsia="Times New Roman" w:hAnsi="Times New Roman" w:cs="Times New Roman"/>
          <w:color w:val="000000"/>
          <w:sz w:val="24"/>
          <w:szCs w:val="24"/>
        </w:rPr>
      </w:pPr>
    </w:p>
    <w:p w14:paraId="20A61C9F" w14:textId="77777777" w:rsidR="007373F6" w:rsidRDefault="00000000">
      <w:pPr>
        <w:widowControl w:val="0"/>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Appendix B: </w:t>
      </w:r>
      <w:r w:rsidRPr="007008AE">
        <w:rPr>
          <w:rFonts w:ascii="Times New Roman" w:eastAsia="Times New Roman" w:hAnsi="Times New Roman" w:cs="Times New Roman"/>
          <w:bCs/>
          <w:color w:val="000000"/>
          <w:sz w:val="24"/>
          <w:szCs w:val="24"/>
        </w:rPr>
        <w:t>Variable deﬁnitions</w:t>
      </w:r>
    </w:p>
    <w:tbl>
      <w:tblPr>
        <w:tblStyle w:val="af5"/>
        <w:tblW w:w="9026" w:type="dxa"/>
        <w:tblBorders>
          <w:top w:val="single" w:sz="4" w:space="0" w:color="000000"/>
          <w:bottom w:val="single" w:sz="4" w:space="0" w:color="000000"/>
          <w:insideH w:val="single" w:sz="4" w:space="0" w:color="7F7F7F"/>
        </w:tblBorders>
        <w:tblLayout w:type="fixed"/>
        <w:tblLook w:val="04A0" w:firstRow="1" w:lastRow="0" w:firstColumn="1" w:lastColumn="0" w:noHBand="0" w:noVBand="1"/>
      </w:tblPr>
      <w:tblGrid>
        <w:gridCol w:w="1961"/>
        <w:gridCol w:w="5707"/>
        <w:gridCol w:w="1358"/>
      </w:tblGrid>
      <w:tr w:rsidR="007373F6" w14:paraId="4625146B" w14:textId="77777777" w:rsidTr="007373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1" w:type="dxa"/>
            <w:tcBorders>
              <w:top w:val="single" w:sz="4" w:space="0" w:color="000000"/>
              <w:bottom w:val="single" w:sz="4" w:space="0" w:color="000000"/>
            </w:tcBorders>
          </w:tcPr>
          <w:p w14:paraId="1FA4B962" w14:textId="77777777" w:rsidR="007373F6" w:rsidRDefault="00000000">
            <w:pPr>
              <w:jc w:val="both"/>
              <w:rPr>
                <w:color w:val="000000"/>
                <w:sz w:val="18"/>
                <w:szCs w:val="18"/>
              </w:rPr>
            </w:pPr>
            <w:r>
              <w:rPr>
                <w:color w:val="000000"/>
                <w:sz w:val="18"/>
                <w:szCs w:val="18"/>
              </w:rPr>
              <w:t>Variable</w:t>
            </w:r>
          </w:p>
        </w:tc>
        <w:tc>
          <w:tcPr>
            <w:tcW w:w="5707" w:type="dxa"/>
            <w:tcBorders>
              <w:top w:val="single" w:sz="4" w:space="0" w:color="000000"/>
              <w:bottom w:val="single" w:sz="4" w:space="0" w:color="000000"/>
            </w:tcBorders>
          </w:tcPr>
          <w:p w14:paraId="0D68B23B"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Definition</w:t>
            </w:r>
          </w:p>
        </w:tc>
        <w:tc>
          <w:tcPr>
            <w:tcW w:w="1358" w:type="dxa"/>
            <w:tcBorders>
              <w:top w:val="single" w:sz="4" w:space="0" w:color="000000"/>
              <w:bottom w:val="single" w:sz="4" w:space="0" w:color="000000"/>
            </w:tcBorders>
          </w:tcPr>
          <w:p w14:paraId="048A3BCF"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Data source</w:t>
            </w:r>
          </w:p>
        </w:tc>
      </w:tr>
      <w:tr w:rsidR="007373F6" w14:paraId="3448181B"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1" w:type="dxa"/>
            <w:tcBorders>
              <w:top w:val="single" w:sz="4" w:space="0" w:color="000000"/>
              <w:bottom w:val="single" w:sz="4" w:space="0" w:color="000000"/>
            </w:tcBorders>
          </w:tcPr>
          <w:p w14:paraId="178D2AC2" w14:textId="77777777" w:rsidR="007373F6" w:rsidRDefault="00000000">
            <w:pPr>
              <w:jc w:val="both"/>
              <w:rPr>
                <w:i/>
                <w:color w:val="000000"/>
                <w:sz w:val="18"/>
                <w:szCs w:val="18"/>
              </w:rPr>
            </w:pPr>
            <w:r>
              <w:rPr>
                <w:b w:val="0"/>
                <w:i/>
                <w:color w:val="000000"/>
                <w:sz w:val="18"/>
                <w:szCs w:val="18"/>
              </w:rPr>
              <w:t>IFRS</w:t>
            </w:r>
          </w:p>
        </w:tc>
        <w:tc>
          <w:tcPr>
            <w:tcW w:w="5707" w:type="dxa"/>
            <w:tcBorders>
              <w:top w:val="single" w:sz="4" w:space="0" w:color="000000"/>
              <w:bottom w:val="single" w:sz="4" w:space="0" w:color="000000"/>
            </w:tcBorders>
          </w:tcPr>
          <w:p w14:paraId="1DAE1ECF"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Dummy variable for companies that voluntarily adopt IFRS.</w:t>
            </w:r>
          </w:p>
        </w:tc>
        <w:tc>
          <w:tcPr>
            <w:tcW w:w="1358" w:type="dxa"/>
            <w:tcBorders>
              <w:top w:val="single" w:sz="4" w:space="0" w:color="000000"/>
              <w:bottom w:val="single" w:sz="4" w:space="0" w:color="000000"/>
            </w:tcBorders>
          </w:tcPr>
          <w:p w14:paraId="3BE0A5DE"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Nikkei NEEDS</w:t>
            </w:r>
          </w:p>
        </w:tc>
      </w:tr>
      <w:tr w:rsidR="007373F6" w14:paraId="2DC4FE2F" w14:textId="77777777" w:rsidTr="007373F6">
        <w:tc>
          <w:tcPr>
            <w:cnfStyle w:val="001000000000" w:firstRow="0" w:lastRow="0" w:firstColumn="1" w:lastColumn="0" w:oddVBand="0" w:evenVBand="0" w:oddHBand="0" w:evenHBand="0" w:firstRowFirstColumn="0" w:firstRowLastColumn="0" w:lastRowFirstColumn="0" w:lastRowLastColumn="0"/>
            <w:tcW w:w="1961" w:type="dxa"/>
            <w:tcBorders>
              <w:top w:val="single" w:sz="4" w:space="0" w:color="000000"/>
              <w:bottom w:val="single" w:sz="4" w:space="0" w:color="000000"/>
            </w:tcBorders>
          </w:tcPr>
          <w:p w14:paraId="4CD19136" w14:textId="77777777" w:rsidR="007373F6" w:rsidRDefault="00000000">
            <w:pPr>
              <w:jc w:val="both"/>
              <w:rPr>
                <w:i/>
                <w:color w:val="000000"/>
                <w:sz w:val="18"/>
                <w:szCs w:val="18"/>
              </w:rPr>
            </w:pPr>
            <w:r>
              <w:rPr>
                <w:b w:val="0"/>
                <w:i/>
                <w:color w:val="000000"/>
                <w:sz w:val="18"/>
                <w:szCs w:val="18"/>
              </w:rPr>
              <w:t>FOREIGN HELD</w:t>
            </w:r>
          </w:p>
        </w:tc>
        <w:tc>
          <w:tcPr>
            <w:tcW w:w="5707" w:type="dxa"/>
            <w:tcBorders>
              <w:top w:val="single" w:sz="4" w:space="0" w:color="000000"/>
              <w:bottom w:val="single" w:sz="4" w:space="0" w:color="000000"/>
            </w:tcBorders>
          </w:tcPr>
          <w:p w14:paraId="1EBC9072"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Ratio of shares</w:t>
            </w:r>
            <w:r>
              <w:rPr>
                <w:color w:val="000000"/>
                <w:sz w:val="18"/>
                <w:szCs w:val="18"/>
                <w:highlight w:val="white"/>
              </w:rPr>
              <w:t xml:space="preserve"> owned by foreign investors</w:t>
            </w:r>
            <w:r>
              <w:rPr>
                <w:color w:val="000000"/>
                <w:sz w:val="18"/>
                <w:szCs w:val="18"/>
              </w:rPr>
              <w:t>.</w:t>
            </w:r>
          </w:p>
        </w:tc>
        <w:tc>
          <w:tcPr>
            <w:tcW w:w="1358" w:type="dxa"/>
            <w:tcBorders>
              <w:top w:val="single" w:sz="4" w:space="0" w:color="000000"/>
              <w:bottom w:val="single" w:sz="4" w:space="0" w:color="000000"/>
            </w:tcBorders>
          </w:tcPr>
          <w:p w14:paraId="42FE385C"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Nikkei NEEDS</w:t>
            </w:r>
          </w:p>
        </w:tc>
      </w:tr>
      <w:tr w:rsidR="007373F6" w14:paraId="139E34CA"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1" w:type="dxa"/>
            <w:tcBorders>
              <w:top w:val="single" w:sz="4" w:space="0" w:color="000000"/>
              <w:bottom w:val="single" w:sz="4" w:space="0" w:color="000000"/>
            </w:tcBorders>
          </w:tcPr>
          <w:p w14:paraId="795825F7" w14:textId="77777777" w:rsidR="007373F6" w:rsidRDefault="00000000">
            <w:pPr>
              <w:jc w:val="both"/>
              <w:rPr>
                <w:i/>
                <w:color w:val="000000"/>
                <w:sz w:val="18"/>
                <w:szCs w:val="18"/>
              </w:rPr>
            </w:pPr>
            <w:r>
              <w:rPr>
                <w:b w:val="0"/>
                <w:i/>
                <w:color w:val="000000"/>
                <w:sz w:val="18"/>
                <w:szCs w:val="18"/>
              </w:rPr>
              <w:t>FOREIGN HELD NUM</w:t>
            </w:r>
          </w:p>
        </w:tc>
        <w:tc>
          <w:tcPr>
            <w:tcW w:w="5707" w:type="dxa"/>
            <w:tcBorders>
              <w:top w:val="single" w:sz="4" w:space="0" w:color="000000"/>
              <w:bottom w:val="single" w:sz="4" w:space="0" w:color="000000"/>
            </w:tcBorders>
          </w:tcPr>
          <w:p w14:paraId="45B56D37"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Natural logarithm of the number of foreign shareholders plus one.</w:t>
            </w:r>
          </w:p>
        </w:tc>
        <w:tc>
          <w:tcPr>
            <w:tcW w:w="1358" w:type="dxa"/>
            <w:tcBorders>
              <w:top w:val="single" w:sz="4" w:space="0" w:color="000000"/>
              <w:bottom w:val="single" w:sz="4" w:space="0" w:color="000000"/>
            </w:tcBorders>
          </w:tcPr>
          <w:p w14:paraId="5C2BB3D1"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Nikkei NEEDS</w:t>
            </w:r>
          </w:p>
        </w:tc>
      </w:tr>
      <w:tr w:rsidR="007373F6" w14:paraId="185F53AE" w14:textId="77777777" w:rsidTr="007373F6">
        <w:tc>
          <w:tcPr>
            <w:cnfStyle w:val="001000000000" w:firstRow="0" w:lastRow="0" w:firstColumn="1" w:lastColumn="0" w:oddVBand="0" w:evenVBand="0" w:oddHBand="0" w:evenHBand="0" w:firstRowFirstColumn="0" w:firstRowLastColumn="0" w:lastRowFirstColumn="0" w:lastRowLastColumn="0"/>
            <w:tcW w:w="1961" w:type="dxa"/>
            <w:tcBorders>
              <w:bottom w:val="single" w:sz="4" w:space="0" w:color="000000"/>
            </w:tcBorders>
          </w:tcPr>
          <w:p w14:paraId="375BF762" w14:textId="77777777" w:rsidR="007373F6" w:rsidRDefault="00000000">
            <w:pPr>
              <w:jc w:val="both"/>
              <w:rPr>
                <w:i/>
                <w:color w:val="000000"/>
                <w:sz w:val="18"/>
                <w:szCs w:val="18"/>
              </w:rPr>
            </w:pPr>
            <w:r>
              <w:rPr>
                <w:b w:val="0"/>
                <w:i/>
                <w:color w:val="000000"/>
                <w:sz w:val="18"/>
                <w:szCs w:val="18"/>
              </w:rPr>
              <w:t>GW</w:t>
            </w:r>
          </w:p>
        </w:tc>
        <w:tc>
          <w:tcPr>
            <w:tcW w:w="5707" w:type="dxa"/>
            <w:tcBorders>
              <w:bottom w:val="single" w:sz="4" w:space="0" w:color="000000"/>
            </w:tcBorders>
          </w:tcPr>
          <w:p w14:paraId="5E2E47D0"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Ratio of goodwill to total assets.</w:t>
            </w:r>
          </w:p>
        </w:tc>
        <w:tc>
          <w:tcPr>
            <w:tcW w:w="1358" w:type="dxa"/>
            <w:tcBorders>
              <w:bottom w:val="single" w:sz="4" w:space="0" w:color="000000"/>
            </w:tcBorders>
          </w:tcPr>
          <w:p w14:paraId="3085CEE7"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Nikkei NEEDS</w:t>
            </w:r>
          </w:p>
        </w:tc>
      </w:tr>
      <w:tr w:rsidR="007373F6" w14:paraId="334E4E3B"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1" w:type="dxa"/>
            <w:tcBorders>
              <w:bottom w:val="single" w:sz="4" w:space="0" w:color="000000"/>
            </w:tcBorders>
          </w:tcPr>
          <w:p w14:paraId="1C19F2EF" w14:textId="77777777" w:rsidR="007373F6" w:rsidRDefault="00000000">
            <w:pPr>
              <w:jc w:val="both"/>
              <w:rPr>
                <w:i/>
                <w:color w:val="000000"/>
                <w:sz w:val="18"/>
                <w:szCs w:val="18"/>
              </w:rPr>
            </w:pPr>
            <w:r>
              <w:rPr>
                <w:b w:val="0"/>
                <w:i/>
                <w:color w:val="000000"/>
                <w:sz w:val="18"/>
                <w:szCs w:val="18"/>
              </w:rPr>
              <w:t>RD</w:t>
            </w:r>
          </w:p>
        </w:tc>
        <w:tc>
          <w:tcPr>
            <w:tcW w:w="5707" w:type="dxa"/>
            <w:tcBorders>
              <w:bottom w:val="single" w:sz="4" w:space="0" w:color="000000"/>
            </w:tcBorders>
          </w:tcPr>
          <w:p w14:paraId="2A89818F"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R&amp;D expenditure divided by sales.</w:t>
            </w:r>
          </w:p>
        </w:tc>
        <w:tc>
          <w:tcPr>
            <w:tcW w:w="1358" w:type="dxa"/>
            <w:tcBorders>
              <w:bottom w:val="single" w:sz="4" w:space="0" w:color="000000"/>
            </w:tcBorders>
          </w:tcPr>
          <w:p w14:paraId="783C1068"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Nikkei NEEDS</w:t>
            </w:r>
          </w:p>
        </w:tc>
      </w:tr>
      <w:tr w:rsidR="007373F6" w14:paraId="3D4BE5F1" w14:textId="77777777" w:rsidTr="007373F6">
        <w:tc>
          <w:tcPr>
            <w:cnfStyle w:val="001000000000" w:firstRow="0" w:lastRow="0" w:firstColumn="1" w:lastColumn="0" w:oddVBand="0" w:evenVBand="0" w:oddHBand="0" w:evenHBand="0" w:firstRowFirstColumn="0" w:firstRowLastColumn="0" w:lastRowFirstColumn="0" w:lastRowLastColumn="0"/>
            <w:tcW w:w="1961" w:type="dxa"/>
            <w:tcBorders>
              <w:bottom w:val="single" w:sz="4" w:space="0" w:color="000000"/>
            </w:tcBorders>
          </w:tcPr>
          <w:p w14:paraId="5E1C0F5D" w14:textId="77777777" w:rsidR="007373F6" w:rsidRDefault="00000000">
            <w:pPr>
              <w:jc w:val="both"/>
              <w:rPr>
                <w:i/>
                <w:color w:val="000000"/>
                <w:sz w:val="18"/>
                <w:szCs w:val="18"/>
              </w:rPr>
            </w:pPr>
            <w:r>
              <w:rPr>
                <w:b w:val="0"/>
                <w:i/>
                <w:color w:val="000000"/>
                <w:sz w:val="18"/>
                <w:szCs w:val="18"/>
              </w:rPr>
              <w:t>FOREIGN SALES</w:t>
            </w:r>
          </w:p>
        </w:tc>
        <w:tc>
          <w:tcPr>
            <w:tcW w:w="5707" w:type="dxa"/>
            <w:tcBorders>
              <w:bottom w:val="single" w:sz="4" w:space="0" w:color="000000"/>
            </w:tcBorders>
          </w:tcPr>
          <w:p w14:paraId="75864C22"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Ratio of overseas sales to total sales.</w:t>
            </w:r>
          </w:p>
        </w:tc>
        <w:tc>
          <w:tcPr>
            <w:tcW w:w="1358" w:type="dxa"/>
            <w:tcBorders>
              <w:bottom w:val="single" w:sz="4" w:space="0" w:color="000000"/>
            </w:tcBorders>
          </w:tcPr>
          <w:p w14:paraId="3C239D07"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Nikkei NEEDS</w:t>
            </w:r>
          </w:p>
        </w:tc>
      </w:tr>
      <w:tr w:rsidR="007373F6" w14:paraId="42B92B36"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1" w:type="dxa"/>
            <w:tcBorders>
              <w:bottom w:val="single" w:sz="4" w:space="0" w:color="000000"/>
            </w:tcBorders>
          </w:tcPr>
          <w:p w14:paraId="23C12492" w14:textId="77777777" w:rsidR="007373F6" w:rsidRDefault="00000000">
            <w:pPr>
              <w:jc w:val="both"/>
              <w:rPr>
                <w:i/>
                <w:color w:val="000000"/>
                <w:sz w:val="18"/>
                <w:szCs w:val="18"/>
              </w:rPr>
            </w:pPr>
            <w:r>
              <w:rPr>
                <w:b w:val="0"/>
                <w:i/>
                <w:color w:val="000000"/>
                <w:sz w:val="18"/>
                <w:szCs w:val="18"/>
              </w:rPr>
              <w:t>CROSS</w:t>
            </w:r>
          </w:p>
        </w:tc>
        <w:tc>
          <w:tcPr>
            <w:tcW w:w="5707" w:type="dxa"/>
            <w:tcBorders>
              <w:bottom w:val="single" w:sz="4" w:space="0" w:color="000000"/>
            </w:tcBorders>
          </w:tcPr>
          <w:p w14:paraId="43A4BC98" w14:textId="77777777" w:rsidR="007373F6" w:rsidRDefault="00000000">
            <w:pPr>
              <w:tabs>
                <w:tab w:val="left" w:pos="2044"/>
              </w:tabs>
              <w:jc w:val="both"/>
              <w:cnfStyle w:val="000000100000" w:firstRow="0" w:lastRow="0" w:firstColumn="0" w:lastColumn="0" w:oddVBand="0" w:evenVBand="0" w:oddHBand="1" w:evenHBand="0" w:firstRowFirstColumn="0" w:firstRowLastColumn="0" w:lastRowFirstColumn="0" w:lastRowLastColumn="0"/>
              <w:rPr>
                <w:i/>
                <w:color w:val="000000"/>
                <w:sz w:val="18"/>
                <w:szCs w:val="18"/>
              </w:rPr>
            </w:pPr>
            <w:r>
              <w:rPr>
                <w:color w:val="000000"/>
                <w:sz w:val="18"/>
                <w:szCs w:val="18"/>
              </w:rPr>
              <w:t>Cross-shareholder ratio.</w:t>
            </w:r>
          </w:p>
        </w:tc>
        <w:tc>
          <w:tcPr>
            <w:tcW w:w="1358" w:type="dxa"/>
            <w:tcBorders>
              <w:bottom w:val="single" w:sz="4" w:space="0" w:color="000000"/>
            </w:tcBorders>
          </w:tcPr>
          <w:p w14:paraId="21E3FEF8"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Nikkei NEEDS</w:t>
            </w:r>
          </w:p>
        </w:tc>
      </w:tr>
      <w:tr w:rsidR="007373F6" w14:paraId="261FE688" w14:textId="77777777" w:rsidTr="007373F6">
        <w:tc>
          <w:tcPr>
            <w:cnfStyle w:val="001000000000" w:firstRow="0" w:lastRow="0" w:firstColumn="1" w:lastColumn="0" w:oddVBand="0" w:evenVBand="0" w:oddHBand="0" w:evenHBand="0" w:firstRowFirstColumn="0" w:firstRowLastColumn="0" w:lastRowFirstColumn="0" w:lastRowLastColumn="0"/>
            <w:tcW w:w="1961" w:type="dxa"/>
            <w:tcBorders>
              <w:top w:val="single" w:sz="4" w:space="0" w:color="000000"/>
              <w:bottom w:val="single" w:sz="4" w:space="0" w:color="000000"/>
            </w:tcBorders>
          </w:tcPr>
          <w:p w14:paraId="54BB9C85" w14:textId="77777777" w:rsidR="007373F6" w:rsidRDefault="00000000">
            <w:pPr>
              <w:jc w:val="both"/>
              <w:rPr>
                <w:i/>
                <w:color w:val="000000"/>
                <w:sz w:val="18"/>
                <w:szCs w:val="18"/>
              </w:rPr>
            </w:pPr>
            <w:r>
              <w:rPr>
                <w:b w:val="0"/>
                <w:i/>
                <w:color w:val="000000"/>
                <w:sz w:val="18"/>
                <w:szCs w:val="18"/>
              </w:rPr>
              <w:t>AGE</w:t>
            </w:r>
          </w:p>
        </w:tc>
        <w:tc>
          <w:tcPr>
            <w:tcW w:w="5707" w:type="dxa"/>
            <w:tcBorders>
              <w:top w:val="single" w:sz="4" w:space="0" w:color="000000"/>
              <w:bottom w:val="single" w:sz="4" w:space="0" w:color="000000"/>
            </w:tcBorders>
          </w:tcPr>
          <w:p w14:paraId="3C70755B"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Natural logarithm of the number of years in business plus one.</w:t>
            </w:r>
          </w:p>
        </w:tc>
        <w:tc>
          <w:tcPr>
            <w:tcW w:w="1358" w:type="dxa"/>
            <w:tcBorders>
              <w:top w:val="single" w:sz="4" w:space="0" w:color="000000"/>
              <w:bottom w:val="single" w:sz="4" w:space="0" w:color="000000"/>
            </w:tcBorders>
          </w:tcPr>
          <w:p w14:paraId="4152F222"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Nikkei NEEDS</w:t>
            </w:r>
          </w:p>
        </w:tc>
      </w:tr>
      <w:tr w:rsidR="007373F6" w14:paraId="5B42E2C6"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1" w:type="dxa"/>
            <w:tcBorders>
              <w:bottom w:val="single" w:sz="4" w:space="0" w:color="000000"/>
            </w:tcBorders>
          </w:tcPr>
          <w:p w14:paraId="30DBC3A0" w14:textId="77777777" w:rsidR="007373F6" w:rsidRDefault="00000000">
            <w:pPr>
              <w:jc w:val="both"/>
              <w:rPr>
                <w:i/>
                <w:color w:val="000000"/>
                <w:sz w:val="18"/>
                <w:szCs w:val="18"/>
              </w:rPr>
            </w:pPr>
            <w:r>
              <w:rPr>
                <w:b w:val="0"/>
                <w:i/>
                <w:color w:val="000000"/>
                <w:sz w:val="18"/>
                <w:szCs w:val="18"/>
              </w:rPr>
              <w:t>SIZE</w:t>
            </w:r>
          </w:p>
        </w:tc>
        <w:tc>
          <w:tcPr>
            <w:tcW w:w="5707" w:type="dxa"/>
            <w:tcBorders>
              <w:bottom w:val="single" w:sz="4" w:space="0" w:color="000000"/>
            </w:tcBorders>
          </w:tcPr>
          <w:p w14:paraId="79ECB141"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Natural logarithm of total assets in the previous fiscal year.</w:t>
            </w:r>
          </w:p>
        </w:tc>
        <w:tc>
          <w:tcPr>
            <w:tcW w:w="1358" w:type="dxa"/>
            <w:tcBorders>
              <w:bottom w:val="single" w:sz="4" w:space="0" w:color="000000"/>
            </w:tcBorders>
          </w:tcPr>
          <w:p w14:paraId="08590C8B"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Nikkei NEEDS</w:t>
            </w:r>
          </w:p>
        </w:tc>
      </w:tr>
      <w:tr w:rsidR="007373F6" w14:paraId="753C2613" w14:textId="77777777" w:rsidTr="007373F6">
        <w:tc>
          <w:tcPr>
            <w:cnfStyle w:val="001000000000" w:firstRow="0" w:lastRow="0" w:firstColumn="1" w:lastColumn="0" w:oddVBand="0" w:evenVBand="0" w:oddHBand="0" w:evenHBand="0" w:firstRowFirstColumn="0" w:firstRowLastColumn="0" w:lastRowFirstColumn="0" w:lastRowLastColumn="0"/>
            <w:tcW w:w="1961" w:type="dxa"/>
            <w:tcBorders>
              <w:bottom w:val="single" w:sz="4" w:space="0" w:color="000000"/>
            </w:tcBorders>
          </w:tcPr>
          <w:p w14:paraId="30029B33" w14:textId="77777777" w:rsidR="007373F6" w:rsidRDefault="00000000">
            <w:pPr>
              <w:jc w:val="both"/>
              <w:rPr>
                <w:i/>
                <w:color w:val="000000"/>
                <w:sz w:val="18"/>
                <w:szCs w:val="18"/>
              </w:rPr>
            </w:pPr>
            <w:r>
              <w:rPr>
                <w:b w:val="0"/>
                <w:i/>
                <w:color w:val="000000"/>
                <w:sz w:val="18"/>
                <w:szCs w:val="18"/>
              </w:rPr>
              <w:t>ROA</w:t>
            </w:r>
          </w:p>
        </w:tc>
        <w:tc>
          <w:tcPr>
            <w:tcW w:w="5707" w:type="dxa"/>
            <w:tcBorders>
              <w:bottom w:val="single" w:sz="4" w:space="0" w:color="000000"/>
            </w:tcBorders>
          </w:tcPr>
          <w:p w14:paraId="6F08C220"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Return on assets calculated as parent firm net income relative to total assets at the beginning of the fiscal year.</w:t>
            </w:r>
          </w:p>
        </w:tc>
        <w:tc>
          <w:tcPr>
            <w:tcW w:w="1358" w:type="dxa"/>
            <w:tcBorders>
              <w:bottom w:val="single" w:sz="4" w:space="0" w:color="000000"/>
            </w:tcBorders>
          </w:tcPr>
          <w:p w14:paraId="3E0C3438"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Nikkei NEEDS</w:t>
            </w:r>
          </w:p>
        </w:tc>
      </w:tr>
      <w:tr w:rsidR="007373F6" w14:paraId="02C5B30B"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1" w:type="dxa"/>
            <w:tcBorders>
              <w:top w:val="single" w:sz="4" w:space="0" w:color="000000"/>
              <w:bottom w:val="single" w:sz="4" w:space="0" w:color="000000"/>
            </w:tcBorders>
          </w:tcPr>
          <w:p w14:paraId="1F8DB006" w14:textId="77777777" w:rsidR="007373F6" w:rsidRDefault="00000000">
            <w:pPr>
              <w:jc w:val="both"/>
              <w:rPr>
                <w:i/>
                <w:color w:val="000000"/>
                <w:sz w:val="18"/>
                <w:szCs w:val="18"/>
              </w:rPr>
            </w:pPr>
            <w:r>
              <w:rPr>
                <w:b w:val="0"/>
                <w:i/>
                <w:color w:val="000000"/>
                <w:sz w:val="18"/>
                <w:szCs w:val="18"/>
              </w:rPr>
              <w:t>BTM</w:t>
            </w:r>
          </w:p>
        </w:tc>
        <w:tc>
          <w:tcPr>
            <w:tcW w:w="5707" w:type="dxa"/>
            <w:tcBorders>
              <w:top w:val="single" w:sz="4" w:space="0" w:color="000000"/>
              <w:bottom w:val="single" w:sz="4" w:space="0" w:color="000000"/>
            </w:tcBorders>
          </w:tcPr>
          <w:p w14:paraId="19A6993E"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Book-to-market ratio calculated as equity capital divided by market capitalization at the end of the fiscal year.</w:t>
            </w:r>
          </w:p>
        </w:tc>
        <w:tc>
          <w:tcPr>
            <w:tcW w:w="1358" w:type="dxa"/>
            <w:tcBorders>
              <w:top w:val="single" w:sz="4" w:space="0" w:color="000000"/>
              <w:bottom w:val="single" w:sz="4" w:space="0" w:color="000000"/>
            </w:tcBorders>
          </w:tcPr>
          <w:p w14:paraId="2751A8CE"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Nikkei NEEDS</w:t>
            </w:r>
          </w:p>
        </w:tc>
      </w:tr>
      <w:tr w:rsidR="007373F6" w14:paraId="65859213" w14:textId="77777777" w:rsidTr="007373F6">
        <w:tc>
          <w:tcPr>
            <w:cnfStyle w:val="001000000000" w:firstRow="0" w:lastRow="0" w:firstColumn="1" w:lastColumn="0" w:oddVBand="0" w:evenVBand="0" w:oddHBand="0" w:evenHBand="0" w:firstRowFirstColumn="0" w:firstRowLastColumn="0" w:lastRowFirstColumn="0" w:lastRowLastColumn="0"/>
            <w:tcW w:w="1961" w:type="dxa"/>
            <w:tcBorders>
              <w:bottom w:val="single" w:sz="4" w:space="0" w:color="000000"/>
            </w:tcBorders>
          </w:tcPr>
          <w:p w14:paraId="7572560E" w14:textId="77777777" w:rsidR="007373F6" w:rsidRDefault="00000000">
            <w:pPr>
              <w:jc w:val="both"/>
              <w:rPr>
                <w:i/>
                <w:color w:val="000000"/>
                <w:sz w:val="18"/>
                <w:szCs w:val="18"/>
              </w:rPr>
            </w:pPr>
            <w:r>
              <w:rPr>
                <w:b w:val="0"/>
                <w:i/>
                <w:color w:val="000000"/>
                <w:sz w:val="18"/>
                <w:szCs w:val="18"/>
              </w:rPr>
              <w:t>DEBT</w:t>
            </w:r>
          </w:p>
        </w:tc>
        <w:tc>
          <w:tcPr>
            <w:tcW w:w="5707" w:type="dxa"/>
            <w:tcBorders>
              <w:bottom w:val="single" w:sz="4" w:space="0" w:color="000000"/>
            </w:tcBorders>
          </w:tcPr>
          <w:p w14:paraId="3E5C459C"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Net debt-equity ratio calculated using interest-bearing debt as a percentage of total assets. Interest-bearing debt is the sum of long- and short-term borrowings, corporate bonds, and long- and short-term lease liabilities.</w:t>
            </w:r>
          </w:p>
        </w:tc>
        <w:tc>
          <w:tcPr>
            <w:tcW w:w="1358" w:type="dxa"/>
            <w:tcBorders>
              <w:bottom w:val="single" w:sz="4" w:space="0" w:color="000000"/>
            </w:tcBorders>
          </w:tcPr>
          <w:p w14:paraId="74E73913"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Nikkei NEEDS</w:t>
            </w:r>
          </w:p>
        </w:tc>
      </w:tr>
      <w:tr w:rsidR="007373F6" w14:paraId="76B6C64B"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1" w:type="dxa"/>
            <w:tcBorders>
              <w:bottom w:val="single" w:sz="4" w:space="0" w:color="000000"/>
            </w:tcBorders>
          </w:tcPr>
          <w:p w14:paraId="5041CCA0" w14:textId="77777777" w:rsidR="007373F6" w:rsidRDefault="00000000">
            <w:pPr>
              <w:jc w:val="both"/>
              <w:rPr>
                <w:i/>
                <w:color w:val="000000"/>
                <w:sz w:val="18"/>
                <w:szCs w:val="18"/>
              </w:rPr>
            </w:pPr>
            <w:r>
              <w:rPr>
                <w:b w:val="0"/>
                <w:i/>
                <w:color w:val="000000"/>
                <w:sz w:val="18"/>
                <w:szCs w:val="18"/>
              </w:rPr>
              <w:t>CLOSELY HELD</w:t>
            </w:r>
          </w:p>
        </w:tc>
        <w:tc>
          <w:tcPr>
            <w:tcW w:w="5707" w:type="dxa"/>
            <w:tcBorders>
              <w:bottom w:val="single" w:sz="4" w:space="0" w:color="000000"/>
            </w:tcBorders>
          </w:tcPr>
          <w:p w14:paraId="0753FB48"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Minority ownership ratio.</w:t>
            </w:r>
          </w:p>
        </w:tc>
        <w:tc>
          <w:tcPr>
            <w:tcW w:w="1358" w:type="dxa"/>
            <w:tcBorders>
              <w:bottom w:val="single" w:sz="4" w:space="0" w:color="000000"/>
            </w:tcBorders>
          </w:tcPr>
          <w:p w14:paraId="3BDBB4E0"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Nikkei NEEDS</w:t>
            </w:r>
          </w:p>
        </w:tc>
      </w:tr>
      <w:tr w:rsidR="007373F6" w14:paraId="1CD4E8BC" w14:textId="77777777" w:rsidTr="007373F6">
        <w:tc>
          <w:tcPr>
            <w:cnfStyle w:val="001000000000" w:firstRow="0" w:lastRow="0" w:firstColumn="1" w:lastColumn="0" w:oddVBand="0" w:evenVBand="0" w:oddHBand="0" w:evenHBand="0" w:firstRowFirstColumn="0" w:firstRowLastColumn="0" w:lastRowFirstColumn="0" w:lastRowLastColumn="0"/>
            <w:tcW w:w="1961" w:type="dxa"/>
            <w:tcBorders>
              <w:top w:val="single" w:sz="4" w:space="0" w:color="000000"/>
              <w:bottom w:val="single" w:sz="4" w:space="0" w:color="000000"/>
            </w:tcBorders>
          </w:tcPr>
          <w:p w14:paraId="5CE2320A" w14:textId="77777777" w:rsidR="007373F6" w:rsidRDefault="00000000">
            <w:pPr>
              <w:jc w:val="both"/>
              <w:rPr>
                <w:i/>
                <w:color w:val="000000"/>
                <w:sz w:val="18"/>
                <w:szCs w:val="18"/>
              </w:rPr>
            </w:pPr>
            <w:r>
              <w:rPr>
                <w:b w:val="0"/>
                <w:i/>
                <w:color w:val="000000"/>
                <w:sz w:val="18"/>
                <w:szCs w:val="18"/>
              </w:rPr>
              <w:t>IRD1</w:t>
            </w:r>
          </w:p>
        </w:tc>
        <w:tc>
          <w:tcPr>
            <w:tcW w:w="5707" w:type="dxa"/>
            <w:tcBorders>
              <w:top w:val="single" w:sz="4" w:space="0" w:color="000000"/>
              <w:bottom w:val="single" w:sz="4" w:space="0" w:color="000000"/>
            </w:tcBorders>
          </w:tcPr>
          <w:p w14:paraId="6CA6A124"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US-Japan interest rate difference based on federal fund rates and uncollateralized overnight call rates.</w:t>
            </w:r>
          </w:p>
        </w:tc>
        <w:tc>
          <w:tcPr>
            <w:tcW w:w="1358" w:type="dxa"/>
            <w:tcBorders>
              <w:top w:val="single" w:sz="4" w:space="0" w:color="000000"/>
              <w:bottom w:val="single" w:sz="4" w:space="0" w:color="000000"/>
            </w:tcBorders>
          </w:tcPr>
          <w:p w14:paraId="4F80D76A"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Nikkei NEEDS</w:t>
            </w:r>
          </w:p>
        </w:tc>
      </w:tr>
      <w:tr w:rsidR="007373F6" w14:paraId="3E201AF7"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1" w:type="dxa"/>
            <w:tcBorders>
              <w:bottom w:val="single" w:sz="4" w:space="0" w:color="000000"/>
            </w:tcBorders>
          </w:tcPr>
          <w:p w14:paraId="2EF12500" w14:textId="77777777" w:rsidR="007373F6" w:rsidRDefault="00000000">
            <w:pPr>
              <w:jc w:val="both"/>
              <w:rPr>
                <w:i/>
                <w:color w:val="000000"/>
                <w:sz w:val="18"/>
                <w:szCs w:val="18"/>
              </w:rPr>
            </w:pPr>
            <w:r>
              <w:rPr>
                <w:b w:val="0"/>
                <w:i/>
                <w:color w:val="000000"/>
                <w:sz w:val="18"/>
                <w:szCs w:val="18"/>
              </w:rPr>
              <w:t>IRD2</w:t>
            </w:r>
          </w:p>
        </w:tc>
        <w:tc>
          <w:tcPr>
            <w:tcW w:w="5707" w:type="dxa"/>
            <w:tcBorders>
              <w:bottom w:val="single" w:sz="4" w:space="0" w:color="000000"/>
            </w:tcBorders>
          </w:tcPr>
          <w:p w14:paraId="74254D62" w14:textId="77777777" w:rsidR="007373F6" w:rsidRDefault="00000000">
            <w:pPr>
              <w:tabs>
                <w:tab w:val="left" w:pos="2044"/>
              </w:tabs>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US-Japan interest rate difference based on the yields on three-month treasury bills in both countries.</w:t>
            </w:r>
          </w:p>
        </w:tc>
        <w:tc>
          <w:tcPr>
            <w:tcW w:w="1358" w:type="dxa"/>
            <w:tcBorders>
              <w:bottom w:val="single" w:sz="4" w:space="0" w:color="000000"/>
            </w:tcBorders>
          </w:tcPr>
          <w:p w14:paraId="5616A761"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Nikkei NEEDS</w:t>
            </w:r>
          </w:p>
        </w:tc>
      </w:tr>
      <w:tr w:rsidR="007373F6" w14:paraId="5EBD6C5D" w14:textId="77777777" w:rsidTr="007373F6">
        <w:tc>
          <w:tcPr>
            <w:cnfStyle w:val="001000000000" w:firstRow="0" w:lastRow="0" w:firstColumn="1" w:lastColumn="0" w:oddVBand="0" w:evenVBand="0" w:oddHBand="0" w:evenHBand="0" w:firstRowFirstColumn="0" w:firstRowLastColumn="0" w:lastRowFirstColumn="0" w:lastRowLastColumn="0"/>
            <w:tcW w:w="1961" w:type="dxa"/>
            <w:tcBorders>
              <w:top w:val="single" w:sz="4" w:space="0" w:color="000000"/>
              <w:bottom w:val="single" w:sz="4" w:space="0" w:color="000000"/>
            </w:tcBorders>
          </w:tcPr>
          <w:p w14:paraId="70B750B1" w14:textId="77777777" w:rsidR="007373F6" w:rsidRDefault="00000000">
            <w:pPr>
              <w:jc w:val="both"/>
              <w:rPr>
                <w:i/>
                <w:color w:val="000000"/>
                <w:sz w:val="18"/>
                <w:szCs w:val="18"/>
              </w:rPr>
            </w:pPr>
            <w:r>
              <w:rPr>
                <w:b w:val="0"/>
                <w:i/>
                <w:color w:val="000000"/>
                <w:sz w:val="18"/>
                <w:szCs w:val="18"/>
              </w:rPr>
              <w:t>ERD1</w:t>
            </w:r>
          </w:p>
        </w:tc>
        <w:tc>
          <w:tcPr>
            <w:tcW w:w="5707" w:type="dxa"/>
            <w:tcBorders>
              <w:top w:val="single" w:sz="4" w:space="0" w:color="000000"/>
              <w:bottom w:val="single" w:sz="4" w:space="0" w:color="000000"/>
            </w:tcBorders>
          </w:tcPr>
          <w:p w14:paraId="439F83C5"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Natural logarithm of the yen-dollar exchange rate.</w:t>
            </w:r>
          </w:p>
        </w:tc>
        <w:tc>
          <w:tcPr>
            <w:tcW w:w="1358" w:type="dxa"/>
            <w:tcBorders>
              <w:top w:val="single" w:sz="4" w:space="0" w:color="000000"/>
              <w:bottom w:val="single" w:sz="4" w:space="0" w:color="000000"/>
            </w:tcBorders>
          </w:tcPr>
          <w:p w14:paraId="598F04F1"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Nikkei NEEDS</w:t>
            </w:r>
          </w:p>
        </w:tc>
      </w:tr>
      <w:tr w:rsidR="007373F6" w14:paraId="03D92724"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1" w:type="dxa"/>
            <w:tcBorders>
              <w:bottom w:val="single" w:sz="4" w:space="0" w:color="000000"/>
            </w:tcBorders>
          </w:tcPr>
          <w:p w14:paraId="23F30B52" w14:textId="77777777" w:rsidR="007373F6" w:rsidRDefault="00000000">
            <w:pPr>
              <w:jc w:val="both"/>
              <w:rPr>
                <w:i/>
                <w:color w:val="000000"/>
                <w:sz w:val="18"/>
                <w:szCs w:val="18"/>
              </w:rPr>
            </w:pPr>
            <w:r>
              <w:rPr>
                <w:b w:val="0"/>
                <w:i/>
                <w:color w:val="000000"/>
                <w:sz w:val="18"/>
                <w:szCs w:val="18"/>
              </w:rPr>
              <w:t>ERD2</w:t>
            </w:r>
          </w:p>
        </w:tc>
        <w:tc>
          <w:tcPr>
            <w:tcW w:w="5707" w:type="dxa"/>
            <w:tcBorders>
              <w:bottom w:val="single" w:sz="4" w:space="0" w:color="000000"/>
            </w:tcBorders>
          </w:tcPr>
          <w:p w14:paraId="3E0612F8"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Year-on-year rate of change in the yen-dollar exchange rate.</w:t>
            </w:r>
          </w:p>
        </w:tc>
        <w:tc>
          <w:tcPr>
            <w:tcW w:w="1358" w:type="dxa"/>
            <w:tcBorders>
              <w:bottom w:val="single" w:sz="4" w:space="0" w:color="000000"/>
            </w:tcBorders>
          </w:tcPr>
          <w:p w14:paraId="0A128731"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Nikkei NEEDS</w:t>
            </w:r>
          </w:p>
        </w:tc>
      </w:tr>
      <w:tr w:rsidR="007373F6" w14:paraId="044359B1" w14:textId="77777777" w:rsidTr="007373F6">
        <w:tc>
          <w:tcPr>
            <w:cnfStyle w:val="001000000000" w:firstRow="0" w:lastRow="0" w:firstColumn="1" w:lastColumn="0" w:oddVBand="0" w:evenVBand="0" w:oddHBand="0" w:evenHBand="0" w:firstRowFirstColumn="0" w:firstRowLastColumn="0" w:lastRowFirstColumn="0" w:lastRowLastColumn="0"/>
            <w:tcW w:w="1961" w:type="dxa"/>
            <w:tcBorders>
              <w:top w:val="single" w:sz="4" w:space="0" w:color="000000"/>
              <w:bottom w:val="single" w:sz="4" w:space="0" w:color="000000"/>
            </w:tcBorders>
          </w:tcPr>
          <w:p w14:paraId="3CBF365E" w14:textId="77777777" w:rsidR="007373F6" w:rsidRDefault="00000000">
            <w:pPr>
              <w:jc w:val="both"/>
              <w:rPr>
                <w:i/>
                <w:color w:val="000000"/>
                <w:sz w:val="18"/>
                <w:szCs w:val="18"/>
              </w:rPr>
            </w:pPr>
            <w:r>
              <w:rPr>
                <w:b w:val="0"/>
                <w:i/>
                <w:color w:val="000000"/>
                <w:sz w:val="18"/>
                <w:szCs w:val="18"/>
              </w:rPr>
              <w:t>POST</w:t>
            </w:r>
          </w:p>
        </w:tc>
        <w:tc>
          <w:tcPr>
            <w:tcW w:w="5707" w:type="dxa"/>
            <w:tcBorders>
              <w:top w:val="single" w:sz="4" w:space="0" w:color="000000"/>
              <w:bottom w:val="single" w:sz="4" w:space="0" w:color="000000"/>
            </w:tcBorders>
          </w:tcPr>
          <w:p w14:paraId="0E958706"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Dummy variable for the IFRS voluntary adoption period, where the period of voluntary IFRS application by treatment companies and the corresponding period for control companies equals 1, and the other periods equal 0.</w:t>
            </w:r>
          </w:p>
        </w:tc>
        <w:tc>
          <w:tcPr>
            <w:tcW w:w="1358" w:type="dxa"/>
            <w:tcBorders>
              <w:top w:val="single" w:sz="4" w:space="0" w:color="000000"/>
              <w:bottom w:val="single" w:sz="4" w:space="0" w:color="000000"/>
            </w:tcBorders>
          </w:tcPr>
          <w:p w14:paraId="1969A09D"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Nikkei NEEDS</w:t>
            </w:r>
          </w:p>
        </w:tc>
      </w:tr>
      <w:tr w:rsidR="007373F6" w14:paraId="45B2A797"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1" w:type="dxa"/>
            <w:tcBorders>
              <w:bottom w:val="single" w:sz="4" w:space="0" w:color="000000"/>
            </w:tcBorders>
          </w:tcPr>
          <w:p w14:paraId="26D486B0" w14:textId="77777777" w:rsidR="007373F6" w:rsidRDefault="00000000">
            <w:pPr>
              <w:jc w:val="both"/>
              <w:rPr>
                <w:i/>
                <w:color w:val="000000"/>
                <w:sz w:val="18"/>
                <w:szCs w:val="18"/>
              </w:rPr>
            </w:pPr>
            <w:r>
              <w:rPr>
                <w:b w:val="0"/>
                <w:i/>
                <w:color w:val="000000"/>
                <w:sz w:val="18"/>
                <w:szCs w:val="18"/>
              </w:rPr>
              <w:t>BUYBACK</w:t>
            </w:r>
          </w:p>
        </w:tc>
        <w:tc>
          <w:tcPr>
            <w:tcW w:w="5707" w:type="dxa"/>
            <w:tcBorders>
              <w:bottom w:val="single" w:sz="4" w:space="0" w:color="000000"/>
            </w:tcBorders>
          </w:tcPr>
          <w:p w14:paraId="423FC7EF"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Ratio of treasury stock to the total number of shares outstanding.</w:t>
            </w:r>
          </w:p>
        </w:tc>
        <w:tc>
          <w:tcPr>
            <w:tcW w:w="1358" w:type="dxa"/>
            <w:tcBorders>
              <w:bottom w:val="single" w:sz="4" w:space="0" w:color="000000"/>
            </w:tcBorders>
          </w:tcPr>
          <w:p w14:paraId="23E5E5EE"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Nikkei NEEDS</w:t>
            </w:r>
          </w:p>
        </w:tc>
      </w:tr>
      <w:tr w:rsidR="007373F6" w14:paraId="395818DA" w14:textId="77777777" w:rsidTr="007373F6">
        <w:tc>
          <w:tcPr>
            <w:cnfStyle w:val="001000000000" w:firstRow="0" w:lastRow="0" w:firstColumn="1" w:lastColumn="0" w:oddVBand="0" w:evenVBand="0" w:oddHBand="0" w:evenHBand="0" w:firstRowFirstColumn="0" w:firstRowLastColumn="0" w:lastRowFirstColumn="0" w:lastRowLastColumn="0"/>
            <w:tcW w:w="1961" w:type="dxa"/>
            <w:tcBorders>
              <w:bottom w:val="single" w:sz="4" w:space="0" w:color="000000"/>
            </w:tcBorders>
          </w:tcPr>
          <w:p w14:paraId="71D4144F" w14:textId="77777777" w:rsidR="007373F6" w:rsidRDefault="00000000">
            <w:pPr>
              <w:jc w:val="both"/>
              <w:rPr>
                <w:i/>
                <w:color w:val="000000"/>
                <w:sz w:val="18"/>
                <w:szCs w:val="18"/>
              </w:rPr>
            </w:pPr>
            <w:r>
              <w:rPr>
                <w:b w:val="0"/>
                <w:i/>
                <w:color w:val="000000"/>
                <w:sz w:val="18"/>
                <w:szCs w:val="18"/>
              </w:rPr>
              <w:t>YEAR</w:t>
            </w:r>
          </w:p>
        </w:tc>
        <w:tc>
          <w:tcPr>
            <w:tcW w:w="5707" w:type="dxa"/>
            <w:tcBorders>
              <w:bottom w:val="single" w:sz="4" w:space="0" w:color="000000"/>
            </w:tcBorders>
          </w:tcPr>
          <w:p w14:paraId="701C0D56"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Year dummy variable.</w:t>
            </w:r>
          </w:p>
        </w:tc>
        <w:tc>
          <w:tcPr>
            <w:tcW w:w="1358" w:type="dxa"/>
            <w:tcBorders>
              <w:bottom w:val="single" w:sz="4" w:space="0" w:color="000000"/>
            </w:tcBorders>
          </w:tcPr>
          <w:p w14:paraId="7F389925" w14:textId="77777777" w:rsidR="007373F6" w:rsidRDefault="007373F6">
            <w:pPr>
              <w:jc w:val="both"/>
              <w:cnfStyle w:val="000000000000" w:firstRow="0" w:lastRow="0" w:firstColumn="0" w:lastColumn="0" w:oddVBand="0" w:evenVBand="0" w:oddHBand="0" w:evenHBand="0" w:firstRowFirstColumn="0" w:firstRowLastColumn="0" w:lastRowFirstColumn="0" w:lastRowLastColumn="0"/>
              <w:rPr>
                <w:color w:val="000000"/>
                <w:sz w:val="18"/>
                <w:szCs w:val="18"/>
              </w:rPr>
            </w:pPr>
          </w:p>
        </w:tc>
      </w:tr>
      <w:tr w:rsidR="007373F6" w14:paraId="177E2A3C"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1" w:type="dxa"/>
          </w:tcPr>
          <w:p w14:paraId="03BE3924" w14:textId="77777777" w:rsidR="007373F6" w:rsidRDefault="00000000">
            <w:pPr>
              <w:jc w:val="both"/>
              <w:rPr>
                <w:i/>
                <w:color w:val="000000"/>
                <w:sz w:val="18"/>
                <w:szCs w:val="18"/>
              </w:rPr>
            </w:pPr>
            <w:r>
              <w:rPr>
                <w:b w:val="0"/>
                <w:i/>
                <w:color w:val="000000"/>
                <w:sz w:val="18"/>
                <w:szCs w:val="18"/>
              </w:rPr>
              <w:t>INDUSTRY</w:t>
            </w:r>
          </w:p>
        </w:tc>
        <w:tc>
          <w:tcPr>
            <w:tcW w:w="5707" w:type="dxa"/>
          </w:tcPr>
          <w:p w14:paraId="33A2DAAB"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Industry dummy variable.</w:t>
            </w:r>
          </w:p>
        </w:tc>
        <w:tc>
          <w:tcPr>
            <w:tcW w:w="1358" w:type="dxa"/>
          </w:tcPr>
          <w:p w14:paraId="09AB9BA1"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Nikkei NEEDS</w:t>
            </w:r>
          </w:p>
        </w:tc>
      </w:tr>
    </w:tbl>
    <w:p w14:paraId="4E04B17E" w14:textId="77777777" w:rsidR="00084D38" w:rsidRDefault="00084D38">
      <w:pPr>
        <w:rPr>
          <w:rFonts w:ascii="Times New Roman" w:eastAsia="Times New Roman" w:hAnsi="Times New Roman" w:cs="Times New Roman"/>
          <w:b/>
          <w:sz w:val="26"/>
          <w:szCs w:val="26"/>
        </w:rPr>
      </w:pPr>
      <w:r>
        <w:br w:type="page"/>
      </w:r>
    </w:p>
    <w:p w14:paraId="4DF6501D" w14:textId="77777777" w:rsidR="007373F6" w:rsidRDefault="007373F6">
      <w:pPr>
        <w:jc w:val="both"/>
        <w:sectPr w:rsidR="007373F6">
          <w:pgSz w:w="11906" w:h="16838"/>
          <w:pgMar w:top="1440" w:right="1440" w:bottom="1440" w:left="1440" w:header="708" w:footer="708" w:gutter="0"/>
          <w:cols w:space="720"/>
        </w:sectPr>
      </w:pPr>
    </w:p>
    <w:p w14:paraId="26D40BE9" w14:textId="77777777" w:rsidR="007373F6" w:rsidRDefault="00000000">
      <w:pPr>
        <w:pStyle w:val="Heading1"/>
      </w:pPr>
      <w:bookmarkStart w:id="48" w:name="_Toc211808136"/>
      <w:r>
        <w:lastRenderedPageBreak/>
        <w:t>Paper ID 7</w:t>
      </w:r>
      <w:bookmarkEnd w:id="48"/>
    </w:p>
    <w:p w14:paraId="2FD9B94B" w14:textId="77777777" w:rsidR="007373F6" w:rsidRDefault="00000000">
      <w:pPr>
        <w:pStyle w:val="Heading2"/>
        <w:spacing w:after="0" w:line="240" w:lineRule="auto"/>
      </w:pPr>
      <w:bookmarkStart w:id="49" w:name="_Toc211808137"/>
      <w:r>
        <w:t>DOES SKIN IN THE GAME MITIGATE INFORMATION ASYMMETRY AMONG LOAN ORIGINATORS AND INVESTORS IN P2P PLATFORMS? EVIDENCE FROM MINTOS</w:t>
      </w:r>
      <w:bookmarkEnd w:id="49"/>
    </w:p>
    <w:p w14:paraId="4EA64F4E" w14:textId="77777777" w:rsidR="007373F6" w:rsidRPr="005A3D6D" w:rsidRDefault="007373F6">
      <w:pPr>
        <w:spacing w:after="0" w:line="240" w:lineRule="auto"/>
        <w:jc w:val="center"/>
        <w:rPr>
          <w:rFonts w:ascii="Times New Roman" w:eastAsia="Times New Roman" w:hAnsi="Times New Roman" w:cs="Times New Roman"/>
          <w:b/>
          <w:sz w:val="26"/>
          <w:szCs w:val="26"/>
        </w:rPr>
      </w:pPr>
    </w:p>
    <w:p w14:paraId="5D3D541A" w14:textId="77777777" w:rsidR="007373F6" w:rsidRPr="005A3D6D" w:rsidRDefault="00000000">
      <w:pPr>
        <w:shd w:val="clear" w:color="auto" w:fill="FFFFFF"/>
        <w:jc w:val="center"/>
        <w:rPr>
          <w:rFonts w:ascii="Times New Roman" w:eastAsia="Times New Roman" w:hAnsi="Times New Roman" w:cs="Times New Roman"/>
          <w:sz w:val="24"/>
          <w:szCs w:val="24"/>
        </w:rPr>
      </w:pPr>
      <w:r w:rsidRPr="005A3D6D">
        <w:rPr>
          <w:rFonts w:ascii="Times New Roman" w:eastAsia="Times New Roman" w:hAnsi="Times New Roman" w:cs="Times New Roman"/>
          <w:b/>
          <w:sz w:val="24"/>
          <w:szCs w:val="24"/>
        </w:rPr>
        <w:t>Fathima Fida Chomadathil House</w:t>
      </w:r>
      <w:r w:rsidRPr="005A3D6D">
        <w:rPr>
          <w:rFonts w:ascii="Times New Roman" w:eastAsia="Times New Roman" w:hAnsi="Times New Roman" w:cs="Times New Roman"/>
          <w:sz w:val="24"/>
          <w:szCs w:val="24"/>
        </w:rPr>
        <w:t>, Qatar University, Qatar (</w:t>
      </w:r>
      <w:hyperlink r:id="rId77">
        <w:r w:rsidR="007373F6" w:rsidRPr="005A3D6D">
          <w:rPr>
            <w:rFonts w:ascii="Times New Roman" w:eastAsia="Times New Roman" w:hAnsi="Times New Roman" w:cs="Times New Roman"/>
            <w:sz w:val="24"/>
            <w:szCs w:val="24"/>
          </w:rPr>
          <w:t>fc1605918@student.qu.edu.qa</w:t>
        </w:r>
      </w:hyperlink>
      <w:r w:rsidRPr="005A3D6D">
        <w:rPr>
          <w:rFonts w:ascii="Times New Roman" w:eastAsia="Times New Roman" w:hAnsi="Times New Roman" w:cs="Times New Roman"/>
          <w:sz w:val="24"/>
          <w:szCs w:val="24"/>
        </w:rPr>
        <w:t>)</w:t>
      </w:r>
    </w:p>
    <w:p w14:paraId="14D05173" w14:textId="77777777" w:rsidR="007373F6" w:rsidRPr="005A3D6D" w:rsidRDefault="00000000">
      <w:pPr>
        <w:spacing w:after="0" w:line="240" w:lineRule="auto"/>
        <w:jc w:val="center"/>
        <w:rPr>
          <w:sz w:val="24"/>
          <w:szCs w:val="24"/>
        </w:rPr>
      </w:pPr>
      <w:r w:rsidRPr="005A3D6D">
        <w:rPr>
          <w:rFonts w:ascii="Times New Roman" w:eastAsia="Times New Roman" w:hAnsi="Times New Roman" w:cs="Times New Roman"/>
          <w:b/>
          <w:sz w:val="24"/>
          <w:szCs w:val="24"/>
        </w:rPr>
        <w:t>Mohammed Elgammal*</w:t>
      </w:r>
      <w:r w:rsidRPr="005A3D6D">
        <w:rPr>
          <w:rFonts w:ascii="Times New Roman" w:eastAsia="Times New Roman" w:hAnsi="Times New Roman" w:cs="Times New Roman"/>
          <w:sz w:val="24"/>
          <w:szCs w:val="24"/>
        </w:rPr>
        <w:t>, Qatar University, Qatar (m.elgammal@qu.edu.qa)</w:t>
      </w:r>
    </w:p>
    <w:p w14:paraId="16D160C0" w14:textId="77777777" w:rsidR="007373F6" w:rsidRPr="005A3D6D" w:rsidRDefault="007373F6">
      <w:pPr>
        <w:spacing w:after="0" w:line="240" w:lineRule="auto"/>
        <w:jc w:val="center"/>
        <w:rPr>
          <w:rFonts w:ascii="Times New Roman" w:eastAsia="Times New Roman" w:hAnsi="Times New Roman" w:cs="Times New Roman"/>
          <w:b/>
          <w:sz w:val="24"/>
          <w:szCs w:val="24"/>
        </w:rPr>
      </w:pPr>
    </w:p>
    <w:p w14:paraId="79797386" w14:textId="77777777" w:rsidR="007373F6" w:rsidRPr="005A3D6D" w:rsidRDefault="00000000">
      <w:pPr>
        <w:spacing w:after="0" w:line="240" w:lineRule="auto"/>
        <w:jc w:val="center"/>
        <w:rPr>
          <w:sz w:val="24"/>
          <w:szCs w:val="24"/>
        </w:rPr>
      </w:pPr>
      <w:r w:rsidRPr="005A3D6D">
        <w:rPr>
          <w:rFonts w:ascii="Times New Roman" w:eastAsia="Times New Roman" w:hAnsi="Times New Roman" w:cs="Times New Roman"/>
          <w:b/>
          <w:sz w:val="24"/>
          <w:szCs w:val="24"/>
        </w:rPr>
        <w:t>Hisham Farag</w:t>
      </w:r>
      <w:r w:rsidRPr="005A3D6D">
        <w:rPr>
          <w:rFonts w:ascii="Times New Roman" w:eastAsia="Times New Roman" w:hAnsi="Times New Roman" w:cs="Times New Roman"/>
          <w:sz w:val="24"/>
          <w:szCs w:val="24"/>
        </w:rPr>
        <w:t>, University of Birmingham, Unted Kingdom (h.farag@bham.ac.uk)</w:t>
      </w:r>
    </w:p>
    <w:p w14:paraId="4351CA59" w14:textId="77777777" w:rsidR="007373F6" w:rsidRDefault="007373F6">
      <w:pPr>
        <w:jc w:val="both"/>
      </w:pPr>
    </w:p>
    <w:p w14:paraId="33CC9D1D" w14:textId="77777777" w:rsidR="007373F6"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ABSTRACT</w:t>
      </w:r>
    </w:p>
    <w:p w14:paraId="4BB420C6"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rapid growth of the European P2P lending market has led to the emergence of a unique lending model called resale marketplace lending. This structure involves P2P platforms connecting investors with loan originators who resell pre-originated loans. This study examines the information asymmetry challenge in such lending structure through a skin-in-the-game mechanism on the Mintos platform, which is a large Online Investment platform in Europe. Skin in the game" refers to the principle where individuals or entities are personally invested in the outcome of a situation, meaning they face both the potential gains and losses associated with their decisions or actions. To measure the impact of Skin in the game on loan default, we employ Logit regression to model the binary dependent variable, namely Default. Our choice of empirical model is in line with the extant literature that employed logit regression to predict the likelihood of default on peer-to-peer lending platforms. By </w:t>
      </w:r>
      <w:proofErr w:type="spellStart"/>
      <w:r>
        <w:rPr>
          <w:rFonts w:ascii="Times New Roman" w:eastAsia="Times New Roman" w:hAnsi="Times New Roman" w:cs="Times New Roman"/>
          <w:sz w:val="24"/>
          <w:szCs w:val="24"/>
        </w:rPr>
        <w:t>analyzing</w:t>
      </w:r>
      <w:proofErr w:type="spellEnd"/>
      <w:r>
        <w:rPr>
          <w:rFonts w:ascii="Times New Roman" w:eastAsia="Times New Roman" w:hAnsi="Times New Roman" w:cs="Times New Roman"/>
          <w:sz w:val="24"/>
          <w:szCs w:val="24"/>
        </w:rPr>
        <w:t xml:space="preserve"> 1,983,334 listed loans, we find that skin in the game significantly mitigates information asymmetry, reflected in lower interest rates, reduced likelihood, and severity of default. Our findings suggest that loan originators are incentivized to ensure the successful performance of the loans they offer and also strategically signal the commitment and trust by bearing a higher level of skin in the game. These findings hold important implications for enhancing information symmetry within resale marketplace lending platforms.</w:t>
      </w:r>
    </w:p>
    <w:p w14:paraId="585A3175" w14:textId="77777777" w:rsidR="007373F6" w:rsidRDefault="007373F6">
      <w:pPr>
        <w:spacing w:after="0" w:line="240" w:lineRule="auto"/>
        <w:jc w:val="both"/>
        <w:rPr>
          <w:rFonts w:ascii="Times New Roman" w:eastAsia="Times New Roman" w:hAnsi="Times New Roman" w:cs="Times New Roman"/>
          <w:sz w:val="24"/>
          <w:szCs w:val="24"/>
        </w:rPr>
      </w:pPr>
    </w:p>
    <w:p w14:paraId="17283411" w14:textId="5501A9AD" w:rsidR="007373F6" w:rsidRDefault="00000000">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Keywords: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P2P </w:t>
      </w:r>
      <w:r w:rsidR="005A3D6D">
        <w:rPr>
          <w:rFonts w:ascii="Times New Roman" w:eastAsia="Times New Roman" w:hAnsi="Times New Roman" w:cs="Times New Roman"/>
          <w:i/>
          <w:sz w:val="24"/>
          <w:szCs w:val="24"/>
        </w:rPr>
        <w:t>Lending</w:t>
      </w:r>
      <w:r>
        <w:rPr>
          <w:rFonts w:ascii="Times New Roman" w:eastAsia="Times New Roman" w:hAnsi="Times New Roman" w:cs="Times New Roman"/>
          <w:i/>
          <w:sz w:val="24"/>
          <w:szCs w:val="24"/>
        </w:rPr>
        <w:t xml:space="preserve">, Resale </w:t>
      </w:r>
      <w:r w:rsidR="005A3D6D">
        <w:rPr>
          <w:rFonts w:ascii="Times New Roman" w:eastAsia="Times New Roman" w:hAnsi="Times New Roman" w:cs="Times New Roman"/>
          <w:i/>
          <w:sz w:val="24"/>
          <w:szCs w:val="24"/>
        </w:rPr>
        <w:t xml:space="preserve">Marketplace Lending, </w:t>
      </w:r>
      <w:r>
        <w:rPr>
          <w:rFonts w:ascii="Times New Roman" w:eastAsia="Times New Roman" w:hAnsi="Times New Roman" w:cs="Times New Roman"/>
          <w:i/>
          <w:sz w:val="24"/>
          <w:szCs w:val="24"/>
        </w:rPr>
        <w:t xml:space="preserve">Information </w:t>
      </w:r>
      <w:r w:rsidR="005A3D6D">
        <w:rPr>
          <w:rFonts w:ascii="Times New Roman" w:eastAsia="Times New Roman" w:hAnsi="Times New Roman" w:cs="Times New Roman"/>
          <w:i/>
          <w:sz w:val="24"/>
          <w:szCs w:val="24"/>
        </w:rPr>
        <w:t>Asymmetry</w:t>
      </w:r>
      <w:r>
        <w:rPr>
          <w:rFonts w:ascii="Times New Roman" w:eastAsia="Times New Roman" w:hAnsi="Times New Roman" w:cs="Times New Roman"/>
          <w:i/>
          <w:sz w:val="24"/>
          <w:szCs w:val="24"/>
        </w:rPr>
        <w:t xml:space="preserve">, Skin in the </w:t>
      </w:r>
      <w:r w:rsidR="005A3D6D">
        <w:rPr>
          <w:rFonts w:ascii="Times New Roman" w:eastAsia="Times New Roman" w:hAnsi="Times New Roman" w:cs="Times New Roman"/>
          <w:i/>
          <w:sz w:val="24"/>
          <w:szCs w:val="24"/>
        </w:rPr>
        <w:t>Game</w:t>
      </w:r>
      <w:r>
        <w:rPr>
          <w:rFonts w:ascii="Times New Roman" w:eastAsia="Times New Roman" w:hAnsi="Times New Roman" w:cs="Times New Roman"/>
          <w:i/>
          <w:sz w:val="24"/>
          <w:szCs w:val="24"/>
        </w:rPr>
        <w:t xml:space="preserve">, Mintos </w:t>
      </w:r>
      <w:r w:rsidR="005A3D6D">
        <w:rPr>
          <w:rFonts w:ascii="Times New Roman" w:eastAsia="Times New Roman" w:hAnsi="Times New Roman" w:cs="Times New Roman"/>
          <w:i/>
          <w:sz w:val="24"/>
          <w:szCs w:val="24"/>
        </w:rPr>
        <w:t xml:space="preserve">Platform </w:t>
      </w:r>
    </w:p>
    <w:p w14:paraId="0C3AFC6A" w14:textId="77777777" w:rsidR="00C033B5" w:rsidRDefault="00C033B5" w:rsidP="00480C0A"/>
    <w:p w14:paraId="245F610F" w14:textId="1DAC9575" w:rsidR="00C033B5" w:rsidRPr="00C033B5" w:rsidRDefault="00C033B5" w:rsidP="00856618">
      <w:pPr>
        <w:numPr>
          <w:ilvl w:val="0"/>
          <w:numId w:val="30"/>
        </w:numPr>
        <w:jc w:val="center"/>
        <w:rPr>
          <w:b/>
          <w:bCs/>
        </w:rPr>
      </w:pPr>
      <w:r>
        <w:rPr>
          <w:rFonts w:asciiTheme="majorBidi" w:hAnsiTheme="majorBidi" w:cstheme="majorBidi"/>
          <w:b/>
          <w:bCs/>
          <w:sz w:val="24"/>
          <w:szCs w:val="24"/>
        </w:rPr>
        <w:t>INTRODUCTION</w:t>
      </w:r>
    </w:p>
    <w:p w14:paraId="29EE74A1" w14:textId="77777777" w:rsidR="005A3D6D" w:rsidRDefault="00C033B5" w:rsidP="005A3D6D">
      <w:pPr>
        <w:spacing w:after="0" w:line="240" w:lineRule="auto"/>
        <w:ind w:firstLine="360"/>
        <w:jc w:val="both"/>
        <w:rPr>
          <w:rFonts w:asciiTheme="majorBidi" w:hAnsiTheme="majorBidi" w:cstheme="majorBidi"/>
          <w:sz w:val="24"/>
          <w:szCs w:val="24"/>
        </w:rPr>
      </w:pPr>
      <w:r w:rsidRPr="00C033B5">
        <w:rPr>
          <w:rFonts w:asciiTheme="majorBidi" w:hAnsiTheme="majorBidi" w:cstheme="majorBidi"/>
          <w:sz w:val="24"/>
          <w:szCs w:val="24"/>
        </w:rPr>
        <w:t xml:space="preserve">Peer-to-peer (P2P) lending has gained significant momentum in recent decades due to the rapid development of the alternative finance market. Ziegler et al. (2021), argued that the global online alternative finance market (excluding China) experienced a 26% growth rate in funding volumes, rising from $89 billion in 2018 to $113 billion in 2020. The extant literature encompasses an analysis of peer-to-peer lending platforms operating under client segregated, notary, and guaranteed return model (Kirby &amp; Worner, 2014). However, several developments have come forth in the peer-to-peer lending market. Particularly, an indirect lending structure, known as resale marketplace lending, has proved to be a popular phenomenon among the P2P platforms in Europe. Currently, the largest platform operating under this framework, Mintos, represents approximately 58% of the P2P lending market in continental Europe (Mintos, 2023). Resale marketplace lending eliminates borrowers from the operational framework by introducing loan originators that resell loans originated under their balance sheet. Furthermore, </w:t>
      </w:r>
      <w:r w:rsidRPr="00C033B5">
        <w:rPr>
          <w:rFonts w:asciiTheme="majorBidi" w:hAnsiTheme="majorBidi" w:cstheme="majorBidi"/>
          <w:sz w:val="24"/>
          <w:szCs w:val="24"/>
        </w:rPr>
        <w:lastRenderedPageBreak/>
        <w:t>this lending framework requires loan originators to retain partial ownership of loans sold to ensure the quality of their loan offerings, known as the “skin in the game” (explained further in Chapter 2).</w:t>
      </w:r>
    </w:p>
    <w:p w14:paraId="05A7A81C" w14:textId="4264A3D8" w:rsidR="00C033B5" w:rsidRPr="00C033B5" w:rsidRDefault="00C033B5" w:rsidP="005A3D6D">
      <w:pPr>
        <w:spacing w:after="0" w:line="240" w:lineRule="auto"/>
        <w:ind w:firstLine="360"/>
        <w:jc w:val="both"/>
        <w:rPr>
          <w:rFonts w:asciiTheme="majorBidi" w:hAnsiTheme="majorBidi" w:cstheme="majorBidi"/>
          <w:sz w:val="24"/>
          <w:szCs w:val="24"/>
        </w:rPr>
      </w:pPr>
      <w:r w:rsidRPr="00C033B5">
        <w:rPr>
          <w:rFonts w:asciiTheme="majorBidi" w:hAnsiTheme="majorBidi" w:cstheme="majorBidi"/>
          <w:sz w:val="24"/>
          <w:szCs w:val="24"/>
        </w:rPr>
        <w:t xml:space="preserve">In this research, we examine the issue of information asymmetry in the largest resale marketplace lending platform in Europe, namely Mintos. Recognizing the conflict of interests arising from the multi-level agency relationship, resale marketplace lending platforms employ a skin in the game mechanism to align the interests of investors and originators. By requiring originators to have a stake in the loans they sell with the skin in the game mechanism, platforms seek to alleviate moral hazard problem for investors The rationale is that a higher level of skin in the game makes the originator more sensitive to the realized loan performance. This incentivizes loan originators to exert more efforts to ensure the quality of loans by the means of monitoring and restructuring efforts; thereby, mitigating moral hazard problem. This is consistent with the theory of optimal contracts (Shavell, 1979), as the agent has an incentive to exert more efforts as they are not insulated from the underlying risks. The main measure of quality in loans is ex-post loan performance (Fosu, Danso, </w:t>
      </w:r>
      <w:proofErr w:type="spellStart"/>
      <w:r w:rsidRPr="00C033B5">
        <w:rPr>
          <w:rFonts w:asciiTheme="majorBidi" w:hAnsiTheme="majorBidi" w:cstheme="majorBidi"/>
          <w:sz w:val="24"/>
          <w:szCs w:val="24"/>
        </w:rPr>
        <w:t>AgyeiBoapeah</w:t>
      </w:r>
      <w:proofErr w:type="spellEnd"/>
      <w:r w:rsidRPr="00C033B5">
        <w:rPr>
          <w:rFonts w:asciiTheme="majorBidi" w:hAnsiTheme="majorBidi" w:cstheme="majorBidi"/>
          <w:sz w:val="24"/>
          <w:szCs w:val="24"/>
        </w:rPr>
        <w:t>, Ntim, &amp; Adegbite, 2020). Therefore, the reduction in quality cheating implies reduction in the cases and severity of default. </w:t>
      </w:r>
    </w:p>
    <w:p w14:paraId="0BE8F871" w14:textId="487C7F17" w:rsidR="00C033B5" w:rsidRPr="00C033B5" w:rsidRDefault="00C033B5" w:rsidP="005A3D6D">
      <w:pPr>
        <w:spacing w:line="240" w:lineRule="auto"/>
        <w:ind w:firstLine="360"/>
        <w:jc w:val="both"/>
        <w:rPr>
          <w:rFonts w:asciiTheme="majorBidi" w:hAnsiTheme="majorBidi" w:cstheme="majorBidi"/>
          <w:sz w:val="24"/>
          <w:szCs w:val="24"/>
        </w:rPr>
      </w:pPr>
      <w:r w:rsidRPr="00C033B5">
        <w:rPr>
          <w:rFonts w:asciiTheme="majorBidi" w:hAnsiTheme="majorBidi" w:cstheme="majorBidi"/>
          <w:sz w:val="24"/>
          <w:szCs w:val="24"/>
        </w:rPr>
        <w:t>The study conjectures that the reduced information asymmetry resulting from a higher level of skin in the game will reduce cases of default, severity of default, and interest rates. As such, the study seeks to address three research questions</w:t>
      </w:r>
    </w:p>
    <w:p w14:paraId="038FB85C" w14:textId="0DBB295D" w:rsidR="00C033B5" w:rsidRPr="005A3D6D" w:rsidRDefault="00C033B5" w:rsidP="00856618">
      <w:pPr>
        <w:pStyle w:val="ListParagraph"/>
        <w:numPr>
          <w:ilvl w:val="3"/>
          <w:numId w:val="14"/>
        </w:numPr>
        <w:spacing w:line="240" w:lineRule="auto"/>
        <w:ind w:left="709"/>
        <w:jc w:val="both"/>
        <w:rPr>
          <w:rFonts w:asciiTheme="majorBidi" w:hAnsiTheme="majorBidi" w:cstheme="majorBidi"/>
          <w:sz w:val="24"/>
          <w:szCs w:val="24"/>
        </w:rPr>
      </w:pPr>
      <w:r w:rsidRPr="005A3D6D">
        <w:rPr>
          <w:rFonts w:asciiTheme="majorBidi" w:hAnsiTheme="majorBidi" w:cstheme="majorBidi"/>
          <w:sz w:val="24"/>
          <w:szCs w:val="24"/>
        </w:rPr>
        <w:t>Does a higher level of skin in the game reduce the cases of default in resale marketplace lending platforms?</w:t>
      </w:r>
    </w:p>
    <w:p w14:paraId="3BA04277" w14:textId="1443479F" w:rsidR="00C033B5" w:rsidRPr="005A3D6D" w:rsidRDefault="00C033B5" w:rsidP="00856618">
      <w:pPr>
        <w:pStyle w:val="ListParagraph"/>
        <w:numPr>
          <w:ilvl w:val="3"/>
          <w:numId w:val="14"/>
        </w:numPr>
        <w:spacing w:line="240" w:lineRule="auto"/>
        <w:ind w:left="709"/>
        <w:jc w:val="both"/>
        <w:rPr>
          <w:rFonts w:asciiTheme="majorBidi" w:hAnsiTheme="majorBidi" w:cstheme="majorBidi"/>
          <w:sz w:val="24"/>
          <w:szCs w:val="24"/>
        </w:rPr>
      </w:pPr>
      <w:r w:rsidRPr="005A3D6D">
        <w:rPr>
          <w:rFonts w:asciiTheme="majorBidi" w:hAnsiTheme="majorBidi" w:cstheme="majorBidi"/>
          <w:sz w:val="24"/>
          <w:szCs w:val="24"/>
        </w:rPr>
        <w:t>Does a higher level of skin in the game reduce the severity of default cases in resale marketplace lending platforms?</w:t>
      </w:r>
    </w:p>
    <w:p w14:paraId="0E22AD0B" w14:textId="2AF6757B" w:rsidR="00C033B5" w:rsidRPr="005A3D6D" w:rsidRDefault="00C033B5" w:rsidP="00856618">
      <w:pPr>
        <w:pStyle w:val="ListParagraph"/>
        <w:numPr>
          <w:ilvl w:val="3"/>
          <w:numId w:val="14"/>
        </w:numPr>
        <w:spacing w:line="240" w:lineRule="auto"/>
        <w:ind w:left="709"/>
        <w:jc w:val="both"/>
        <w:rPr>
          <w:rFonts w:asciiTheme="majorBidi" w:hAnsiTheme="majorBidi" w:cstheme="majorBidi"/>
          <w:sz w:val="24"/>
          <w:szCs w:val="24"/>
        </w:rPr>
      </w:pPr>
      <w:r w:rsidRPr="005A3D6D">
        <w:rPr>
          <w:rFonts w:asciiTheme="majorBidi" w:hAnsiTheme="majorBidi" w:cstheme="majorBidi"/>
          <w:sz w:val="24"/>
          <w:szCs w:val="24"/>
        </w:rPr>
        <w:t>Does a higher level of skin in the game reduce interest rates in resale marketplace lending platforms?</w:t>
      </w:r>
    </w:p>
    <w:p w14:paraId="6355425B" w14:textId="6BE3A2A0" w:rsidR="00C033B5" w:rsidRPr="00C033B5" w:rsidRDefault="00C033B5" w:rsidP="005A3D6D">
      <w:pPr>
        <w:spacing w:line="240" w:lineRule="auto"/>
        <w:ind w:firstLine="349"/>
        <w:jc w:val="both"/>
        <w:rPr>
          <w:rFonts w:asciiTheme="majorBidi" w:hAnsiTheme="majorBidi" w:cstheme="majorBidi"/>
          <w:sz w:val="24"/>
          <w:szCs w:val="24"/>
        </w:rPr>
      </w:pPr>
      <w:r w:rsidRPr="00C033B5">
        <w:rPr>
          <w:rFonts w:asciiTheme="majorBidi" w:hAnsiTheme="majorBidi" w:cstheme="majorBidi"/>
          <w:sz w:val="24"/>
          <w:szCs w:val="24"/>
        </w:rPr>
        <w:t>The remainder of the paper is structured as follows. Section 2 delineates the institutional framework and background, and Section 3 presents the literature review. Sections 4 and 5 discuss the theoretical framework and conceptual framework that guide our study. Section 6 particularizes data and methodology, and Section 7 details empirical analysis. Finally, section 8 presents the conclusion, implications, and limitations of the study.</w:t>
      </w:r>
    </w:p>
    <w:p w14:paraId="58DF8236" w14:textId="69215BD6" w:rsidR="00C033B5" w:rsidRPr="00C033B5" w:rsidRDefault="00C033B5" w:rsidP="00896211">
      <w:pPr>
        <w:jc w:val="both"/>
      </w:pPr>
    </w:p>
    <w:p w14:paraId="119333B4" w14:textId="16EE861E" w:rsidR="00C033B5" w:rsidRPr="00C033B5" w:rsidRDefault="00C033B5" w:rsidP="00856618">
      <w:pPr>
        <w:pStyle w:val="ListParagraph"/>
        <w:numPr>
          <w:ilvl w:val="0"/>
          <w:numId w:val="30"/>
        </w:numPr>
        <w:jc w:val="center"/>
        <w:rPr>
          <w:rFonts w:asciiTheme="majorBidi" w:hAnsiTheme="majorBidi" w:cstheme="majorBidi"/>
          <w:b/>
          <w:bCs/>
          <w:sz w:val="24"/>
          <w:szCs w:val="24"/>
        </w:rPr>
      </w:pPr>
      <w:r>
        <w:rPr>
          <w:rFonts w:asciiTheme="majorBidi" w:hAnsiTheme="majorBidi" w:cstheme="majorBidi"/>
          <w:b/>
          <w:bCs/>
          <w:sz w:val="24"/>
          <w:szCs w:val="24"/>
        </w:rPr>
        <w:t>INSTITUIONAL BACKGROUND</w:t>
      </w:r>
    </w:p>
    <w:p w14:paraId="57332AF3" w14:textId="3A7312B2" w:rsidR="00C033B5" w:rsidRPr="005A3D6D" w:rsidRDefault="00C033B5" w:rsidP="005A3D6D">
      <w:pPr>
        <w:spacing w:line="240" w:lineRule="auto"/>
        <w:ind w:firstLine="357"/>
        <w:jc w:val="both"/>
        <w:rPr>
          <w:rFonts w:asciiTheme="majorBidi" w:hAnsiTheme="majorBidi" w:cstheme="majorBidi"/>
          <w:sz w:val="24"/>
          <w:szCs w:val="24"/>
        </w:rPr>
      </w:pPr>
      <w:r w:rsidRPr="005A3D6D">
        <w:rPr>
          <w:rFonts w:asciiTheme="majorBidi" w:hAnsiTheme="majorBidi" w:cstheme="majorBidi"/>
          <w:sz w:val="24"/>
          <w:szCs w:val="24"/>
        </w:rPr>
        <w:t>The study collects data from a Latvian resale marketplace lending platform in Europe, namely Mintos. Mintos is the largest peer to peer lending platform based in Europe. The platform boasts a funding volume of 9.4 billion since its inception in 2015 (Mintos, 2023). The lending activity is carried out through the primary market. Meanwhile, the platform seeks to provide liquidity for investors with the creation of a secondary market, where investors can sell their investment in loans. The primary market in the platform operates under resale marketplace lending framework.</w:t>
      </w:r>
    </w:p>
    <w:p w14:paraId="61038CB5" w14:textId="6BA107F5" w:rsidR="00C033B5" w:rsidRDefault="00C033B5" w:rsidP="005A3D6D">
      <w:pPr>
        <w:spacing w:line="240" w:lineRule="auto"/>
        <w:ind w:firstLine="357"/>
        <w:jc w:val="both"/>
        <w:rPr>
          <w:rFonts w:asciiTheme="majorBidi" w:hAnsiTheme="majorBidi" w:cstheme="majorBidi"/>
          <w:sz w:val="24"/>
          <w:szCs w:val="24"/>
        </w:rPr>
      </w:pPr>
      <w:r w:rsidRPr="005A3D6D">
        <w:rPr>
          <w:rFonts w:asciiTheme="majorBidi" w:hAnsiTheme="majorBidi" w:cstheme="majorBidi"/>
          <w:sz w:val="24"/>
          <w:szCs w:val="24"/>
        </w:rPr>
        <w:t xml:space="preserve">Resale marketplace lending is a form of indirect lending model among peer to peer lending platforms that eliminate borrowers from the operational framework. As such, the business model gains its name from the resale of loans by loan originators in these platforms. Under this operational framework, there are two players in the lending platforms, namely lenders and loan originators. The platforms operating under this framework link several loan originators and lenders alike to facilitate intertemporal exchange of funds. Loan originators, alternatively </w:t>
      </w:r>
      <w:r w:rsidRPr="005A3D6D">
        <w:rPr>
          <w:rFonts w:asciiTheme="majorBidi" w:hAnsiTheme="majorBidi" w:cstheme="majorBidi"/>
          <w:sz w:val="24"/>
          <w:szCs w:val="24"/>
        </w:rPr>
        <w:lastRenderedPageBreak/>
        <w:t>known as lending companies are Non-Banking Financial Institutions that originates loans on their balance sheet. Hence, they are responsible for acquiring, managing and collecting payments from borrowers. </w:t>
      </w:r>
    </w:p>
    <w:p w14:paraId="1D5FCC4C" w14:textId="77777777" w:rsidR="005D6D1B" w:rsidRPr="005A3D6D" w:rsidRDefault="005D6D1B" w:rsidP="005A3D6D">
      <w:pPr>
        <w:spacing w:line="240" w:lineRule="auto"/>
        <w:ind w:firstLine="357"/>
        <w:jc w:val="both"/>
        <w:rPr>
          <w:rFonts w:asciiTheme="majorBidi" w:hAnsiTheme="majorBidi" w:cstheme="majorBidi"/>
          <w:sz w:val="24"/>
          <w:szCs w:val="24"/>
        </w:rPr>
      </w:pPr>
    </w:p>
    <w:p w14:paraId="6039F330" w14:textId="4ECD0E3E" w:rsidR="00C033B5" w:rsidRPr="00C033B5" w:rsidRDefault="00C033B5" w:rsidP="00856618">
      <w:pPr>
        <w:numPr>
          <w:ilvl w:val="0"/>
          <w:numId w:val="31"/>
        </w:numPr>
        <w:jc w:val="center"/>
        <w:rPr>
          <w:rFonts w:asciiTheme="majorBidi" w:hAnsiTheme="majorBidi" w:cstheme="majorBidi"/>
          <w:b/>
          <w:bCs/>
          <w:sz w:val="24"/>
          <w:szCs w:val="24"/>
        </w:rPr>
      </w:pPr>
      <w:r w:rsidRPr="00C033B5">
        <w:rPr>
          <w:rFonts w:asciiTheme="majorBidi" w:hAnsiTheme="majorBidi" w:cstheme="majorBidi"/>
          <w:b/>
          <w:bCs/>
          <w:sz w:val="24"/>
          <w:szCs w:val="24"/>
        </w:rPr>
        <w:t>LITERATURE REVIEW</w:t>
      </w:r>
    </w:p>
    <w:p w14:paraId="2A3366CF" w14:textId="1BBB4548" w:rsidR="00C033B5" w:rsidRPr="00C033B5" w:rsidRDefault="00C033B5" w:rsidP="005A3D6D">
      <w:pPr>
        <w:ind w:firstLine="357"/>
        <w:jc w:val="both"/>
        <w:rPr>
          <w:rFonts w:asciiTheme="majorBidi" w:hAnsiTheme="majorBidi" w:cstheme="majorBidi"/>
          <w:sz w:val="24"/>
          <w:szCs w:val="24"/>
        </w:rPr>
      </w:pPr>
      <w:r w:rsidRPr="00C033B5">
        <w:rPr>
          <w:rFonts w:asciiTheme="majorBidi" w:hAnsiTheme="majorBidi" w:cstheme="majorBidi"/>
          <w:sz w:val="24"/>
          <w:szCs w:val="24"/>
        </w:rPr>
        <w:t>Since its inception, peer-to-peer lending platforms have consistently sought to differentiate themselves through innovative business models and asset classes that meet the growing needs of the market (</w:t>
      </w:r>
      <w:proofErr w:type="spellStart"/>
      <w:r w:rsidRPr="00C033B5">
        <w:rPr>
          <w:rFonts w:asciiTheme="majorBidi" w:hAnsiTheme="majorBidi" w:cstheme="majorBidi"/>
          <w:sz w:val="24"/>
          <w:szCs w:val="24"/>
        </w:rPr>
        <w:t>Havrylchyk</w:t>
      </w:r>
      <w:proofErr w:type="spellEnd"/>
      <w:r w:rsidRPr="00C033B5">
        <w:rPr>
          <w:rFonts w:asciiTheme="majorBidi" w:hAnsiTheme="majorBidi" w:cstheme="majorBidi"/>
          <w:sz w:val="24"/>
          <w:szCs w:val="24"/>
        </w:rPr>
        <w:t>, &amp; Verdier, 2018). This has created a dynamic and competitive industry, necessitating a comprehensive analysis of the nuances of different business models. In addition, the peer to peer lending platforms expand into different asset classes and operational frameworks, information asymmetry remains an imminent challenge among the platforms (</w:t>
      </w:r>
      <w:proofErr w:type="spellStart"/>
      <w:r w:rsidRPr="00C033B5">
        <w:rPr>
          <w:rFonts w:asciiTheme="majorBidi" w:hAnsiTheme="majorBidi" w:cstheme="majorBidi"/>
          <w:sz w:val="24"/>
          <w:szCs w:val="24"/>
        </w:rPr>
        <w:t>Caldieraro</w:t>
      </w:r>
      <w:proofErr w:type="spellEnd"/>
      <w:r w:rsidRPr="00C033B5">
        <w:rPr>
          <w:rFonts w:asciiTheme="majorBidi" w:hAnsiTheme="majorBidi" w:cstheme="majorBidi"/>
          <w:sz w:val="24"/>
          <w:szCs w:val="24"/>
        </w:rPr>
        <w:t xml:space="preserve"> et al., 2018). Therefore, a comprehensive review of the literature on current P2P lending business models and information asymmetry among P2P platforms is required to establish existing practices and identify the relevant gaps.</w:t>
      </w:r>
    </w:p>
    <w:p w14:paraId="10FBDC08" w14:textId="194F3ACB" w:rsidR="00C033B5" w:rsidRPr="005A3D6D" w:rsidRDefault="00C033B5" w:rsidP="00856618">
      <w:pPr>
        <w:pStyle w:val="ListParagraph"/>
        <w:numPr>
          <w:ilvl w:val="1"/>
          <w:numId w:val="36"/>
        </w:numPr>
        <w:ind w:left="426" w:hanging="426"/>
        <w:rPr>
          <w:rFonts w:asciiTheme="majorBidi" w:hAnsiTheme="majorBidi" w:cstheme="majorBidi"/>
          <w:b/>
          <w:bCs/>
          <w:sz w:val="24"/>
          <w:szCs w:val="24"/>
        </w:rPr>
      </w:pPr>
      <w:r w:rsidRPr="005A3D6D">
        <w:rPr>
          <w:rFonts w:asciiTheme="majorBidi" w:hAnsiTheme="majorBidi" w:cstheme="majorBidi"/>
          <w:b/>
          <w:bCs/>
          <w:sz w:val="24"/>
          <w:szCs w:val="24"/>
        </w:rPr>
        <w:t>Business Models </w:t>
      </w:r>
    </w:p>
    <w:p w14:paraId="3066022E" w14:textId="20A97E78" w:rsidR="005A3D6D" w:rsidRDefault="00C033B5" w:rsidP="005A3D6D">
      <w:pPr>
        <w:spacing w:after="0"/>
        <w:ind w:firstLine="357"/>
        <w:jc w:val="both"/>
        <w:rPr>
          <w:rFonts w:asciiTheme="majorBidi" w:hAnsiTheme="majorBidi" w:cstheme="majorBidi"/>
          <w:sz w:val="24"/>
          <w:szCs w:val="24"/>
        </w:rPr>
      </w:pPr>
      <w:r w:rsidRPr="00C033B5">
        <w:rPr>
          <w:rFonts w:asciiTheme="majorBidi" w:hAnsiTheme="majorBidi" w:cstheme="majorBidi"/>
          <w:sz w:val="24"/>
          <w:szCs w:val="24"/>
        </w:rPr>
        <w:t>Business models are critical to the success of P2P lending platforms, as they determine how value is created and captured by the platform. Kirby and Worner (2014) have identified three distinct business models of P2P lending platforms. The first model is the "client-segregated account model," where the platform only serves as a mediator and the client's money is placed in a separate bank account that is not controlled by the platform. Meanwhile, in the notary model, the platform issues a note to the lender reflecting the invested amount. Upon successful achievement of funding goal, the bank originates the loan and the borrower repays the note to the bank. The platform facilitates transfer of loan repayment from banks to lenders, who assume the risk of loan non-payment, rather than the bank originating the loan. The third and final model is the guaranteed-return model, where the platform directly issues loans, manages the investments of borrowers and repayments of lenders, and sets a guaranteed-return rate for borrowers. </w:t>
      </w:r>
    </w:p>
    <w:p w14:paraId="6DA8268B" w14:textId="1ABBC44A" w:rsidR="00C033B5" w:rsidRPr="00C033B5" w:rsidRDefault="00C033B5" w:rsidP="005A3D6D">
      <w:pPr>
        <w:spacing w:after="0"/>
        <w:ind w:firstLine="357"/>
        <w:jc w:val="both"/>
        <w:rPr>
          <w:rFonts w:asciiTheme="majorBidi" w:hAnsiTheme="majorBidi" w:cstheme="majorBidi"/>
          <w:sz w:val="24"/>
          <w:szCs w:val="24"/>
        </w:rPr>
      </w:pPr>
      <w:r w:rsidRPr="00C033B5">
        <w:rPr>
          <w:rFonts w:asciiTheme="majorBidi" w:hAnsiTheme="majorBidi" w:cstheme="majorBidi"/>
          <w:sz w:val="24"/>
          <w:szCs w:val="24"/>
        </w:rPr>
        <w:t>Accordingly, extant literature encompasses a comprehensive theoretical and empirical analyses on these models. Particularly, Cosma, Pattarin, and Pennetta (2020) argues that notary and guaranteed return model poses more risk exposure to investors because if the platform were to default or experience financial difficulties, it could potentially affect the repayment of lenders (Cosma et al., 2020). So, an investor in addition to the exposure to credit risk and liquidity risk from borrowers, are also exposed to the threat of platform’s bankruptcy risk.</w:t>
      </w:r>
    </w:p>
    <w:p w14:paraId="1000E12E" w14:textId="187AE3A1" w:rsidR="00C033B5" w:rsidRDefault="00C033B5" w:rsidP="005A3D6D">
      <w:pPr>
        <w:ind w:firstLine="357"/>
        <w:jc w:val="both"/>
        <w:rPr>
          <w:rFonts w:asciiTheme="majorBidi" w:hAnsiTheme="majorBidi" w:cstheme="majorBidi"/>
          <w:sz w:val="24"/>
          <w:szCs w:val="24"/>
        </w:rPr>
      </w:pPr>
      <w:r w:rsidRPr="00C033B5">
        <w:rPr>
          <w:rFonts w:asciiTheme="majorBidi" w:hAnsiTheme="majorBidi" w:cstheme="majorBidi"/>
          <w:sz w:val="24"/>
          <w:szCs w:val="24"/>
        </w:rPr>
        <w:t>However, Cosma et al. (2020) also argues that in addition to the mode of intermediation, the underlying competitive advantage of a business model is contingent upon the risk management practices and customer segmentation. In addition, the peer to peer lending platforms expand into different asset classes and operational frameworks, information asymmetry remains an imminent challenge among the platforms (</w:t>
      </w:r>
      <w:proofErr w:type="spellStart"/>
      <w:r w:rsidRPr="00C033B5">
        <w:rPr>
          <w:rFonts w:asciiTheme="majorBidi" w:hAnsiTheme="majorBidi" w:cstheme="majorBidi"/>
          <w:sz w:val="24"/>
          <w:szCs w:val="24"/>
        </w:rPr>
        <w:t>Caldieraro</w:t>
      </w:r>
      <w:proofErr w:type="spellEnd"/>
      <w:r w:rsidRPr="00C033B5">
        <w:rPr>
          <w:rFonts w:asciiTheme="majorBidi" w:hAnsiTheme="majorBidi" w:cstheme="majorBidi"/>
          <w:sz w:val="24"/>
          <w:szCs w:val="24"/>
        </w:rPr>
        <w:t xml:space="preserve"> et al., 2018).</w:t>
      </w:r>
    </w:p>
    <w:p w14:paraId="0CCB4B60" w14:textId="522CE04C" w:rsidR="00C033B5" w:rsidRPr="005A3D6D" w:rsidRDefault="00C033B5" w:rsidP="00856618">
      <w:pPr>
        <w:pStyle w:val="ListParagraph"/>
        <w:numPr>
          <w:ilvl w:val="1"/>
          <w:numId w:val="35"/>
        </w:numPr>
        <w:spacing w:line="240" w:lineRule="auto"/>
        <w:jc w:val="both"/>
        <w:rPr>
          <w:rFonts w:asciiTheme="majorBidi" w:hAnsiTheme="majorBidi" w:cstheme="majorBidi"/>
          <w:b/>
          <w:bCs/>
          <w:sz w:val="24"/>
          <w:szCs w:val="24"/>
        </w:rPr>
      </w:pPr>
      <w:r w:rsidRPr="005A3D6D">
        <w:rPr>
          <w:rFonts w:asciiTheme="majorBidi" w:hAnsiTheme="majorBidi" w:cstheme="majorBidi"/>
          <w:b/>
          <w:bCs/>
          <w:sz w:val="24"/>
          <w:szCs w:val="24"/>
        </w:rPr>
        <w:t>Information Asymmetry</w:t>
      </w:r>
    </w:p>
    <w:p w14:paraId="6E17550C" w14:textId="6D41B92A" w:rsidR="00C033B5" w:rsidRPr="00C033B5" w:rsidRDefault="00C033B5" w:rsidP="005A3D6D">
      <w:pPr>
        <w:spacing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In the context of peer-to-peer (P2P) lending platforms, borrowers typically possess complete information about the underlying risk of a loan, while lenders lack access to this information, putting them at a disadvantage (</w:t>
      </w:r>
      <w:proofErr w:type="spellStart"/>
      <w:r w:rsidRPr="00C033B5">
        <w:rPr>
          <w:rFonts w:asciiTheme="majorBidi" w:hAnsiTheme="majorBidi" w:cstheme="majorBidi"/>
          <w:sz w:val="24"/>
          <w:szCs w:val="24"/>
        </w:rPr>
        <w:t>Emekter</w:t>
      </w:r>
      <w:proofErr w:type="spellEnd"/>
      <w:r w:rsidRPr="00C033B5">
        <w:rPr>
          <w:rFonts w:asciiTheme="majorBidi" w:hAnsiTheme="majorBidi" w:cstheme="majorBidi"/>
          <w:sz w:val="24"/>
          <w:szCs w:val="24"/>
        </w:rPr>
        <w:t xml:space="preserve">, Tu, </w:t>
      </w:r>
      <w:proofErr w:type="spellStart"/>
      <w:r w:rsidRPr="00C033B5">
        <w:rPr>
          <w:rFonts w:asciiTheme="majorBidi" w:hAnsiTheme="majorBidi" w:cstheme="majorBidi"/>
          <w:sz w:val="24"/>
          <w:szCs w:val="24"/>
        </w:rPr>
        <w:t>Jirasakuldech</w:t>
      </w:r>
      <w:proofErr w:type="spellEnd"/>
      <w:r w:rsidRPr="00C033B5">
        <w:rPr>
          <w:rFonts w:asciiTheme="majorBidi" w:hAnsiTheme="majorBidi" w:cstheme="majorBidi"/>
          <w:sz w:val="24"/>
          <w:szCs w:val="24"/>
        </w:rPr>
        <w:t xml:space="preserve">, &amp; Lu, 2015; </w:t>
      </w:r>
      <w:proofErr w:type="spellStart"/>
      <w:r w:rsidRPr="00C033B5">
        <w:rPr>
          <w:rFonts w:asciiTheme="majorBidi" w:hAnsiTheme="majorBidi" w:cstheme="majorBidi"/>
          <w:sz w:val="24"/>
          <w:szCs w:val="24"/>
        </w:rPr>
        <w:t>Gavurova</w:t>
      </w:r>
      <w:proofErr w:type="spellEnd"/>
      <w:r w:rsidRPr="00C033B5">
        <w:rPr>
          <w:rFonts w:asciiTheme="majorBidi" w:hAnsiTheme="majorBidi" w:cstheme="majorBidi"/>
          <w:sz w:val="24"/>
          <w:szCs w:val="24"/>
        </w:rPr>
        <w:t xml:space="preserve">, </w:t>
      </w:r>
      <w:proofErr w:type="spellStart"/>
      <w:r w:rsidRPr="00C033B5">
        <w:rPr>
          <w:rFonts w:asciiTheme="majorBidi" w:hAnsiTheme="majorBidi" w:cstheme="majorBidi"/>
          <w:sz w:val="24"/>
          <w:szCs w:val="24"/>
        </w:rPr>
        <w:t>Dujcak</w:t>
      </w:r>
      <w:proofErr w:type="spellEnd"/>
      <w:r w:rsidRPr="00C033B5">
        <w:rPr>
          <w:rFonts w:asciiTheme="majorBidi" w:hAnsiTheme="majorBidi" w:cstheme="majorBidi"/>
          <w:sz w:val="24"/>
          <w:szCs w:val="24"/>
        </w:rPr>
        <w:t xml:space="preserve">, Kovac, &amp; </w:t>
      </w:r>
      <w:proofErr w:type="spellStart"/>
      <w:r w:rsidRPr="00C033B5">
        <w:rPr>
          <w:rFonts w:asciiTheme="majorBidi" w:hAnsiTheme="majorBidi" w:cstheme="majorBidi"/>
          <w:sz w:val="24"/>
          <w:szCs w:val="24"/>
        </w:rPr>
        <w:t>Kotásková</w:t>
      </w:r>
      <w:proofErr w:type="spellEnd"/>
      <w:r w:rsidRPr="00C033B5">
        <w:rPr>
          <w:rFonts w:asciiTheme="majorBidi" w:hAnsiTheme="majorBidi" w:cstheme="majorBidi"/>
          <w:sz w:val="24"/>
          <w:szCs w:val="24"/>
        </w:rPr>
        <w:t xml:space="preserve">, 2018). Accordingly, the existing literature on the </w:t>
      </w:r>
      <w:r w:rsidRPr="00C033B5">
        <w:rPr>
          <w:rFonts w:asciiTheme="majorBidi" w:hAnsiTheme="majorBidi" w:cstheme="majorBidi"/>
          <w:sz w:val="24"/>
          <w:szCs w:val="24"/>
        </w:rPr>
        <w:lastRenderedPageBreak/>
        <w:t>prevalence and mitigation of information asymmetry can be categorized into six streams such as soft information, hard information, herding, social capital, platform characteristics and platform specific strategies.</w:t>
      </w:r>
    </w:p>
    <w:p w14:paraId="1026AFE3" w14:textId="631EF361" w:rsidR="00C033B5" w:rsidRPr="005A3D6D" w:rsidRDefault="00C033B5" w:rsidP="00856618">
      <w:pPr>
        <w:pStyle w:val="ListParagraph"/>
        <w:numPr>
          <w:ilvl w:val="2"/>
          <w:numId w:val="34"/>
        </w:numPr>
        <w:ind w:left="0" w:firstLine="350"/>
        <w:jc w:val="both"/>
        <w:rPr>
          <w:rFonts w:asciiTheme="majorBidi" w:hAnsiTheme="majorBidi" w:cstheme="majorBidi"/>
          <w:b/>
          <w:bCs/>
          <w:sz w:val="24"/>
          <w:szCs w:val="24"/>
        </w:rPr>
      </w:pPr>
      <w:r w:rsidRPr="005A3D6D">
        <w:rPr>
          <w:rFonts w:asciiTheme="majorBidi" w:hAnsiTheme="majorBidi" w:cstheme="majorBidi"/>
          <w:b/>
          <w:bCs/>
          <w:sz w:val="24"/>
          <w:szCs w:val="24"/>
        </w:rPr>
        <w:t>Soft Information </w:t>
      </w:r>
    </w:p>
    <w:p w14:paraId="37365B20" w14:textId="7E5BF3BC" w:rsidR="00C033B5" w:rsidRPr="00C033B5" w:rsidRDefault="00C033B5" w:rsidP="005A3D6D">
      <w:pPr>
        <w:ind w:firstLine="357"/>
        <w:jc w:val="both"/>
        <w:rPr>
          <w:rFonts w:asciiTheme="majorBidi" w:hAnsiTheme="majorBidi" w:cstheme="majorBidi"/>
          <w:sz w:val="24"/>
          <w:szCs w:val="24"/>
        </w:rPr>
      </w:pPr>
      <w:r w:rsidRPr="00C033B5">
        <w:rPr>
          <w:rFonts w:asciiTheme="majorBidi" w:hAnsiTheme="majorBidi" w:cstheme="majorBidi"/>
          <w:sz w:val="24"/>
          <w:szCs w:val="24"/>
        </w:rPr>
        <w:t>According to Petersen and Rajan (1994), financial intermediaries expedite advantages in screening and reducing moral hazard using soft information. In the context of peer to peer lending, soft information may be defined as the qualitative information that provides insights or context that may not be easily quantified related to the borrower such as their education, qualifications, and profession (</w:t>
      </w:r>
      <w:proofErr w:type="spellStart"/>
      <w:r w:rsidRPr="00C033B5">
        <w:rPr>
          <w:rFonts w:asciiTheme="majorBidi" w:hAnsiTheme="majorBidi" w:cstheme="majorBidi"/>
          <w:sz w:val="24"/>
          <w:szCs w:val="24"/>
        </w:rPr>
        <w:t>Dorfleitner</w:t>
      </w:r>
      <w:proofErr w:type="spellEnd"/>
      <w:r w:rsidRPr="00C033B5">
        <w:rPr>
          <w:rFonts w:asciiTheme="majorBidi" w:hAnsiTheme="majorBidi" w:cstheme="majorBidi"/>
          <w:sz w:val="24"/>
          <w:szCs w:val="24"/>
        </w:rPr>
        <w:t xml:space="preserve">, </w:t>
      </w:r>
      <w:proofErr w:type="spellStart"/>
      <w:r w:rsidRPr="00C033B5">
        <w:rPr>
          <w:rFonts w:asciiTheme="majorBidi" w:hAnsiTheme="majorBidi" w:cstheme="majorBidi"/>
          <w:sz w:val="24"/>
          <w:szCs w:val="24"/>
        </w:rPr>
        <w:t>Priberny</w:t>
      </w:r>
      <w:proofErr w:type="spellEnd"/>
      <w:r w:rsidRPr="00C033B5">
        <w:rPr>
          <w:rFonts w:asciiTheme="majorBidi" w:hAnsiTheme="majorBidi" w:cstheme="majorBidi"/>
          <w:sz w:val="24"/>
          <w:szCs w:val="24"/>
        </w:rPr>
        <w:t xml:space="preserve">, Schuster, Stoiber, Weber, de Castro, &amp; Kammler, 2016). Weiss, Pelger, and Horsch (2010), and </w:t>
      </w:r>
      <w:proofErr w:type="spellStart"/>
      <w:r w:rsidRPr="00C033B5">
        <w:rPr>
          <w:rFonts w:asciiTheme="majorBidi" w:hAnsiTheme="majorBidi" w:cstheme="majorBidi"/>
          <w:sz w:val="24"/>
          <w:szCs w:val="24"/>
        </w:rPr>
        <w:t>Prystav</w:t>
      </w:r>
      <w:proofErr w:type="spellEnd"/>
      <w:r w:rsidRPr="00C033B5">
        <w:rPr>
          <w:rFonts w:asciiTheme="majorBidi" w:hAnsiTheme="majorBidi" w:cstheme="majorBidi"/>
          <w:sz w:val="24"/>
          <w:szCs w:val="24"/>
        </w:rPr>
        <w:t xml:space="preserve"> (2016) indicate that soft information enables the mitigation of adverse selection in peer to peer lending platforms.</w:t>
      </w:r>
    </w:p>
    <w:p w14:paraId="3B52B54A" w14:textId="32E19952" w:rsidR="00C033B5" w:rsidRPr="005A3D6D" w:rsidRDefault="00C033B5" w:rsidP="00856618">
      <w:pPr>
        <w:pStyle w:val="ListParagraph"/>
        <w:numPr>
          <w:ilvl w:val="2"/>
          <w:numId w:val="34"/>
        </w:numPr>
        <w:ind w:left="0" w:firstLine="350"/>
        <w:jc w:val="both"/>
        <w:rPr>
          <w:rFonts w:asciiTheme="majorBidi" w:hAnsiTheme="majorBidi" w:cstheme="majorBidi"/>
          <w:b/>
          <w:bCs/>
          <w:sz w:val="24"/>
          <w:szCs w:val="24"/>
        </w:rPr>
      </w:pPr>
      <w:r w:rsidRPr="005A3D6D">
        <w:rPr>
          <w:rFonts w:asciiTheme="majorBidi" w:hAnsiTheme="majorBidi" w:cstheme="majorBidi"/>
          <w:b/>
          <w:bCs/>
          <w:sz w:val="24"/>
          <w:szCs w:val="24"/>
        </w:rPr>
        <w:t>Hard Information </w:t>
      </w:r>
    </w:p>
    <w:p w14:paraId="12242C28" w14:textId="1EDD637A" w:rsidR="00C033B5" w:rsidRPr="00C033B5" w:rsidRDefault="00C033B5" w:rsidP="005A3D6D">
      <w:pPr>
        <w:ind w:firstLine="350"/>
        <w:jc w:val="both"/>
        <w:rPr>
          <w:rFonts w:asciiTheme="majorBidi" w:hAnsiTheme="majorBidi" w:cstheme="majorBidi"/>
          <w:sz w:val="24"/>
          <w:szCs w:val="24"/>
        </w:rPr>
      </w:pPr>
      <w:r w:rsidRPr="00C033B5">
        <w:rPr>
          <w:rFonts w:asciiTheme="majorBidi" w:hAnsiTheme="majorBidi" w:cstheme="majorBidi"/>
          <w:sz w:val="24"/>
          <w:szCs w:val="24"/>
        </w:rPr>
        <w:t xml:space="preserve">The extant literature has also received significant attention regarding hard information, with numerous studies examining data that can be easily compared across different types of borrowers. Hard information can be referred to as factual information that can be shared objectively (Tang et al., 2020), such as credit scores, income, and assets (Lin, 2009; </w:t>
      </w:r>
      <w:proofErr w:type="spellStart"/>
      <w:r w:rsidRPr="00C033B5">
        <w:rPr>
          <w:rFonts w:asciiTheme="majorBidi" w:hAnsiTheme="majorBidi" w:cstheme="majorBidi"/>
          <w:sz w:val="24"/>
          <w:szCs w:val="24"/>
        </w:rPr>
        <w:t>Emekter</w:t>
      </w:r>
      <w:proofErr w:type="spellEnd"/>
      <w:r w:rsidRPr="00C033B5">
        <w:rPr>
          <w:rFonts w:asciiTheme="majorBidi" w:hAnsiTheme="majorBidi" w:cstheme="majorBidi"/>
          <w:sz w:val="24"/>
          <w:szCs w:val="24"/>
        </w:rPr>
        <w:t xml:space="preserve"> et al., 2015; Serrano-Cinca, Gutiérrez-Nieto, &amp; López-Palacios, 2015), bank account verification, borrower financial condition, and debt to income ratio (Greiner &amp; Wang, 2010). Studies indicate that there is a positive relationship between credit score and successful repayment of a loan (</w:t>
      </w:r>
      <w:proofErr w:type="spellStart"/>
      <w:r w:rsidRPr="00C033B5">
        <w:rPr>
          <w:rFonts w:asciiTheme="majorBidi" w:hAnsiTheme="majorBidi" w:cstheme="majorBidi"/>
          <w:sz w:val="24"/>
          <w:szCs w:val="24"/>
        </w:rPr>
        <w:t>Emekter</w:t>
      </w:r>
      <w:proofErr w:type="spellEnd"/>
      <w:r w:rsidRPr="00C033B5">
        <w:rPr>
          <w:rFonts w:asciiTheme="majorBidi" w:hAnsiTheme="majorBidi" w:cstheme="majorBidi"/>
          <w:sz w:val="24"/>
          <w:szCs w:val="24"/>
        </w:rPr>
        <w:t xml:space="preserve"> et al., 2015; Serrano-Cinca et al., 2015). However, other studies suggest that hard information must paired with other disclosures to improve the accuracy of loan performance predictions (Serrano-Cinca et al., 2015; Tao, Dong, &amp; Lin, 2017; Zhu, 2018). Particularly, Zhu (2018) notes that credit ratings of borrowers are </w:t>
      </w:r>
      <w:proofErr w:type="spellStart"/>
      <w:r w:rsidRPr="00C033B5">
        <w:rPr>
          <w:rFonts w:asciiTheme="majorBidi" w:hAnsiTheme="majorBidi" w:cstheme="majorBidi"/>
          <w:sz w:val="24"/>
          <w:szCs w:val="24"/>
        </w:rPr>
        <w:t>misspecified</w:t>
      </w:r>
      <w:proofErr w:type="spellEnd"/>
      <w:r w:rsidRPr="00C033B5">
        <w:rPr>
          <w:rFonts w:asciiTheme="majorBidi" w:hAnsiTheme="majorBidi" w:cstheme="majorBidi"/>
          <w:sz w:val="24"/>
          <w:szCs w:val="24"/>
        </w:rPr>
        <w:t xml:space="preserve"> due to lack of information disclosure; thereby, resulting in moral hazard for lenders. Accordingly, it is suggested to provide withheld information to alleviate the degree of moral hazard in the market (Yao, Chen, Wei, Chen, &amp; Yang, 2019) and improve funding success (Prystav, 2016).</w:t>
      </w:r>
    </w:p>
    <w:p w14:paraId="10BEC5EA" w14:textId="2E1A19A9" w:rsidR="00C033B5" w:rsidRPr="005A3D6D" w:rsidRDefault="00C033B5" w:rsidP="00856618">
      <w:pPr>
        <w:pStyle w:val="ListParagraph"/>
        <w:numPr>
          <w:ilvl w:val="2"/>
          <w:numId w:val="34"/>
        </w:numPr>
        <w:spacing w:line="240" w:lineRule="auto"/>
        <w:ind w:left="0" w:firstLine="350"/>
        <w:jc w:val="both"/>
        <w:rPr>
          <w:rFonts w:asciiTheme="majorBidi" w:hAnsiTheme="majorBidi" w:cstheme="majorBidi"/>
          <w:b/>
          <w:bCs/>
          <w:sz w:val="24"/>
          <w:szCs w:val="24"/>
        </w:rPr>
      </w:pPr>
      <w:r w:rsidRPr="005A3D6D">
        <w:rPr>
          <w:rFonts w:asciiTheme="majorBidi" w:hAnsiTheme="majorBidi" w:cstheme="majorBidi"/>
          <w:b/>
          <w:bCs/>
          <w:sz w:val="24"/>
          <w:szCs w:val="24"/>
        </w:rPr>
        <w:t>Herding </w:t>
      </w:r>
    </w:p>
    <w:p w14:paraId="01BB4B26" w14:textId="2E3E0EBF" w:rsidR="00C033B5" w:rsidRPr="00C033B5" w:rsidRDefault="00C033B5" w:rsidP="005A3D6D">
      <w:pPr>
        <w:spacing w:line="240" w:lineRule="auto"/>
        <w:ind w:firstLine="350"/>
        <w:jc w:val="both"/>
        <w:rPr>
          <w:rFonts w:asciiTheme="majorBidi" w:hAnsiTheme="majorBidi" w:cstheme="majorBidi"/>
          <w:sz w:val="24"/>
          <w:szCs w:val="24"/>
        </w:rPr>
      </w:pPr>
      <w:r w:rsidRPr="00C033B5">
        <w:rPr>
          <w:rFonts w:asciiTheme="majorBidi" w:hAnsiTheme="majorBidi" w:cstheme="majorBidi"/>
          <w:sz w:val="24"/>
          <w:szCs w:val="24"/>
        </w:rPr>
        <w:t>According to Yum, Lee, and Chae (2012), when there is limited credit information available of a borrower, the "wisdom of the crowd" becomes a more prominent factor in lending decisions. Thus, in the absence of perfect information facilitated by borrowers, investors tend to herd (Bikhchandani &amp; Sharma, 2000). Bikhchandani and Sharma (2000) claim that herding occurs when an individual, who initially would have made an investment decision independently, decides not to invest upon learning that others have chosen not to invest and vice versa.</w:t>
      </w:r>
    </w:p>
    <w:p w14:paraId="093E9992" w14:textId="5C782B79" w:rsidR="00C033B5" w:rsidRPr="005A3D6D" w:rsidRDefault="00C033B5" w:rsidP="00856618">
      <w:pPr>
        <w:pStyle w:val="ListParagraph"/>
        <w:numPr>
          <w:ilvl w:val="2"/>
          <w:numId w:val="34"/>
        </w:numPr>
        <w:spacing w:line="240" w:lineRule="auto"/>
        <w:ind w:left="0" w:firstLine="350"/>
        <w:jc w:val="both"/>
        <w:rPr>
          <w:rFonts w:asciiTheme="majorBidi" w:hAnsiTheme="majorBidi" w:cstheme="majorBidi"/>
          <w:b/>
          <w:bCs/>
          <w:sz w:val="24"/>
          <w:szCs w:val="24"/>
        </w:rPr>
      </w:pPr>
      <w:r w:rsidRPr="005A3D6D">
        <w:rPr>
          <w:rFonts w:asciiTheme="majorBidi" w:hAnsiTheme="majorBidi" w:cstheme="majorBidi"/>
          <w:b/>
          <w:bCs/>
          <w:sz w:val="24"/>
          <w:szCs w:val="24"/>
        </w:rPr>
        <w:t>Social Capital </w:t>
      </w:r>
    </w:p>
    <w:p w14:paraId="41962253" w14:textId="1DC87D8C" w:rsidR="00C033B5" w:rsidRDefault="00C033B5" w:rsidP="005A3D6D">
      <w:pPr>
        <w:spacing w:line="240" w:lineRule="auto"/>
        <w:ind w:firstLine="350"/>
        <w:jc w:val="both"/>
        <w:rPr>
          <w:rFonts w:asciiTheme="majorBidi" w:hAnsiTheme="majorBidi" w:cstheme="majorBidi"/>
          <w:sz w:val="24"/>
          <w:szCs w:val="24"/>
        </w:rPr>
      </w:pPr>
      <w:r w:rsidRPr="00C033B5">
        <w:rPr>
          <w:rFonts w:asciiTheme="majorBidi" w:hAnsiTheme="majorBidi" w:cstheme="majorBidi"/>
          <w:sz w:val="24"/>
          <w:szCs w:val="24"/>
        </w:rPr>
        <w:t xml:space="preserve">Recent studies also shed light on the role of social capital in mitigating information asymmetry challenges. Social capital can be referred to any attribute of a group or collective individuals that improve transaction outcomes in terms of economic benefit (Coleman, 1988). Lu, Wei, and Chan (2022) found that informed investors who bid early on Prosper signal to other uninformed investors the quality of loans issued and is positively linked to funding success. Similarly, Lin et al. (2013) highlighted the importance of borrowers' social networks in </w:t>
      </w:r>
      <w:proofErr w:type="spellStart"/>
      <w:r w:rsidRPr="00C033B5">
        <w:rPr>
          <w:rFonts w:asciiTheme="majorBidi" w:hAnsiTheme="majorBidi" w:cstheme="majorBidi"/>
          <w:sz w:val="24"/>
          <w:szCs w:val="24"/>
        </w:rPr>
        <w:t>signaling</w:t>
      </w:r>
      <w:proofErr w:type="spellEnd"/>
      <w:r w:rsidRPr="00C033B5">
        <w:rPr>
          <w:rFonts w:asciiTheme="majorBidi" w:hAnsiTheme="majorBidi" w:cstheme="majorBidi"/>
          <w:sz w:val="24"/>
          <w:szCs w:val="24"/>
        </w:rPr>
        <w:t xml:space="preserve"> credit quality to investors, which was negatively related to default rates. The findings suggest that social capital between individuals enables transactions with third parties </w:t>
      </w:r>
      <w:r w:rsidRPr="00C033B5">
        <w:rPr>
          <w:rFonts w:asciiTheme="majorBidi" w:hAnsiTheme="majorBidi" w:cstheme="majorBidi"/>
          <w:sz w:val="24"/>
          <w:szCs w:val="24"/>
        </w:rPr>
        <w:lastRenderedPageBreak/>
        <w:t xml:space="preserve">beyond the established network. Furthermore, the negative relationship with default rates indicates that social networks serve as a credible signal of loan quality. This emphasizes the role of social networks in shaping individual </w:t>
      </w:r>
      <w:proofErr w:type="spellStart"/>
      <w:r w:rsidRPr="00C033B5">
        <w:rPr>
          <w:rFonts w:asciiTheme="majorBidi" w:hAnsiTheme="majorBidi" w:cstheme="majorBidi"/>
          <w:sz w:val="24"/>
          <w:szCs w:val="24"/>
        </w:rPr>
        <w:t>behavior</w:t>
      </w:r>
      <w:proofErr w:type="spellEnd"/>
      <w:r w:rsidRPr="00C033B5">
        <w:rPr>
          <w:rFonts w:asciiTheme="majorBidi" w:hAnsiTheme="majorBidi" w:cstheme="majorBidi"/>
          <w:sz w:val="24"/>
          <w:szCs w:val="24"/>
        </w:rPr>
        <w:t xml:space="preserve"> and decision-making.</w:t>
      </w:r>
    </w:p>
    <w:p w14:paraId="37AFA209" w14:textId="2C15BD80" w:rsidR="00C033B5" w:rsidRPr="005A3D6D" w:rsidRDefault="00C033B5" w:rsidP="00856618">
      <w:pPr>
        <w:pStyle w:val="ListParagraph"/>
        <w:numPr>
          <w:ilvl w:val="2"/>
          <w:numId w:val="34"/>
        </w:numPr>
        <w:spacing w:line="240" w:lineRule="auto"/>
        <w:ind w:left="0" w:firstLine="350"/>
        <w:jc w:val="both"/>
        <w:rPr>
          <w:rFonts w:asciiTheme="majorBidi" w:hAnsiTheme="majorBidi" w:cstheme="majorBidi"/>
          <w:b/>
          <w:bCs/>
          <w:sz w:val="24"/>
          <w:szCs w:val="24"/>
        </w:rPr>
      </w:pPr>
      <w:r w:rsidRPr="005A3D6D">
        <w:rPr>
          <w:rFonts w:asciiTheme="majorBidi" w:hAnsiTheme="majorBidi" w:cstheme="majorBidi"/>
          <w:b/>
          <w:bCs/>
          <w:sz w:val="24"/>
          <w:szCs w:val="24"/>
        </w:rPr>
        <w:t>Platform characteristics </w:t>
      </w:r>
    </w:p>
    <w:p w14:paraId="67E8004B" w14:textId="3D54FD62" w:rsidR="00C033B5" w:rsidRPr="00C033B5" w:rsidRDefault="00C033B5" w:rsidP="005A3D6D">
      <w:pPr>
        <w:spacing w:line="240" w:lineRule="auto"/>
        <w:ind w:firstLine="350"/>
        <w:jc w:val="both"/>
        <w:rPr>
          <w:rFonts w:asciiTheme="majorBidi" w:hAnsiTheme="majorBidi" w:cstheme="majorBidi"/>
          <w:sz w:val="24"/>
          <w:szCs w:val="24"/>
        </w:rPr>
      </w:pPr>
      <w:r w:rsidRPr="00C033B5">
        <w:rPr>
          <w:rFonts w:asciiTheme="majorBidi" w:hAnsiTheme="majorBidi" w:cstheme="majorBidi"/>
          <w:sz w:val="24"/>
          <w:szCs w:val="24"/>
        </w:rPr>
        <w:t xml:space="preserve">The extant literature have also examined the role of platform characteristics on the </w:t>
      </w:r>
      <w:proofErr w:type="spellStart"/>
      <w:r w:rsidRPr="00C033B5">
        <w:rPr>
          <w:rFonts w:asciiTheme="majorBidi" w:hAnsiTheme="majorBidi" w:cstheme="majorBidi"/>
          <w:sz w:val="24"/>
          <w:szCs w:val="24"/>
        </w:rPr>
        <w:t>behavior</w:t>
      </w:r>
      <w:proofErr w:type="spellEnd"/>
      <w:r w:rsidRPr="00C033B5">
        <w:rPr>
          <w:rFonts w:asciiTheme="majorBidi" w:hAnsiTheme="majorBidi" w:cstheme="majorBidi"/>
          <w:sz w:val="24"/>
          <w:szCs w:val="24"/>
        </w:rPr>
        <w:t xml:space="preserve"> of its participants (Wang, Xiong, and Zheng, 2021). The findings indicated that, investors in pursuit of reducing information asymmetry seek to invest in platforms with good attributes. It is noteworthy to mention that the imminent challenge of information asymmetry is not exclusively among lenders and borrowers, but also arises at a platform level. Implications of platform level information asymmetry on cash flows were empirically investigated by Chen, Hu, and Ben (2021). Reputation, capital and operational structure has an endorsement effect and signals subjective seriousness, effort and diligence of a platform, thereby alleviating information asymmetries. </w:t>
      </w:r>
    </w:p>
    <w:p w14:paraId="4A6032F5" w14:textId="68948013" w:rsidR="00C033B5" w:rsidRPr="005A3D6D" w:rsidRDefault="00C033B5" w:rsidP="00856618">
      <w:pPr>
        <w:pStyle w:val="ListParagraph"/>
        <w:numPr>
          <w:ilvl w:val="2"/>
          <w:numId w:val="34"/>
        </w:numPr>
        <w:spacing w:line="240" w:lineRule="auto"/>
        <w:ind w:left="0" w:firstLine="350"/>
        <w:jc w:val="both"/>
        <w:rPr>
          <w:rFonts w:asciiTheme="majorBidi" w:hAnsiTheme="majorBidi" w:cstheme="majorBidi"/>
          <w:b/>
          <w:bCs/>
          <w:sz w:val="24"/>
          <w:szCs w:val="24"/>
        </w:rPr>
      </w:pPr>
      <w:r w:rsidRPr="005A3D6D">
        <w:rPr>
          <w:rFonts w:asciiTheme="majorBidi" w:hAnsiTheme="majorBidi" w:cstheme="majorBidi"/>
          <w:b/>
          <w:bCs/>
          <w:sz w:val="24"/>
          <w:szCs w:val="24"/>
        </w:rPr>
        <w:t xml:space="preserve">Skin </w:t>
      </w:r>
      <w:r w:rsidR="005A3D6D" w:rsidRPr="005A3D6D">
        <w:rPr>
          <w:rFonts w:asciiTheme="majorBidi" w:hAnsiTheme="majorBidi" w:cstheme="majorBidi"/>
          <w:b/>
          <w:bCs/>
          <w:sz w:val="24"/>
          <w:szCs w:val="24"/>
        </w:rPr>
        <w:t>In the Game and Other Platform Specific Strategies </w:t>
      </w:r>
    </w:p>
    <w:p w14:paraId="678FC88D" w14:textId="00896016" w:rsidR="00C033B5" w:rsidRPr="00C033B5" w:rsidRDefault="00C033B5" w:rsidP="005A3D6D">
      <w:pPr>
        <w:spacing w:after="0" w:line="240" w:lineRule="auto"/>
        <w:ind w:firstLine="350"/>
        <w:jc w:val="both"/>
        <w:rPr>
          <w:rFonts w:asciiTheme="majorBidi" w:hAnsiTheme="majorBidi" w:cstheme="majorBidi"/>
          <w:sz w:val="24"/>
          <w:szCs w:val="24"/>
        </w:rPr>
      </w:pPr>
      <w:r w:rsidRPr="00C033B5">
        <w:rPr>
          <w:rFonts w:asciiTheme="majorBidi" w:hAnsiTheme="majorBidi" w:cstheme="majorBidi"/>
          <w:sz w:val="24"/>
          <w:szCs w:val="24"/>
        </w:rPr>
        <w:t>The extant literature has also documented the different strategies pursued by peer to peer lending platforms to mitigate the underlying information asymmetry. Prosper implemented the strategy of allowing borrowers to create self-organized groups with active group leaders (Hildebrand, Puri, &amp; Rocholl, 2017). These leaders place bids to show financial commitment, which the authors term "skin in the game," to promote borrower listings. </w:t>
      </w:r>
    </w:p>
    <w:p w14:paraId="120DCA7A" w14:textId="3137EA69" w:rsidR="00C033B5" w:rsidRDefault="00C033B5" w:rsidP="005A3D6D">
      <w:pPr>
        <w:spacing w:line="240" w:lineRule="auto"/>
        <w:ind w:firstLine="350"/>
        <w:jc w:val="both"/>
        <w:rPr>
          <w:rFonts w:asciiTheme="majorBidi" w:hAnsiTheme="majorBidi" w:cstheme="majorBidi"/>
          <w:sz w:val="24"/>
          <w:szCs w:val="24"/>
        </w:rPr>
      </w:pPr>
      <w:r w:rsidRPr="00C033B5">
        <w:rPr>
          <w:rFonts w:asciiTheme="majorBidi" w:hAnsiTheme="majorBidi" w:cstheme="majorBidi"/>
          <w:sz w:val="24"/>
          <w:szCs w:val="24"/>
        </w:rPr>
        <w:t xml:space="preserve">In essence, these studies collectively emphasize the diverse strategies that P2P lending platforms can employ to foster an environment of reduced information asymmetry. However, it is important to note that the literature on P2P lending platforms is largely concentrated in a few countries, such as the United States and China (Basha, Elgammal, &amp; </w:t>
      </w:r>
      <w:proofErr w:type="spellStart"/>
      <w:r w:rsidRPr="00C033B5">
        <w:rPr>
          <w:rFonts w:asciiTheme="majorBidi" w:hAnsiTheme="majorBidi" w:cstheme="majorBidi"/>
          <w:sz w:val="24"/>
          <w:szCs w:val="24"/>
        </w:rPr>
        <w:t>Abuzayed</w:t>
      </w:r>
      <w:proofErr w:type="spellEnd"/>
      <w:r w:rsidRPr="00C033B5">
        <w:rPr>
          <w:rFonts w:asciiTheme="majorBidi" w:hAnsiTheme="majorBidi" w:cstheme="majorBidi"/>
          <w:sz w:val="24"/>
          <w:szCs w:val="24"/>
        </w:rPr>
        <w:t xml:space="preserve">, 2021), and may not reflect the diversity of business models employed globally. Due to the lack of research attention among the resale marketplace lending platforms, studies investigating the strategies employed by these platforms mitigate the challenges arising from information asymmetry is virtually non-existent. Hence, this study seeks to fill in the literature gap by formulating evidence from the largest peer to peer lending platform in Europe, namely Mintos. The extant literature on the mitigation of information asymmetries is commonly discussed in light of </w:t>
      </w:r>
      <w:proofErr w:type="spellStart"/>
      <w:r w:rsidRPr="00C033B5">
        <w:rPr>
          <w:rFonts w:asciiTheme="majorBidi" w:hAnsiTheme="majorBidi" w:cstheme="majorBidi"/>
          <w:sz w:val="24"/>
          <w:szCs w:val="24"/>
        </w:rPr>
        <w:t>signaling</w:t>
      </w:r>
      <w:proofErr w:type="spellEnd"/>
      <w:r w:rsidRPr="00C033B5">
        <w:rPr>
          <w:rFonts w:asciiTheme="majorBidi" w:hAnsiTheme="majorBidi" w:cstheme="majorBidi"/>
          <w:sz w:val="24"/>
          <w:szCs w:val="24"/>
        </w:rPr>
        <w:t xml:space="preserve"> theory (Spence, 1978). However, our study differs from the existing studies in a way that transcends beyond signals, and introduces the role of incentives. Therefore, as the literature on resale marketplace lending platforms is at a nascent stage, we seek to develop an integrated theoretical framework for the mitigation of information asymmetry among these platforms. </w:t>
      </w:r>
    </w:p>
    <w:p w14:paraId="2195759E" w14:textId="77777777" w:rsidR="005A3D6D" w:rsidRPr="00C033B5" w:rsidRDefault="005A3D6D" w:rsidP="005A3D6D">
      <w:pPr>
        <w:spacing w:line="240" w:lineRule="auto"/>
        <w:ind w:firstLine="350"/>
        <w:jc w:val="both"/>
        <w:rPr>
          <w:rFonts w:asciiTheme="majorBidi" w:hAnsiTheme="majorBidi" w:cstheme="majorBidi"/>
          <w:sz w:val="24"/>
          <w:szCs w:val="24"/>
        </w:rPr>
      </w:pPr>
    </w:p>
    <w:p w14:paraId="361D6A76" w14:textId="1DE75103" w:rsidR="00C033B5" w:rsidRPr="00C033B5" w:rsidRDefault="00C033B5" w:rsidP="00856618">
      <w:pPr>
        <w:numPr>
          <w:ilvl w:val="0"/>
          <w:numId w:val="32"/>
        </w:numPr>
        <w:spacing w:line="240" w:lineRule="auto"/>
        <w:jc w:val="center"/>
        <w:rPr>
          <w:rFonts w:asciiTheme="majorBidi" w:hAnsiTheme="majorBidi" w:cstheme="majorBidi"/>
          <w:b/>
          <w:bCs/>
          <w:sz w:val="24"/>
          <w:szCs w:val="24"/>
        </w:rPr>
      </w:pPr>
      <w:r w:rsidRPr="00C033B5">
        <w:rPr>
          <w:rFonts w:asciiTheme="majorBidi" w:hAnsiTheme="majorBidi" w:cstheme="majorBidi"/>
          <w:b/>
          <w:bCs/>
          <w:sz w:val="24"/>
          <w:szCs w:val="24"/>
        </w:rPr>
        <w:t>T</w:t>
      </w:r>
      <w:r w:rsidR="00417DE1" w:rsidRPr="00417DE1">
        <w:rPr>
          <w:rFonts w:asciiTheme="majorBidi" w:hAnsiTheme="majorBidi" w:cstheme="majorBidi"/>
          <w:b/>
          <w:bCs/>
          <w:sz w:val="24"/>
          <w:szCs w:val="24"/>
        </w:rPr>
        <w:t>HEORHETICAL FRAMEWORK</w:t>
      </w:r>
    </w:p>
    <w:p w14:paraId="2189F6ED" w14:textId="7BCB54B8" w:rsidR="00C033B5" w:rsidRPr="00C033B5" w:rsidRDefault="00C033B5" w:rsidP="005A3D6D">
      <w:pPr>
        <w:spacing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The study contributes to various strands of literature from disciplines such as economics, and finance. This section will discuss the four relevant theories that underpin and guide the study and further discuss our contributions to the field and provide an integrated theoretical framework. </w:t>
      </w:r>
    </w:p>
    <w:p w14:paraId="44D2B591" w14:textId="0EB9A59B" w:rsidR="00C033B5" w:rsidRPr="005A3D6D" w:rsidRDefault="00C033B5" w:rsidP="00856618">
      <w:pPr>
        <w:pStyle w:val="ListParagraph"/>
        <w:numPr>
          <w:ilvl w:val="1"/>
          <w:numId w:val="37"/>
        </w:numPr>
        <w:spacing w:line="240" w:lineRule="auto"/>
        <w:ind w:left="357" w:hanging="357"/>
        <w:jc w:val="both"/>
        <w:rPr>
          <w:rFonts w:asciiTheme="majorBidi" w:hAnsiTheme="majorBidi" w:cstheme="majorBidi"/>
          <w:b/>
          <w:bCs/>
          <w:sz w:val="24"/>
          <w:szCs w:val="24"/>
        </w:rPr>
      </w:pPr>
      <w:r w:rsidRPr="005A3D6D">
        <w:rPr>
          <w:rFonts w:asciiTheme="majorBidi" w:hAnsiTheme="majorBidi" w:cstheme="majorBidi"/>
          <w:b/>
          <w:bCs/>
          <w:sz w:val="24"/>
          <w:szCs w:val="24"/>
        </w:rPr>
        <w:t>Theories</w:t>
      </w:r>
    </w:p>
    <w:p w14:paraId="628C62DA" w14:textId="44D473B3" w:rsidR="00C033B5" w:rsidRPr="005A3D6D" w:rsidRDefault="00C033B5" w:rsidP="00856618">
      <w:pPr>
        <w:pStyle w:val="ListParagraph"/>
        <w:numPr>
          <w:ilvl w:val="2"/>
          <w:numId w:val="37"/>
        </w:numPr>
        <w:spacing w:line="240" w:lineRule="auto"/>
        <w:ind w:left="0" w:firstLine="350"/>
        <w:jc w:val="both"/>
        <w:rPr>
          <w:rFonts w:asciiTheme="majorBidi" w:hAnsiTheme="majorBidi" w:cstheme="majorBidi"/>
          <w:b/>
          <w:bCs/>
          <w:sz w:val="24"/>
          <w:szCs w:val="24"/>
        </w:rPr>
      </w:pPr>
      <w:r w:rsidRPr="005A3D6D">
        <w:rPr>
          <w:rFonts w:asciiTheme="majorBidi" w:hAnsiTheme="majorBidi" w:cstheme="majorBidi"/>
          <w:b/>
          <w:bCs/>
          <w:sz w:val="24"/>
          <w:szCs w:val="24"/>
        </w:rPr>
        <w:t>Theory of Information Asymmetry </w:t>
      </w:r>
    </w:p>
    <w:p w14:paraId="3EB9239B" w14:textId="77777777" w:rsidR="00C033B5" w:rsidRPr="00C033B5" w:rsidRDefault="00C033B5" w:rsidP="00896211">
      <w:pPr>
        <w:spacing w:line="240" w:lineRule="auto"/>
        <w:jc w:val="both"/>
        <w:rPr>
          <w:rFonts w:asciiTheme="majorBidi" w:hAnsiTheme="majorBidi" w:cstheme="majorBidi"/>
          <w:sz w:val="24"/>
          <w:szCs w:val="24"/>
        </w:rPr>
      </w:pPr>
      <w:r w:rsidRPr="00C033B5">
        <w:rPr>
          <w:rFonts w:asciiTheme="majorBidi" w:hAnsiTheme="majorBidi" w:cstheme="majorBidi"/>
          <w:sz w:val="24"/>
          <w:szCs w:val="24"/>
        </w:rPr>
        <w:lastRenderedPageBreak/>
        <w:tab/>
        <w:t>The theory of information asymmetry primarily deals with the study of decisions in the absence of perfect information in the market. The modern theory of information asymmetry is firmly rooted in the seminal contributions of Akerlof (1978). </w:t>
      </w:r>
    </w:p>
    <w:p w14:paraId="5F97C60D" w14:textId="364BB8C1" w:rsidR="00C033B5" w:rsidRPr="005A3D6D" w:rsidRDefault="00C033B5" w:rsidP="00856618">
      <w:pPr>
        <w:pStyle w:val="ListParagraph"/>
        <w:numPr>
          <w:ilvl w:val="3"/>
          <w:numId w:val="37"/>
        </w:numPr>
        <w:spacing w:line="240" w:lineRule="auto"/>
        <w:ind w:left="2127"/>
        <w:jc w:val="both"/>
        <w:rPr>
          <w:rFonts w:asciiTheme="majorBidi" w:hAnsiTheme="majorBidi" w:cstheme="majorBidi"/>
          <w:b/>
          <w:bCs/>
          <w:sz w:val="24"/>
          <w:szCs w:val="24"/>
        </w:rPr>
      </w:pPr>
      <w:r w:rsidRPr="005A3D6D">
        <w:rPr>
          <w:rFonts w:asciiTheme="majorBidi" w:hAnsiTheme="majorBidi" w:cstheme="majorBidi"/>
          <w:b/>
          <w:bCs/>
          <w:sz w:val="24"/>
          <w:szCs w:val="24"/>
        </w:rPr>
        <w:t>Adverse selection </w:t>
      </w:r>
    </w:p>
    <w:p w14:paraId="5C95CB45" w14:textId="77777777" w:rsidR="00C033B5" w:rsidRPr="00C033B5" w:rsidRDefault="00C033B5" w:rsidP="00896211">
      <w:pPr>
        <w:spacing w:line="240" w:lineRule="auto"/>
        <w:jc w:val="both"/>
        <w:rPr>
          <w:rFonts w:asciiTheme="majorBidi" w:hAnsiTheme="majorBidi" w:cstheme="majorBidi"/>
          <w:sz w:val="24"/>
          <w:szCs w:val="24"/>
        </w:rPr>
      </w:pPr>
      <w:r w:rsidRPr="00C033B5">
        <w:rPr>
          <w:rFonts w:asciiTheme="majorBidi" w:hAnsiTheme="majorBidi" w:cstheme="majorBidi"/>
          <w:sz w:val="24"/>
          <w:szCs w:val="24"/>
        </w:rPr>
        <w:tab/>
        <w:t xml:space="preserve">Akerlof (1978) states that the quality of a product can be classified into two categories, namely low (λ) and high (1-λ) quality. In the presence of imperfection information and lack of regulation, sellers of low-quality products may display opportunistic </w:t>
      </w:r>
      <w:proofErr w:type="spellStart"/>
      <w:r w:rsidRPr="00C033B5">
        <w:rPr>
          <w:rFonts w:asciiTheme="majorBidi" w:hAnsiTheme="majorBidi" w:cstheme="majorBidi"/>
          <w:sz w:val="24"/>
          <w:szCs w:val="24"/>
        </w:rPr>
        <w:t>behavior</w:t>
      </w:r>
      <w:proofErr w:type="spellEnd"/>
      <w:r w:rsidRPr="00C033B5">
        <w:rPr>
          <w:rFonts w:asciiTheme="majorBidi" w:hAnsiTheme="majorBidi" w:cstheme="majorBidi"/>
          <w:sz w:val="24"/>
          <w:szCs w:val="24"/>
        </w:rPr>
        <w:t xml:space="preserve"> by selling their products in the high-quality segment of the market, resulting in adverse selection problem. Similarly, in the context of resale marketplace lending platforms, adverse selection manifest as loan originators with varying quality levels are present and participate in the platform. This results in an unfair valuation of high-quality loan offerings in terms of interest rates, driving out loan originators with high quality loan offerings. </w:t>
      </w:r>
    </w:p>
    <w:p w14:paraId="79A3FB24" w14:textId="57910812" w:rsidR="00C033B5" w:rsidRPr="00E264F6" w:rsidRDefault="00C033B5" w:rsidP="00856618">
      <w:pPr>
        <w:pStyle w:val="ListParagraph"/>
        <w:numPr>
          <w:ilvl w:val="3"/>
          <w:numId w:val="37"/>
        </w:numPr>
        <w:spacing w:line="240" w:lineRule="auto"/>
        <w:ind w:left="2127"/>
        <w:jc w:val="both"/>
        <w:rPr>
          <w:rFonts w:asciiTheme="majorBidi" w:hAnsiTheme="majorBidi" w:cstheme="majorBidi"/>
          <w:b/>
          <w:bCs/>
          <w:sz w:val="24"/>
          <w:szCs w:val="24"/>
        </w:rPr>
      </w:pPr>
      <w:r w:rsidRPr="00E264F6">
        <w:rPr>
          <w:rFonts w:asciiTheme="majorBidi" w:hAnsiTheme="majorBidi" w:cstheme="majorBidi"/>
          <w:b/>
          <w:bCs/>
          <w:sz w:val="24"/>
          <w:szCs w:val="24"/>
        </w:rPr>
        <w:t>Moral Hazard </w:t>
      </w:r>
    </w:p>
    <w:p w14:paraId="22E6958E" w14:textId="6E528161" w:rsidR="00C033B5" w:rsidRPr="00C033B5" w:rsidRDefault="00C033B5" w:rsidP="00E264F6">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 xml:space="preserve">Meanwhile, moral hazard refers to a situation where a party is incentivized to engage in risky </w:t>
      </w:r>
      <w:proofErr w:type="spellStart"/>
      <w:r w:rsidRPr="00C033B5">
        <w:rPr>
          <w:rFonts w:asciiTheme="majorBidi" w:hAnsiTheme="majorBidi" w:cstheme="majorBidi"/>
          <w:sz w:val="24"/>
          <w:szCs w:val="24"/>
        </w:rPr>
        <w:t>behavior</w:t>
      </w:r>
      <w:proofErr w:type="spellEnd"/>
      <w:r w:rsidRPr="00C033B5">
        <w:rPr>
          <w:rFonts w:asciiTheme="majorBidi" w:hAnsiTheme="majorBidi" w:cstheme="majorBidi"/>
          <w:sz w:val="24"/>
          <w:szCs w:val="24"/>
        </w:rPr>
        <w:t xml:space="preserve"> as they are not responsible for bearing the cost or loss resulting from their actions (Dembe &amp; Boden, 2000). The theory of moral hazard mainly arises from economic literature on insurance. However, this study focuses on the seminal contributions from Ehrlich and Becker (1972), Pauly (1978), and Shavell (1979) who propose that if the effort or self-protection of insured to minimize losses is not observable by the insurer in setting premiums, insured people are incentivized to exert less effort. Similarly, moral hazard is also manifested in the context of resale marketplace lending platforms. Moral hazard may stem from loan originators, whose ultimate aim is to originate more loans without necessary adjustment to capital by distributing it to lenders. Therefore, loan originators have an incentive to provide risky loan offerings by originating loans to subprime borrowers and may exert little effort in screening and monitoring their borrowers. </w:t>
      </w:r>
    </w:p>
    <w:p w14:paraId="54BD298C" w14:textId="5DDFD09A" w:rsidR="00C033B5" w:rsidRPr="00C033B5" w:rsidRDefault="00C033B5" w:rsidP="00E264F6">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Leland and Pyle (1977) formal analysis provides evidence for the linkage by showing that a rational expectation (</w:t>
      </w:r>
      <w:proofErr w:type="spellStart"/>
      <w:r w:rsidRPr="00C033B5">
        <w:rPr>
          <w:rFonts w:asciiTheme="majorBidi" w:hAnsiTheme="majorBidi" w:cstheme="majorBidi"/>
          <w:sz w:val="24"/>
          <w:szCs w:val="24"/>
        </w:rPr>
        <w:t>signaling</w:t>
      </w:r>
      <w:proofErr w:type="spellEnd"/>
      <w:r w:rsidRPr="00C033B5">
        <w:rPr>
          <w:rFonts w:asciiTheme="majorBidi" w:hAnsiTheme="majorBidi" w:cstheme="majorBidi"/>
          <w:sz w:val="24"/>
          <w:szCs w:val="24"/>
        </w:rPr>
        <w:t xml:space="preserve">) equilibrium can be achieved through the entrepreneur's share of the equity investment, which fully reveals his beliefs about the return of the project. In this equilibrium, a higher entrepreneurial share signals a higher project value. This finding supports the idea that individuals or organizations may engage in certain actions or </w:t>
      </w:r>
      <w:proofErr w:type="spellStart"/>
      <w:r w:rsidRPr="00C033B5">
        <w:rPr>
          <w:rFonts w:asciiTheme="majorBidi" w:hAnsiTheme="majorBidi" w:cstheme="majorBidi"/>
          <w:sz w:val="24"/>
          <w:szCs w:val="24"/>
        </w:rPr>
        <w:t>behaviors</w:t>
      </w:r>
      <w:proofErr w:type="spellEnd"/>
      <w:r w:rsidRPr="00C033B5">
        <w:rPr>
          <w:rFonts w:asciiTheme="majorBidi" w:hAnsiTheme="majorBidi" w:cstheme="majorBidi"/>
          <w:sz w:val="24"/>
          <w:szCs w:val="24"/>
        </w:rPr>
        <w:t>, such as taking on more risk, to signal their quality or ability to others. </w:t>
      </w:r>
    </w:p>
    <w:p w14:paraId="77EFB474" w14:textId="77777777" w:rsidR="00C033B5" w:rsidRDefault="00C033B5" w:rsidP="00E264F6">
      <w:pPr>
        <w:spacing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In summary, the theoretical framework presented in this section laid out the foundation for the development of our conceptual framework. Building on the theory and principles exposited above, the conceptual framework incorporates new concepts, and further explores the platform-specific intricacies.</w:t>
      </w:r>
    </w:p>
    <w:p w14:paraId="4EA18F97" w14:textId="77777777" w:rsidR="00E264F6" w:rsidRPr="00C033B5" w:rsidRDefault="00E264F6" w:rsidP="00417DE1">
      <w:pPr>
        <w:spacing w:line="240" w:lineRule="auto"/>
        <w:ind w:firstLine="720"/>
        <w:rPr>
          <w:rFonts w:asciiTheme="majorBidi" w:hAnsiTheme="majorBidi" w:cstheme="majorBidi"/>
          <w:sz w:val="24"/>
          <w:szCs w:val="24"/>
        </w:rPr>
      </w:pPr>
    </w:p>
    <w:p w14:paraId="41EAB9C1" w14:textId="3AEDA2C4" w:rsidR="00C033B5" w:rsidRPr="00C033B5" w:rsidRDefault="00C033B5" w:rsidP="00856618">
      <w:pPr>
        <w:numPr>
          <w:ilvl w:val="0"/>
          <w:numId w:val="33"/>
        </w:numPr>
        <w:jc w:val="center"/>
        <w:rPr>
          <w:rFonts w:asciiTheme="majorBidi" w:hAnsiTheme="majorBidi" w:cstheme="majorBidi"/>
          <w:b/>
          <w:bCs/>
          <w:sz w:val="24"/>
          <w:szCs w:val="24"/>
        </w:rPr>
      </w:pPr>
      <w:r w:rsidRPr="00C033B5">
        <w:rPr>
          <w:rFonts w:asciiTheme="majorBidi" w:hAnsiTheme="majorBidi" w:cstheme="majorBidi"/>
          <w:b/>
          <w:bCs/>
          <w:sz w:val="24"/>
          <w:szCs w:val="24"/>
        </w:rPr>
        <w:t>C</w:t>
      </w:r>
      <w:r w:rsidR="00417DE1" w:rsidRPr="00417DE1">
        <w:rPr>
          <w:rFonts w:asciiTheme="majorBidi" w:hAnsiTheme="majorBidi" w:cstheme="majorBidi"/>
          <w:b/>
          <w:bCs/>
          <w:sz w:val="24"/>
          <w:szCs w:val="24"/>
        </w:rPr>
        <w:t>ONCEPTUAL FRAMEWORK</w:t>
      </w:r>
    </w:p>
    <w:p w14:paraId="64E50571" w14:textId="23B98938" w:rsidR="00C033B5" w:rsidRPr="00E264F6" w:rsidRDefault="00C033B5" w:rsidP="00856618">
      <w:pPr>
        <w:pStyle w:val="ListParagraph"/>
        <w:numPr>
          <w:ilvl w:val="1"/>
          <w:numId w:val="38"/>
        </w:numPr>
        <w:spacing w:line="240" w:lineRule="auto"/>
        <w:ind w:left="426" w:hanging="426"/>
        <w:rPr>
          <w:rFonts w:asciiTheme="majorBidi" w:hAnsiTheme="majorBidi" w:cstheme="majorBidi"/>
          <w:b/>
          <w:bCs/>
          <w:sz w:val="24"/>
          <w:szCs w:val="24"/>
        </w:rPr>
      </w:pPr>
      <w:r w:rsidRPr="00E264F6">
        <w:rPr>
          <w:rFonts w:asciiTheme="majorBidi" w:hAnsiTheme="majorBidi" w:cstheme="majorBidi"/>
          <w:b/>
          <w:bCs/>
          <w:sz w:val="24"/>
          <w:szCs w:val="24"/>
        </w:rPr>
        <w:t>Multi-level Agency relationships</w:t>
      </w:r>
    </w:p>
    <w:p w14:paraId="410EA235" w14:textId="5841158D" w:rsidR="00C033B5" w:rsidRPr="00C033B5" w:rsidRDefault="00C033B5" w:rsidP="00E264F6">
      <w:pPr>
        <w:spacing w:line="240" w:lineRule="auto"/>
        <w:ind w:firstLine="357"/>
        <w:rPr>
          <w:rFonts w:asciiTheme="majorBidi" w:hAnsiTheme="majorBidi" w:cstheme="majorBidi"/>
          <w:sz w:val="24"/>
          <w:szCs w:val="24"/>
        </w:rPr>
      </w:pPr>
      <w:r w:rsidRPr="00C033B5">
        <w:rPr>
          <w:rFonts w:asciiTheme="majorBidi" w:hAnsiTheme="majorBidi" w:cstheme="majorBidi"/>
          <w:sz w:val="24"/>
          <w:szCs w:val="24"/>
        </w:rPr>
        <w:t>The conceptual framework in this study encompasses multi-level agency relationships (Mishra, Heide, &amp; Cort, 1998) and is demonstrated in Figure (1). The first relationship is between a customer and a supplier. In the context of resale marketplace lending, the supplier (agent) is the Mintos platform and principal is the investor that registers with Mintos platform. The next level of agency relationship is between the platform and the loan originators; wherein, the Mintos platform acts as a principal and the loan originators act as an agent. </w:t>
      </w:r>
    </w:p>
    <w:p w14:paraId="6971A325" w14:textId="15387DDA" w:rsidR="00C033B5" w:rsidRPr="00E264F6" w:rsidRDefault="00C033B5" w:rsidP="00856618">
      <w:pPr>
        <w:pStyle w:val="ListParagraph"/>
        <w:numPr>
          <w:ilvl w:val="2"/>
          <w:numId w:val="38"/>
        </w:numPr>
        <w:spacing w:line="240" w:lineRule="auto"/>
        <w:ind w:left="782" w:hanging="357"/>
        <w:rPr>
          <w:rFonts w:asciiTheme="majorBidi" w:hAnsiTheme="majorBidi" w:cstheme="majorBidi"/>
          <w:b/>
          <w:bCs/>
          <w:sz w:val="24"/>
          <w:szCs w:val="24"/>
        </w:rPr>
      </w:pPr>
      <w:r w:rsidRPr="00E264F6">
        <w:rPr>
          <w:rFonts w:asciiTheme="majorBidi" w:hAnsiTheme="majorBidi" w:cstheme="majorBidi"/>
          <w:b/>
          <w:bCs/>
          <w:sz w:val="24"/>
          <w:szCs w:val="24"/>
        </w:rPr>
        <w:lastRenderedPageBreak/>
        <w:t xml:space="preserve">Level </w:t>
      </w:r>
      <w:r w:rsidR="00E264F6" w:rsidRPr="00E264F6">
        <w:rPr>
          <w:rFonts w:asciiTheme="majorBidi" w:hAnsiTheme="majorBidi" w:cstheme="majorBidi"/>
          <w:b/>
          <w:bCs/>
          <w:sz w:val="24"/>
          <w:szCs w:val="24"/>
        </w:rPr>
        <w:t xml:space="preserve">1: </w:t>
      </w:r>
      <w:r w:rsidRPr="00E264F6">
        <w:rPr>
          <w:rFonts w:asciiTheme="majorBidi" w:hAnsiTheme="majorBidi" w:cstheme="majorBidi"/>
          <w:b/>
          <w:bCs/>
          <w:sz w:val="24"/>
          <w:szCs w:val="24"/>
        </w:rPr>
        <w:t xml:space="preserve">Platform </w:t>
      </w:r>
      <w:r w:rsidR="00E264F6" w:rsidRPr="00E264F6">
        <w:rPr>
          <w:rFonts w:asciiTheme="majorBidi" w:hAnsiTheme="majorBidi" w:cstheme="majorBidi"/>
          <w:b/>
          <w:bCs/>
          <w:sz w:val="24"/>
          <w:szCs w:val="24"/>
        </w:rPr>
        <w:t xml:space="preserve">– </w:t>
      </w:r>
      <w:r w:rsidRPr="00E264F6">
        <w:rPr>
          <w:rFonts w:asciiTheme="majorBidi" w:hAnsiTheme="majorBidi" w:cstheme="majorBidi"/>
          <w:b/>
          <w:bCs/>
          <w:sz w:val="24"/>
          <w:szCs w:val="24"/>
        </w:rPr>
        <w:t xml:space="preserve">Investor </w:t>
      </w:r>
      <w:r w:rsidR="00E264F6" w:rsidRPr="00E264F6">
        <w:rPr>
          <w:rFonts w:asciiTheme="majorBidi" w:hAnsiTheme="majorBidi" w:cstheme="majorBidi"/>
          <w:b/>
          <w:bCs/>
          <w:sz w:val="24"/>
          <w:szCs w:val="24"/>
        </w:rPr>
        <w:t>Relationship </w:t>
      </w:r>
    </w:p>
    <w:p w14:paraId="478C9EC1" w14:textId="78D9AA6D" w:rsidR="00C033B5" w:rsidRPr="00C033B5" w:rsidRDefault="00C033B5" w:rsidP="00E264F6">
      <w:pPr>
        <w:spacing w:line="240" w:lineRule="auto"/>
        <w:ind w:firstLine="357"/>
        <w:rPr>
          <w:rFonts w:asciiTheme="majorBidi" w:hAnsiTheme="majorBidi" w:cstheme="majorBidi"/>
          <w:sz w:val="24"/>
          <w:szCs w:val="24"/>
        </w:rPr>
      </w:pPr>
      <w:r w:rsidRPr="00C033B5">
        <w:rPr>
          <w:rFonts w:asciiTheme="majorBidi" w:hAnsiTheme="majorBidi" w:cstheme="majorBidi"/>
          <w:sz w:val="24"/>
          <w:szCs w:val="24"/>
        </w:rPr>
        <w:t xml:space="preserve">From the investors’ perspective, the main issue faced in investing on the platform is the information asymmetry. Lack of ability to evaluate the quality creates supplier opportunism in the form of actual quality cheating (Mishra et al., 1998). This scenario relates to the moral hazard problem. In the context of resale marketplace lending, the platforms have an incentive to reduce the quality of their services by onboarding risky originators as it increases their revenue and is difficult for investors to detect. The main measure of quality in loans is loan performance (Fosu et al., 2020). Hence, quality cheating in the context of peer to peer lending will only manifest after a substantial period of time, i.e. at maturity. In such cases, Shapiro (1983) notes that an incentive has to be structured to align the interest of suppliers with end users or customers. It can be deduced that if the platforms do not align their interests with investors, investor turnover rates on the platforms will surge. Hence, the threat of investor turnovers or loss of repeat sales will eliminate quasi rent streaming and align the interest of platform with the investors as similarly noted by </w:t>
      </w:r>
      <w:proofErr w:type="spellStart"/>
      <w:r w:rsidRPr="00C033B5">
        <w:rPr>
          <w:rFonts w:asciiTheme="majorBidi" w:hAnsiTheme="majorBidi" w:cstheme="majorBidi"/>
          <w:sz w:val="24"/>
          <w:szCs w:val="24"/>
        </w:rPr>
        <w:t>Telser</w:t>
      </w:r>
      <w:proofErr w:type="spellEnd"/>
      <w:r w:rsidRPr="00C033B5">
        <w:rPr>
          <w:rFonts w:asciiTheme="majorBidi" w:hAnsiTheme="majorBidi" w:cstheme="majorBidi"/>
          <w:sz w:val="24"/>
          <w:szCs w:val="24"/>
        </w:rPr>
        <w:t xml:space="preserve"> (1980).</w:t>
      </w:r>
    </w:p>
    <w:p w14:paraId="78B3238F" w14:textId="182DCC17" w:rsidR="00C033B5" w:rsidRPr="00E264F6" w:rsidRDefault="00C033B5" w:rsidP="00856618">
      <w:pPr>
        <w:pStyle w:val="ListParagraph"/>
        <w:numPr>
          <w:ilvl w:val="2"/>
          <w:numId w:val="38"/>
        </w:numPr>
        <w:spacing w:line="240" w:lineRule="auto"/>
        <w:ind w:left="1418" w:hanging="1054"/>
        <w:rPr>
          <w:rFonts w:asciiTheme="majorBidi" w:hAnsiTheme="majorBidi" w:cstheme="majorBidi"/>
          <w:b/>
          <w:bCs/>
          <w:sz w:val="24"/>
          <w:szCs w:val="24"/>
        </w:rPr>
      </w:pPr>
      <w:r w:rsidRPr="00E264F6">
        <w:rPr>
          <w:rFonts w:asciiTheme="majorBidi" w:hAnsiTheme="majorBidi" w:cstheme="majorBidi"/>
          <w:b/>
          <w:bCs/>
          <w:sz w:val="24"/>
          <w:szCs w:val="24"/>
        </w:rPr>
        <w:t>Level 2: Platform – Originator relationship</w:t>
      </w:r>
    </w:p>
    <w:p w14:paraId="6E692F2A" w14:textId="4718C3D9" w:rsidR="00C033B5" w:rsidRPr="00C033B5" w:rsidRDefault="00C033B5" w:rsidP="00E264F6">
      <w:pPr>
        <w:spacing w:line="240" w:lineRule="auto"/>
        <w:ind w:firstLine="357"/>
        <w:rPr>
          <w:rFonts w:asciiTheme="majorBidi" w:hAnsiTheme="majorBidi" w:cstheme="majorBidi"/>
          <w:sz w:val="24"/>
          <w:szCs w:val="24"/>
        </w:rPr>
      </w:pPr>
      <w:r w:rsidRPr="00C033B5">
        <w:rPr>
          <w:rFonts w:asciiTheme="majorBidi" w:hAnsiTheme="majorBidi" w:cstheme="majorBidi"/>
          <w:sz w:val="24"/>
          <w:szCs w:val="24"/>
        </w:rPr>
        <w:t xml:space="preserve">In the context of resale marketplace lending platforms, the loan originators act as an agent on behalf of Mintos to provide investment opportunities to investors. Such agency relationships at multiple levels roots back to the findings reported by Klein and Murphy (1988). The findings of the study indicated that when manufacturers outsourced independent retailers to provide services to customers, the product quality and end user experience is significantly influenced by the independent retailers. Similarly, we consider this moral hazard problem the resale marketplace lending platforms such as Mintos faces, wherein their agent, i.e., loan originators indulge in risky </w:t>
      </w:r>
      <w:proofErr w:type="spellStart"/>
      <w:r w:rsidRPr="00C033B5">
        <w:rPr>
          <w:rFonts w:asciiTheme="majorBidi" w:hAnsiTheme="majorBidi" w:cstheme="majorBidi"/>
          <w:sz w:val="24"/>
          <w:szCs w:val="24"/>
        </w:rPr>
        <w:t>behavior</w:t>
      </w:r>
      <w:proofErr w:type="spellEnd"/>
      <w:r w:rsidRPr="00C033B5">
        <w:rPr>
          <w:rFonts w:asciiTheme="majorBidi" w:hAnsiTheme="majorBidi" w:cstheme="majorBidi"/>
          <w:sz w:val="24"/>
          <w:szCs w:val="24"/>
        </w:rPr>
        <w:t xml:space="preserve"> by purposely issuing low quality loans on the platform. Kreps (1985) states that the moral hazard problem must be managed by structuring the transaction in the manner that the agent, out of his own will, acts in alignment with the principal’s interests. Considering the problem of moral hazard, Mintos platform has a strategy in place to address the underlying issue known as skin in the game. The strategy is formulated to align the interests of loan originators with platform, and ultimately the investors. The strategy is discussed briefly in the following subsection.</w:t>
      </w:r>
    </w:p>
    <w:p w14:paraId="18344436" w14:textId="77777777" w:rsidR="00E264F6" w:rsidRPr="00C033B5" w:rsidRDefault="00E264F6" w:rsidP="00417DE1">
      <w:pPr>
        <w:spacing w:line="240" w:lineRule="auto"/>
        <w:rPr>
          <w:rFonts w:asciiTheme="majorBidi" w:hAnsiTheme="majorBidi" w:cstheme="majorBidi"/>
          <w:sz w:val="24"/>
          <w:szCs w:val="24"/>
        </w:rPr>
      </w:pPr>
    </w:p>
    <w:p w14:paraId="33921465" w14:textId="77777777" w:rsidR="00C033B5" w:rsidRPr="00C033B5" w:rsidRDefault="00C033B5" w:rsidP="00417DE1">
      <w:pPr>
        <w:jc w:val="center"/>
        <w:rPr>
          <w:rFonts w:asciiTheme="majorBidi" w:hAnsiTheme="majorBidi" w:cstheme="majorBidi"/>
          <w:sz w:val="24"/>
          <w:szCs w:val="24"/>
        </w:rPr>
      </w:pPr>
      <w:r w:rsidRPr="00E264F6">
        <w:rPr>
          <w:rFonts w:asciiTheme="majorBidi" w:hAnsiTheme="majorBidi" w:cstheme="majorBidi"/>
          <w:b/>
          <w:bCs/>
          <w:sz w:val="24"/>
          <w:szCs w:val="24"/>
        </w:rPr>
        <w:t>Figure 1</w:t>
      </w:r>
      <w:r w:rsidRPr="00C033B5">
        <w:rPr>
          <w:rFonts w:asciiTheme="majorBidi" w:hAnsiTheme="majorBidi" w:cstheme="majorBidi"/>
          <w:sz w:val="24"/>
          <w:szCs w:val="24"/>
        </w:rPr>
        <w:t>. Multilevel agency relationships at Mintos, Source: Author’s own work.</w:t>
      </w:r>
    </w:p>
    <w:p w14:paraId="0625481A" w14:textId="77777777" w:rsidR="00C033B5" w:rsidRPr="00C033B5" w:rsidRDefault="00C033B5" w:rsidP="00C033B5"/>
    <w:p w14:paraId="5F4BC604" w14:textId="13D9D53E" w:rsidR="00C033B5" w:rsidRPr="00C033B5" w:rsidRDefault="00C033B5" w:rsidP="00C033B5">
      <w:r w:rsidRPr="00C033B5">
        <w:rPr>
          <w:noProof/>
        </w:rPr>
        <w:drawing>
          <wp:inline distT="0" distB="0" distL="0" distR="0" wp14:anchorId="5EB55513" wp14:editId="779225E6">
            <wp:extent cx="5731510" cy="1772285"/>
            <wp:effectExtent l="0" t="0" r="2540" b="0"/>
            <wp:docPr id="1473041713" name="Picture 66" descr="A white circ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041713" name="Picture 66" descr="A white circle with black text&#10;&#10;AI-generated content may be incorrec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31510" cy="1772285"/>
                    </a:xfrm>
                    <a:prstGeom prst="rect">
                      <a:avLst/>
                    </a:prstGeom>
                    <a:noFill/>
                    <a:ln>
                      <a:noFill/>
                    </a:ln>
                  </pic:spPr>
                </pic:pic>
              </a:graphicData>
            </a:graphic>
          </wp:inline>
        </w:drawing>
      </w:r>
    </w:p>
    <w:p w14:paraId="78F8669C" w14:textId="0C6DD5F0" w:rsidR="00C033B5" w:rsidRDefault="00C033B5" w:rsidP="00C033B5"/>
    <w:p w14:paraId="06130D64" w14:textId="77777777" w:rsidR="005D6D1B" w:rsidRPr="00C033B5" w:rsidRDefault="005D6D1B" w:rsidP="00C033B5"/>
    <w:p w14:paraId="6C8562BC" w14:textId="7289389E" w:rsidR="00C033B5" w:rsidRPr="00E264F6" w:rsidRDefault="00C033B5" w:rsidP="00856618">
      <w:pPr>
        <w:pStyle w:val="ListParagraph"/>
        <w:numPr>
          <w:ilvl w:val="3"/>
          <w:numId w:val="39"/>
        </w:numPr>
        <w:spacing w:line="240" w:lineRule="auto"/>
        <w:ind w:left="641" w:hanging="291"/>
        <w:rPr>
          <w:rFonts w:asciiTheme="majorBidi" w:hAnsiTheme="majorBidi" w:cstheme="majorBidi"/>
          <w:b/>
          <w:bCs/>
          <w:sz w:val="24"/>
          <w:szCs w:val="24"/>
        </w:rPr>
      </w:pPr>
      <w:r w:rsidRPr="00E264F6">
        <w:rPr>
          <w:rFonts w:asciiTheme="majorBidi" w:hAnsiTheme="majorBidi" w:cstheme="majorBidi"/>
          <w:b/>
          <w:bCs/>
          <w:sz w:val="24"/>
          <w:szCs w:val="24"/>
        </w:rPr>
        <w:lastRenderedPageBreak/>
        <w:t>Skin in the game </w:t>
      </w:r>
    </w:p>
    <w:p w14:paraId="5AFD72A2" w14:textId="77777777" w:rsidR="00E264F6" w:rsidRDefault="00C033B5" w:rsidP="00E264F6">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The phrase “skin in the game” refers to having a monetary stake in a particular action or event in the literal sense. The origin of this concept roots back to gambling in low gaming houses, where Smith (1879) notes that players were pressured to have a vested interest by indulging in financial risk. However, in the context of financial services, the concept gained popularity following the enactment of Dodd Frank Act in 2010 in response to the Global Financial Crisis. Acharya and Richardson (2012) states that the title X, subtitle D of Dodd Frank Act imposes 5% retention rate of credit risk for firms that perform securitization of mortgages to ensure congruence in interest with investors. </w:t>
      </w:r>
    </w:p>
    <w:p w14:paraId="5E07D868" w14:textId="6DC5DEB3" w:rsidR="00C033B5" w:rsidRPr="00C033B5" w:rsidRDefault="00C033B5" w:rsidP="00E264F6">
      <w:pPr>
        <w:spacing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 xml:space="preserve">Eckstein (2017) notes that skin in the game is an important requirement in cases where the efforts by agents and their </w:t>
      </w:r>
      <w:proofErr w:type="spellStart"/>
      <w:r w:rsidRPr="00C033B5">
        <w:rPr>
          <w:rFonts w:asciiTheme="majorBidi" w:hAnsiTheme="majorBidi" w:cstheme="majorBidi"/>
          <w:sz w:val="24"/>
          <w:szCs w:val="24"/>
        </w:rPr>
        <w:t>behavior</w:t>
      </w:r>
      <w:proofErr w:type="spellEnd"/>
      <w:r w:rsidRPr="00C033B5">
        <w:rPr>
          <w:rFonts w:asciiTheme="majorBidi" w:hAnsiTheme="majorBidi" w:cstheme="majorBidi"/>
          <w:sz w:val="24"/>
          <w:szCs w:val="24"/>
        </w:rPr>
        <w:t xml:space="preserve"> are unobservable by the principal. In the case of Mintos, the platform assigns the loan retention rate, also known as the skin in the game for the loan originators. Similar to the gambling practices in low gaming houses as noted by Smith (1879), the Mintos platform also does not tolerate loan originators or agents without any skin in the game. The skin in the game for loan originators currently ranges from 2% to 15% of the total loan value. Each loan originator has to retain a portion of loan as determined by the skin in the game before listing the loan on investment. </w:t>
      </w:r>
    </w:p>
    <w:p w14:paraId="6E05EEE3" w14:textId="60DB676A" w:rsidR="00C033B5" w:rsidRPr="00E264F6" w:rsidRDefault="00C033B5" w:rsidP="00856618">
      <w:pPr>
        <w:pStyle w:val="ListParagraph"/>
        <w:numPr>
          <w:ilvl w:val="1"/>
          <w:numId w:val="39"/>
        </w:numPr>
        <w:ind w:left="426" w:hanging="426"/>
        <w:jc w:val="both"/>
        <w:rPr>
          <w:rFonts w:asciiTheme="majorBidi" w:hAnsiTheme="majorBidi" w:cstheme="majorBidi"/>
          <w:b/>
          <w:bCs/>
          <w:sz w:val="24"/>
          <w:szCs w:val="24"/>
        </w:rPr>
      </w:pPr>
      <w:r w:rsidRPr="00E264F6">
        <w:rPr>
          <w:rFonts w:asciiTheme="majorBidi" w:hAnsiTheme="majorBidi" w:cstheme="majorBidi"/>
          <w:b/>
          <w:bCs/>
          <w:sz w:val="24"/>
          <w:szCs w:val="24"/>
        </w:rPr>
        <w:t>Hypothesis Development</w:t>
      </w:r>
    </w:p>
    <w:p w14:paraId="74AA63E3" w14:textId="46CAC81F" w:rsidR="00C033B5" w:rsidRPr="00C033B5" w:rsidRDefault="00C033B5" w:rsidP="005D6D1B">
      <w:pPr>
        <w:spacing w:after="0"/>
        <w:ind w:firstLine="357"/>
        <w:jc w:val="both"/>
        <w:rPr>
          <w:rFonts w:asciiTheme="majorBidi" w:hAnsiTheme="majorBidi" w:cstheme="majorBidi"/>
          <w:sz w:val="24"/>
          <w:szCs w:val="24"/>
        </w:rPr>
      </w:pPr>
      <w:r w:rsidRPr="00C033B5">
        <w:rPr>
          <w:rFonts w:asciiTheme="majorBidi" w:hAnsiTheme="majorBidi" w:cstheme="majorBidi"/>
          <w:sz w:val="24"/>
          <w:szCs w:val="24"/>
        </w:rPr>
        <w:t>It can be conceptualized that the skin in the game requirement is an output based incentive (Eisenhardt, 1989). The participation of loan originators on Mintos platform to list the loans under the balance sheet inherently poses a threat of moral hazard. As such, loan originators can issue more loans without necessary adjustment to their capital. If Mintos allows the loan originators to list the loans on the platform without any skin in the game, loan originators may be tempted to issue loans to subprime borrowers and further list the loans on the platform for investors. Hence, the skin in the game requirement incentivizes loan originator (agent) to exert qualitative due diligence and monitoring practices to increase the likelihood of successful loan performance. The skin in the game mechanism crafts the agency relationship in a manner that links the agent’s economic interests directly to the principal’s economic interests. Thus, a higher level of skin in the game makes the originator more sensitive to the realized performance. Accordingly, we can conclude the discussion with the following hypothesis (Figure 2).</w:t>
      </w:r>
    </w:p>
    <w:p w14:paraId="47C6EB2F" w14:textId="23F55B9E" w:rsidR="00C033B5" w:rsidRPr="00E264F6" w:rsidRDefault="00C033B5" w:rsidP="005D6D1B">
      <w:pPr>
        <w:ind w:firstLine="357"/>
        <w:jc w:val="both"/>
        <w:rPr>
          <w:rFonts w:asciiTheme="majorBidi" w:hAnsiTheme="majorBidi" w:cstheme="majorBidi"/>
          <w:sz w:val="24"/>
          <w:szCs w:val="24"/>
        </w:rPr>
      </w:pPr>
      <w:r w:rsidRPr="00E264F6">
        <w:rPr>
          <w:rFonts w:asciiTheme="majorBidi" w:hAnsiTheme="majorBidi" w:cstheme="majorBidi"/>
          <w:b/>
          <w:bCs/>
          <w:sz w:val="24"/>
          <w:szCs w:val="24"/>
        </w:rPr>
        <w:t>H</w:t>
      </w:r>
      <w:r w:rsidRPr="00E264F6">
        <w:rPr>
          <w:rFonts w:asciiTheme="majorBidi" w:hAnsiTheme="majorBidi" w:cstheme="majorBidi"/>
          <w:b/>
          <w:bCs/>
          <w:sz w:val="24"/>
          <w:szCs w:val="24"/>
          <w:vertAlign w:val="subscript"/>
        </w:rPr>
        <w:t>1</w:t>
      </w:r>
      <w:r w:rsidRPr="00E264F6">
        <w:rPr>
          <w:rFonts w:asciiTheme="majorBidi" w:hAnsiTheme="majorBidi" w:cstheme="majorBidi"/>
          <w:sz w:val="24"/>
          <w:szCs w:val="24"/>
        </w:rPr>
        <w:t>: Loans listed by originators with high level of skin in the game reduces the probability of default.</w:t>
      </w:r>
    </w:p>
    <w:p w14:paraId="35393D52" w14:textId="15EAAF0B" w:rsidR="00C033B5" w:rsidRPr="00C033B5" w:rsidRDefault="00C033B5" w:rsidP="00E264F6">
      <w:pPr>
        <w:spacing w:after="0"/>
        <w:ind w:firstLine="357"/>
        <w:jc w:val="both"/>
        <w:rPr>
          <w:rFonts w:asciiTheme="majorBidi" w:hAnsiTheme="majorBidi" w:cstheme="majorBidi"/>
          <w:sz w:val="24"/>
          <w:szCs w:val="24"/>
        </w:rPr>
      </w:pPr>
      <w:r w:rsidRPr="00C033B5">
        <w:rPr>
          <w:rFonts w:asciiTheme="majorBidi" w:hAnsiTheme="majorBidi" w:cstheme="majorBidi"/>
          <w:sz w:val="24"/>
          <w:szCs w:val="24"/>
        </w:rPr>
        <w:t xml:space="preserve">Furthermore, loan originators are non-banking financial institutions that cater to the underserved retail customers with financing requirements (Jagtiani &amp; Lemieux, 2018; Li, Maung, &amp; Wilson, 2018). Hence, it can be argued that to an extent, the pool of borrowers of all loan originators will be less qualitative than the pool of prime borrowers managed by the banking institutions. However, with the skin in the game mechanism, we argue that by requiring loan originators to put the money where the mouth is, loan originators are motivated to develop and implement stringent due diligence and monitoring practices to alleviate the delinquency risk. Consistent with the theory of optimal contracts (Shavell, 1979, originators with higher level of skin in the game are likely to put more effort into costly screening and monitoring activities. This is analogous with the model proposed by </w:t>
      </w:r>
      <w:proofErr w:type="spellStart"/>
      <w:r w:rsidRPr="00C033B5">
        <w:rPr>
          <w:rFonts w:asciiTheme="majorBidi" w:hAnsiTheme="majorBidi" w:cstheme="majorBidi"/>
          <w:sz w:val="24"/>
          <w:szCs w:val="24"/>
        </w:rPr>
        <w:t>Chemla</w:t>
      </w:r>
      <w:proofErr w:type="spellEnd"/>
      <w:r w:rsidRPr="00C033B5">
        <w:rPr>
          <w:rFonts w:asciiTheme="majorBidi" w:hAnsiTheme="majorBidi" w:cstheme="majorBidi"/>
          <w:sz w:val="24"/>
          <w:szCs w:val="24"/>
        </w:rPr>
        <w:t xml:space="preserve"> and Hennessy (2014), which suggests that an originator's maximum willingness to pay for monitoring effort depends on their level of retention. Therefore, it can be hypothesized that the severity of default </w:t>
      </w:r>
      <w:r w:rsidRPr="00C033B5">
        <w:rPr>
          <w:rFonts w:asciiTheme="majorBidi" w:hAnsiTheme="majorBidi" w:cstheme="majorBidi"/>
          <w:sz w:val="24"/>
          <w:szCs w:val="24"/>
        </w:rPr>
        <w:lastRenderedPageBreak/>
        <w:t>is lower when loan originators are required to retain a larger portion of the total loan value. Accordingly, the hypothesis developed is as follows.</w:t>
      </w:r>
    </w:p>
    <w:p w14:paraId="6FF2450F" w14:textId="7859D3EF" w:rsidR="00C033B5" w:rsidRPr="00C033B5" w:rsidRDefault="00C033B5" w:rsidP="00E264F6">
      <w:pPr>
        <w:ind w:firstLine="357"/>
        <w:jc w:val="both"/>
        <w:rPr>
          <w:rFonts w:asciiTheme="majorBidi" w:hAnsiTheme="majorBidi" w:cstheme="majorBidi"/>
          <w:sz w:val="24"/>
          <w:szCs w:val="24"/>
        </w:rPr>
      </w:pPr>
      <w:r w:rsidRPr="00E264F6">
        <w:rPr>
          <w:rFonts w:asciiTheme="majorBidi" w:hAnsiTheme="majorBidi" w:cstheme="majorBidi"/>
          <w:b/>
          <w:bCs/>
          <w:sz w:val="24"/>
          <w:szCs w:val="24"/>
        </w:rPr>
        <w:t>H</w:t>
      </w:r>
      <w:r w:rsidRPr="00E264F6">
        <w:rPr>
          <w:rFonts w:asciiTheme="majorBidi" w:hAnsiTheme="majorBidi" w:cstheme="majorBidi"/>
          <w:b/>
          <w:bCs/>
          <w:sz w:val="24"/>
          <w:szCs w:val="24"/>
          <w:vertAlign w:val="subscript"/>
        </w:rPr>
        <w:t>2</w:t>
      </w:r>
      <w:r w:rsidRPr="00E264F6">
        <w:rPr>
          <w:rFonts w:asciiTheme="majorBidi" w:hAnsiTheme="majorBidi" w:cstheme="majorBidi"/>
          <w:sz w:val="24"/>
          <w:szCs w:val="24"/>
        </w:rPr>
        <w:t>: Loans listed by originators with high level of skin in the game reduces the severity of default</w:t>
      </w:r>
      <w:r w:rsidRPr="00C033B5">
        <w:rPr>
          <w:rFonts w:asciiTheme="majorBidi" w:hAnsiTheme="majorBidi" w:cstheme="majorBidi"/>
          <w:i/>
          <w:iCs/>
          <w:sz w:val="24"/>
          <w:szCs w:val="24"/>
        </w:rPr>
        <w:t>.</w:t>
      </w:r>
    </w:p>
    <w:p w14:paraId="0E76358A" w14:textId="77777777" w:rsidR="00E264F6" w:rsidRDefault="00C033B5" w:rsidP="00E264F6">
      <w:pPr>
        <w:spacing w:after="0"/>
        <w:ind w:firstLine="357"/>
        <w:jc w:val="both"/>
        <w:rPr>
          <w:rFonts w:asciiTheme="majorBidi" w:hAnsiTheme="majorBidi" w:cstheme="majorBidi"/>
          <w:sz w:val="24"/>
          <w:szCs w:val="24"/>
        </w:rPr>
      </w:pPr>
      <w:r w:rsidRPr="00C033B5">
        <w:rPr>
          <w:rFonts w:asciiTheme="majorBidi" w:hAnsiTheme="majorBidi" w:cstheme="majorBidi"/>
          <w:sz w:val="24"/>
          <w:szCs w:val="24"/>
        </w:rPr>
        <w:t xml:space="preserve">Secondly, we also consider the adverse selection problem for investors. Loan originators providing high quality loan investment opportunities will face it difficult to distinguish their investment opportunities from low quality offerings on the platform to investors. The extant literature indicates that the issue of adverse selection resulting from information asymmetry is generally alleviated by </w:t>
      </w:r>
      <w:proofErr w:type="spellStart"/>
      <w:r w:rsidRPr="00C033B5">
        <w:rPr>
          <w:rFonts w:asciiTheme="majorBidi" w:hAnsiTheme="majorBidi" w:cstheme="majorBidi"/>
          <w:sz w:val="24"/>
          <w:szCs w:val="24"/>
        </w:rPr>
        <w:t>signaling</w:t>
      </w:r>
      <w:proofErr w:type="spellEnd"/>
      <w:r w:rsidRPr="00C033B5">
        <w:rPr>
          <w:rFonts w:asciiTheme="majorBidi" w:hAnsiTheme="majorBidi" w:cstheme="majorBidi"/>
          <w:sz w:val="24"/>
          <w:szCs w:val="24"/>
        </w:rPr>
        <w:t xml:space="preserve"> (Spence, 1978). In the context of Mintos, we argue that the skin in the game mechanism adopted to alleviate moral hazard also serves as a signal to investors to address adverse selection as established in the integrated framework. Skin in the game of loan originators signals commitment of the loan originators by retaining a portion of loan to themselves. The rationale is akin to the logic in self-funding (Zhao et al., 2022) and quick-fix bootstrapping (Malmström, 2014), which indicates that agents signal qualities such as self-commitment and self-belief by sacrificing internal resources in funding their ventures.</w:t>
      </w:r>
    </w:p>
    <w:p w14:paraId="6CFCCD66" w14:textId="669C1FA0" w:rsidR="00C033B5" w:rsidRDefault="00C033B5" w:rsidP="00E264F6">
      <w:pPr>
        <w:spacing w:after="0"/>
        <w:ind w:firstLine="357"/>
        <w:jc w:val="both"/>
        <w:rPr>
          <w:rFonts w:asciiTheme="majorBidi" w:hAnsiTheme="majorBidi" w:cstheme="majorBidi"/>
          <w:sz w:val="24"/>
          <w:szCs w:val="24"/>
        </w:rPr>
      </w:pPr>
      <w:r w:rsidRPr="00C033B5">
        <w:rPr>
          <w:rFonts w:asciiTheme="majorBidi" w:hAnsiTheme="majorBidi" w:cstheme="majorBidi"/>
          <w:sz w:val="24"/>
          <w:szCs w:val="24"/>
        </w:rPr>
        <w:t>Thus, a higher level of skin in the game will communicate a higher quality and vice versa. It also signals to investors that a low quality loan offering would not be worthwhile for originators that would like to continue participating on the platform, thereby reducing the perceived underlying risk. It is well established by Modern Portfolio theory (Markowitz, 1952) in the finance literature that a low risk implies low returns. Therefore, a lower underlying risk of an investment translates to lower interest rates. Accordingly, the hypothesis developed is as follows.</w:t>
      </w:r>
    </w:p>
    <w:p w14:paraId="678CECEA" w14:textId="2469AE57" w:rsidR="00E264F6" w:rsidRPr="00E264F6" w:rsidRDefault="00E264F6" w:rsidP="00E264F6">
      <w:pPr>
        <w:ind w:firstLine="357"/>
        <w:jc w:val="both"/>
        <w:rPr>
          <w:rFonts w:asciiTheme="majorBidi" w:hAnsiTheme="majorBidi" w:cstheme="majorBidi"/>
          <w:sz w:val="24"/>
          <w:szCs w:val="24"/>
        </w:rPr>
      </w:pPr>
      <w:r w:rsidRPr="00E264F6">
        <w:rPr>
          <w:rFonts w:asciiTheme="majorBidi" w:hAnsiTheme="majorBidi" w:cstheme="majorBidi"/>
          <w:b/>
          <w:bCs/>
          <w:sz w:val="24"/>
          <w:szCs w:val="24"/>
        </w:rPr>
        <w:t>H</w:t>
      </w:r>
      <w:r w:rsidRPr="00E264F6">
        <w:rPr>
          <w:rFonts w:asciiTheme="majorBidi" w:hAnsiTheme="majorBidi" w:cstheme="majorBidi"/>
          <w:b/>
          <w:bCs/>
          <w:sz w:val="24"/>
          <w:szCs w:val="24"/>
          <w:vertAlign w:val="subscript"/>
        </w:rPr>
        <w:t>3</w:t>
      </w:r>
      <w:r w:rsidRPr="00E264F6">
        <w:rPr>
          <w:rFonts w:asciiTheme="majorBidi" w:hAnsiTheme="majorBidi" w:cstheme="majorBidi"/>
          <w:sz w:val="24"/>
          <w:szCs w:val="24"/>
        </w:rPr>
        <w:t>: Loans listed by originators with higher the level of skin in the game will secure lower interest rates</w:t>
      </w:r>
    </w:p>
    <w:p w14:paraId="3960BE23" w14:textId="70D891DB" w:rsidR="00C033B5" w:rsidRPr="00C033B5" w:rsidRDefault="00C033B5" w:rsidP="00C033B5">
      <w:pPr>
        <w:rPr>
          <w:rFonts w:asciiTheme="majorBidi" w:hAnsiTheme="majorBidi" w:cstheme="majorBidi"/>
          <w:sz w:val="24"/>
          <w:szCs w:val="24"/>
        </w:rPr>
      </w:pPr>
      <w:r w:rsidRPr="00417DE1">
        <w:rPr>
          <w:rFonts w:asciiTheme="majorBidi" w:hAnsiTheme="majorBidi" w:cstheme="majorBidi"/>
          <w:noProof/>
          <w:sz w:val="24"/>
          <w:szCs w:val="24"/>
        </w:rPr>
        <w:drawing>
          <wp:inline distT="0" distB="0" distL="0" distR="0" wp14:anchorId="6D8DA7BF" wp14:editId="25ACF726">
            <wp:extent cx="5731510" cy="2494280"/>
            <wp:effectExtent l="0" t="0" r="0" b="0"/>
            <wp:docPr id="894954203" name="Picture 65" descr="A black background with white rectang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954203" name="Picture 65" descr="A black background with white rectangles&#10;&#10;AI-generated content may be incorrec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31510" cy="2494280"/>
                    </a:xfrm>
                    <a:prstGeom prst="rect">
                      <a:avLst/>
                    </a:prstGeom>
                    <a:noFill/>
                    <a:ln>
                      <a:noFill/>
                    </a:ln>
                  </pic:spPr>
                </pic:pic>
              </a:graphicData>
            </a:graphic>
          </wp:inline>
        </w:drawing>
      </w:r>
    </w:p>
    <w:p w14:paraId="304D193B" w14:textId="77777777" w:rsidR="00C033B5" w:rsidRPr="00C033B5" w:rsidRDefault="00C033B5" w:rsidP="00417DE1">
      <w:pPr>
        <w:jc w:val="center"/>
        <w:rPr>
          <w:rFonts w:asciiTheme="majorBidi" w:hAnsiTheme="majorBidi" w:cstheme="majorBidi"/>
          <w:sz w:val="24"/>
          <w:szCs w:val="24"/>
        </w:rPr>
      </w:pPr>
      <w:r w:rsidRPr="005D6D1B">
        <w:rPr>
          <w:rFonts w:asciiTheme="majorBidi" w:hAnsiTheme="majorBidi" w:cstheme="majorBidi"/>
          <w:b/>
          <w:bCs/>
          <w:sz w:val="24"/>
          <w:szCs w:val="24"/>
        </w:rPr>
        <w:t>Figure 2</w:t>
      </w:r>
      <w:r w:rsidRPr="00C033B5">
        <w:rPr>
          <w:rFonts w:asciiTheme="majorBidi" w:hAnsiTheme="majorBidi" w:cstheme="majorBidi"/>
          <w:sz w:val="24"/>
          <w:szCs w:val="24"/>
        </w:rPr>
        <w:t>. Hypothesis development, Source: Author’s own work.</w:t>
      </w:r>
    </w:p>
    <w:p w14:paraId="18CDB292" w14:textId="77777777" w:rsidR="00C033B5" w:rsidRDefault="00C033B5" w:rsidP="00C033B5">
      <w:r w:rsidRPr="00C033B5">
        <w:br/>
      </w:r>
    </w:p>
    <w:p w14:paraId="14E1B8C0" w14:textId="77777777" w:rsidR="005D6D1B" w:rsidRDefault="005D6D1B" w:rsidP="00C033B5"/>
    <w:p w14:paraId="7766BF1D" w14:textId="77777777" w:rsidR="005D6D1B" w:rsidRDefault="005D6D1B" w:rsidP="00C033B5"/>
    <w:p w14:paraId="1CE4EE0D" w14:textId="77777777" w:rsidR="005D6D1B" w:rsidRPr="00C033B5" w:rsidRDefault="005D6D1B" w:rsidP="00C033B5"/>
    <w:p w14:paraId="26483F1E" w14:textId="5A004CFE" w:rsidR="00C033B5" w:rsidRPr="005D6D1B" w:rsidRDefault="005D6D1B" w:rsidP="005D6D1B">
      <w:pPr>
        <w:jc w:val="center"/>
        <w:rPr>
          <w:rFonts w:asciiTheme="majorBidi" w:hAnsiTheme="majorBidi" w:cstheme="majorBidi"/>
          <w:b/>
          <w:bCs/>
          <w:sz w:val="24"/>
          <w:szCs w:val="24"/>
        </w:rPr>
      </w:pPr>
      <w:r>
        <w:rPr>
          <w:rFonts w:asciiTheme="majorBidi" w:hAnsiTheme="majorBidi" w:cstheme="majorBidi"/>
          <w:b/>
          <w:bCs/>
          <w:sz w:val="24"/>
          <w:szCs w:val="24"/>
        </w:rPr>
        <w:lastRenderedPageBreak/>
        <w:t xml:space="preserve">6. </w:t>
      </w:r>
      <w:r w:rsidR="00C033B5" w:rsidRPr="005D6D1B">
        <w:rPr>
          <w:rFonts w:asciiTheme="majorBidi" w:hAnsiTheme="majorBidi" w:cstheme="majorBidi"/>
          <w:b/>
          <w:bCs/>
          <w:sz w:val="24"/>
          <w:szCs w:val="24"/>
        </w:rPr>
        <w:t>D</w:t>
      </w:r>
      <w:r w:rsidR="00417DE1" w:rsidRPr="005D6D1B">
        <w:rPr>
          <w:rFonts w:asciiTheme="majorBidi" w:hAnsiTheme="majorBidi" w:cstheme="majorBidi"/>
          <w:b/>
          <w:bCs/>
          <w:sz w:val="24"/>
          <w:szCs w:val="24"/>
        </w:rPr>
        <w:t>ATA AND METHODOLOGY</w:t>
      </w:r>
    </w:p>
    <w:p w14:paraId="3CAA1E97" w14:textId="4C92D2CA" w:rsidR="00C033B5" w:rsidRPr="005D6D1B" w:rsidRDefault="00C033B5" w:rsidP="00856618">
      <w:pPr>
        <w:pStyle w:val="ListParagraph"/>
        <w:numPr>
          <w:ilvl w:val="1"/>
          <w:numId w:val="40"/>
        </w:numPr>
        <w:spacing w:after="0"/>
        <w:ind w:left="426" w:hanging="425"/>
        <w:rPr>
          <w:rFonts w:asciiTheme="majorBidi" w:hAnsiTheme="majorBidi" w:cstheme="majorBidi"/>
          <w:b/>
          <w:bCs/>
          <w:sz w:val="24"/>
          <w:szCs w:val="24"/>
        </w:rPr>
      </w:pPr>
      <w:r w:rsidRPr="005D6D1B">
        <w:rPr>
          <w:rFonts w:asciiTheme="majorBidi" w:hAnsiTheme="majorBidi" w:cstheme="majorBidi"/>
          <w:b/>
          <w:bCs/>
          <w:sz w:val="24"/>
          <w:szCs w:val="24"/>
        </w:rPr>
        <w:t>Sample and Data Description</w:t>
      </w:r>
    </w:p>
    <w:p w14:paraId="787D7710" w14:textId="77777777" w:rsidR="005D6D1B" w:rsidRDefault="00C033B5" w:rsidP="005D6D1B">
      <w:pPr>
        <w:spacing w:after="0"/>
        <w:ind w:firstLine="357"/>
        <w:jc w:val="both"/>
        <w:rPr>
          <w:rFonts w:asciiTheme="majorBidi" w:hAnsiTheme="majorBidi" w:cstheme="majorBidi"/>
          <w:sz w:val="24"/>
          <w:szCs w:val="24"/>
        </w:rPr>
      </w:pPr>
      <w:r w:rsidRPr="00C033B5">
        <w:rPr>
          <w:rFonts w:asciiTheme="majorBidi" w:hAnsiTheme="majorBidi" w:cstheme="majorBidi"/>
          <w:sz w:val="24"/>
          <w:szCs w:val="24"/>
        </w:rPr>
        <w:t>This study employs the dataset of Mintos, a Latvian marketplace lending platform for empirical analysis. Although the platform amasses loan originators from all geographic regions, the scope of the study is limited to loan originators from the European Union. The countries in European Union follow a unified legal system and have shared business practices, facilitating more robust and comparable analyses. </w:t>
      </w:r>
    </w:p>
    <w:p w14:paraId="3E6BE5AF" w14:textId="77777777" w:rsidR="005D6D1B" w:rsidRDefault="00C033B5" w:rsidP="005D6D1B">
      <w:pPr>
        <w:spacing w:after="0"/>
        <w:ind w:firstLine="357"/>
        <w:jc w:val="both"/>
        <w:rPr>
          <w:rFonts w:asciiTheme="majorBidi" w:hAnsiTheme="majorBidi" w:cstheme="majorBidi"/>
          <w:sz w:val="24"/>
          <w:szCs w:val="24"/>
        </w:rPr>
      </w:pPr>
      <w:r w:rsidRPr="00C033B5">
        <w:rPr>
          <w:rFonts w:asciiTheme="majorBidi" w:hAnsiTheme="majorBidi" w:cstheme="majorBidi"/>
          <w:sz w:val="24"/>
          <w:szCs w:val="24"/>
        </w:rPr>
        <w:t xml:space="preserve">As noted earlier, the study investigates the performance of the platform under different products, namely claims and notes. Accordingly, the final sample data of the study is the split into two subsamples. Since its inception, the platform primarily provided investment offerings to customers in the form of claims. Hence, the first subsample includes all loans listed on the platform from the period 1st January 2021 to 31st December 2021, consisting of 1,452,900 observations. Meanwhile, the second subsample consists of all loans listed on the platforms by loan originators from the launch period of notes program, i.e. May 25th, 2022 to 31st December 2022. The dataset employed in the second subsample period consists of 530,434 observations, </w:t>
      </w:r>
      <w:proofErr w:type="spellStart"/>
      <w:r w:rsidRPr="00C033B5">
        <w:rPr>
          <w:rFonts w:asciiTheme="majorBidi" w:hAnsiTheme="majorBidi" w:cstheme="majorBidi"/>
          <w:sz w:val="24"/>
          <w:szCs w:val="24"/>
        </w:rPr>
        <w:t>totaling</w:t>
      </w:r>
      <w:proofErr w:type="spellEnd"/>
      <w:r w:rsidRPr="00C033B5">
        <w:rPr>
          <w:rFonts w:asciiTheme="majorBidi" w:hAnsiTheme="majorBidi" w:cstheme="majorBidi"/>
          <w:sz w:val="24"/>
          <w:szCs w:val="24"/>
        </w:rPr>
        <w:t xml:space="preserve"> a final sample of 1,983,334 observations.</w:t>
      </w:r>
    </w:p>
    <w:p w14:paraId="4E202DAB" w14:textId="77777777" w:rsidR="005D6D1B" w:rsidRDefault="00C033B5" w:rsidP="005D6D1B">
      <w:pPr>
        <w:spacing w:after="0"/>
        <w:ind w:firstLine="357"/>
        <w:jc w:val="both"/>
        <w:rPr>
          <w:rFonts w:asciiTheme="majorBidi" w:hAnsiTheme="majorBidi" w:cstheme="majorBidi"/>
          <w:sz w:val="24"/>
          <w:szCs w:val="24"/>
        </w:rPr>
      </w:pPr>
      <w:r w:rsidRPr="00C033B5">
        <w:rPr>
          <w:rFonts w:asciiTheme="majorBidi" w:hAnsiTheme="majorBidi" w:cstheme="majorBidi"/>
          <w:sz w:val="24"/>
          <w:szCs w:val="24"/>
        </w:rPr>
        <w:t>The sample data is retrieved from the downloadable loan book available on Mintos.com. The loan book contains data related to loan characteristics. However, the provided dataset has been augmented with variables relevant to research objectives of the study. The key explanatory variable of the study is Skin in the game of the loan originator and is manually collected from the Mintos website. The study also collected the age and size of each originator from the Mintos website to control for originator level heterogeneity. Generally, total assets are used as a measure of size of financial institutions (</w:t>
      </w:r>
      <w:proofErr w:type="spellStart"/>
      <w:r w:rsidRPr="00C033B5">
        <w:rPr>
          <w:rFonts w:asciiTheme="majorBidi" w:hAnsiTheme="majorBidi" w:cstheme="majorBidi"/>
          <w:sz w:val="24"/>
          <w:szCs w:val="24"/>
        </w:rPr>
        <w:t>Liñares</w:t>
      </w:r>
      <w:proofErr w:type="spellEnd"/>
      <w:r w:rsidRPr="00C033B5">
        <w:rPr>
          <w:rFonts w:asciiTheme="majorBidi" w:hAnsiTheme="majorBidi" w:cstheme="majorBidi"/>
          <w:sz w:val="24"/>
          <w:szCs w:val="24"/>
        </w:rPr>
        <w:t>-Zegarra, &amp; Wilson, 2018), of which loan portfolio is the largest asset and the primary source of revenue (Handbook, 1998). Hence, due to limited availability of data related to loan originator characteristics, the study collects data related to loan portfolio of all loan originator from the Mintos website as a proxy for size. Meanwhile, the economic specific variables such as Government bond yield and Unemployment rate for each country were collected from the website of European Central Bank. The explanation of all the variables used in our study is provided in Table A1 of Appendix.</w:t>
      </w:r>
    </w:p>
    <w:p w14:paraId="2110DC76" w14:textId="719A78FB" w:rsidR="00C033B5" w:rsidRDefault="00C033B5" w:rsidP="005D6D1B">
      <w:pPr>
        <w:spacing w:after="0"/>
        <w:ind w:firstLine="357"/>
        <w:jc w:val="both"/>
        <w:rPr>
          <w:rFonts w:asciiTheme="majorBidi" w:hAnsiTheme="majorBidi" w:cstheme="majorBidi"/>
          <w:sz w:val="24"/>
          <w:szCs w:val="24"/>
        </w:rPr>
      </w:pPr>
      <w:r w:rsidRPr="00C033B5">
        <w:rPr>
          <w:rFonts w:asciiTheme="majorBidi" w:hAnsiTheme="majorBidi" w:cstheme="majorBidi"/>
          <w:sz w:val="24"/>
          <w:szCs w:val="24"/>
        </w:rPr>
        <w:t>The data is cross-sectional in nature, encompassing a single time period rather than tracking individual loans over time. Each observation represents a unique and independent loan within the specified time frame. While traditional panel data includes a time dimension for repeated observations, the data in this study lacks the time aspect as each loan is distinct and have unique loan ID. However, the sample includes several loan originators across the European Union. The study employs country level fixed effects to account for unobserved country or originator specific factors that may influence loan performance. </w:t>
      </w:r>
    </w:p>
    <w:p w14:paraId="5A10F3DD" w14:textId="77777777" w:rsidR="005D6D1B" w:rsidRPr="00C033B5" w:rsidRDefault="005D6D1B" w:rsidP="005D6D1B">
      <w:pPr>
        <w:spacing w:after="0"/>
        <w:ind w:firstLine="357"/>
        <w:jc w:val="both"/>
        <w:rPr>
          <w:rFonts w:asciiTheme="majorBidi" w:hAnsiTheme="majorBidi" w:cstheme="majorBidi"/>
          <w:sz w:val="24"/>
          <w:szCs w:val="24"/>
        </w:rPr>
      </w:pPr>
    </w:p>
    <w:p w14:paraId="1EE66460" w14:textId="66B91549" w:rsidR="00C033B5" w:rsidRDefault="00C033B5" w:rsidP="00856618">
      <w:pPr>
        <w:pStyle w:val="ListParagraph"/>
        <w:numPr>
          <w:ilvl w:val="1"/>
          <w:numId w:val="40"/>
        </w:numPr>
        <w:spacing w:after="0" w:line="240" w:lineRule="auto"/>
        <w:ind w:left="426" w:hanging="425"/>
        <w:rPr>
          <w:rFonts w:asciiTheme="majorBidi" w:hAnsiTheme="majorBidi" w:cstheme="majorBidi"/>
          <w:b/>
          <w:bCs/>
          <w:sz w:val="24"/>
          <w:szCs w:val="24"/>
        </w:rPr>
      </w:pPr>
      <w:r w:rsidRPr="005D6D1B">
        <w:rPr>
          <w:rFonts w:asciiTheme="majorBidi" w:hAnsiTheme="majorBidi" w:cstheme="majorBidi"/>
          <w:b/>
          <w:bCs/>
          <w:sz w:val="24"/>
          <w:szCs w:val="24"/>
        </w:rPr>
        <w:t>Methodology</w:t>
      </w:r>
    </w:p>
    <w:p w14:paraId="07A5719F" w14:textId="213AE437" w:rsidR="00C033B5" w:rsidRPr="005D6D1B" w:rsidRDefault="00C033B5" w:rsidP="00856618">
      <w:pPr>
        <w:pStyle w:val="ListParagraph"/>
        <w:numPr>
          <w:ilvl w:val="2"/>
          <w:numId w:val="40"/>
        </w:numPr>
        <w:spacing w:after="0" w:line="240" w:lineRule="auto"/>
        <w:ind w:left="771" w:hanging="357"/>
        <w:rPr>
          <w:rFonts w:asciiTheme="majorBidi" w:hAnsiTheme="majorBidi" w:cstheme="majorBidi"/>
          <w:b/>
          <w:bCs/>
          <w:sz w:val="24"/>
          <w:szCs w:val="24"/>
        </w:rPr>
      </w:pPr>
      <w:r w:rsidRPr="005D6D1B">
        <w:rPr>
          <w:rFonts w:asciiTheme="majorBidi" w:hAnsiTheme="majorBidi" w:cstheme="majorBidi"/>
          <w:b/>
          <w:bCs/>
          <w:sz w:val="24"/>
          <w:szCs w:val="24"/>
        </w:rPr>
        <w:t>Impact of Skin in the game on loan default</w:t>
      </w:r>
    </w:p>
    <w:p w14:paraId="7104A3D2" w14:textId="54FA4A78" w:rsidR="00C033B5" w:rsidRPr="00C033B5" w:rsidRDefault="00C033B5" w:rsidP="00CC0525">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 xml:space="preserve">To measure the impact of Skin in the game on loan default, we employ Logit regression to model the binary dependent variable namely Default. Our choice of empirical model is in line with the extant literature that employed logit regression to predict the likelihood of default on peer to peer lending platforms (Liu, Zhou, Zhao, &amp; Wang, 2018; </w:t>
      </w:r>
      <w:proofErr w:type="spellStart"/>
      <w:r w:rsidRPr="00C033B5">
        <w:rPr>
          <w:rFonts w:asciiTheme="majorBidi" w:hAnsiTheme="majorBidi" w:cstheme="majorBidi"/>
          <w:sz w:val="24"/>
          <w:szCs w:val="24"/>
        </w:rPr>
        <w:t>Nigmonov</w:t>
      </w:r>
      <w:proofErr w:type="spellEnd"/>
      <w:r w:rsidRPr="00C033B5">
        <w:rPr>
          <w:rFonts w:asciiTheme="majorBidi" w:hAnsiTheme="majorBidi" w:cstheme="majorBidi"/>
          <w:sz w:val="24"/>
          <w:szCs w:val="24"/>
        </w:rPr>
        <w:t xml:space="preserve"> &amp; Shams, 2021; Park, Yang, &amp; Sohn, 2022; Sha, 2022; Abbasi, </w:t>
      </w:r>
      <w:proofErr w:type="spellStart"/>
      <w:r w:rsidRPr="00C033B5">
        <w:rPr>
          <w:rFonts w:asciiTheme="majorBidi" w:hAnsiTheme="majorBidi" w:cstheme="majorBidi"/>
          <w:sz w:val="24"/>
          <w:szCs w:val="24"/>
        </w:rPr>
        <w:t>Bamdad</w:t>
      </w:r>
      <w:proofErr w:type="spellEnd"/>
      <w:r w:rsidRPr="00C033B5">
        <w:rPr>
          <w:rFonts w:asciiTheme="majorBidi" w:hAnsiTheme="majorBidi" w:cstheme="majorBidi"/>
          <w:sz w:val="24"/>
          <w:szCs w:val="24"/>
        </w:rPr>
        <w:t xml:space="preserve">, &amp; Rahimi, 2023; </w:t>
      </w:r>
      <w:proofErr w:type="spellStart"/>
      <w:r w:rsidRPr="00C033B5">
        <w:rPr>
          <w:rFonts w:asciiTheme="majorBidi" w:hAnsiTheme="majorBidi" w:cstheme="majorBidi"/>
          <w:sz w:val="24"/>
          <w:szCs w:val="24"/>
        </w:rPr>
        <w:t>Sifrain</w:t>
      </w:r>
      <w:proofErr w:type="spellEnd"/>
      <w:r w:rsidRPr="00C033B5">
        <w:rPr>
          <w:rFonts w:asciiTheme="majorBidi" w:hAnsiTheme="majorBidi" w:cstheme="majorBidi"/>
          <w:sz w:val="24"/>
          <w:szCs w:val="24"/>
        </w:rPr>
        <w:t xml:space="preserve">, 2023). The </w:t>
      </w:r>
      <w:r w:rsidRPr="00C033B5">
        <w:rPr>
          <w:rFonts w:asciiTheme="majorBidi" w:hAnsiTheme="majorBidi" w:cstheme="majorBidi"/>
          <w:sz w:val="24"/>
          <w:szCs w:val="24"/>
        </w:rPr>
        <w:lastRenderedPageBreak/>
        <w:t>regression function of logit regression is modelled by the logistic cumulative distribution function σ(</w:t>
      </w:r>
      <w:r w:rsidRPr="00C033B5">
        <w:rPr>
          <w:rFonts w:ascii="Cambria Math" w:hAnsi="Cambria Math" w:cs="Cambria Math"/>
          <w:sz w:val="24"/>
          <w:szCs w:val="24"/>
        </w:rPr>
        <w:t>⋅</w:t>
      </w:r>
      <w:r w:rsidRPr="00C033B5">
        <w:rPr>
          <w:rFonts w:asciiTheme="majorBidi" w:hAnsiTheme="majorBidi" w:cstheme="majorBidi"/>
          <w:sz w:val="24"/>
          <w:szCs w:val="24"/>
        </w:rPr>
        <w:t>) in the case of binary dependent variable and can be expressed as follows:</w:t>
      </w:r>
    </w:p>
    <w:p w14:paraId="5A0D9EEE" w14:textId="3344328A" w:rsidR="00C033B5" w:rsidRPr="00C033B5" w:rsidRDefault="00C033B5" w:rsidP="00CC0525">
      <w:pPr>
        <w:spacing w:after="0" w:line="240" w:lineRule="auto"/>
        <w:rPr>
          <w:rFonts w:asciiTheme="majorBidi" w:hAnsiTheme="majorBidi" w:cstheme="majorBidi"/>
          <w:sz w:val="24"/>
          <w:szCs w:val="24"/>
        </w:rPr>
      </w:pPr>
      <w:r w:rsidRPr="00C033B5">
        <w:rPr>
          <w:rFonts w:asciiTheme="majorBidi" w:hAnsiTheme="majorBidi" w:cstheme="majorBidi"/>
          <w:sz w:val="24"/>
          <w:szCs w:val="24"/>
        </w:rPr>
        <w:t>E (Y|X) =P (D=1|X) = σ (β0+</w:t>
      </w:r>
      <w:r w:rsidRPr="00C033B5">
        <w:rPr>
          <w:rFonts w:ascii="Cambria Math" w:hAnsi="Cambria Math" w:cs="Cambria Math"/>
          <w:sz w:val="24"/>
          <w:szCs w:val="24"/>
        </w:rPr>
        <w:t>𝛽𝑆𝑆</w:t>
      </w:r>
      <w:r w:rsidRPr="00C033B5">
        <w:rPr>
          <w:rFonts w:asciiTheme="majorBidi" w:hAnsiTheme="majorBidi" w:cstheme="majorBidi"/>
          <w:sz w:val="24"/>
          <w:szCs w:val="24"/>
        </w:rPr>
        <w:t xml:space="preserve"> + </w:t>
      </w:r>
      <w:r w:rsidRPr="00C033B5">
        <w:rPr>
          <w:rFonts w:ascii="Cambria Math" w:hAnsi="Cambria Math" w:cs="Cambria Math"/>
          <w:sz w:val="24"/>
          <w:szCs w:val="24"/>
        </w:rPr>
        <w:t>𝛽𝐸𝑋𝑖</w:t>
      </w:r>
      <w:r w:rsidRPr="00C033B5">
        <w:rPr>
          <w:rFonts w:asciiTheme="majorBidi" w:hAnsiTheme="majorBidi" w:cstheme="majorBidi"/>
          <w:sz w:val="24"/>
          <w:szCs w:val="24"/>
        </w:rPr>
        <w:t xml:space="preserve"> </w:t>
      </w:r>
      <w:r w:rsidRPr="00C033B5">
        <w:rPr>
          <w:rFonts w:ascii="Cambria Math" w:hAnsi="Cambria Math" w:cs="Cambria Math"/>
          <w:sz w:val="24"/>
          <w:szCs w:val="24"/>
        </w:rPr>
        <w:t>𝐸</w:t>
      </w:r>
      <w:r w:rsidRPr="00C033B5">
        <w:rPr>
          <w:rFonts w:asciiTheme="majorBidi" w:hAnsiTheme="majorBidi" w:cstheme="majorBidi"/>
          <w:sz w:val="24"/>
          <w:szCs w:val="24"/>
        </w:rPr>
        <w:t xml:space="preserve"> +</w:t>
      </w:r>
      <w:r w:rsidRPr="00C033B5">
        <w:rPr>
          <w:rFonts w:ascii="Cambria Math" w:hAnsi="Cambria Math" w:cs="Cambria Math"/>
          <w:sz w:val="24"/>
          <w:szCs w:val="24"/>
        </w:rPr>
        <w:t>𝛽𝐿𝑋𝑖</w:t>
      </w:r>
      <w:r w:rsidRPr="00C033B5">
        <w:rPr>
          <w:rFonts w:asciiTheme="majorBidi" w:hAnsiTheme="majorBidi" w:cstheme="majorBidi"/>
          <w:sz w:val="24"/>
          <w:szCs w:val="24"/>
        </w:rPr>
        <w:t xml:space="preserve"> </w:t>
      </w:r>
      <w:r w:rsidRPr="00C033B5">
        <w:rPr>
          <w:rFonts w:ascii="Cambria Math" w:hAnsi="Cambria Math" w:cs="Cambria Math"/>
          <w:sz w:val="24"/>
          <w:szCs w:val="24"/>
        </w:rPr>
        <w:t>𝐿</w:t>
      </w:r>
      <w:r w:rsidRPr="00C033B5">
        <w:rPr>
          <w:rFonts w:asciiTheme="majorBidi" w:hAnsiTheme="majorBidi" w:cstheme="majorBidi"/>
          <w:sz w:val="24"/>
          <w:szCs w:val="24"/>
        </w:rPr>
        <w:t>+</w:t>
      </w:r>
      <w:r w:rsidRPr="00C033B5">
        <w:rPr>
          <w:rFonts w:ascii="Cambria Math" w:hAnsi="Cambria Math" w:cs="Cambria Math"/>
          <w:sz w:val="24"/>
          <w:szCs w:val="24"/>
        </w:rPr>
        <w:t>𝛽𝐴𝐴</w:t>
      </w:r>
      <w:r w:rsidRPr="00C033B5">
        <w:rPr>
          <w:rFonts w:asciiTheme="majorBidi" w:hAnsiTheme="majorBidi" w:cstheme="majorBidi"/>
          <w:sz w:val="24"/>
          <w:szCs w:val="24"/>
        </w:rPr>
        <w:t xml:space="preserve"> + </w:t>
      </w:r>
      <w:r w:rsidRPr="00C033B5">
        <w:rPr>
          <w:rFonts w:ascii="Cambria Math" w:hAnsi="Cambria Math" w:cs="Cambria Math"/>
          <w:sz w:val="24"/>
          <w:szCs w:val="24"/>
        </w:rPr>
        <w:t>𝛽𝑃𝑃</w:t>
      </w:r>
      <w:r w:rsidRPr="00C033B5">
        <w:rPr>
          <w:rFonts w:asciiTheme="majorBidi" w:hAnsiTheme="majorBidi" w:cstheme="majorBidi"/>
          <w:sz w:val="24"/>
          <w:szCs w:val="24"/>
        </w:rPr>
        <w:t xml:space="preserve"> + </w:t>
      </w:r>
      <w:r w:rsidRPr="00C033B5">
        <w:rPr>
          <w:rFonts w:ascii="Cambria Math" w:hAnsi="Cambria Math" w:cs="Cambria Math"/>
          <w:sz w:val="24"/>
          <w:szCs w:val="24"/>
        </w:rPr>
        <w:t>𝛽𝑂𝑂</w:t>
      </w:r>
      <w:r w:rsidRPr="00C033B5">
        <w:rPr>
          <w:rFonts w:asciiTheme="majorBidi" w:hAnsiTheme="majorBidi" w:cstheme="majorBidi"/>
          <w:sz w:val="24"/>
          <w:szCs w:val="24"/>
        </w:rPr>
        <w:t xml:space="preserve"> + ) …</w:t>
      </w:r>
      <w:r w:rsidR="005D6D1B">
        <w:rPr>
          <w:rFonts w:asciiTheme="majorBidi" w:hAnsiTheme="majorBidi" w:cstheme="majorBidi"/>
          <w:sz w:val="24"/>
          <w:szCs w:val="24"/>
        </w:rPr>
        <w:t>………..</w:t>
      </w:r>
      <w:r w:rsidRPr="00C033B5">
        <w:rPr>
          <w:rFonts w:asciiTheme="majorBidi" w:hAnsiTheme="majorBidi" w:cstheme="majorBidi"/>
          <w:sz w:val="24"/>
          <w:szCs w:val="24"/>
        </w:rPr>
        <w:t xml:space="preserve"> (1) </w:t>
      </w:r>
    </w:p>
    <w:p w14:paraId="5797032D" w14:textId="3A494827" w:rsidR="00C033B5" w:rsidRPr="00C033B5" w:rsidRDefault="00C033B5" w:rsidP="005D6D1B">
      <w:pPr>
        <w:spacing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 xml:space="preserve">The binary variable Default takes the value of 1, if the loan has defaulted and 0 if it is finished. Meanwhile, </w:t>
      </w:r>
      <w:r w:rsidRPr="00C033B5">
        <w:rPr>
          <w:rFonts w:ascii="Cambria Math" w:hAnsi="Cambria Math" w:cs="Cambria Math"/>
          <w:sz w:val="24"/>
          <w:szCs w:val="24"/>
        </w:rPr>
        <w:t>𝛽</w:t>
      </w:r>
      <w:r w:rsidRPr="00C033B5">
        <w:rPr>
          <w:rFonts w:asciiTheme="majorBidi" w:hAnsiTheme="majorBidi" w:cstheme="majorBidi"/>
          <w:sz w:val="24"/>
          <w:szCs w:val="24"/>
        </w:rPr>
        <w:t>S</w:t>
      </w:r>
      <w:r w:rsidRPr="00C033B5">
        <w:rPr>
          <w:rFonts w:ascii="Cambria Math" w:hAnsi="Cambria Math" w:cs="Cambria Math"/>
          <w:sz w:val="24"/>
          <w:szCs w:val="24"/>
        </w:rPr>
        <w:t>𝑆</w:t>
      </w:r>
      <w:r w:rsidRPr="00C033B5">
        <w:rPr>
          <w:rFonts w:asciiTheme="majorBidi" w:hAnsiTheme="majorBidi" w:cstheme="majorBidi"/>
          <w:sz w:val="24"/>
          <w:szCs w:val="24"/>
        </w:rPr>
        <w:t xml:space="preserve"> is the key explanatory variable of the study and represents the level of Skin in the game. Furthermore, the variable </w:t>
      </w:r>
      <w:r w:rsidRPr="00C033B5">
        <w:rPr>
          <w:rFonts w:ascii="Cambria Math" w:hAnsi="Cambria Math" w:cs="Cambria Math"/>
          <w:sz w:val="24"/>
          <w:szCs w:val="24"/>
        </w:rPr>
        <w:t>𝛽𝐸𝑋𝑖</w:t>
      </w:r>
      <w:r w:rsidRPr="00C033B5">
        <w:rPr>
          <w:rFonts w:asciiTheme="majorBidi" w:hAnsiTheme="majorBidi" w:cstheme="majorBidi"/>
          <w:sz w:val="24"/>
          <w:szCs w:val="24"/>
        </w:rPr>
        <w:t xml:space="preserve"> </w:t>
      </w:r>
      <w:r w:rsidRPr="00C033B5">
        <w:rPr>
          <w:rFonts w:ascii="Cambria Math" w:hAnsi="Cambria Math" w:cs="Cambria Math"/>
          <w:sz w:val="24"/>
          <w:szCs w:val="24"/>
        </w:rPr>
        <w:t>𝐸</w:t>
      </w:r>
      <w:r w:rsidRPr="00C033B5">
        <w:rPr>
          <w:rFonts w:asciiTheme="majorBidi" w:hAnsiTheme="majorBidi" w:cstheme="majorBidi"/>
          <w:sz w:val="24"/>
          <w:szCs w:val="24"/>
        </w:rPr>
        <w:t xml:space="preserve"> signifies the vector of economy or country specific control variables such as government bond yield and unemployment rate. It is well established that changes in macroeconomic factors affect the performance of the loans (Ali &amp; Daly, 2010; Norden &amp; Wagner, 2008). The inclusion of economic specific variables is in line with the studies pertaining to marketplace lending (</w:t>
      </w:r>
      <w:proofErr w:type="spellStart"/>
      <w:r w:rsidRPr="00C033B5">
        <w:rPr>
          <w:rFonts w:asciiTheme="majorBidi" w:hAnsiTheme="majorBidi" w:cstheme="majorBidi"/>
          <w:sz w:val="24"/>
          <w:szCs w:val="24"/>
        </w:rPr>
        <w:t>Nigmonov</w:t>
      </w:r>
      <w:proofErr w:type="spellEnd"/>
      <w:r w:rsidRPr="00C033B5">
        <w:rPr>
          <w:rFonts w:asciiTheme="majorBidi" w:hAnsiTheme="majorBidi" w:cstheme="majorBidi"/>
          <w:sz w:val="24"/>
          <w:szCs w:val="24"/>
        </w:rPr>
        <w:t xml:space="preserve"> &amp; Shams, 2021). Similarly, loan characteristics are also significant factor affecting probability of loan default (Galema, 2020; </w:t>
      </w:r>
      <w:proofErr w:type="spellStart"/>
      <w:r w:rsidRPr="00C033B5">
        <w:rPr>
          <w:rFonts w:asciiTheme="majorBidi" w:hAnsiTheme="majorBidi" w:cstheme="majorBidi"/>
          <w:sz w:val="24"/>
          <w:szCs w:val="24"/>
        </w:rPr>
        <w:t>Nigmonov</w:t>
      </w:r>
      <w:proofErr w:type="spellEnd"/>
      <w:r w:rsidRPr="00C033B5">
        <w:rPr>
          <w:rFonts w:asciiTheme="majorBidi" w:hAnsiTheme="majorBidi" w:cstheme="majorBidi"/>
          <w:sz w:val="24"/>
          <w:szCs w:val="24"/>
        </w:rPr>
        <w:t xml:space="preserve"> &amp; Shams, 2021). Hence, the study includes loan characteristics denoted by </w:t>
      </w:r>
      <w:r w:rsidRPr="00C033B5">
        <w:rPr>
          <w:rFonts w:ascii="Cambria Math" w:hAnsi="Cambria Math" w:cs="Cambria Math"/>
          <w:sz w:val="24"/>
          <w:szCs w:val="24"/>
        </w:rPr>
        <w:t>𝛽𝐿𝑋𝑖</w:t>
      </w:r>
      <w:r w:rsidRPr="00C033B5">
        <w:rPr>
          <w:rFonts w:asciiTheme="majorBidi" w:hAnsiTheme="majorBidi" w:cstheme="majorBidi"/>
          <w:sz w:val="24"/>
          <w:szCs w:val="24"/>
        </w:rPr>
        <w:t xml:space="preserve"> </w:t>
      </w:r>
      <w:r w:rsidRPr="00C033B5">
        <w:rPr>
          <w:rFonts w:ascii="Cambria Math" w:hAnsi="Cambria Math" w:cs="Cambria Math"/>
          <w:sz w:val="24"/>
          <w:szCs w:val="24"/>
        </w:rPr>
        <w:t>𝐿</w:t>
      </w:r>
      <w:r w:rsidRPr="00C033B5">
        <w:rPr>
          <w:rFonts w:asciiTheme="majorBidi" w:hAnsiTheme="majorBidi" w:cstheme="majorBidi"/>
          <w:sz w:val="24"/>
          <w:szCs w:val="24"/>
        </w:rPr>
        <w:t xml:space="preserve"> in the regression equation. In addition, there is also a high interconnectedness between loan and countries of issue. Hence, borrowing companies can be used as a vertex of correlation network to account for the interconnectedness and is denoted by </w:t>
      </w:r>
      <w:r w:rsidRPr="00C033B5">
        <w:rPr>
          <w:rFonts w:ascii="Cambria Math" w:hAnsi="Cambria Math" w:cs="Cambria Math"/>
          <w:sz w:val="24"/>
          <w:szCs w:val="24"/>
        </w:rPr>
        <w:t>𝛽𝑂𝑂</w:t>
      </w:r>
      <w:r w:rsidRPr="00C033B5">
        <w:rPr>
          <w:rFonts w:asciiTheme="majorBidi" w:hAnsiTheme="majorBidi" w:cstheme="majorBidi"/>
          <w:sz w:val="24"/>
          <w:szCs w:val="24"/>
        </w:rPr>
        <w:t xml:space="preserve"> (Giudici, Hadji-Misheva, &amp; </w:t>
      </w:r>
      <w:proofErr w:type="spellStart"/>
      <w:r w:rsidRPr="00C033B5">
        <w:rPr>
          <w:rFonts w:asciiTheme="majorBidi" w:hAnsiTheme="majorBidi" w:cstheme="majorBidi"/>
          <w:sz w:val="24"/>
          <w:szCs w:val="24"/>
        </w:rPr>
        <w:t>Spelta</w:t>
      </w:r>
      <w:proofErr w:type="spellEnd"/>
      <w:r w:rsidRPr="00C033B5">
        <w:rPr>
          <w:rFonts w:asciiTheme="majorBidi" w:hAnsiTheme="majorBidi" w:cstheme="majorBidi"/>
          <w:sz w:val="24"/>
          <w:szCs w:val="24"/>
        </w:rPr>
        <w:t xml:space="preserve">, 2020). Furthermore, we also account for originator characteristics such as age and size as denoted by </w:t>
      </w:r>
      <w:r w:rsidRPr="00C033B5">
        <w:rPr>
          <w:rFonts w:ascii="Cambria Math" w:hAnsi="Cambria Math" w:cs="Cambria Math"/>
          <w:sz w:val="24"/>
          <w:szCs w:val="24"/>
        </w:rPr>
        <w:t>𝛽𝐴𝐴</w:t>
      </w:r>
      <w:r w:rsidRPr="00C033B5">
        <w:rPr>
          <w:rFonts w:asciiTheme="majorBidi" w:hAnsiTheme="majorBidi" w:cstheme="majorBidi"/>
          <w:sz w:val="24"/>
          <w:szCs w:val="24"/>
        </w:rPr>
        <w:t xml:space="preserve"> and </w:t>
      </w:r>
      <w:r w:rsidRPr="00C033B5">
        <w:rPr>
          <w:rFonts w:ascii="Cambria Math" w:hAnsi="Cambria Math" w:cs="Cambria Math"/>
          <w:sz w:val="24"/>
          <w:szCs w:val="24"/>
        </w:rPr>
        <w:t>𝛽𝑃𝑃</w:t>
      </w:r>
      <w:r w:rsidRPr="00C033B5">
        <w:rPr>
          <w:rFonts w:asciiTheme="majorBidi" w:hAnsiTheme="majorBidi" w:cstheme="majorBidi"/>
          <w:sz w:val="24"/>
          <w:szCs w:val="24"/>
        </w:rPr>
        <w:t xml:space="preserve"> in the regression equation respectively. This in line with the study conducted by Kar and Swain (2014), which reported the significance of a financial institution’s age and size in the context of loan delinquency.</w:t>
      </w:r>
    </w:p>
    <w:p w14:paraId="5761B2B5" w14:textId="4EB45C65" w:rsidR="00C033B5" w:rsidRPr="005D6D1B" w:rsidRDefault="00C033B5" w:rsidP="00856618">
      <w:pPr>
        <w:pStyle w:val="ListParagraph"/>
        <w:numPr>
          <w:ilvl w:val="2"/>
          <w:numId w:val="40"/>
        </w:numPr>
        <w:spacing w:after="0" w:line="240" w:lineRule="auto"/>
        <w:ind w:left="782" w:hanging="357"/>
        <w:rPr>
          <w:rFonts w:asciiTheme="majorBidi" w:hAnsiTheme="majorBidi" w:cstheme="majorBidi"/>
          <w:b/>
          <w:bCs/>
          <w:sz w:val="24"/>
          <w:szCs w:val="24"/>
        </w:rPr>
      </w:pPr>
      <w:r w:rsidRPr="005D6D1B">
        <w:rPr>
          <w:rFonts w:asciiTheme="majorBidi" w:hAnsiTheme="majorBidi" w:cstheme="majorBidi"/>
          <w:b/>
          <w:bCs/>
          <w:sz w:val="24"/>
          <w:szCs w:val="24"/>
        </w:rPr>
        <w:t xml:space="preserve">Impact </w:t>
      </w:r>
      <w:r w:rsidR="005D6D1B" w:rsidRPr="005D6D1B">
        <w:rPr>
          <w:rFonts w:asciiTheme="majorBidi" w:hAnsiTheme="majorBidi" w:cstheme="majorBidi"/>
          <w:b/>
          <w:bCs/>
          <w:sz w:val="24"/>
          <w:szCs w:val="24"/>
        </w:rPr>
        <w:t xml:space="preserve">Of </w:t>
      </w:r>
      <w:r w:rsidRPr="005D6D1B">
        <w:rPr>
          <w:rFonts w:asciiTheme="majorBidi" w:hAnsiTheme="majorBidi" w:cstheme="majorBidi"/>
          <w:b/>
          <w:bCs/>
          <w:sz w:val="24"/>
          <w:szCs w:val="24"/>
        </w:rPr>
        <w:t xml:space="preserve">Skin </w:t>
      </w:r>
      <w:r w:rsidR="005D6D1B" w:rsidRPr="005D6D1B">
        <w:rPr>
          <w:rFonts w:asciiTheme="majorBidi" w:hAnsiTheme="majorBidi" w:cstheme="majorBidi"/>
          <w:b/>
          <w:bCs/>
          <w:sz w:val="24"/>
          <w:szCs w:val="24"/>
        </w:rPr>
        <w:t xml:space="preserve">in </w:t>
      </w:r>
      <w:r w:rsidR="005D6D1B">
        <w:rPr>
          <w:rFonts w:asciiTheme="majorBidi" w:hAnsiTheme="majorBidi" w:cstheme="majorBidi"/>
          <w:b/>
          <w:bCs/>
          <w:sz w:val="24"/>
          <w:szCs w:val="24"/>
        </w:rPr>
        <w:t>t</w:t>
      </w:r>
      <w:r w:rsidR="005D6D1B" w:rsidRPr="005D6D1B">
        <w:rPr>
          <w:rFonts w:asciiTheme="majorBidi" w:hAnsiTheme="majorBidi" w:cstheme="majorBidi"/>
          <w:b/>
          <w:bCs/>
          <w:sz w:val="24"/>
          <w:szCs w:val="24"/>
        </w:rPr>
        <w:t xml:space="preserve">he Game </w:t>
      </w:r>
      <w:r w:rsidR="005D6D1B">
        <w:rPr>
          <w:rFonts w:asciiTheme="majorBidi" w:hAnsiTheme="majorBidi" w:cstheme="majorBidi"/>
          <w:b/>
          <w:bCs/>
          <w:sz w:val="24"/>
          <w:szCs w:val="24"/>
        </w:rPr>
        <w:t>o</w:t>
      </w:r>
      <w:r w:rsidR="005D6D1B" w:rsidRPr="005D6D1B">
        <w:rPr>
          <w:rFonts w:asciiTheme="majorBidi" w:hAnsiTheme="majorBidi" w:cstheme="majorBidi"/>
          <w:b/>
          <w:bCs/>
          <w:sz w:val="24"/>
          <w:szCs w:val="24"/>
        </w:rPr>
        <w:t xml:space="preserve">n Severity </w:t>
      </w:r>
      <w:r w:rsidR="005D6D1B">
        <w:rPr>
          <w:rFonts w:asciiTheme="majorBidi" w:hAnsiTheme="majorBidi" w:cstheme="majorBidi"/>
          <w:b/>
          <w:bCs/>
          <w:sz w:val="24"/>
          <w:szCs w:val="24"/>
        </w:rPr>
        <w:t>o</w:t>
      </w:r>
      <w:r w:rsidR="005D6D1B" w:rsidRPr="005D6D1B">
        <w:rPr>
          <w:rFonts w:asciiTheme="majorBidi" w:hAnsiTheme="majorBidi" w:cstheme="majorBidi"/>
          <w:b/>
          <w:bCs/>
          <w:sz w:val="24"/>
          <w:szCs w:val="24"/>
        </w:rPr>
        <w:t>f Default </w:t>
      </w:r>
    </w:p>
    <w:p w14:paraId="5A11B008" w14:textId="6A4D1DD5" w:rsidR="00C033B5" w:rsidRPr="00C033B5" w:rsidRDefault="00C033B5" w:rsidP="005D6D1B">
      <w:pPr>
        <w:spacing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To measure the impact of Skin in the game on the severity of loan default, the study models the dependent variable as the proportion of the remaining loan amount to the total loan amount. However, the inherent bounded nature of proportional variable and the potential occurrence of values at the boundaries introduce intriguing considerations regarding functional form and inference (Papke &amp; Wooldridge, 1996). While adding non-linear functions to the linear model can partially address this issue, OLS regression cannot warrant the predicted values to lie within the restricted interval of (0,1). Therefore, the study employs Fractional response regression model proposed by Papke and Wooldridge (1996). It is suitable for modelling dependent variables that takes values between 0 and 1, including 1 and 0. Since, our dependent variable, i.e. severity of default is a proportion, the model is appropriate for estimation. This is also consistent with the extant finance literature on loss given default and exposure given default that models the proportion of unrecovered loan amount with the use of fractional response regression (Bastos, 2010; Qi &amp; Zhao, 2011; Tong, Mues, Brown, &amp; Thomas, 2016; Bastos &amp; Matos, 2022). The severity of default is calculated as below. </w:t>
      </w:r>
    </w:p>
    <w:p w14:paraId="739AFA6B" w14:textId="77777777" w:rsidR="00C033B5" w:rsidRPr="00C033B5" w:rsidRDefault="00C033B5" w:rsidP="00896211">
      <w:pPr>
        <w:spacing w:line="240" w:lineRule="auto"/>
        <w:jc w:val="both"/>
        <w:rPr>
          <w:rFonts w:asciiTheme="majorBidi" w:hAnsiTheme="majorBidi" w:cstheme="majorBidi"/>
          <w:sz w:val="24"/>
          <w:szCs w:val="24"/>
        </w:rPr>
      </w:pPr>
      <w:r w:rsidRPr="00C033B5">
        <w:rPr>
          <w:rFonts w:asciiTheme="majorBidi" w:hAnsiTheme="majorBidi" w:cstheme="majorBidi"/>
          <w:sz w:val="24"/>
          <w:szCs w:val="24"/>
        </w:rPr>
        <w:t>Severity of default = Remaining loan amount / Initial loan amount</w:t>
      </w:r>
    </w:p>
    <w:p w14:paraId="1B85E112" w14:textId="6CCBBC3A" w:rsidR="00C033B5" w:rsidRPr="00C033B5" w:rsidRDefault="00C033B5" w:rsidP="005D6D1B">
      <w:pPr>
        <w:spacing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 xml:space="preserve">Although, Beta regression model proposed by Ferrari and Cribari-Neto (2004) is also a commonly used approach for </w:t>
      </w:r>
      <w:proofErr w:type="spellStart"/>
      <w:r w:rsidRPr="00C033B5">
        <w:rPr>
          <w:rFonts w:asciiTheme="majorBidi" w:hAnsiTheme="majorBidi" w:cstheme="majorBidi"/>
          <w:sz w:val="24"/>
          <w:szCs w:val="24"/>
        </w:rPr>
        <w:t>modeling</w:t>
      </w:r>
      <w:proofErr w:type="spellEnd"/>
      <w:r w:rsidRPr="00C033B5">
        <w:rPr>
          <w:rFonts w:asciiTheme="majorBidi" w:hAnsiTheme="majorBidi" w:cstheme="majorBidi"/>
          <w:sz w:val="24"/>
          <w:szCs w:val="24"/>
        </w:rPr>
        <w:t xml:space="preserve"> proportional variables, it imposes constraints that prevent the inclusion of observations at the boundaries of the interval, i.e. 0 and 1. The inclusion of boundaries is crucial in our study as there exists cases where entire value of loan is defaulted or fully paid. The independent variables are same as in equation 1. This is in line with the findings of Crawford and Rosenblatt (1995), who argue that variables that affect probability of default affect the severity of loss. The fractional regression model can be denoted as below. </w:t>
      </w:r>
    </w:p>
    <w:p w14:paraId="7A182F4D" w14:textId="1E684FEF" w:rsidR="00C033B5" w:rsidRPr="00C033B5" w:rsidRDefault="00C033B5" w:rsidP="00417DE1">
      <w:pPr>
        <w:spacing w:line="240" w:lineRule="auto"/>
        <w:rPr>
          <w:rFonts w:asciiTheme="majorBidi" w:hAnsiTheme="majorBidi" w:cstheme="majorBidi"/>
          <w:sz w:val="24"/>
          <w:szCs w:val="24"/>
        </w:rPr>
      </w:pPr>
      <w:r w:rsidRPr="00C033B5">
        <w:rPr>
          <w:rFonts w:asciiTheme="majorBidi" w:hAnsiTheme="majorBidi" w:cstheme="majorBidi"/>
          <w:sz w:val="24"/>
          <w:szCs w:val="24"/>
        </w:rPr>
        <w:t>(</w:t>
      </w:r>
      <w:r w:rsidRPr="00C033B5">
        <w:rPr>
          <w:rFonts w:ascii="Cambria Math" w:hAnsi="Cambria Math" w:cs="Cambria Math"/>
          <w:sz w:val="24"/>
          <w:szCs w:val="24"/>
        </w:rPr>
        <w:t>𝑆</w:t>
      </w:r>
      <w:r w:rsidRPr="00C033B5">
        <w:rPr>
          <w:rFonts w:asciiTheme="majorBidi" w:hAnsiTheme="majorBidi" w:cstheme="majorBidi"/>
          <w:sz w:val="24"/>
          <w:szCs w:val="24"/>
        </w:rPr>
        <w:t>|</w:t>
      </w:r>
      <w:r w:rsidRPr="00C033B5">
        <w:rPr>
          <w:rFonts w:ascii="Cambria Math" w:hAnsi="Cambria Math" w:cs="Cambria Math"/>
          <w:sz w:val="24"/>
          <w:szCs w:val="24"/>
        </w:rPr>
        <w:t>𝑥</w:t>
      </w:r>
      <w:r w:rsidRPr="00C033B5">
        <w:rPr>
          <w:rFonts w:asciiTheme="majorBidi" w:hAnsiTheme="majorBidi" w:cstheme="majorBidi"/>
          <w:sz w:val="24"/>
          <w:szCs w:val="24"/>
        </w:rPr>
        <w:t>) = (</w:t>
      </w:r>
      <w:r w:rsidRPr="00C033B5">
        <w:rPr>
          <w:rFonts w:ascii="Cambria Math" w:hAnsi="Cambria Math" w:cs="Cambria Math"/>
          <w:sz w:val="24"/>
          <w:szCs w:val="24"/>
        </w:rPr>
        <w:t>𝛽</w:t>
      </w:r>
      <w:r w:rsidRPr="00C033B5">
        <w:rPr>
          <w:rFonts w:asciiTheme="majorBidi" w:hAnsiTheme="majorBidi" w:cstheme="majorBidi"/>
          <w:sz w:val="24"/>
          <w:szCs w:val="24"/>
        </w:rPr>
        <w:t>1+</w:t>
      </w:r>
      <w:r w:rsidRPr="00C033B5">
        <w:rPr>
          <w:rFonts w:ascii="Cambria Math" w:hAnsi="Cambria Math" w:cs="Cambria Math"/>
          <w:sz w:val="24"/>
          <w:szCs w:val="24"/>
        </w:rPr>
        <w:t>𝛽</w:t>
      </w:r>
      <w:r w:rsidRPr="00C033B5">
        <w:rPr>
          <w:rFonts w:asciiTheme="majorBidi" w:hAnsiTheme="majorBidi" w:cstheme="majorBidi"/>
          <w:sz w:val="24"/>
          <w:szCs w:val="24"/>
        </w:rPr>
        <w:t>S</w:t>
      </w:r>
      <w:r w:rsidRPr="00C033B5">
        <w:rPr>
          <w:rFonts w:ascii="Cambria Math" w:hAnsi="Cambria Math" w:cs="Cambria Math"/>
          <w:sz w:val="24"/>
          <w:szCs w:val="24"/>
        </w:rPr>
        <w:t>𝑆</w:t>
      </w:r>
      <w:r w:rsidRPr="00C033B5">
        <w:rPr>
          <w:rFonts w:asciiTheme="majorBidi" w:hAnsiTheme="majorBidi" w:cstheme="majorBidi"/>
          <w:sz w:val="24"/>
          <w:szCs w:val="24"/>
        </w:rPr>
        <w:t xml:space="preserve"> + </w:t>
      </w:r>
      <w:r w:rsidRPr="00C033B5">
        <w:rPr>
          <w:rFonts w:ascii="Cambria Math" w:hAnsi="Cambria Math" w:cs="Cambria Math"/>
          <w:sz w:val="24"/>
          <w:szCs w:val="24"/>
        </w:rPr>
        <w:t>𝛽𝐸𝑋𝑖</w:t>
      </w:r>
      <w:r w:rsidRPr="00C033B5">
        <w:rPr>
          <w:rFonts w:asciiTheme="majorBidi" w:hAnsiTheme="majorBidi" w:cstheme="majorBidi"/>
          <w:sz w:val="24"/>
          <w:szCs w:val="24"/>
        </w:rPr>
        <w:t xml:space="preserve"> </w:t>
      </w:r>
      <w:r w:rsidRPr="00C033B5">
        <w:rPr>
          <w:rFonts w:ascii="Cambria Math" w:hAnsi="Cambria Math" w:cs="Cambria Math"/>
          <w:sz w:val="24"/>
          <w:szCs w:val="24"/>
        </w:rPr>
        <w:t>𝐸</w:t>
      </w:r>
      <w:r w:rsidRPr="00C033B5">
        <w:rPr>
          <w:rFonts w:asciiTheme="majorBidi" w:hAnsiTheme="majorBidi" w:cstheme="majorBidi"/>
          <w:sz w:val="24"/>
          <w:szCs w:val="24"/>
        </w:rPr>
        <w:t xml:space="preserve"> +</w:t>
      </w:r>
      <w:r w:rsidRPr="00C033B5">
        <w:rPr>
          <w:rFonts w:ascii="Cambria Math" w:hAnsi="Cambria Math" w:cs="Cambria Math"/>
          <w:sz w:val="24"/>
          <w:szCs w:val="24"/>
        </w:rPr>
        <w:t>𝛽𝐿𝑋𝑖</w:t>
      </w:r>
      <w:r w:rsidRPr="00C033B5">
        <w:rPr>
          <w:rFonts w:asciiTheme="majorBidi" w:hAnsiTheme="majorBidi" w:cstheme="majorBidi"/>
          <w:sz w:val="24"/>
          <w:szCs w:val="24"/>
        </w:rPr>
        <w:t xml:space="preserve"> </w:t>
      </w:r>
      <w:r w:rsidRPr="00C033B5">
        <w:rPr>
          <w:rFonts w:ascii="Cambria Math" w:hAnsi="Cambria Math" w:cs="Cambria Math"/>
          <w:sz w:val="24"/>
          <w:szCs w:val="24"/>
        </w:rPr>
        <w:t>𝐿</w:t>
      </w:r>
      <w:r w:rsidRPr="00C033B5">
        <w:rPr>
          <w:rFonts w:asciiTheme="majorBidi" w:hAnsiTheme="majorBidi" w:cstheme="majorBidi"/>
          <w:sz w:val="24"/>
          <w:szCs w:val="24"/>
        </w:rPr>
        <w:t>+</w:t>
      </w:r>
      <w:r w:rsidRPr="00C033B5">
        <w:rPr>
          <w:rFonts w:ascii="Cambria Math" w:hAnsi="Cambria Math" w:cs="Cambria Math"/>
          <w:sz w:val="24"/>
          <w:szCs w:val="24"/>
        </w:rPr>
        <w:t>𝛽𝐴𝐴</w:t>
      </w:r>
      <w:r w:rsidRPr="00C033B5">
        <w:rPr>
          <w:rFonts w:asciiTheme="majorBidi" w:hAnsiTheme="majorBidi" w:cstheme="majorBidi"/>
          <w:sz w:val="24"/>
          <w:szCs w:val="24"/>
        </w:rPr>
        <w:t xml:space="preserve"> + </w:t>
      </w:r>
      <w:r w:rsidRPr="00C033B5">
        <w:rPr>
          <w:rFonts w:ascii="Cambria Math" w:hAnsi="Cambria Math" w:cs="Cambria Math"/>
          <w:sz w:val="24"/>
          <w:szCs w:val="24"/>
        </w:rPr>
        <w:t>𝛽𝑃𝑃</w:t>
      </w:r>
      <w:r w:rsidRPr="00C033B5">
        <w:rPr>
          <w:rFonts w:asciiTheme="majorBidi" w:hAnsiTheme="majorBidi" w:cstheme="majorBidi"/>
          <w:sz w:val="24"/>
          <w:szCs w:val="24"/>
        </w:rPr>
        <w:t xml:space="preserve"> + </w:t>
      </w:r>
      <w:r w:rsidRPr="00C033B5">
        <w:rPr>
          <w:rFonts w:ascii="Cambria Math" w:hAnsi="Cambria Math" w:cs="Cambria Math"/>
          <w:sz w:val="24"/>
          <w:szCs w:val="24"/>
        </w:rPr>
        <w:t>𝛽𝑂𝑂</w:t>
      </w:r>
      <w:r w:rsidRPr="00C033B5">
        <w:rPr>
          <w:rFonts w:asciiTheme="majorBidi" w:hAnsiTheme="majorBidi" w:cstheme="majorBidi"/>
          <w:sz w:val="24"/>
          <w:szCs w:val="24"/>
        </w:rPr>
        <w:t xml:space="preserve"> + ) …</w:t>
      </w:r>
      <w:r w:rsidR="005D6D1B">
        <w:rPr>
          <w:rFonts w:asciiTheme="majorBidi" w:hAnsiTheme="majorBidi" w:cstheme="majorBidi"/>
          <w:sz w:val="24"/>
          <w:szCs w:val="24"/>
        </w:rPr>
        <w:t>………………………….</w:t>
      </w:r>
      <w:r w:rsidRPr="00C033B5">
        <w:rPr>
          <w:rFonts w:asciiTheme="majorBidi" w:hAnsiTheme="majorBidi" w:cstheme="majorBidi"/>
          <w:sz w:val="24"/>
          <w:szCs w:val="24"/>
        </w:rPr>
        <w:t xml:space="preserve"> (2) </w:t>
      </w:r>
    </w:p>
    <w:p w14:paraId="0CDB8CEB" w14:textId="3CBBD081" w:rsidR="00C033B5" w:rsidRPr="00C033B5" w:rsidRDefault="00C033B5" w:rsidP="005D6D1B">
      <w:pPr>
        <w:spacing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 xml:space="preserve">Where, (.) is the logistic function and </w:t>
      </w:r>
      <w:r w:rsidRPr="00C033B5">
        <w:rPr>
          <w:rFonts w:ascii="Cambria Math" w:hAnsi="Cambria Math" w:cs="Cambria Math"/>
          <w:sz w:val="24"/>
          <w:szCs w:val="24"/>
        </w:rPr>
        <w:t>𝛽</w:t>
      </w:r>
      <w:r w:rsidRPr="00C033B5">
        <w:rPr>
          <w:rFonts w:asciiTheme="majorBidi" w:hAnsiTheme="majorBidi" w:cstheme="majorBidi"/>
          <w:sz w:val="24"/>
          <w:szCs w:val="24"/>
        </w:rPr>
        <w:t>S</w:t>
      </w:r>
      <w:r w:rsidRPr="00C033B5">
        <w:rPr>
          <w:rFonts w:ascii="Cambria Math" w:hAnsi="Cambria Math" w:cs="Cambria Math"/>
          <w:sz w:val="24"/>
          <w:szCs w:val="24"/>
        </w:rPr>
        <w:t>𝑆</w:t>
      </w:r>
      <w:r w:rsidRPr="00C033B5">
        <w:rPr>
          <w:rFonts w:asciiTheme="majorBidi" w:hAnsiTheme="majorBidi" w:cstheme="majorBidi"/>
          <w:sz w:val="24"/>
          <w:szCs w:val="24"/>
        </w:rPr>
        <w:t xml:space="preserve"> represents the level of Skin in the game. Meanwhile, </w:t>
      </w:r>
      <w:r w:rsidRPr="00C033B5">
        <w:rPr>
          <w:rFonts w:ascii="Cambria Math" w:hAnsi="Cambria Math" w:cs="Cambria Math"/>
          <w:sz w:val="24"/>
          <w:szCs w:val="24"/>
        </w:rPr>
        <w:t>𝛽𝐸𝑋𝑖</w:t>
      </w:r>
      <w:r w:rsidRPr="00C033B5">
        <w:rPr>
          <w:rFonts w:asciiTheme="majorBidi" w:hAnsiTheme="majorBidi" w:cstheme="majorBidi"/>
          <w:sz w:val="24"/>
          <w:szCs w:val="24"/>
        </w:rPr>
        <w:t xml:space="preserve"> </w:t>
      </w:r>
      <w:r w:rsidRPr="00C033B5">
        <w:rPr>
          <w:rFonts w:ascii="Cambria Math" w:hAnsi="Cambria Math" w:cs="Cambria Math"/>
          <w:sz w:val="24"/>
          <w:szCs w:val="24"/>
        </w:rPr>
        <w:t>𝐸</w:t>
      </w:r>
      <w:r w:rsidRPr="00C033B5">
        <w:rPr>
          <w:rFonts w:asciiTheme="majorBidi" w:hAnsiTheme="majorBidi" w:cstheme="majorBidi"/>
          <w:sz w:val="24"/>
          <w:szCs w:val="24"/>
        </w:rPr>
        <w:t xml:space="preserve"> is the vector of economic specific control variables such as unemployment rate and 10 year government bond yield. The inclusion of economic specific variables is supported by the findings of the Bellotti and Crook (2012) and </w:t>
      </w:r>
      <w:proofErr w:type="spellStart"/>
      <w:r w:rsidRPr="00C033B5">
        <w:rPr>
          <w:rFonts w:asciiTheme="majorBidi" w:hAnsiTheme="majorBidi" w:cstheme="majorBidi"/>
          <w:sz w:val="24"/>
          <w:szCs w:val="24"/>
        </w:rPr>
        <w:t>Höcht</w:t>
      </w:r>
      <w:proofErr w:type="spellEnd"/>
      <w:r w:rsidRPr="00C033B5">
        <w:rPr>
          <w:rFonts w:asciiTheme="majorBidi" w:hAnsiTheme="majorBidi" w:cstheme="majorBidi"/>
          <w:sz w:val="24"/>
          <w:szCs w:val="24"/>
        </w:rPr>
        <w:t xml:space="preserve">, Wieczorek, and </w:t>
      </w:r>
      <w:proofErr w:type="spellStart"/>
      <w:r w:rsidRPr="00C033B5">
        <w:rPr>
          <w:rFonts w:asciiTheme="majorBidi" w:hAnsiTheme="majorBidi" w:cstheme="majorBidi"/>
          <w:sz w:val="24"/>
          <w:szCs w:val="24"/>
        </w:rPr>
        <w:t>Zagst</w:t>
      </w:r>
      <w:proofErr w:type="spellEnd"/>
      <w:r w:rsidRPr="00C033B5">
        <w:rPr>
          <w:rFonts w:asciiTheme="majorBidi" w:hAnsiTheme="majorBidi" w:cstheme="majorBidi"/>
          <w:sz w:val="24"/>
          <w:szCs w:val="24"/>
        </w:rPr>
        <w:t xml:space="preserve"> </w:t>
      </w:r>
      <w:r w:rsidRPr="00C033B5">
        <w:rPr>
          <w:rFonts w:asciiTheme="majorBidi" w:hAnsiTheme="majorBidi" w:cstheme="majorBidi"/>
          <w:sz w:val="24"/>
          <w:szCs w:val="24"/>
        </w:rPr>
        <w:lastRenderedPageBreak/>
        <w:t xml:space="preserve">(2022), who investigate the impact of macroeconomic determinants on loan recovery rates. In addition, we account for the impact of loan characteristics on severity of default supported by the findings of Wang, Forbes, Fenech, and Vaz (2020). The notation </w:t>
      </w:r>
      <w:r w:rsidRPr="00C033B5">
        <w:rPr>
          <w:rFonts w:ascii="Cambria Math" w:hAnsi="Cambria Math" w:cs="Cambria Math"/>
          <w:sz w:val="24"/>
          <w:szCs w:val="24"/>
        </w:rPr>
        <w:t>𝛽𝐿𝑋𝑖</w:t>
      </w:r>
      <w:r w:rsidRPr="00C033B5">
        <w:rPr>
          <w:rFonts w:asciiTheme="majorBidi" w:hAnsiTheme="majorBidi" w:cstheme="majorBidi"/>
          <w:sz w:val="24"/>
          <w:szCs w:val="24"/>
        </w:rPr>
        <w:t xml:space="preserve"> </w:t>
      </w:r>
      <w:r w:rsidRPr="00C033B5">
        <w:rPr>
          <w:rFonts w:ascii="Cambria Math" w:hAnsi="Cambria Math" w:cs="Cambria Math"/>
          <w:sz w:val="24"/>
          <w:szCs w:val="24"/>
        </w:rPr>
        <w:t>𝐿</w:t>
      </w:r>
      <w:r w:rsidRPr="00C033B5">
        <w:rPr>
          <w:rFonts w:asciiTheme="majorBidi" w:hAnsiTheme="majorBidi" w:cstheme="majorBidi"/>
          <w:sz w:val="24"/>
          <w:szCs w:val="24"/>
        </w:rPr>
        <w:t xml:space="preserve"> represents the vector of loan characteristics. In addition, there is high interconnectedness between loan and countries of issue. Hence, borrowing companies can be used as a vertex of correlation network to account for the interconnectedness and is denoted by </w:t>
      </w:r>
      <w:r w:rsidRPr="00C033B5">
        <w:rPr>
          <w:rFonts w:ascii="Cambria Math" w:hAnsi="Cambria Math" w:cs="Cambria Math"/>
          <w:sz w:val="24"/>
          <w:szCs w:val="24"/>
        </w:rPr>
        <w:t>𝛽𝑂𝑂</w:t>
      </w:r>
      <w:r w:rsidRPr="00C033B5">
        <w:rPr>
          <w:rFonts w:asciiTheme="majorBidi" w:hAnsiTheme="majorBidi" w:cstheme="majorBidi"/>
          <w:sz w:val="24"/>
          <w:szCs w:val="24"/>
        </w:rPr>
        <w:t xml:space="preserve"> (Giudici, Hadji-Misheva, &amp; </w:t>
      </w:r>
      <w:proofErr w:type="spellStart"/>
      <w:r w:rsidRPr="00C033B5">
        <w:rPr>
          <w:rFonts w:asciiTheme="majorBidi" w:hAnsiTheme="majorBidi" w:cstheme="majorBidi"/>
          <w:sz w:val="24"/>
          <w:szCs w:val="24"/>
        </w:rPr>
        <w:t>Spelta</w:t>
      </w:r>
      <w:proofErr w:type="spellEnd"/>
      <w:r w:rsidRPr="00C033B5">
        <w:rPr>
          <w:rFonts w:asciiTheme="majorBidi" w:hAnsiTheme="majorBidi" w:cstheme="majorBidi"/>
          <w:sz w:val="24"/>
          <w:szCs w:val="24"/>
        </w:rPr>
        <w:t xml:space="preserve">, 2020). Furthermore, the findings of the study conducted by </w:t>
      </w:r>
      <w:proofErr w:type="spellStart"/>
      <w:r w:rsidRPr="00C033B5">
        <w:rPr>
          <w:rFonts w:asciiTheme="majorBidi" w:hAnsiTheme="majorBidi" w:cstheme="majorBidi"/>
          <w:sz w:val="24"/>
          <w:szCs w:val="24"/>
        </w:rPr>
        <w:t>KyereboahColeman</w:t>
      </w:r>
      <w:proofErr w:type="spellEnd"/>
      <w:r w:rsidRPr="00C033B5">
        <w:rPr>
          <w:rFonts w:asciiTheme="majorBidi" w:hAnsiTheme="majorBidi" w:cstheme="majorBidi"/>
          <w:sz w:val="24"/>
          <w:szCs w:val="24"/>
        </w:rPr>
        <w:t xml:space="preserve"> (2007) indicate that age and size of a MFI has a significant relationship with amount defaulted. Therefore, we account for loan originator characteristics such as age and size of the originator, denoted by </w:t>
      </w:r>
      <w:r w:rsidRPr="00C033B5">
        <w:rPr>
          <w:rFonts w:ascii="Cambria Math" w:hAnsi="Cambria Math" w:cs="Cambria Math"/>
          <w:sz w:val="24"/>
          <w:szCs w:val="24"/>
        </w:rPr>
        <w:t>𝛽𝐴𝐴</w:t>
      </w:r>
      <w:r w:rsidRPr="00C033B5">
        <w:rPr>
          <w:rFonts w:asciiTheme="majorBidi" w:hAnsiTheme="majorBidi" w:cstheme="majorBidi"/>
          <w:sz w:val="24"/>
          <w:szCs w:val="24"/>
        </w:rPr>
        <w:t xml:space="preserve"> and </w:t>
      </w:r>
      <w:r w:rsidRPr="00C033B5">
        <w:rPr>
          <w:rFonts w:ascii="Cambria Math" w:hAnsi="Cambria Math" w:cs="Cambria Math"/>
          <w:sz w:val="24"/>
          <w:szCs w:val="24"/>
        </w:rPr>
        <w:t>𝛽𝑃𝑃</w:t>
      </w:r>
      <w:r w:rsidRPr="00C033B5">
        <w:rPr>
          <w:rFonts w:asciiTheme="majorBidi" w:hAnsiTheme="majorBidi" w:cstheme="majorBidi"/>
          <w:sz w:val="24"/>
          <w:szCs w:val="24"/>
        </w:rPr>
        <w:t xml:space="preserve"> respectively.</w:t>
      </w:r>
    </w:p>
    <w:p w14:paraId="5DB9D53B" w14:textId="48DD642E" w:rsidR="00C033B5" w:rsidRPr="005D6D1B" w:rsidRDefault="00C033B5" w:rsidP="00856618">
      <w:pPr>
        <w:pStyle w:val="ListParagraph"/>
        <w:numPr>
          <w:ilvl w:val="2"/>
          <w:numId w:val="40"/>
        </w:numPr>
        <w:spacing w:after="0" w:line="240" w:lineRule="auto"/>
        <w:ind w:left="350" w:firstLine="357"/>
        <w:rPr>
          <w:rFonts w:asciiTheme="majorBidi" w:hAnsiTheme="majorBidi" w:cstheme="majorBidi"/>
          <w:b/>
          <w:bCs/>
          <w:sz w:val="24"/>
          <w:szCs w:val="24"/>
        </w:rPr>
      </w:pPr>
      <w:r w:rsidRPr="005D6D1B">
        <w:rPr>
          <w:rFonts w:asciiTheme="majorBidi" w:hAnsiTheme="majorBidi" w:cstheme="majorBidi"/>
          <w:b/>
          <w:bCs/>
          <w:sz w:val="24"/>
          <w:szCs w:val="24"/>
        </w:rPr>
        <w:t>Impact of Skin in the game on interest rates</w:t>
      </w:r>
    </w:p>
    <w:p w14:paraId="3D362BAC" w14:textId="0122A913" w:rsidR="00C033B5" w:rsidRPr="00C033B5" w:rsidRDefault="00C033B5" w:rsidP="005D6D1B">
      <w:pPr>
        <w:spacing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 To measure the impact of Skin in the game on interest rates, the study employs OLS regression to model the dependent variable namely, Interest rates. Our choice of empirical model is in line with the extant literature that employed OLS regression to estimate interest rates on peer to peer lending platforms (Freedman &amp; Jin, 2017; Wei &amp; Lin, 2017; Ding, Huang, Li, &amp; Meng, 2019; Chen et al., 2022; Wu, Liu, Gu, &amp; Tsai, 2023). </w:t>
      </w:r>
    </w:p>
    <w:p w14:paraId="62364D42" w14:textId="49427452" w:rsidR="00C033B5" w:rsidRPr="00C033B5" w:rsidRDefault="00C033B5" w:rsidP="00417DE1">
      <w:pPr>
        <w:spacing w:line="240" w:lineRule="auto"/>
        <w:rPr>
          <w:rFonts w:asciiTheme="majorBidi" w:hAnsiTheme="majorBidi" w:cstheme="majorBidi"/>
          <w:sz w:val="24"/>
          <w:szCs w:val="24"/>
        </w:rPr>
      </w:pPr>
      <w:r w:rsidRPr="00C033B5">
        <w:rPr>
          <w:rFonts w:asciiTheme="majorBidi" w:hAnsiTheme="majorBidi" w:cstheme="majorBidi"/>
          <w:sz w:val="24"/>
          <w:szCs w:val="24"/>
        </w:rPr>
        <w:t xml:space="preserve">Interest ( ) = </w:t>
      </w:r>
      <w:r w:rsidRPr="00C033B5">
        <w:rPr>
          <w:rFonts w:ascii="Cambria Math" w:hAnsi="Cambria Math" w:cs="Cambria Math"/>
          <w:sz w:val="24"/>
          <w:szCs w:val="24"/>
        </w:rPr>
        <w:t>𝛽</w:t>
      </w:r>
      <w:r w:rsidRPr="00C033B5">
        <w:rPr>
          <w:rFonts w:asciiTheme="majorBidi" w:hAnsiTheme="majorBidi" w:cstheme="majorBidi"/>
          <w:sz w:val="24"/>
          <w:szCs w:val="24"/>
        </w:rPr>
        <w:t>1+</w:t>
      </w:r>
      <w:r w:rsidRPr="00C033B5">
        <w:rPr>
          <w:rFonts w:ascii="Cambria Math" w:hAnsi="Cambria Math" w:cs="Cambria Math"/>
          <w:sz w:val="24"/>
          <w:szCs w:val="24"/>
        </w:rPr>
        <w:t>𝛽</w:t>
      </w:r>
      <w:r w:rsidRPr="00C033B5">
        <w:rPr>
          <w:rFonts w:asciiTheme="majorBidi" w:hAnsiTheme="majorBidi" w:cstheme="majorBidi"/>
          <w:sz w:val="24"/>
          <w:szCs w:val="24"/>
        </w:rPr>
        <w:t>S</w:t>
      </w:r>
      <w:r w:rsidRPr="00C033B5">
        <w:rPr>
          <w:rFonts w:ascii="Cambria Math" w:hAnsi="Cambria Math" w:cs="Cambria Math"/>
          <w:sz w:val="24"/>
          <w:szCs w:val="24"/>
        </w:rPr>
        <w:t>𝑆</w:t>
      </w:r>
      <w:r w:rsidRPr="00C033B5">
        <w:rPr>
          <w:rFonts w:asciiTheme="majorBidi" w:hAnsiTheme="majorBidi" w:cstheme="majorBidi"/>
          <w:sz w:val="24"/>
          <w:szCs w:val="24"/>
        </w:rPr>
        <w:t xml:space="preserve"> + </w:t>
      </w:r>
      <w:r w:rsidRPr="00C033B5">
        <w:rPr>
          <w:rFonts w:ascii="Cambria Math" w:hAnsi="Cambria Math" w:cs="Cambria Math"/>
          <w:sz w:val="24"/>
          <w:szCs w:val="24"/>
        </w:rPr>
        <w:t>𝛽𝐸𝑋𝑖</w:t>
      </w:r>
      <w:r w:rsidRPr="00C033B5">
        <w:rPr>
          <w:rFonts w:asciiTheme="majorBidi" w:hAnsiTheme="majorBidi" w:cstheme="majorBidi"/>
          <w:sz w:val="24"/>
          <w:szCs w:val="24"/>
        </w:rPr>
        <w:t xml:space="preserve"> </w:t>
      </w:r>
      <w:r w:rsidRPr="00C033B5">
        <w:rPr>
          <w:rFonts w:ascii="Cambria Math" w:hAnsi="Cambria Math" w:cs="Cambria Math"/>
          <w:sz w:val="24"/>
          <w:szCs w:val="24"/>
        </w:rPr>
        <w:t>𝐸</w:t>
      </w:r>
      <w:r w:rsidRPr="00C033B5">
        <w:rPr>
          <w:rFonts w:asciiTheme="majorBidi" w:hAnsiTheme="majorBidi" w:cstheme="majorBidi"/>
          <w:sz w:val="24"/>
          <w:szCs w:val="24"/>
        </w:rPr>
        <w:t xml:space="preserve"> +</w:t>
      </w:r>
      <w:r w:rsidRPr="00C033B5">
        <w:rPr>
          <w:rFonts w:ascii="Cambria Math" w:hAnsi="Cambria Math" w:cs="Cambria Math"/>
          <w:sz w:val="24"/>
          <w:szCs w:val="24"/>
        </w:rPr>
        <w:t>𝛽𝐿𝑋𝑖</w:t>
      </w:r>
      <w:r w:rsidRPr="00C033B5">
        <w:rPr>
          <w:rFonts w:asciiTheme="majorBidi" w:hAnsiTheme="majorBidi" w:cstheme="majorBidi"/>
          <w:sz w:val="24"/>
          <w:szCs w:val="24"/>
        </w:rPr>
        <w:t xml:space="preserve"> </w:t>
      </w:r>
      <w:r w:rsidRPr="00C033B5">
        <w:rPr>
          <w:rFonts w:ascii="Cambria Math" w:hAnsi="Cambria Math" w:cs="Cambria Math"/>
          <w:sz w:val="24"/>
          <w:szCs w:val="24"/>
        </w:rPr>
        <w:t>𝐿</w:t>
      </w:r>
      <w:r w:rsidRPr="00C033B5">
        <w:rPr>
          <w:rFonts w:asciiTheme="majorBidi" w:hAnsiTheme="majorBidi" w:cstheme="majorBidi"/>
          <w:sz w:val="24"/>
          <w:szCs w:val="24"/>
        </w:rPr>
        <w:t>+</w:t>
      </w:r>
      <w:r w:rsidRPr="00C033B5">
        <w:rPr>
          <w:rFonts w:ascii="Cambria Math" w:hAnsi="Cambria Math" w:cs="Cambria Math"/>
          <w:sz w:val="24"/>
          <w:szCs w:val="24"/>
        </w:rPr>
        <w:t>𝛽𝐴𝐴</w:t>
      </w:r>
      <w:r w:rsidRPr="00C033B5">
        <w:rPr>
          <w:rFonts w:asciiTheme="majorBidi" w:hAnsiTheme="majorBidi" w:cstheme="majorBidi"/>
          <w:sz w:val="24"/>
          <w:szCs w:val="24"/>
        </w:rPr>
        <w:t xml:space="preserve"> + </w:t>
      </w:r>
      <w:r w:rsidRPr="00C033B5">
        <w:rPr>
          <w:rFonts w:ascii="Cambria Math" w:hAnsi="Cambria Math" w:cs="Cambria Math"/>
          <w:sz w:val="24"/>
          <w:szCs w:val="24"/>
        </w:rPr>
        <w:t>𝛽𝑃𝑃</w:t>
      </w:r>
      <w:r w:rsidRPr="00C033B5">
        <w:rPr>
          <w:rFonts w:asciiTheme="majorBidi" w:hAnsiTheme="majorBidi" w:cstheme="majorBidi"/>
          <w:sz w:val="24"/>
          <w:szCs w:val="24"/>
        </w:rPr>
        <w:t xml:space="preserve"> + </w:t>
      </w:r>
      <w:r w:rsidRPr="00C033B5">
        <w:rPr>
          <w:rFonts w:ascii="Cambria Math" w:hAnsi="Cambria Math" w:cs="Cambria Math"/>
          <w:sz w:val="24"/>
          <w:szCs w:val="24"/>
        </w:rPr>
        <w:t>𝛽𝑂𝑂</w:t>
      </w:r>
      <w:r w:rsidRPr="00C033B5">
        <w:rPr>
          <w:rFonts w:asciiTheme="majorBidi" w:hAnsiTheme="majorBidi" w:cstheme="majorBidi"/>
          <w:sz w:val="24"/>
          <w:szCs w:val="24"/>
        </w:rPr>
        <w:t xml:space="preserve"> +</w:t>
      </w:r>
      <w:r w:rsidRPr="00C033B5">
        <w:rPr>
          <w:rFonts w:ascii="Cambria Math" w:hAnsi="Cambria Math" w:cs="Cambria Math"/>
          <w:sz w:val="24"/>
          <w:szCs w:val="24"/>
        </w:rPr>
        <w:t>𝜀𝑖</w:t>
      </w:r>
      <w:r w:rsidRPr="00C033B5">
        <w:rPr>
          <w:rFonts w:asciiTheme="majorBidi" w:hAnsiTheme="majorBidi" w:cstheme="majorBidi"/>
          <w:sz w:val="24"/>
          <w:szCs w:val="24"/>
        </w:rPr>
        <w:t xml:space="preserve"> …</w:t>
      </w:r>
      <w:r w:rsidR="005D6D1B">
        <w:rPr>
          <w:rFonts w:asciiTheme="majorBidi" w:hAnsiTheme="majorBidi" w:cstheme="majorBidi"/>
          <w:sz w:val="24"/>
          <w:szCs w:val="24"/>
        </w:rPr>
        <w:t>…………………….</w:t>
      </w:r>
      <w:r w:rsidRPr="00C033B5">
        <w:rPr>
          <w:rFonts w:asciiTheme="majorBidi" w:hAnsiTheme="majorBidi" w:cstheme="majorBidi"/>
          <w:sz w:val="24"/>
          <w:szCs w:val="24"/>
        </w:rPr>
        <w:t xml:space="preserve"> (3) </w:t>
      </w:r>
    </w:p>
    <w:p w14:paraId="7D0902DB" w14:textId="77777777" w:rsidR="005D6D1B" w:rsidRDefault="00C033B5" w:rsidP="005D6D1B">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 xml:space="preserve">In the regression equation, </w:t>
      </w:r>
      <w:r w:rsidRPr="00C033B5">
        <w:rPr>
          <w:rFonts w:ascii="Cambria Math" w:hAnsi="Cambria Math" w:cs="Cambria Math"/>
          <w:sz w:val="24"/>
          <w:szCs w:val="24"/>
        </w:rPr>
        <w:t>𝑟𝑖</w:t>
      </w:r>
      <w:r w:rsidRPr="00C033B5">
        <w:rPr>
          <w:rFonts w:asciiTheme="majorBidi" w:hAnsiTheme="majorBidi" w:cstheme="majorBidi"/>
          <w:sz w:val="24"/>
          <w:szCs w:val="24"/>
        </w:rPr>
        <w:t xml:space="preserve"> represents the dependent variable of the study, namely interest rates. </w:t>
      </w:r>
      <w:r w:rsidRPr="00C033B5">
        <w:rPr>
          <w:rFonts w:ascii="Cambria Math" w:hAnsi="Cambria Math" w:cs="Cambria Math"/>
          <w:sz w:val="24"/>
          <w:szCs w:val="24"/>
        </w:rPr>
        <w:t>𝛽</w:t>
      </w:r>
      <w:r w:rsidRPr="00C033B5">
        <w:rPr>
          <w:rFonts w:asciiTheme="majorBidi" w:hAnsiTheme="majorBidi" w:cstheme="majorBidi"/>
          <w:sz w:val="24"/>
          <w:szCs w:val="24"/>
        </w:rPr>
        <w:t>S</w:t>
      </w:r>
      <w:r w:rsidRPr="00C033B5">
        <w:rPr>
          <w:rFonts w:ascii="Cambria Math" w:hAnsi="Cambria Math" w:cs="Cambria Math"/>
          <w:sz w:val="24"/>
          <w:szCs w:val="24"/>
        </w:rPr>
        <w:t>𝑆</w:t>
      </w:r>
      <w:r w:rsidRPr="00C033B5">
        <w:rPr>
          <w:rFonts w:asciiTheme="majorBidi" w:hAnsiTheme="majorBidi" w:cstheme="majorBidi"/>
          <w:sz w:val="24"/>
          <w:szCs w:val="24"/>
        </w:rPr>
        <w:t xml:space="preserve"> is the key explanatory variable of the study and represents the level of Skin in the game borne by the originator. The study also includes loan characteristics denoted by </w:t>
      </w:r>
      <w:r w:rsidRPr="00C033B5">
        <w:rPr>
          <w:rFonts w:ascii="Cambria Math" w:hAnsi="Cambria Math" w:cs="Cambria Math"/>
          <w:sz w:val="24"/>
          <w:szCs w:val="24"/>
        </w:rPr>
        <w:t>𝛽𝐿𝑋𝑖</w:t>
      </w:r>
      <w:r w:rsidRPr="00C033B5">
        <w:rPr>
          <w:rFonts w:asciiTheme="majorBidi" w:hAnsiTheme="majorBidi" w:cstheme="majorBidi"/>
          <w:sz w:val="24"/>
          <w:szCs w:val="24"/>
        </w:rPr>
        <w:t xml:space="preserve"> </w:t>
      </w:r>
      <w:r w:rsidRPr="00C033B5">
        <w:rPr>
          <w:rFonts w:ascii="Cambria Math" w:hAnsi="Cambria Math" w:cs="Cambria Math"/>
          <w:sz w:val="24"/>
          <w:szCs w:val="24"/>
        </w:rPr>
        <w:t>𝐿</w:t>
      </w:r>
      <w:r w:rsidRPr="00C033B5">
        <w:rPr>
          <w:rFonts w:asciiTheme="majorBidi" w:hAnsiTheme="majorBidi" w:cstheme="majorBidi"/>
          <w:sz w:val="24"/>
          <w:szCs w:val="24"/>
        </w:rPr>
        <w:t xml:space="preserve"> in the regression equation. According to Lu, Wang, Wang, and Zhao (2020), the loan-specific characteristics of P2P loans significantly affects the interest rate. Hence, </w:t>
      </w:r>
      <w:r w:rsidRPr="00C033B5">
        <w:rPr>
          <w:rFonts w:ascii="Cambria Math" w:hAnsi="Cambria Math" w:cs="Cambria Math"/>
          <w:sz w:val="24"/>
          <w:szCs w:val="24"/>
        </w:rPr>
        <w:t>𝛽𝐿𝑋𝑖</w:t>
      </w:r>
      <w:r w:rsidRPr="00C033B5">
        <w:rPr>
          <w:rFonts w:asciiTheme="majorBidi" w:hAnsiTheme="majorBidi" w:cstheme="majorBidi"/>
          <w:sz w:val="24"/>
          <w:szCs w:val="24"/>
        </w:rPr>
        <w:t xml:space="preserve"> </w:t>
      </w:r>
      <w:r w:rsidRPr="00C033B5">
        <w:rPr>
          <w:rFonts w:ascii="Cambria Math" w:hAnsi="Cambria Math" w:cs="Cambria Math"/>
          <w:sz w:val="24"/>
          <w:szCs w:val="24"/>
        </w:rPr>
        <w:t>𝐿</w:t>
      </w:r>
      <w:r w:rsidRPr="00C033B5">
        <w:rPr>
          <w:rFonts w:asciiTheme="majorBidi" w:hAnsiTheme="majorBidi" w:cstheme="majorBidi"/>
          <w:sz w:val="24"/>
          <w:szCs w:val="24"/>
        </w:rPr>
        <w:t xml:space="preserve"> is a vector of all variables pertaining to loan characteristics. Furthermore, in alignment with prior research, our study incorporates government bond yield and the seasonally adjusted unemployment rate as control variables for interest rates as denoted by the </w:t>
      </w:r>
      <w:r w:rsidRPr="00C033B5">
        <w:rPr>
          <w:rFonts w:ascii="Cambria Math" w:hAnsi="Cambria Math" w:cs="Cambria Math"/>
          <w:sz w:val="24"/>
          <w:szCs w:val="24"/>
        </w:rPr>
        <w:t>𝛽𝐸𝑋</w:t>
      </w:r>
      <w:r w:rsidRPr="00C033B5">
        <w:rPr>
          <w:rFonts w:asciiTheme="majorBidi" w:hAnsiTheme="majorBidi" w:cstheme="majorBidi"/>
          <w:sz w:val="24"/>
          <w:szCs w:val="24"/>
        </w:rPr>
        <w:t>. This choice is substantiated by a study by Wu, Liu, and Huang (2022) who also utilized these macroeconomic factors to determine interest rates. </w:t>
      </w:r>
    </w:p>
    <w:p w14:paraId="3A9DAE4D" w14:textId="77777777" w:rsidR="005D6D1B" w:rsidRDefault="00C033B5" w:rsidP="005D6D1B">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 xml:space="preserve">Additionally, marketplace lending markets are also characterized by a high degree of interconnectedness between loans and issuing countries (Giudici et al., 2020; </w:t>
      </w:r>
      <w:proofErr w:type="spellStart"/>
      <w:r w:rsidRPr="00C033B5">
        <w:rPr>
          <w:rFonts w:asciiTheme="majorBidi" w:hAnsiTheme="majorBidi" w:cstheme="majorBidi"/>
          <w:sz w:val="24"/>
          <w:szCs w:val="24"/>
        </w:rPr>
        <w:t>Nigmonov</w:t>
      </w:r>
      <w:proofErr w:type="spellEnd"/>
      <w:r w:rsidRPr="00C033B5">
        <w:rPr>
          <w:rFonts w:asciiTheme="majorBidi" w:hAnsiTheme="majorBidi" w:cstheme="majorBidi"/>
          <w:sz w:val="24"/>
          <w:szCs w:val="24"/>
        </w:rPr>
        <w:t xml:space="preserve"> &amp; Shams, 2021). Therefore, the model includes fixed effects for country to account for loan originators' heterogeneity, as discussed previously. Additionally, age and size variables are included as control variables to capture their effects on interest rates denoted by </w:t>
      </w:r>
      <w:r w:rsidRPr="00C033B5">
        <w:rPr>
          <w:rFonts w:ascii="Cambria Math" w:hAnsi="Cambria Math" w:cs="Cambria Math"/>
          <w:sz w:val="24"/>
          <w:szCs w:val="24"/>
        </w:rPr>
        <w:t>𝛽𝐴𝐴</w:t>
      </w:r>
      <w:r w:rsidRPr="00C033B5">
        <w:rPr>
          <w:rFonts w:asciiTheme="majorBidi" w:hAnsiTheme="majorBidi" w:cstheme="majorBidi"/>
          <w:sz w:val="24"/>
          <w:szCs w:val="24"/>
        </w:rPr>
        <w:t xml:space="preserve"> and </w:t>
      </w:r>
      <w:r w:rsidRPr="00C033B5">
        <w:rPr>
          <w:rFonts w:ascii="Cambria Math" w:hAnsi="Cambria Math" w:cs="Cambria Math"/>
          <w:sz w:val="24"/>
          <w:szCs w:val="24"/>
        </w:rPr>
        <w:t>𝛽𝑃𝑃</w:t>
      </w:r>
      <w:r w:rsidRPr="00C033B5">
        <w:rPr>
          <w:rFonts w:asciiTheme="majorBidi" w:hAnsiTheme="majorBidi" w:cstheme="majorBidi"/>
          <w:sz w:val="24"/>
          <w:szCs w:val="24"/>
        </w:rPr>
        <w:t xml:space="preserve"> respectively. This is in line with the findings of </w:t>
      </w:r>
      <w:proofErr w:type="spellStart"/>
      <w:r w:rsidRPr="00C033B5">
        <w:rPr>
          <w:rFonts w:asciiTheme="majorBidi" w:hAnsiTheme="majorBidi" w:cstheme="majorBidi"/>
          <w:sz w:val="24"/>
          <w:szCs w:val="24"/>
        </w:rPr>
        <w:t>Dorfleitner</w:t>
      </w:r>
      <w:proofErr w:type="spellEnd"/>
      <w:r w:rsidRPr="00C033B5">
        <w:rPr>
          <w:rFonts w:asciiTheme="majorBidi" w:hAnsiTheme="majorBidi" w:cstheme="majorBidi"/>
          <w:sz w:val="24"/>
          <w:szCs w:val="24"/>
        </w:rPr>
        <w:t xml:space="preserve"> et al. (2013) and Nwachukwu et al. (2018), which reported that as MFIs mature, they tend to expand their client base and offer larger loans to established businesses, impacting their cost structures and risk management practices. </w:t>
      </w:r>
    </w:p>
    <w:p w14:paraId="1D9095F0" w14:textId="323BC913" w:rsidR="00C033B5" w:rsidRDefault="00C033B5" w:rsidP="005D6D1B">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 xml:space="preserve">Furthermore, Large-scale and medium-scale MFIs are also reported to exhibit characteristics that can lead to cost efficiencies and better risk management capabilities. Importantly, the study delves beyond individual effects and investigates the potential non-linear impact of size on interest rates. This is in line with the study conducted by </w:t>
      </w:r>
      <w:proofErr w:type="spellStart"/>
      <w:r w:rsidRPr="00C033B5">
        <w:rPr>
          <w:rFonts w:asciiTheme="majorBidi" w:hAnsiTheme="majorBidi" w:cstheme="majorBidi"/>
          <w:sz w:val="24"/>
          <w:szCs w:val="24"/>
        </w:rPr>
        <w:t>Dorfleitner</w:t>
      </w:r>
      <w:proofErr w:type="spellEnd"/>
      <w:r w:rsidRPr="00C033B5">
        <w:rPr>
          <w:rFonts w:asciiTheme="majorBidi" w:hAnsiTheme="majorBidi" w:cstheme="majorBidi"/>
          <w:sz w:val="24"/>
          <w:szCs w:val="24"/>
        </w:rPr>
        <w:t xml:space="preserve"> et al. (2013), which suggests that as originators grow in size, the interest rates charged might experience an accelerated trajectory beyond a linear progression.</w:t>
      </w:r>
    </w:p>
    <w:p w14:paraId="526AF8D4" w14:textId="77777777" w:rsidR="005D6D1B" w:rsidRPr="00C033B5" w:rsidRDefault="005D6D1B" w:rsidP="005D6D1B">
      <w:pPr>
        <w:spacing w:after="0" w:line="240" w:lineRule="auto"/>
        <w:ind w:firstLine="357"/>
        <w:jc w:val="both"/>
        <w:rPr>
          <w:rFonts w:asciiTheme="majorBidi" w:hAnsiTheme="majorBidi" w:cstheme="majorBidi"/>
          <w:sz w:val="24"/>
          <w:szCs w:val="24"/>
        </w:rPr>
      </w:pPr>
    </w:p>
    <w:p w14:paraId="4ED4E13E" w14:textId="5123ECFB" w:rsidR="00C033B5" w:rsidRPr="00417DE1" w:rsidRDefault="00417DE1" w:rsidP="00856618">
      <w:pPr>
        <w:pStyle w:val="ListParagraph"/>
        <w:numPr>
          <w:ilvl w:val="0"/>
          <w:numId w:val="13"/>
        </w:numPr>
        <w:jc w:val="center"/>
        <w:rPr>
          <w:rFonts w:asciiTheme="majorBidi" w:hAnsiTheme="majorBidi" w:cstheme="majorBidi"/>
          <w:b/>
          <w:bCs/>
          <w:sz w:val="24"/>
          <w:szCs w:val="24"/>
        </w:rPr>
      </w:pPr>
      <w:r w:rsidRPr="00417DE1">
        <w:rPr>
          <w:rFonts w:asciiTheme="majorBidi" w:hAnsiTheme="majorBidi" w:cstheme="majorBidi"/>
          <w:b/>
          <w:bCs/>
          <w:sz w:val="24"/>
          <w:szCs w:val="24"/>
        </w:rPr>
        <w:t>RESULTS AND DISCUSSION</w:t>
      </w:r>
    </w:p>
    <w:p w14:paraId="57D1E52F" w14:textId="34864928" w:rsidR="00C033B5" w:rsidRPr="005D6D1B" w:rsidRDefault="00C033B5" w:rsidP="00856618">
      <w:pPr>
        <w:pStyle w:val="ListParagraph"/>
        <w:numPr>
          <w:ilvl w:val="1"/>
          <w:numId w:val="41"/>
        </w:numPr>
        <w:spacing w:line="240" w:lineRule="auto"/>
        <w:ind w:left="0" w:firstLine="0"/>
        <w:rPr>
          <w:rFonts w:asciiTheme="majorBidi" w:hAnsiTheme="majorBidi" w:cstheme="majorBidi"/>
          <w:b/>
          <w:bCs/>
          <w:sz w:val="24"/>
          <w:szCs w:val="24"/>
        </w:rPr>
      </w:pPr>
      <w:r w:rsidRPr="005D6D1B">
        <w:rPr>
          <w:rFonts w:asciiTheme="majorBidi" w:hAnsiTheme="majorBidi" w:cstheme="majorBidi"/>
          <w:b/>
          <w:bCs/>
          <w:sz w:val="24"/>
          <w:szCs w:val="24"/>
        </w:rPr>
        <w:t>Model-Free evidence</w:t>
      </w:r>
    </w:p>
    <w:p w14:paraId="2A5217DD" w14:textId="7A60AF3C" w:rsidR="00C033B5" w:rsidRPr="00C033B5" w:rsidRDefault="00C033B5" w:rsidP="0014274D">
      <w:pPr>
        <w:spacing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 xml:space="preserve">The study first provides some model free evidence consistent with the theories and concepts established in the earlier sections, indicating the impact on loan performance across security </w:t>
      </w:r>
      <w:r w:rsidRPr="00C033B5">
        <w:rPr>
          <w:rFonts w:asciiTheme="majorBidi" w:hAnsiTheme="majorBidi" w:cstheme="majorBidi"/>
          <w:sz w:val="24"/>
          <w:szCs w:val="24"/>
        </w:rPr>
        <w:lastRenderedPageBreak/>
        <w:t>designs. The Table A2 in Appendix reports the mean differences between the claims and notes sample in Panel A and Panel B respectively. The average interest rate, default rate and severity of default is higher for notes by 3.39, 18.88, and 17.5 percentage points respectively. The significant increase in interest rates, default rate and severity of default is in line with our stipulation that risks are exacerbated under the new security design, notes. Table A3 and A4 of Appendix presents the summary statistics and correlation matrix of relevant variables in the dataset respectively. The majority of the variables have a low level of statistically significant correlation with one another, as reflected in small correlation coefficients.</w:t>
      </w:r>
    </w:p>
    <w:p w14:paraId="2A6A4052" w14:textId="77FA98F5" w:rsidR="00C033B5" w:rsidRPr="0014274D" w:rsidRDefault="00C033B5" w:rsidP="00856618">
      <w:pPr>
        <w:pStyle w:val="ListParagraph"/>
        <w:numPr>
          <w:ilvl w:val="1"/>
          <w:numId w:val="41"/>
        </w:numPr>
        <w:spacing w:line="240" w:lineRule="auto"/>
        <w:ind w:left="284" w:hanging="284"/>
        <w:jc w:val="both"/>
        <w:rPr>
          <w:rFonts w:asciiTheme="majorBidi" w:hAnsiTheme="majorBidi" w:cstheme="majorBidi"/>
          <w:b/>
          <w:bCs/>
          <w:sz w:val="24"/>
          <w:szCs w:val="24"/>
        </w:rPr>
      </w:pPr>
      <w:r w:rsidRPr="0014274D">
        <w:rPr>
          <w:rFonts w:asciiTheme="majorBidi" w:hAnsiTheme="majorBidi" w:cstheme="majorBidi"/>
          <w:b/>
          <w:bCs/>
          <w:sz w:val="24"/>
          <w:szCs w:val="24"/>
        </w:rPr>
        <w:t>Parametric Empirical Analysis</w:t>
      </w:r>
    </w:p>
    <w:p w14:paraId="493244C2" w14:textId="387CF9FF" w:rsidR="00C033B5" w:rsidRPr="00C033B5" w:rsidRDefault="00C033B5" w:rsidP="0014274D">
      <w:pPr>
        <w:spacing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In this section of our empirical analysis, we examine the impact of skin in the game on interest rates, likelihood of default, and severity of default for two distinct product types offered by loan originators. The results are presented in two separate specifications, each corresponding to one of the product types.</w:t>
      </w:r>
    </w:p>
    <w:p w14:paraId="28849E72" w14:textId="05FD5480" w:rsidR="00C033B5" w:rsidRPr="0014274D" w:rsidRDefault="00C033B5" w:rsidP="00856618">
      <w:pPr>
        <w:pStyle w:val="ListParagraph"/>
        <w:numPr>
          <w:ilvl w:val="2"/>
          <w:numId w:val="41"/>
        </w:numPr>
        <w:spacing w:line="240" w:lineRule="auto"/>
        <w:ind w:left="1134"/>
        <w:jc w:val="both"/>
        <w:rPr>
          <w:rFonts w:asciiTheme="majorBidi" w:hAnsiTheme="majorBidi" w:cstheme="majorBidi"/>
          <w:b/>
          <w:bCs/>
          <w:sz w:val="24"/>
          <w:szCs w:val="24"/>
        </w:rPr>
      </w:pPr>
      <w:r w:rsidRPr="0014274D">
        <w:rPr>
          <w:rFonts w:asciiTheme="majorBidi" w:hAnsiTheme="majorBidi" w:cstheme="majorBidi"/>
          <w:b/>
          <w:bCs/>
          <w:sz w:val="24"/>
          <w:szCs w:val="24"/>
        </w:rPr>
        <w:t>Estimation and model comparison </w:t>
      </w:r>
    </w:p>
    <w:p w14:paraId="02BF3856" w14:textId="06DCC665" w:rsidR="00C033B5" w:rsidRPr="0014274D" w:rsidRDefault="00C033B5" w:rsidP="00856618">
      <w:pPr>
        <w:pStyle w:val="ListParagraph"/>
        <w:numPr>
          <w:ilvl w:val="3"/>
          <w:numId w:val="41"/>
        </w:numPr>
        <w:spacing w:line="240" w:lineRule="auto"/>
        <w:ind w:left="1843" w:hanging="708"/>
        <w:jc w:val="both"/>
        <w:rPr>
          <w:rFonts w:asciiTheme="majorBidi" w:hAnsiTheme="majorBidi" w:cstheme="majorBidi"/>
          <w:b/>
          <w:bCs/>
          <w:sz w:val="24"/>
          <w:szCs w:val="24"/>
        </w:rPr>
      </w:pPr>
      <w:r w:rsidRPr="0014274D">
        <w:rPr>
          <w:rFonts w:asciiTheme="majorBidi" w:hAnsiTheme="majorBidi" w:cstheme="majorBidi"/>
          <w:b/>
          <w:bCs/>
          <w:sz w:val="24"/>
          <w:szCs w:val="24"/>
        </w:rPr>
        <w:t> Ex-ante loan performance: Loan pricing </w:t>
      </w:r>
    </w:p>
    <w:p w14:paraId="0CC4DC14" w14:textId="77777777" w:rsidR="0014274D" w:rsidRDefault="00C033B5" w:rsidP="0014274D">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We examine the price effects of skin in the game, i.e., whether it lowers interest rates. We regress interest rates on level of skin in the game, controls for loan characteristics, originator characteristics, and economy specific variables. Specification 1 in Appendix Table A5 shows that the level of skin in the game is negatively related to the interest rates and is significant at 1% for claims. On average, an additional 1 percentage point increase in skin in the game leads to a reduction in interest rates by approximately 6.26 basis points (or 0.0626 percentage points). This means that as loan originators increase their retention (skin in the game) in the loans they offer on the Mintos platform by 1 percentage point, investors can expect a decrease of around 6.26 basis points in the interest rates on these loans. </w:t>
      </w:r>
    </w:p>
    <w:p w14:paraId="5A52D01D" w14:textId="12B6E03A" w:rsidR="00C033B5" w:rsidRDefault="00C033B5" w:rsidP="0014274D">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Meanwhile, the specification 2 in Appendix Table A5 reports the impact of skin in the game on loan rates for notes. On average, an additional 1 percentage point increase in skin in the game leads to a reduction in interest rates by approximately 43 basis points (or 0.43 percentage points) and is significant at 1% level. The results support our hypothesis that a higher level of skin in the game reduce interest rates and are remarkably consistent with the pricing effects of skin in the game for claims. The observed difference in the magnitude of the impact of skin in the game on interest rates between the two security designs is also significant at 1% level (See Table A7 of Appendix) and can be attributed to the divergent risk profiles associated with each design. The bundling of loans introduces a potential risk that individual loan originators with smaller skin in the game may include a higher proportion of risky or non-performing loans in the bundle as evidenced by the challenges observed in MBS securitization during the Global Financial Crisis (Mizen, 2008; McCoy, Pavlov, &amp; Wachter, 2008). As a result, investors in the notes may face a higher degree of uncertainty and are likely to be more sensitive to originators' commitment levels, as indicated by their skin in the game. Consequently, the impact of skin in the game on interest rates becomes more pronounced for the notes. Although the coefficient of -0.43 might appear as a modest effect on its own, it takes on greater economic significance when the practical dynamics of the platform are considered. Given that the level of skin in the game generally increases by 5 percentage points, the impact of skin in the game translates to a noteworthy reduction in interest rates from, for example, 12.5% to 10.35%. This 2.15 percentage point decrease in interest rates is a substantial cost-saving advantage for originators and underscores the economic significance of skin in the game.</w:t>
      </w:r>
    </w:p>
    <w:p w14:paraId="01F7D81F" w14:textId="77777777" w:rsidR="00CC0525" w:rsidRDefault="00CC0525" w:rsidP="0014274D">
      <w:pPr>
        <w:spacing w:after="0" w:line="240" w:lineRule="auto"/>
        <w:ind w:firstLine="357"/>
        <w:jc w:val="both"/>
        <w:rPr>
          <w:rFonts w:asciiTheme="majorBidi" w:hAnsiTheme="majorBidi" w:cstheme="majorBidi"/>
          <w:sz w:val="24"/>
          <w:szCs w:val="24"/>
        </w:rPr>
      </w:pPr>
    </w:p>
    <w:p w14:paraId="30774145" w14:textId="77777777" w:rsidR="00CC0525" w:rsidRPr="00C033B5" w:rsidRDefault="00CC0525" w:rsidP="0014274D">
      <w:pPr>
        <w:spacing w:after="0" w:line="240" w:lineRule="auto"/>
        <w:ind w:firstLine="357"/>
        <w:jc w:val="both"/>
        <w:rPr>
          <w:rFonts w:asciiTheme="majorBidi" w:hAnsiTheme="majorBidi" w:cstheme="majorBidi"/>
          <w:sz w:val="24"/>
          <w:szCs w:val="24"/>
        </w:rPr>
      </w:pPr>
    </w:p>
    <w:p w14:paraId="3606D69B" w14:textId="34AABBC4" w:rsidR="00C033B5" w:rsidRPr="0014274D" w:rsidRDefault="00C033B5" w:rsidP="00856618">
      <w:pPr>
        <w:pStyle w:val="ListParagraph"/>
        <w:numPr>
          <w:ilvl w:val="3"/>
          <w:numId w:val="41"/>
        </w:numPr>
        <w:spacing w:after="0" w:line="240" w:lineRule="auto"/>
        <w:ind w:left="1843" w:hanging="709"/>
        <w:jc w:val="both"/>
        <w:rPr>
          <w:rFonts w:asciiTheme="majorBidi" w:hAnsiTheme="majorBidi" w:cstheme="majorBidi"/>
          <w:b/>
          <w:bCs/>
          <w:sz w:val="24"/>
          <w:szCs w:val="24"/>
        </w:rPr>
      </w:pPr>
      <w:r w:rsidRPr="0014274D">
        <w:rPr>
          <w:rFonts w:asciiTheme="majorBidi" w:hAnsiTheme="majorBidi" w:cstheme="majorBidi"/>
          <w:b/>
          <w:bCs/>
          <w:sz w:val="24"/>
          <w:szCs w:val="24"/>
        </w:rPr>
        <w:lastRenderedPageBreak/>
        <w:t>Ex post loan performance: Likelihood of default </w:t>
      </w:r>
    </w:p>
    <w:p w14:paraId="520D25C9" w14:textId="77777777" w:rsidR="0014274D" w:rsidRDefault="00C033B5" w:rsidP="0014274D">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 xml:space="preserve">The study also examines the impact of skin in the game on ex post loan performance, i.e., whether it lowers the likelihood of default. The results for likelihood in Appendix Table A6 specification 1 show a significant impact of skin in the game on the likelihood of loan defaults and are remarkably consistent with those for interest rates. A higher level of skin in the game tend to decrease default rates, as reflected by the coefficient for the variable </w:t>
      </w:r>
      <w:proofErr w:type="spellStart"/>
      <w:r w:rsidRPr="00C033B5">
        <w:rPr>
          <w:rFonts w:asciiTheme="majorBidi" w:hAnsiTheme="majorBidi" w:cstheme="majorBidi"/>
          <w:i/>
          <w:iCs/>
          <w:sz w:val="24"/>
          <w:szCs w:val="24"/>
        </w:rPr>
        <w:t>sitg</w:t>
      </w:r>
      <w:proofErr w:type="spellEnd"/>
      <w:r w:rsidRPr="00C033B5">
        <w:rPr>
          <w:rFonts w:asciiTheme="majorBidi" w:hAnsiTheme="majorBidi" w:cstheme="majorBidi"/>
          <w:sz w:val="24"/>
          <w:szCs w:val="24"/>
        </w:rPr>
        <w:t>. The coefficient for skin in the game in the logistic regression model indicates that a one percentage point increase in skin in the game (holding all other variables constant) is associated with a decrease in the probability of default by approximately 2.33 basis points or 0.02 percentage points.</w:t>
      </w:r>
    </w:p>
    <w:p w14:paraId="6A15479B" w14:textId="77777777" w:rsidR="0014274D" w:rsidRDefault="00C033B5" w:rsidP="0014274D">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 xml:space="preserve">As the level of skin in the game increases, loan originators have a more significant financial stake in the loans' performance. In line with the theory of optimal contracts (Shavell, 1979), this heightened commitment to the loans prompts banks to conduct more thorough due diligence during the underwriting process. They carefully assess the creditworthiness of borrowers (Pollinger, Outhwaite, &amp; Cordero‐Guzmán, 2007), verifying income, employment history, credit history (Messomo Elle, 2019), and other relevant factors to ensure that loans are granted to borrowers with a lower likelihood of default. The increased due diligence helps to select high-quality borrowers and leads to better loan performance. Moreover, with higher skin in the game, loan originators have a long-term interest in the performance of the loans they hold. Therefore, they are more motivated to engage in ongoing monitoring of borrowers' financial health and </w:t>
      </w:r>
      <w:proofErr w:type="spellStart"/>
      <w:r w:rsidRPr="00C033B5">
        <w:rPr>
          <w:rFonts w:asciiTheme="majorBidi" w:hAnsiTheme="majorBidi" w:cstheme="majorBidi"/>
          <w:sz w:val="24"/>
          <w:szCs w:val="24"/>
        </w:rPr>
        <w:t>behavior</w:t>
      </w:r>
      <w:proofErr w:type="spellEnd"/>
      <w:r w:rsidRPr="00C033B5">
        <w:rPr>
          <w:rFonts w:asciiTheme="majorBidi" w:hAnsiTheme="majorBidi" w:cstheme="majorBidi"/>
          <w:sz w:val="24"/>
          <w:szCs w:val="24"/>
        </w:rPr>
        <w:t xml:space="preserve">. This proactive approach to loan management contributes to better loan performance and lower default rates as similarly noted by Gropp, </w:t>
      </w:r>
      <w:proofErr w:type="spellStart"/>
      <w:r w:rsidRPr="00C033B5">
        <w:rPr>
          <w:rFonts w:asciiTheme="majorBidi" w:hAnsiTheme="majorBidi" w:cstheme="majorBidi"/>
          <w:sz w:val="24"/>
          <w:szCs w:val="24"/>
        </w:rPr>
        <w:t>Gruendl</w:t>
      </w:r>
      <w:proofErr w:type="spellEnd"/>
      <w:r w:rsidRPr="00C033B5">
        <w:rPr>
          <w:rFonts w:asciiTheme="majorBidi" w:hAnsiTheme="majorBidi" w:cstheme="majorBidi"/>
          <w:sz w:val="24"/>
          <w:szCs w:val="24"/>
        </w:rPr>
        <w:t>, and Guettler (2014). Our findings are also consistent with the extant literature on IPO, which suggests that improved efforts resulting from having a higher level of skin in the game resulted in improved fund performance (Jia &amp; Wang, 2017), faster decision making (Baum &amp; Wally, 2003) and investment in projects with enhanced monitoring (Tian, 2011). These results support our hypothesis that a higher skin in the game reduces default rates. Furthermore, it provides validity for our analyses and bolster skin in the game as a potent incentive to improve ex post performance of the loan offerings by originators. </w:t>
      </w:r>
    </w:p>
    <w:p w14:paraId="5BC69E39" w14:textId="7FB8A816" w:rsidR="00C033B5" w:rsidRDefault="00C033B5" w:rsidP="0014274D">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Meanwhile, the specification 2 in Appendix Table A6 reports the impact of skin in the game on likelihood of default for notes. The coefficient for skin in the game indicates that a one percentage point increase in skin in the game (holding all other variables constant) is associated with a decrease in the probability of default by approximately 83 basis points or 0.83 percentage points. The results support our hypothesis that a higher level of skin in the game reduces default rates and are remarkably consistent with the default likelihood by skin in the game for claims. The level of skin in the game is negatively and significantly related to default rates at the 1% level. However, the observed difference in the impact of skin in the game on the likelihood of default between the two security designs can be attributed to the underlying risk dynamics inherent in security design and is also significant at 1% level (See Table A7 of Appendix). In this design, where loans are combined and sold as a single security, there exists a heightened possibility of mixing loans with varying levels of credit quality as evidenced by the challenges observed in MBS securitization during the Global Financial Crisis (Mizen, 2008; McCoy et al., 2008). These riskier loans, which might have been strategically introduced by originators, contribute to the overall increased likelihood of default for the entire bundled security. Although the measured economic impact of skin in the game may appear relatively small, it is crucial to contextualize this effect. The total default rate in Mintos falls within the range of 20%. Hence, even 1 percentage point (approximately) reduction in default likelihood can have substantial implications. Moreover, considering that the level of skin in the game generally increases by 5 percentage points, the cumulative effect becomes significant. </w:t>
      </w:r>
    </w:p>
    <w:p w14:paraId="4CD7F45F" w14:textId="77777777" w:rsidR="0014274D" w:rsidRPr="00C033B5" w:rsidRDefault="0014274D" w:rsidP="0014274D">
      <w:pPr>
        <w:spacing w:after="0" w:line="240" w:lineRule="auto"/>
        <w:ind w:firstLine="357"/>
        <w:jc w:val="both"/>
        <w:rPr>
          <w:rFonts w:asciiTheme="majorBidi" w:hAnsiTheme="majorBidi" w:cstheme="majorBidi"/>
          <w:sz w:val="24"/>
          <w:szCs w:val="24"/>
        </w:rPr>
      </w:pPr>
    </w:p>
    <w:p w14:paraId="6DB0C4D9" w14:textId="1D77CC44" w:rsidR="00C033B5" w:rsidRPr="0014274D" w:rsidRDefault="00C033B5" w:rsidP="00856618">
      <w:pPr>
        <w:pStyle w:val="ListParagraph"/>
        <w:numPr>
          <w:ilvl w:val="3"/>
          <w:numId w:val="41"/>
        </w:numPr>
        <w:spacing w:after="0" w:line="240" w:lineRule="auto"/>
        <w:ind w:left="1843"/>
        <w:jc w:val="both"/>
        <w:rPr>
          <w:rFonts w:asciiTheme="majorBidi" w:hAnsiTheme="majorBidi" w:cstheme="majorBidi"/>
          <w:b/>
          <w:bCs/>
          <w:sz w:val="24"/>
          <w:szCs w:val="24"/>
        </w:rPr>
      </w:pPr>
      <w:r w:rsidRPr="0014274D">
        <w:rPr>
          <w:rFonts w:asciiTheme="majorBidi" w:hAnsiTheme="majorBidi" w:cstheme="majorBidi"/>
          <w:b/>
          <w:bCs/>
          <w:sz w:val="24"/>
          <w:szCs w:val="24"/>
        </w:rPr>
        <w:lastRenderedPageBreak/>
        <w:t>Ex post loan performance: Severity of loan default </w:t>
      </w:r>
    </w:p>
    <w:p w14:paraId="6931A39C" w14:textId="77777777" w:rsidR="0014274D" w:rsidRDefault="00C033B5" w:rsidP="0014274D">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 xml:space="preserve">The study next examines the impact of skin in the game on the severity of default. The coefficients for the level of skin in the game show direction and gradation consistent with the results for likelihood of default. The results in Appendix Table A6 specification 3 show that the relationship between skin in the game and severity of default is statistically significant at the 1% level. A higher level of skin in the game tend to decrease severity of default, as reflected by the coefficient for the variable </w:t>
      </w:r>
      <w:proofErr w:type="spellStart"/>
      <w:r w:rsidRPr="00C033B5">
        <w:rPr>
          <w:rFonts w:asciiTheme="majorBidi" w:hAnsiTheme="majorBidi" w:cstheme="majorBidi"/>
          <w:i/>
          <w:iCs/>
          <w:sz w:val="24"/>
          <w:szCs w:val="24"/>
        </w:rPr>
        <w:t>sitg</w:t>
      </w:r>
      <w:proofErr w:type="spellEnd"/>
      <w:r w:rsidRPr="00C033B5">
        <w:rPr>
          <w:rFonts w:asciiTheme="majorBidi" w:hAnsiTheme="majorBidi" w:cstheme="majorBidi"/>
          <w:sz w:val="24"/>
          <w:szCs w:val="24"/>
        </w:rPr>
        <w:t xml:space="preserve">. The coefficient for skin in the game indicates that a 1 percentage point increase in skin in the game (holding all other variables constant) is associated with a decrease in the severity of default by approximately 0.01 percentage points. This is analogous with the model proposed by </w:t>
      </w:r>
      <w:proofErr w:type="spellStart"/>
      <w:r w:rsidRPr="00C033B5">
        <w:rPr>
          <w:rFonts w:asciiTheme="majorBidi" w:hAnsiTheme="majorBidi" w:cstheme="majorBidi"/>
          <w:sz w:val="24"/>
          <w:szCs w:val="24"/>
        </w:rPr>
        <w:t>Chemla</w:t>
      </w:r>
      <w:proofErr w:type="spellEnd"/>
      <w:r w:rsidRPr="00C033B5">
        <w:rPr>
          <w:rFonts w:asciiTheme="majorBidi" w:hAnsiTheme="majorBidi" w:cstheme="majorBidi"/>
          <w:sz w:val="24"/>
          <w:szCs w:val="24"/>
        </w:rPr>
        <w:t xml:space="preserve"> and Hennessy (2014), which suggests that an originator's maximum willingness to pay for monitoring effort depends on their level of retention. The observed inverse relationship between skin in the game and severity of default can be explained by the positive association of credit risk management processes with loan recovery (</w:t>
      </w:r>
      <w:proofErr w:type="spellStart"/>
      <w:r w:rsidRPr="00C033B5">
        <w:rPr>
          <w:rFonts w:asciiTheme="majorBidi" w:hAnsiTheme="majorBidi" w:cstheme="majorBidi"/>
          <w:sz w:val="24"/>
          <w:szCs w:val="24"/>
        </w:rPr>
        <w:t>Koulafetis</w:t>
      </w:r>
      <w:proofErr w:type="spellEnd"/>
      <w:r w:rsidRPr="00C033B5">
        <w:rPr>
          <w:rFonts w:asciiTheme="majorBidi" w:hAnsiTheme="majorBidi" w:cstheme="majorBidi"/>
          <w:sz w:val="24"/>
          <w:szCs w:val="24"/>
        </w:rPr>
        <w:t>, 2017).</w:t>
      </w:r>
    </w:p>
    <w:p w14:paraId="09AD41B4" w14:textId="77777777" w:rsidR="0014274D" w:rsidRDefault="00C033B5" w:rsidP="0014274D">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Higher level of skin in the game also motivates originators to employ effective debt collection process or mechanism. These processes may include early intervention strategies or soft collection (</w:t>
      </w:r>
      <w:proofErr w:type="spellStart"/>
      <w:r w:rsidRPr="00C033B5">
        <w:rPr>
          <w:rFonts w:asciiTheme="majorBidi" w:hAnsiTheme="majorBidi" w:cstheme="majorBidi"/>
          <w:sz w:val="24"/>
          <w:szCs w:val="24"/>
        </w:rPr>
        <w:t>Witzany</w:t>
      </w:r>
      <w:proofErr w:type="spellEnd"/>
      <w:r w:rsidRPr="00C033B5">
        <w:rPr>
          <w:rFonts w:asciiTheme="majorBidi" w:hAnsiTheme="majorBidi" w:cstheme="majorBidi"/>
          <w:sz w:val="24"/>
          <w:szCs w:val="24"/>
        </w:rPr>
        <w:t>, 2017), debt restructuring options (Phan Thi Hang, 2023), or the use of external collection agencies (</w:t>
      </w:r>
      <w:proofErr w:type="spellStart"/>
      <w:r w:rsidRPr="00C033B5">
        <w:rPr>
          <w:rFonts w:asciiTheme="majorBidi" w:hAnsiTheme="majorBidi" w:cstheme="majorBidi"/>
          <w:sz w:val="24"/>
          <w:szCs w:val="24"/>
        </w:rPr>
        <w:t>Witzany</w:t>
      </w:r>
      <w:proofErr w:type="spellEnd"/>
      <w:r w:rsidRPr="00C033B5">
        <w:rPr>
          <w:rFonts w:asciiTheme="majorBidi" w:hAnsiTheme="majorBidi" w:cstheme="majorBidi"/>
          <w:sz w:val="24"/>
          <w:szCs w:val="24"/>
        </w:rPr>
        <w:t>, 2017). An effective debt collection process further contributes to mitigating the severity of defaults. In line with theory of optimal contracts (Shavell, 1979), originators with a higher level of skin in the game implements better credit collection practices to effectively minimize the impact of defaults and recover their losses efficiently. The findings are also consistent with the empirical findings noted in the IPO literature. As such, when executives have a higher level of skin in the game, they are more likely to exert more effort in projects to recover the money invested (Amaya et al., 2020). This result supports our hypothesis that a higher level of skin in the game reduces severity of default. Furthermore, it reinforces the notion that skin in the game acts as a potent incentive mechanism for loan originators, aligning their interests with investors and fostering responsible lending practices.</w:t>
      </w:r>
    </w:p>
    <w:p w14:paraId="1137E23C" w14:textId="77777777" w:rsidR="0014274D" w:rsidRDefault="00C033B5" w:rsidP="0014274D">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Meanwhile, the specification 3 in Appendix Table A6 reports the impact of skin in the game on severity of default for notes. The results support our hypothesis that a higher level of skin in the game reduces severity of default and are remarkably consistent with the default severity by skin in the game for claims. The level of skin in the game is negatively and significantly related to severity of default at the 1% level for notes. The coefficient for skin in the game indicates that a 1 percentage point increase in skin in the game (holding all other variables constant) is associated with a decrease in the severity of default by approximately 0.49 percentage points. In the latter security design (notes), originators with substantial skin in the game are incentivized not only to curtail the likelihood of default but also to mitigate the severity of defaults. Although, the measurable economic impact of skin in the game on severity of default may appear to be relatively small, it is crucial to contextualize this effect. The total severity of default rate (the proportion of total unrecovered amount to total value of finished loans) in Mintos falls within the range of 20%. Hence, even a 0.5 percentage point (approximately) reduction in default severity can have substantial implications.</w:t>
      </w:r>
    </w:p>
    <w:p w14:paraId="6B74E2BB" w14:textId="483AC22C" w:rsidR="00C033B5" w:rsidRDefault="00C033B5" w:rsidP="0014274D">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In general, these findings underscore the substantial economic importance of skin in the game as a powerful incentive for loan originators. </w:t>
      </w:r>
    </w:p>
    <w:p w14:paraId="120F8A8A" w14:textId="0A520BBB" w:rsidR="0014274D" w:rsidRDefault="0014274D" w:rsidP="0014274D">
      <w:pPr>
        <w:spacing w:after="0" w:line="240" w:lineRule="auto"/>
        <w:ind w:firstLine="357"/>
        <w:jc w:val="both"/>
        <w:rPr>
          <w:rFonts w:asciiTheme="majorBidi" w:hAnsiTheme="majorBidi" w:cstheme="majorBidi"/>
          <w:sz w:val="24"/>
          <w:szCs w:val="24"/>
        </w:rPr>
      </w:pPr>
    </w:p>
    <w:p w14:paraId="7E2B0C20" w14:textId="7160EA2D" w:rsidR="00C033B5" w:rsidRPr="0014274D" w:rsidRDefault="00C033B5" w:rsidP="00856618">
      <w:pPr>
        <w:pStyle w:val="ListParagraph"/>
        <w:numPr>
          <w:ilvl w:val="2"/>
          <w:numId w:val="41"/>
        </w:numPr>
        <w:spacing w:after="0"/>
        <w:ind w:left="1134" w:hanging="709"/>
        <w:jc w:val="both"/>
        <w:rPr>
          <w:rFonts w:asciiTheme="majorBidi" w:hAnsiTheme="majorBidi" w:cstheme="majorBidi"/>
          <w:b/>
          <w:bCs/>
          <w:sz w:val="24"/>
          <w:szCs w:val="24"/>
        </w:rPr>
      </w:pPr>
      <w:r w:rsidRPr="0014274D">
        <w:rPr>
          <w:rFonts w:asciiTheme="majorBidi" w:hAnsiTheme="majorBidi" w:cstheme="majorBidi"/>
          <w:b/>
          <w:bCs/>
          <w:sz w:val="24"/>
          <w:szCs w:val="24"/>
        </w:rPr>
        <w:t>Control Variables results</w:t>
      </w:r>
    </w:p>
    <w:p w14:paraId="0DBEADFE" w14:textId="77777777" w:rsidR="0014274D" w:rsidRDefault="00C033B5" w:rsidP="0014274D">
      <w:pPr>
        <w:spacing w:after="0"/>
        <w:ind w:firstLine="357"/>
        <w:jc w:val="both"/>
        <w:rPr>
          <w:rFonts w:asciiTheme="majorBidi" w:hAnsiTheme="majorBidi" w:cstheme="majorBidi"/>
          <w:sz w:val="24"/>
          <w:szCs w:val="24"/>
        </w:rPr>
      </w:pPr>
      <w:r w:rsidRPr="00C033B5">
        <w:rPr>
          <w:rFonts w:asciiTheme="majorBidi" w:hAnsiTheme="majorBidi" w:cstheme="majorBidi"/>
          <w:sz w:val="24"/>
          <w:szCs w:val="24"/>
        </w:rPr>
        <w:t>Although the main focus of our study is to examine the impact of skin in the game, we also include an exhaustive set of control variables that influence loan performance. The study briefly reviews and comments on the key controls.</w:t>
      </w:r>
    </w:p>
    <w:p w14:paraId="4812243D" w14:textId="77777777" w:rsidR="0014274D" w:rsidRDefault="00C033B5" w:rsidP="0014274D">
      <w:pPr>
        <w:spacing w:after="0"/>
        <w:ind w:firstLine="357"/>
        <w:jc w:val="both"/>
        <w:rPr>
          <w:rFonts w:asciiTheme="majorBidi" w:hAnsiTheme="majorBidi" w:cstheme="majorBidi"/>
          <w:sz w:val="24"/>
          <w:szCs w:val="24"/>
        </w:rPr>
      </w:pPr>
      <w:r w:rsidRPr="00C033B5">
        <w:rPr>
          <w:rFonts w:asciiTheme="majorBidi" w:hAnsiTheme="majorBidi" w:cstheme="majorBidi"/>
          <w:sz w:val="24"/>
          <w:szCs w:val="24"/>
        </w:rPr>
        <w:lastRenderedPageBreak/>
        <w:t xml:space="preserve">Firstly, we review the impact of loan characteristics. Larger loan amounts are linked to higher interest rates and greater likelihood and severity of default, consistent with the findings of </w:t>
      </w:r>
      <w:proofErr w:type="spellStart"/>
      <w:r w:rsidRPr="00C033B5">
        <w:rPr>
          <w:rFonts w:asciiTheme="majorBidi" w:hAnsiTheme="majorBidi" w:cstheme="majorBidi"/>
          <w:sz w:val="24"/>
          <w:szCs w:val="24"/>
        </w:rPr>
        <w:t>Nigmonov</w:t>
      </w:r>
      <w:proofErr w:type="spellEnd"/>
      <w:r w:rsidRPr="00C033B5">
        <w:rPr>
          <w:rFonts w:asciiTheme="majorBidi" w:hAnsiTheme="majorBidi" w:cstheme="majorBidi"/>
          <w:sz w:val="24"/>
          <w:szCs w:val="24"/>
        </w:rPr>
        <w:t xml:space="preserve"> and Shams (2021). This finding is consistent across claims and notes. Furthermore, a non-linear relationship exists between loan maturity and interest rates. Interest rates generally increase with loan maturity but decrease beyond a certain maturity point. This is because loan originators on Mintos primarily deal with short-term loans, which may significantly impact pricing. Loan with very short maturities carry increased operational costs and advertising expenses to lenders. Meanwhile, in line with theoretical expectation, maturity is positively and significantly related to likelihood and severity of default at 1% significance level for claims. Meanwhile, Different loan types exhibit varying interest rates and default likelihoods. Agricultural, business, mortgage, and personal loans have lower interest rates than short-term loans. The results also indicate loans with collateral have higher interest rates and are more likely to default. The rationale is that riskier borrowers tend to pledge collateral when the level of risk is observable (Berger &amp; Udell, 1990). Higher risk scores (indicating lower risk) are associated with lower interest rates and default likelihood, consistent for claims but not for notes. Loans with an extendable repayment schedule have higher interest rates and a greater likelihood and severity of default. Additionally, Loans with an extendable repayment schedule have higher interest rates and a greater likelihood and severity of default. Riskier borrowers that are struggling to make repayment are generally granted the flexibility to extend their repayment schedules and is consistent with the findings of </w:t>
      </w:r>
      <w:proofErr w:type="spellStart"/>
      <w:r w:rsidRPr="00C033B5">
        <w:rPr>
          <w:rFonts w:asciiTheme="majorBidi" w:hAnsiTheme="majorBidi" w:cstheme="majorBidi"/>
          <w:sz w:val="24"/>
          <w:szCs w:val="24"/>
        </w:rPr>
        <w:t>Nigmonov</w:t>
      </w:r>
      <w:proofErr w:type="spellEnd"/>
      <w:r w:rsidRPr="00C033B5">
        <w:rPr>
          <w:rFonts w:asciiTheme="majorBidi" w:hAnsiTheme="majorBidi" w:cstheme="majorBidi"/>
          <w:sz w:val="24"/>
          <w:szCs w:val="24"/>
        </w:rPr>
        <w:t xml:space="preserve"> and Shams (2021).</w:t>
      </w:r>
    </w:p>
    <w:p w14:paraId="3C4EA107" w14:textId="77777777" w:rsidR="0014274D" w:rsidRDefault="00C033B5" w:rsidP="0014274D">
      <w:pPr>
        <w:spacing w:after="0"/>
        <w:ind w:firstLine="357"/>
        <w:jc w:val="both"/>
        <w:rPr>
          <w:rFonts w:asciiTheme="majorBidi" w:hAnsiTheme="majorBidi" w:cstheme="majorBidi"/>
          <w:sz w:val="24"/>
          <w:szCs w:val="24"/>
        </w:rPr>
      </w:pPr>
      <w:r w:rsidRPr="00C033B5">
        <w:rPr>
          <w:rFonts w:asciiTheme="majorBidi" w:hAnsiTheme="majorBidi" w:cstheme="majorBidi"/>
          <w:sz w:val="24"/>
          <w:szCs w:val="24"/>
        </w:rPr>
        <w:t>Secondly, we consider loan originator characteristics. As hypothesized, older originators offer slightly lower interest rates and have lower likelihood and severity of default. Meanwhile, larger loan portfolios are associated with lower interest rates up to a point, after which the effect diminishes, and very large portfolios may lead to higher interest rates. The impact on default likelihood and severity varies between claims and notes. The findings are consistent with the findings of Nwachukwu et al. (2018) and suggests that older and larger companies, with established reputations and experience, may be able to offer loans at competent rates. Similarly, the inverse relationship between size of originator and loan performance is consistent with the findings of Kar and Swain (2014) and can be attributed to the notion that older companies often possess a track record of stability, established business practices, and a more experienced management team. This translates to an enhanced ability in making prudent lending decisions, managing risks effectively.</w:t>
      </w:r>
    </w:p>
    <w:p w14:paraId="5DDD6AA4" w14:textId="0E004B1F" w:rsidR="00C033B5" w:rsidRDefault="00C033B5" w:rsidP="0014274D">
      <w:pPr>
        <w:spacing w:after="0"/>
        <w:ind w:firstLine="357"/>
        <w:jc w:val="both"/>
        <w:rPr>
          <w:rFonts w:asciiTheme="majorBidi" w:hAnsiTheme="majorBidi" w:cstheme="majorBidi"/>
          <w:sz w:val="24"/>
          <w:szCs w:val="24"/>
        </w:rPr>
      </w:pPr>
      <w:r w:rsidRPr="00C033B5">
        <w:rPr>
          <w:rFonts w:asciiTheme="majorBidi" w:hAnsiTheme="majorBidi" w:cstheme="majorBidi"/>
          <w:sz w:val="24"/>
          <w:szCs w:val="24"/>
        </w:rPr>
        <w:t>Finally we consider economy specific characteristics. Higher unemployment rates are associated with slightly higher interest rates and increased default likelihood. However, higher government bond rates are linked to slightly lower loan interest rates. The relationship between bond yields and default severity varies between claims and notes. </w:t>
      </w:r>
    </w:p>
    <w:p w14:paraId="06AE83B7" w14:textId="77777777" w:rsidR="0014274D" w:rsidRPr="00C033B5" w:rsidRDefault="0014274D" w:rsidP="0014274D">
      <w:pPr>
        <w:spacing w:after="0"/>
        <w:ind w:firstLine="357"/>
        <w:jc w:val="both"/>
        <w:rPr>
          <w:rFonts w:asciiTheme="majorBidi" w:hAnsiTheme="majorBidi" w:cstheme="majorBidi"/>
          <w:sz w:val="24"/>
          <w:szCs w:val="24"/>
        </w:rPr>
      </w:pPr>
    </w:p>
    <w:p w14:paraId="1250F198" w14:textId="74B8F82D" w:rsidR="00C033B5" w:rsidRPr="0014274D" w:rsidRDefault="00C033B5" w:rsidP="00856618">
      <w:pPr>
        <w:pStyle w:val="ListParagraph"/>
        <w:numPr>
          <w:ilvl w:val="2"/>
          <w:numId w:val="41"/>
        </w:numPr>
        <w:spacing w:after="0" w:line="240" w:lineRule="auto"/>
        <w:ind w:left="1134"/>
        <w:jc w:val="both"/>
        <w:rPr>
          <w:rFonts w:asciiTheme="majorBidi" w:hAnsiTheme="majorBidi" w:cstheme="majorBidi"/>
          <w:b/>
          <w:bCs/>
          <w:sz w:val="24"/>
          <w:szCs w:val="24"/>
        </w:rPr>
      </w:pPr>
      <w:r w:rsidRPr="0014274D">
        <w:rPr>
          <w:rFonts w:asciiTheme="majorBidi" w:hAnsiTheme="majorBidi" w:cstheme="majorBidi"/>
          <w:b/>
          <w:bCs/>
          <w:sz w:val="24"/>
          <w:szCs w:val="24"/>
        </w:rPr>
        <w:t>Robustness Checks</w:t>
      </w:r>
    </w:p>
    <w:p w14:paraId="465109CB" w14:textId="7FD2F37B" w:rsidR="00C033B5" w:rsidRPr="00C033B5" w:rsidRDefault="00C033B5" w:rsidP="0014274D">
      <w:pPr>
        <w:spacing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In this section, we implement several robustness checks to further prove the validity of our findings reported in the previous sessions. The estimates from robustness tests are reported in Appendix.</w:t>
      </w:r>
    </w:p>
    <w:p w14:paraId="2DF185B7" w14:textId="650CE14F" w:rsidR="00C033B5" w:rsidRPr="0014274D" w:rsidRDefault="00C033B5" w:rsidP="00856618">
      <w:pPr>
        <w:pStyle w:val="ListParagraph"/>
        <w:numPr>
          <w:ilvl w:val="3"/>
          <w:numId w:val="41"/>
        </w:numPr>
        <w:spacing w:after="0" w:line="240" w:lineRule="auto"/>
        <w:ind w:left="2127" w:hanging="992"/>
        <w:jc w:val="both"/>
        <w:rPr>
          <w:rFonts w:asciiTheme="majorBidi" w:hAnsiTheme="majorBidi" w:cstheme="majorBidi"/>
          <w:b/>
          <w:bCs/>
          <w:sz w:val="24"/>
          <w:szCs w:val="24"/>
        </w:rPr>
      </w:pPr>
      <w:r w:rsidRPr="0014274D">
        <w:rPr>
          <w:rFonts w:asciiTheme="majorBidi" w:hAnsiTheme="majorBidi" w:cstheme="majorBidi"/>
          <w:b/>
          <w:bCs/>
          <w:sz w:val="24"/>
          <w:szCs w:val="24"/>
        </w:rPr>
        <w:t>Bootstrap Resampling Analysis</w:t>
      </w:r>
    </w:p>
    <w:p w14:paraId="25A39692" w14:textId="5FC0FC14" w:rsidR="00C033B5" w:rsidRPr="00C033B5" w:rsidRDefault="00C033B5" w:rsidP="0014274D">
      <w:pPr>
        <w:spacing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 xml:space="preserve">To further validate the robustness of our findings, we conducted a bootstrap resampling analysis, which involved randomly selecting subsamples from our dataset and re-estimating our regression models. By performing over 200 replications and </w:t>
      </w:r>
      <w:proofErr w:type="spellStart"/>
      <w:r w:rsidRPr="00C033B5">
        <w:rPr>
          <w:rFonts w:asciiTheme="majorBidi" w:hAnsiTheme="majorBidi" w:cstheme="majorBidi"/>
          <w:sz w:val="24"/>
          <w:szCs w:val="24"/>
        </w:rPr>
        <w:t>analyzing</w:t>
      </w:r>
      <w:proofErr w:type="spellEnd"/>
      <w:r w:rsidRPr="00C033B5">
        <w:rPr>
          <w:rFonts w:asciiTheme="majorBidi" w:hAnsiTheme="majorBidi" w:cstheme="majorBidi"/>
          <w:sz w:val="24"/>
          <w:szCs w:val="24"/>
        </w:rPr>
        <w:t xml:space="preserve"> the distribution of coefficients, we confirmed that the inverse relationships between skin in the game and </w:t>
      </w:r>
      <w:r w:rsidRPr="00C033B5">
        <w:rPr>
          <w:rFonts w:asciiTheme="majorBidi" w:hAnsiTheme="majorBidi" w:cstheme="majorBidi"/>
          <w:sz w:val="24"/>
          <w:szCs w:val="24"/>
        </w:rPr>
        <w:lastRenderedPageBreak/>
        <w:t>likelihood of default, severity of default, and interest rates remained robust and consistent beyond the variations in sample composition (See Table A8 of Appendix).</w:t>
      </w:r>
    </w:p>
    <w:p w14:paraId="0FD437C2" w14:textId="0F2F7590" w:rsidR="00C033B5" w:rsidRPr="0014274D" w:rsidRDefault="00C033B5" w:rsidP="00856618">
      <w:pPr>
        <w:pStyle w:val="ListParagraph"/>
        <w:numPr>
          <w:ilvl w:val="3"/>
          <w:numId w:val="41"/>
        </w:numPr>
        <w:spacing w:after="0"/>
        <w:ind w:left="2127" w:hanging="992"/>
        <w:jc w:val="both"/>
        <w:rPr>
          <w:rFonts w:asciiTheme="majorBidi" w:hAnsiTheme="majorBidi" w:cstheme="majorBidi"/>
          <w:b/>
          <w:bCs/>
          <w:sz w:val="24"/>
          <w:szCs w:val="24"/>
        </w:rPr>
      </w:pPr>
      <w:r w:rsidRPr="0014274D">
        <w:rPr>
          <w:rFonts w:asciiTheme="majorBidi" w:hAnsiTheme="majorBidi" w:cstheme="majorBidi"/>
          <w:b/>
          <w:bCs/>
          <w:sz w:val="24"/>
          <w:szCs w:val="24"/>
        </w:rPr>
        <w:t>Different Estimation</w:t>
      </w:r>
    </w:p>
    <w:p w14:paraId="71CF8484" w14:textId="77777777" w:rsidR="0014274D" w:rsidRDefault="00C033B5" w:rsidP="0014274D">
      <w:pPr>
        <w:spacing w:after="0"/>
        <w:ind w:firstLine="357"/>
        <w:jc w:val="both"/>
        <w:rPr>
          <w:rFonts w:asciiTheme="majorBidi" w:hAnsiTheme="majorBidi" w:cstheme="majorBidi"/>
          <w:sz w:val="24"/>
          <w:szCs w:val="24"/>
        </w:rPr>
      </w:pPr>
      <w:r w:rsidRPr="00C033B5">
        <w:rPr>
          <w:rFonts w:asciiTheme="majorBidi" w:hAnsiTheme="majorBidi" w:cstheme="majorBidi"/>
          <w:sz w:val="24"/>
          <w:szCs w:val="24"/>
        </w:rPr>
        <w:t>Recognizing the suitability of the probit model for binary variable estimation in economic research, we proceed to re-evaluate the influence of skin in the game on the probability of default using the probit model. Moreover, conforming to the highest interest rate offered for European loan investments by Mintos (20%), we employ the Tobit model to re-examine the effect of skin in the game on interest rates, employing 20% as upper bound. Furthermore, to account for bounded nature of interest rates within the interval of 0 and 1, we also re-estimate the regression with Beta regression. The findings reported in Table A9 of Appendix indicate that the coefficients and its respective margins are consistent with the baseline estimates. This consistency suggests that our decision to employ the OLS model for interest rate estimation, in line with established literature, does not appear to introduce significant bias into our analysis. Additionally, to ensure the robustness of our findings on the impact of skin of the game on severity of default, we employ probit function for fractional regression for re-estimation. </w:t>
      </w:r>
    </w:p>
    <w:p w14:paraId="50321E2C" w14:textId="6D9B1708" w:rsidR="00C033B5" w:rsidRPr="00C033B5" w:rsidRDefault="00C033B5" w:rsidP="0014274D">
      <w:pPr>
        <w:ind w:firstLine="357"/>
        <w:jc w:val="both"/>
        <w:rPr>
          <w:rFonts w:asciiTheme="majorBidi" w:hAnsiTheme="majorBidi" w:cstheme="majorBidi"/>
          <w:sz w:val="24"/>
          <w:szCs w:val="24"/>
        </w:rPr>
      </w:pPr>
      <w:r w:rsidRPr="00C033B5">
        <w:rPr>
          <w:rFonts w:asciiTheme="majorBidi" w:hAnsiTheme="majorBidi" w:cstheme="majorBidi"/>
          <w:sz w:val="24"/>
          <w:szCs w:val="24"/>
        </w:rPr>
        <w:t>The findings reported in Table A9 of Appendix indicate that the coefficients and its respective margins are consistent with the baseline estimates. Our findings remain consistent in terms of direction and gradation for the impact of skin in the game on interest rates, default likelihood and severity of default.</w:t>
      </w:r>
    </w:p>
    <w:p w14:paraId="2DBC6CF4" w14:textId="148D7232" w:rsidR="00C033B5" w:rsidRPr="0014274D" w:rsidRDefault="00C033B5" w:rsidP="00856618">
      <w:pPr>
        <w:pStyle w:val="ListParagraph"/>
        <w:numPr>
          <w:ilvl w:val="3"/>
          <w:numId w:val="41"/>
        </w:numPr>
        <w:spacing w:after="0"/>
        <w:ind w:left="1843"/>
        <w:jc w:val="both"/>
        <w:rPr>
          <w:rFonts w:asciiTheme="majorBidi" w:hAnsiTheme="majorBidi" w:cstheme="majorBidi"/>
          <w:b/>
          <w:bCs/>
          <w:sz w:val="24"/>
          <w:szCs w:val="24"/>
        </w:rPr>
      </w:pPr>
      <w:r w:rsidRPr="0014274D">
        <w:rPr>
          <w:rFonts w:asciiTheme="majorBidi" w:hAnsiTheme="majorBidi" w:cstheme="majorBidi"/>
          <w:b/>
          <w:bCs/>
          <w:sz w:val="24"/>
          <w:szCs w:val="24"/>
        </w:rPr>
        <w:t>Time horizon</w:t>
      </w:r>
    </w:p>
    <w:p w14:paraId="30ACA6DB" w14:textId="630CC0E3" w:rsidR="00C033B5" w:rsidRPr="00C033B5" w:rsidRDefault="00C033B5" w:rsidP="0014274D">
      <w:pPr>
        <w:spacing w:line="276" w:lineRule="auto"/>
        <w:ind w:firstLine="357"/>
        <w:jc w:val="both"/>
        <w:rPr>
          <w:rFonts w:asciiTheme="majorBidi" w:hAnsiTheme="majorBidi" w:cstheme="majorBidi"/>
          <w:sz w:val="24"/>
          <w:szCs w:val="24"/>
        </w:rPr>
      </w:pPr>
      <w:r w:rsidRPr="00C033B5">
        <w:rPr>
          <w:rFonts w:asciiTheme="majorBidi" w:hAnsiTheme="majorBidi" w:cstheme="majorBidi"/>
          <w:sz w:val="24"/>
          <w:szCs w:val="24"/>
        </w:rPr>
        <w:t>The study further included time trend, represented by month dummy variables to account for the influence of time related effects on the loan performance outcomes. The findings from our robustness tests indicate that there is no difference in the sign and significance on our estimates with the inclusion of time dummies. This implies that our estimates for impact of skin in the game on interest rates, default likelihood and severity of default is robust and supports our primary findings (See Table A10 of Appendix).</w:t>
      </w:r>
    </w:p>
    <w:p w14:paraId="6A89EDB5" w14:textId="19D9216C" w:rsidR="00C033B5" w:rsidRPr="0014274D" w:rsidRDefault="00C033B5" w:rsidP="00856618">
      <w:pPr>
        <w:pStyle w:val="ListParagraph"/>
        <w:numPr>
          <w:ilvl w:val="3"/>
          <w:numId w:val="41"/>
        </w:numPr>
        <w:spacing w:after="0"/>
        <w:ind w:left="1843"/>
        <w:jc w:val="both"/>
        <w:rPr>
          <w:rFonts w:asciiTheme="majorBidi" w:hAnsiTheme="majorBidi" w:cstheme="majorBidi"/>
          <w:b/>
          <w:bCs/>
          <w:sz w:val="24"/>
          <w:szCs w:val="24"/>
        </w:rPr>
      </w:pPr>
      <w:r w:rsidRPr="0014274D">
        <w:rPr>
          <w:rFonts w:asciiTheme="majorBidi" w:hAnsiTheme="majorBidi" w:cstheme="majorBidi"/>
          <w:b/>
          <w:bCs/>
          <w:sz w:val="24"/>
          <w:szCs w:val="24"/>
        </w:rPr>
        <w:t> Exclusion of old loans </w:t>
      </w:r>
    </w:p>
    <w:p w14:paraId="487123E7" w14:textId="77777777" w:rsidR="00C033B5" w:rsidRDefault="00C033B5" w:rsidP="0014274D">
      <w:pPr>
        <w:spacing w:line="276" w:lineRule="auto"/>
        <w:ind w:firstLine="357"/>
        <w:jc w:val="both"/>
        <w:rPr>
          <w:rFonts w:asciiTheme="majorBidi" w:hAnsiTheme="majorBidi" w:cstheme="majorBidi"/>
          <w:sz w:val="24"/>
          <w:szCs w:val="24"/>
        </w:rPr>
      </w:pPr>
      <w:r w:rsidRPr="00C033B5">
        <w:rPr>
          <w:rFonts w:asciiTheme="majorBidi" w:hAnsiTheme="majorBidi" w:cstheme="majorBidi"/>
          <w:sz w:val="24"/>
          <w:szCs w:val="24"/>
        </w:rPr>
        <w:tab/>
        <w:t>In a resale marketplace lending framework, loan originators originate loans on their balance sheet and further lists for investment on platform for investors. The date on which the loan originates the loan on their balance sheet to borrowers is known as the issue date. Meanwhile, the date on which the loan originator lists them on Mintos platform for investment to investors is known as the listing date. Our sample includes all loans that were listed on platform during the specified time frame of sample. Generally, originators issue and list the loans for investment within the same time frame. However, the sample includes some loans that were issued prior to the sample period but listed during the sample period. Hence, to account for any potential biases or sensitivity resulting from listing of older originated loans, we exclude observations with issue date earlier than sample period of the study. The findings from our robustness test indicate that there is no difference in the sign and significance of our estimates with the exclusion of older loans (See Table A11 of Appendix). This implies that the impact of skin in the game on interest rates, default rates and severity of default is robust and is not driven by the presence of older loans. </w:t>
      </w:r>
    </w:p>
    <w:p w14:paraId="2D977B86" w14:textId="77777777" w:rsidR="00CC0525" w:rsidRPr="00C033B5" w:rsidRDefault="00CC0525" w:rsidP="0014274D">
      <w:pPr>
        <w:spacing w:line="276" w:lineRule="auto"/>
        <w:ind w:firstLine="357"/>
        <w:jc w:val="both"/>
        <w:rPr>
          <w:rFonts w:asciiTheme="majorBidi" w:hAnsiTheme="majorBidi" w:cstheme="majorBidi"/>
          <w:sz w:val="24"/>
          <w:szCs w:val="24"/>
        </w:rPr>
      </w:pPr>
    </w:p>
    <w:p w14:paraId="377B2504" w14:textId="5CDED7B4" w:rsidR="00C033B5" w:rsidRPr="0014274D" w:rsidRDefault="00C033B5" w:rsidP="00856618">
      <w:pPr>
        <w:pStyle w:val="ListParagraph"/>
        <w:numPr>
          <w:ilvl w:val="3"/>
          <w:numId w:val="41"/>
        </w:numPr>
        <w:spacing w:after="0" w:line="240" w:lineRule="auto"/>
        <w:ind w:left="1843"/>
        <w:jc w:val="both"/>
        <w:rPr>
          <w:rFonts w:asciiTheme="majorBidi" w:hAnsiTheme="majorBidi" w:cstheme="majorBidi"/>
          <w:b/>
          <w:bCs/>
          <w:sz w:val="24"/>
          <w:szCs w:val="24"/>
        </w:rPr>
      </w:pPr>
      <w:r w:rsidRPr="0014274D">
        <w:rPr>
          <w:rFonts w:asciiTheme="majorBidi" w:hAnsiTheme="majorBidi" w:cstheme="majorBidi"/>
          <w:b/>
          <w:bCs/>
          <w:sz w:val="24"/>
          <w:szCs w:val="24"/>
        </w:rPr>
        <w:lastRenderedPageBreak/>
        <w:t>Additional control variables</w:t>
      </w:r>
    </w:p>
    <w:p w14:paraId="0A47EAF7" w14:textId="67929543" w:rsidR="00C033B5" w:rsidRPr="00C033B5" w:rsidRDefault="00C033B5" w:rsidP="0014274D">
      <w:pPr>
        <w:spacing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With the transition from claims to notes on Mintos, originators have a choice to pledge their assets in the event of default of loans to provide additional security to investors. Pledge of assets is a form of credit enhancement extended by originators to investors on the platform. According to Chowdhury, Chen, and Tiong (2015) credit enhancement is any form of financial support that is provided to improve credit strength. Therefore, we include pledge of assets, represented by a dummy variable to account for the potential improvement in loan performance resulting from the originator’s choice to pledge their assets. Our findings indicate that there is no difference in the sign and significance of our estimates from primary findings (See Table A12 of Appendix). Moreover, the impact of pledge of assets is insignificant on the ex-post loan performance outcomes. </w:t>
      </w:r>
    </w:p>
    <w:p w14:paraId="040DB769" w14:textId="604EA7BF" w:rsidR="00C033B5" w:rsidRPr="0014274D" w:rsidRDefault="00C033B5" w:rsidP="00856618">
      <w:pPr>
        <w:pStyle w:val="ListParagraph"/>
        <w:numPr>
          <w:ilvl w:val="3"/>
          <w:numId w:val="41"/>
        </w:numPr>
        <w:spacing w:after="0" w:line="240" w:lineRule="auto"/>
        <w:ind w:left="1843"/>
        <w:jc w:val="both"/>
        <w:rPr>
          <w:rFonts w:asciiTheme="majorBidi" w:hAnsiTheme="majorBidi" w:cstheme="majorBidi"/>
          <w:b/>
          <w:bCs/>
          <w:sz w:val="24"/>
          <w:szCs w:val="24"/>
        </w:rPr>
      </w:pPr>
      <w:r w:rsidRPr="0014274D">
        <w:rPr>
          <w:b/>
          <w:bCs/>
        </w:rPr>
        <w:t> </w:t>
      </w:r>
      <w:r w:rsidRPr="0014274D">
        <w:rPr>
          <w:rFonts w:asciiTheme="majorBidi" w:hAnsiTheme="majorBidi" w:cstheme="majorBidi"/>
          <w:b/>
          <w:bCs/>
          <w:sz w:val="24"/>
          <w:szCs w:val="24"/>
        </w:rPr>
        <w:t>IV Regression Estimation</w:t>
      </w:r>
      <w:r w:rsidRPr="0014274D">
        <w:rPr>
          <w:rFonts w:asciiTheme="majorBidi" w:hAnsiTheme="majorBidi" w:cstheme="majorBidi"/>
          <w:b/>
          <w:bCs/>
          <w:sz w:val="24"/>
          <w:szCs w:val="24"/>
        </w:rPr>
        <w:tab/>
      </w:r>
    </w:p>
    <w:p w14:paraId="192CCCC3" w14:textId="77777777" w:rsidR="0014274D" w:rsidRDefault="00C033B5" w:rsidP="0014274D">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Given the theoretical expectation that higher "skin in the game" should improve loan performance due to increased monitoring efforts, we are nevertheless cautious of potential endogeneity issues in our analysis. Even though this study uses control variables, there are still some factors affecting loan performance that are difficult to observe and control. However, this paper does not give much consideration to reverse causation, as loan performance is unlikely to affect the originators’ level of skin in the game. This is because skin in the game of originator is agreed and fixed during the onboarding stage and remains constant across the sample. Since the literature on resale marketplace lending is at the nascent stage, we rely on the literature on securitized loans by banks to better understand the endogeneity issue resulting from a financial institution’s share or exposure in loans. </w:t>
      </w:r>
    </w:p>
    <w:p w14:paraId="4B49DC43" w14:textId="77777777" w:rsidR="0014274D" w:rsidRDefault="00C033B5" w:rsidP="0014274D">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 xml:space="preserve">As noted by Bord and Santos (2015), there is a lack of empirical evidence suggesting appropriate instruments for skin in the game. However, we rely on a theoretical study regarding bank skin in the game and loan contract design by Billett, </w:t>
      </w:r>
      <w:proofErr w:type="spellStart"/>
      <w:r w:rsidRPr="00C033B5">
        <w:rPr>
          <w:rFonts w:asciiTheme="majorBidi" w:hAnsiTheme="majorBidi" w:cstheme="majorBidi"/>
          <w:sz w:val="24"/>
          <w:szCs w:val="24"/>
        </w:rPr>
        <w:t>Elkamhi</w:t>
      </w:r>
      <w:proofErr w:type="spellEnd"/>
      <w:r w:rsidRPr="00C033B5">
        <w:rPr>
          <w:rFonts w:asciiTheme="majorBidi" w:hAnsiTheme="majorBidi" w:cstheme="majorBidi"/>
          <w:sz w:val="24"/>
          <w:szCs w:val="24"/>
        </w:rPr>
        <w:t xml:space="preserve">, Popov &amp; </w:t>
      </w:r>
      <w:proofErr w:type="spellStart"/>
      <w:r w:rsidRPr="00C033B5">
        <w:rPr>
          <w:rFonts w:asciiTheme="majorBidi" w:hAnsiTheme="majorBidi" w:cstheme="majorBidi"/>
          <w:sz w:val="24"/>
          <w:szCs w:val="24"/>
        </w:rPr>
        <w:t>Pungaliya</w:t>
      </w:r>
      <w:proofErr w:type="spellEnd"/>
      <w:r w:rsidRPr="00C033B5">
        <w:rPr>
          <w:rFonts w:asciiTheme="majorBidi" w:hAnsiTheme="majorBidi" w:cstheme="majorBidi"/>
          <w:sz w:val="24"/>
          <w:szCs w:val="24"/>
        </w:rPr>
        <w:t>, (2016) as a starting point. The study proposes a model where the banks’ share or skin in the game in the loans can be treated as endogenous. It theorizes that a bank’s cost of capital might impact the bank's decision on how much of the loan to retain. A higher cost of capital for banks might lead them to retain a smaller share of the loan and vice versa. In a similar vein, we extend the model to our study, where we propose that loan originators’ skin in the game may be influenced by their cost of capital. Originators with a higher level of cost of capital may retain low share of loan on their balance sheet and vice versa. </w:t>
      </w:r>
    </w:p>
    <w:p w14:paraId="0CFB4B10" w14:textId="77777777" w:rsidR="0014274D" w:rsidRDefault="00C033B5" w:rsidP="0014274D">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Therefore, this section uses a two-stage instrumental variables regression to re-estimate the effect of skin in the game on interest rates, likelihood of default and severity of default. Table A13 and A14 of Appendix reports the relevant results of IV-2SLS, IV – Probit, IV – Fractional probit regression. Although the estimations pass the weak instrument test, the result of the endogeneity tests remains inconsistent across some estimations. This inconsistency suggests that the concern about endogeneity may not be as pronounced as initially proposed in resale marketplace lending setting. Table A13 of Appendix presents the results of the first-stage regressions, where the instrumental variable and skin in the game is negatively and significantly correlated at the 1 % level. This suggests that higher cost of capital for originators might lead them to retain a smaller share of the loan. Table A14 of Appendix reports the outcomes of the second-stage regression, where the regression coefficient of skin in the game is significantly negative at the 1 % level, or in line with the results of the benchmark regression. Furthermore, the estimates also indicate that the impact of skin in the game is more pronounced for notes relative to claims. This suggests that the underlying conclusions remain robust and convincing even after dealing with endogeneity.</w:t>
      </w:r>
    </w:p>
    <w:p w14:paraId="0F18A51D" w14:textId="1A3F6466" w:rsidR="00C033B5" w:rsidRDefault="00C033B5" w:rsidP="0014274D">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 xml:space="preserve">Through these robustness analyses, we are confident that our primary results withstand variations in sample size, composition, and estimation methods. These additional tests </w:t>
      </w:r>
      <w:r w:rsidRPr="00C033B5">
        <w:rPr>
          <w:rFonts w:asciiTheme="majorBidi" w:hAnsiTheme="majorBidi" w:cstheme="majorBidi"/>
          <w:sz w:val="24"/>
          <w:szCs w:val="24"/>
        </w:rPr>
        <w:lastRenderedPageBreak/>
        <w:t>strengthen the credibility of our findings and underline the significance of skin in the game as a consistent and influential factor in shaping ex ante and ex post loan performance outcomes.</w:t>
      </w:r>
    </w:p>
    <w:p w14:paraId="5CFEFDA3" w14:textId="77777777" w:rsidR="0014274D" w:rsidRPr="00C033B5" w:rsidRDefault="0014274D" w:rsidP="0014274D">
      <w:pPr>
        <w:spacing w:after="0" w:line="240" w:lineRule="auto"/>
        <w:ind w:firstLine="357"/>
        <w:jc w:val="both"/>
        <w:rPr>
          <w:rFonts w:asciiTheme="majorBidi" w:hAnsiTheme="majorBidi" w:cstheme="majorBidi"/>
          <w:sz w:val="24"/>
          <w:szCs w:val="24"/>
        </w:rPr>
      </w:pPr>
    </w:p>
    <w:p w14:paraId="3F831164" w14:textId="2257D92D" w:rsidR="00C033B5" w:rsidRPr="0014274D" w:rsidRDefault="00C033B5" w:rsidP="00856618">
      <w:pPr>
        <w:pStyle w:val="ListParagraph"/>
        <w:numPr>
          <w:ilvl w:val="1"/>
          <w:numId w:val="41"/>
        </w:numPr>
        <w:spacing w:after="0" w:line="240" w:lineRule="auto"/>
        <w:ind w:left="1134"/>
        <w:jc w:val="both"/>
        <w:rPr>
          <w:rFonts w:asciiTheme="majorBidi" w:hAnsiTheme="majorBidi" w:cstheme="majorBidi"/>
          <w:b/>
          <w:bCs/>
          <w:sz w:val="24"/>
          <w:szCs w:val="24"/>
        </w:rPr>
      </w:pPr>
      <w:r w:rsidRPr="0014274D">
        <w:rPr>
          <w:b/>
          <w:bCs/>
        </w:rPr>
        <w:t> </w:t>
      </w:r>
      <w:r w:rsidRPr="0014274D">
        <w:rPr>
          <w:rFonts w:asciiTheme="majorBidi" w:hAnsiTheme="majorBidi" w:cstheme="majorBidi"/>
          <w:b/>
          <w:bCs/>
          <w:sz w:val="24"/>
          <w:szCs w:val="24"/>
        </w:rPr>
        <w:t>Discussion of results </w:t>
      </w:r>
    </w:p>
    <w:p w14:paraId="0807BF91" w14:textId="77777777" w:rsidR="0014274D" w:rsidRDefault="00C033B5" w:rsidP="0014274D">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This study explored the intricate dynamics of the resale marketplace lending framework, shedding light on the interplay of information asymmetry, multi-level agency relationships, and incentive mechanisms. The empirical investigation delved into the role of 'skin in the game, a requirement imposed on loan originators by platforms like Mintos, and its profound impact on loan pricing, default likelihood, and severity of default.</w:t>
      </w:r>
    </w:p>
    <w:p w14:paraId="11BCC6E2" w14:textId="77777777" w:rsidR="0014274D" w:rsidRDefault="00C033B5" w:rsidP="0014274D">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 xml:space="preserve">Our research findings align with previous studies that have explored the role of information asymmetry in peer-to-peer (P2P) lending platforms. Extant literature has explored the role of signals such as soft information (Weiss et al., 2010; </w:t>
      </w:r>
      <w:proofErr w:type="spellStart"/>
      <w:r w:rsidRPr="00C033B5">
        <w:rPr>
          <w:rFonts w:asciiTheme="majorBidi" w:hAnsiTheme="majorBidi" w:cstheme="majorBidi"/>
          <w:sz w:val="24"/>
          <w:szCs w:val="24"/>
        </w:rPr>
        <w:t>Prystav</w:t>
      </w:r>
      <w:proofErr w:type="spellEnd"/>
      <w:r w:rsidRPr="00C033B5">
        <w:rPr>
          <w:rFonts w:asciiTheme="majorBidi" w:hAnsiTheme="majorBidi" w:cstheme="majorBidi"/>
          <w:sz w:val="24"/>
          <w:szCs w:val="24"/>
        </w:rPr>
        <w:t xml:space="preserve">, 2016), borrower narratives, and social capital in mitigating information asymmetry (Lin et al., 2013; Lu et al., 2021). Our study complements these findings by introducing skin in the game as an additional </w:t>
      </w:r>
      <w:proofErr w:type="spellStart"/>
      <w:r w:rsidRPr="00C033B5">
        <w:rPr>
          <w:rFonts w:asciiTheme="majorBidi" w:hAnsiTheme="majorBidi" w:cstheme="majorBidi"/>
          <w:sz w:val="24"/>
          <w:szCs w:val="24"/>
        </w:rPr>
        <w:t>signaling</w:t>
      </w:r>
      <w:proofErr w:type="spellEnd"/>
      <w:r w:rsidRPr="00C033B5">
        <w:rPr>
          <w:rFonts w:asciiTheme="majorBidi" w:hAnsiTheme="majorBidi" w:cstheme="majorBidi"/>
          <w:sz w:val="24"/>
          <w:szCs w:val="24"/>
        </w:rPr>
        <w:t xml:space="preserve"> mechanism. By requiring loan originators in the resale marketplace lending framework to retain a portion of the loans they distribute, the skin in the game serves as a powerful signal of their confidence in the loan's creditworthiness. This aligns with </w:t>
      </w:r>
      <w:proofErr w:type="spellStart"/>
      <w:r w:rsidRPr="00C033B5">
        <w:rPr>
          <w:rFonts w:asciiTheme="majorBidi" w:hAnsiTheme="majorBidi" w:cstheme="majorBidi"/>
          <w:sz w:val="24"/>
          <w:szCs w:val="24"/>
        </w:rPr>
        <w:t>signaling</w:t>
      </w:r>
      <w:proofErr w:type="spellEnd"/>
      <w:r w:rsidRPr="00C033B5">
        <w:rPr>
          <w:rFonts w:asciiTheme="majorBidi" w:hAnsiTheme="majorBidi" w:cstheme="majorBidi"/>
          <w:sz w:val="24"/>
          <w:szCs w:val="24"/>
        </w:rPr>
        <w:t xml:space="preserve"> theory's premise of using signals to reduce information asymmetry between borrowers and lenders. However, our research extends the existing literature by focusing on the resale marketplace lending framework, a less-explored domain in the P2P lending landscape. We introduce skin in the game as an incentive mechanism and reveal its inverse relationship with default rates, severity of default cases, and interest rates on the largest European P2P lending platform, Mintos. By delving into this unexplored area, our study provides novel insights into the effectiveness of skin in the game as a means to address information asymmetry challenges specific to resale marketplace lending platforms, thus contributing to a more comprehensive understanding of incentive mechanisms in the P2P lending context.</w:t>
      </w:r>
    </w:p>
    <w:p w14:paraId="493720C1" w14:textId="77777777" w:rsidR="0014274D" w:rsidRDefault="00C033B5" w:rsidP="0014274D">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Moreover, drawing a parallel to the financial crisis, our study also offers valuable insights into the potential pitfalls that could have haunted the resale marketplace lending ecosystem without the implementation of 'skin in the game.' The originate-to-distribute model's disregard for risk retention and accountability led to the proliferation of asset backed securities and systemic risks. Resale marketplace lending, with its similarities, could have been susceptible to similar risks if not for the platform's judicious requirement for loan originators to have a stake in the loans they distribute. </w:t>
      </w:r>
    </w:p>
    <w:p w14:paraId="22D5E784" w14:textId="081C856B" w:rsidR="00C033B5" w:rsidRDefault="00C033B5" w:rsidP="0014274D">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 xml:space="preserve">The study has uncovered compelling evidence regarding the pivotal role of skin in the game in reshaping the lending landscape in resale marketplace platforms. Our findings resonate with the core theme we introduced at the outset of this study: addressing information asymmetry and agency conflicts in the lending market. By integrating theories of </w:t>
      </w:r>
      <w:proofErr w:type="spellStart"/>
      <w:r w:rsidRPr="00C033B5">
        <w:rPr>
          <w:rFonts w:asciiTheme="majorBidi" w:hAnsiTheme="majorBidi" w:cstheme="majorBidi"/>
          <w:sz w:val="24"/>
          <w:szCs w:val="24"/>
        </w:rPr>
        <w:t>signaling</w:t>
      </w:r>
      <w:proofErr w:type="spellEnd"/>
      <w:r w:rsidRPr="00C033B5">
        <w:rPr>
          <w:rFonts w:asciiTheme="majorBidi" w:hAnsiTheme="majorBidi" w:cstheme="majorBidi"/>
          <w:sz w:val="24"/>
          <w:szCs w:val="24"/>
        </w:rPr>
        <w:t xml:space="preserve">, agency, and optimal contracts, the study </w:t>
      </w:r>
      <w:proofErr w:type="spellStart"/>
      <w:r w:rsidRPr="00C033B5">
        <w:rPr>
          <w:rFonts w:asciiTheme="majorBidi" w:hAnsiTheme="majorBidi" w:cstheme="majorBidi"/>
          <w:sz w:val="24"/>
          <w:szCs w:val="24"/>
        </w:rPr>
        <w:t>unraveled</w:t>
      </w:r>
      <w:proofErr w:type="spellEnd"/>
      <w:r w:rsidRPr="00C033B5">
        <w:rPr>
          <w:rFonts w:asciiTheme="majorBidi" w:hAnsiTheme="majorBidi" w:cstheme="majorBidi"/>
          <w:sz w:val="24"/>
          <w:szCs w:val="24"/>
        </w:rPr>
        <w:t xml:space="preserve"> the intricate dynamics of the resale marketplace lending framework, providing insights into investor </w:t>
      </w:r>
      <w:proofErr w:type="spellStart"/>
      <w:r w:rsidRPr="00C033B5">
        <w:rPr>
          <w:rFonts w:asciiTheme="majorBidi" w:hAnsiTheme="majorBidi" w:cstheme="majorBidi"/>
          <w:sz w:val="24"/>
          <w:szCs w:val="24"/>
        </w:rPr>
        <w:t>behavior</w:t>
      </w:r>
      <w:proofErr w:type="spellEnd"/>
      <w:r w:rsidRPr="00C033B5">
        <w:rPr>
          <w:rFonts w:asciiTheme="majorBidi" w:hAnsiTheme="majorBidi" w:cstheme="majorBidi"/>
          <w:sz w:val="24"/>
          <w:szCs w:val="24"/>
        </w:rPr>
        <w:t xml:space="preserve"> and loan practices. </w:t>
      </w:r>
    </w:p>
    <w:p w14:paraId="3A8CDE6F" w14:textId="77777777" w:rsidR="0014274D" w:rsidRDefault="0014274D" w:rsidP="0014274D">
      <w:pPr>
        <w:spacing w:after="0" w:line="240" w:lineRule="auto"/>
        <w:ind w:firstLine="357"/>
        <w:jc w:val="both"/>
        <w:rPr>
          <w:rFonts w:asciiTheme="majorBidi" w:hAnsiTheme="majorBidi" w:cstheme="majorBidi"/>
          <w:sz w:val="24"/>
          <w:szCs w:val="24"/>
        </w:rPr>
      </w:pPr>
    </w:p>
    <w:p w14:paraId="031F7B57" w14:textId="6C2408DE" w:rsidR="00C033B5" w:rsidRPr="0014274D" w:rsidRDefault="00C033B5" w:rsidP="00856618">
      <w:pPr>
        <w:pStyle w:val="ListParagraph"/>
        <w:numPr>
          <w:ilvl w:val="1"/>
          <w:numId w:val="41"/>
        </w:numPr>
        <w:spacing w:after="0" w:line="240" w:lineRule="auto"/>
        <w:ind w:left="993" w:hanging="567"/>
        <w:jc w:val="both"/>
        <w:rPr>
          <w:rFonts w:asciiTheme="majorBidi" w:hAnsiTheme="majorBidi" w:cstheme="majorBidi"/>
          <w:b/>
          <w:bCs/>
          <w:sz w:val="24"/>
          <w:szCs w:val="24"/>
        </w:rPr>
      </w:pPr>
      <w:r w:rsidRPr="0014274D">
        <w:rPr>
          <w:rFonts w:asciiTheme="majorBidi" w:hAnsiTheme="majorBidi" w:cstheme="majorBidi"/>
          <w:b/>
          <w:bCs/>
          <w:sz w:val="24"/>
          <w:szCs w:val="24"/>
        </w:rPr>
        <w:t xml:space="preserve">Theoretical </w:t>
      </w:r>
      <w:r w:rsidR="0014274D" w:rsidRPr="0014274D">
        <w:rPr>
          <w:rFonts w:asciiTheme="majorBidi" w:hAnsiTheme="majorBidi" w:cstheme="majorBidi"/>
          <w:b/>
          <w:bCs/>
          <w:sz w:val="24"/>
          <w:szCs w:val="24"/>
        </w:rPr>
        <w:t>Contributions </w:t>
      </w:r>
    </w:p>
    <w:p w14:paraId="1E4DE34E" w14:textId="77777777" w:rsidR="0014274D" w:rsidRDefault="00C033B5" w:rsidP="0014274D">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The crux of this paper lies in elucidating the pervasive influence of information asymmetry, manifested as two distinct issues occurring at different levels. The study contends that the coexistence of adverse selection and moral hazard problems characterizes the relationships between investors and Mintos, as well as between Mintos and loan originators. While prior research has probed and substantiated these challenges within retail businesses (Picard, 1987; Klein &amp; Murphy, 1988; Mishra et al., 1998), this study pioneers the empirical exploration of such issues in the context of Peer-to-Peer (P2P) lending platforms.</w:t>
      </w:r>
    </w:p>
    <w:p w14:paraId="1C83545B" w14:textId="77777777" w:rsidR="0014274D" w:rsidRDefault="00C033B5" w:rsidP="0014274D">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 xml:space="preserve">Building upon existing scholarship, our findings reiterate the central role played by "skin in the game" in countering the multifaceted problems arising from information asymmetry. </w:t>
      </w:r>
      <w:r w:rsidRPr="00C033B5">
        <w:rPr>
          <w:rFonts w:asciiTheme="majorBidi" w:hAnsiTheme="majorBidi" w:cstheme="majorBidi"/>
          <w:sz w:val="24"/>
          <w:szCs w:val="24"/>
        </w:rPr>
        <w:lastRenderedPageBreak/>
        <w:t xml:space="preserve">Notably, our results reveal that the incentive mechanism established to tackle the moral hazard problem simultaneously acts as a deterrent to adverse selection, unveiling the diverse or dual utility of "skin in the game." This mirrors previous research, which has recognized the interchangeable nature of incentives and signals in combatting issues like adverse selection and moral hazard, as seen in Rao and Monroe's (1996) findings on reputation signals. Our contribution to the academic discourse extends to the intricacies of agency relationships within resale marketplace lending platforms, especially in the context of platform-originator interactions. In contrast to previous P2P lending studies predominantly </w:t>
      </w:r>
      <w:proofErr w:type="spellStart"/>
      <w:r w:rsidRPr="00C033B5">
        <w:rPr>
          <w:rFonts w:asciiTheme="majorBidi" w:hAnsiTheme="majorBidi" w:cstheme="majorBidi"/>
          <w:sz w:val="24"/>
          <w:szCs w:val="24"/>
        </w:rPr>
        <w:t>centered</w:t>
      </w:r>
      <w:proofErr w:type="spellEnd"/>
      <w:r w:rsidRPr="00C033B5">
        <w:rPr>
          <w:rFonts w:asciiTheme="majorBidi" w:hAnsiTheme="majorBidi" w:cstheme="majorBidi"/>
          <w:sz w:val="24"/>
          <w:szCs w:val="24"/>
        </w:rPr>
        <w:t xml:space="preserve"> on borrower-lender dynamics, our research delves into the multifaceted complexities introduced by loan originators. Thus, we furnish empirical evidence supporting the efficacy of "skin in the game" as a tool to align the interests of originators and investors. It is worth noting that while our primary focus is on the second tier of agency relationships, i.e., between the platform and originators, our study carries wider implications for originator-investor interactions.</w:t>
      </w:r>
    </w:p>
    <w:p w14:paraId="3668C20F" w14:textId="77777777" w:rsidR="0014274D" w:rsidRDefault="00C033B5" w:rsidP="0014274D">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 xml:space="preserve">This study substantiates the strategic transmission of originators' "skin in the game" level as a critical influencer on P2P lending platforms. Investors base loan investment choices on originators' information regarding the extent of "skin in the game," with these decisions aligning with subsequent loan performance. This dispels any notion that such information provisioning is mere "cheap talk." Notably, Mintos' enforcement of "skin in the game" requirement on originators dovetails seamlessly with </w:t>
      </w:r>
      <w:proofErr w:type="spellStart"/>
      <w:r w:rsidRPr="00C033B5">
        <w:rPr>
          <w:rFonts w:asciiTheme="majorBidi" w:hAnsiTheme="majorBidi" w:cstheme="majorBidi"/>
          <w:sz w:val="24"/>
          <w:szCs w:val="24"/>
        </w:rPr>
        <w:t>signaling</w:t>
      </w:r>
      <w:proofErr w:type="spellEnd"/>
      <w:r w:rsidRPr="00C033B5">
        <w:rPr>
          <w:rFonts w:asciiTheme="majorBidi" w:hAnsiTheme="majorBidi" w:cstheme="majorBidi"/>
          <w:sz w:val="24"/>
          <w:szCs w:val="24"/>
        </w:rPr>
        <w:t xml:space="preserve"> theory and optimal contract equilibrium. </w:t>
      </w:r>
    </w:p>
    <w:p w14:paraId="3EF99508" w14:textId="77777777" w:rsidR="0014274D" w:rsidRDefault="00C033B5" w:rsidP="0014274D">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 xml:space="preserve">Additionally, our study also contends that high-quality originators benefit from improved loan pricing, as investors deem loans from them less risky. Originators judiciously weigh the marginal cost of retaining loans against the associated marginal enhancement in loan pricing. Our findings coherently reflect the effectiveness of optimal contracts and </w:t>
      </w:r>
      <w:proofErr w:type="spellStart"/>
      <w:r w:rsidRPr="00C033B5">
        <w:rPr>
          <w:rFonts w:asciiTheme="majorBidi" w:hAnsiTheme="majorBidi" w:cstheme="majorBidi"/>
          <w:sz w:val="24"/>
          <w:szCs w:val="24"/>
        </w:rPr>
        <w:t>signaling</w:t>
      </w:r>
      <w:proofErr w:type="spellEnd"/>
      <w:r w:rsidRPr="00C033B5">
        <w:rPr>
          <w:rFonts w:asciiTheme="majorBidi" w:hAnsiTheme="majorBidi" w:cstheme="majorBidi"/>
          <w:sz w:val="24"/>
          <w:szCs w:val="24"/>
        </w:rPr>
        <w:t xml:space="preserve"> theories in explicating lending </w:t>
      </w:r>
      <w:proofErr w:type="spellStart"/>
      <w:r w:rsidRPr="00C033B5">
        <w:rPr>
          <w:rFonts w:asciiTheme="majorBidi" w:hAnsiTheme="majorBidi" w:cstheme="majorBidi"/>
          <w:sz w:val="24"/>
          <w:szCs w:val="24"/>
        </w:rPr>
        <w:t>behavior</w:t>
      </w:r>
      <w:proofErr w:type="spellEnd"/>
      <w:r w:rsidRPr="00C033B5">
        <w:rPr>
          <w:rFonts w:asciiTheme="majorBidi" w:hAnsiTheme="majorBidi" w:cstheme="majorBidi"/>
          <w:sz w:val="24"/>
          <w:szCs w:val="24"/>
        </w:rPr>
        <w:t xml:space="preserve"> within the resale marketplace lending context. Investors aptly decode the </w:t>
      </w:r>
      <w:proofErr w:type="spellStart"/>
      <w:r w:rsidRPr="00C033B5">
        <w:rPr>
          <w:rFonts w:asciiTheme="majorBidi" w:hAnsiTheme="majorBidi" w:cstheme="majorBidi"/>
          <w:sz w:val="24"/>
          <w:szCs w:val="24"/>
        </w:rPr>
        <w:t>signaling</w:t>
      </w:r>
      <w:proofErr w:type="spellEnd"/>
      <w:r w:rsidRPr="00C033B5">
        <w:rPr>
          <w:rFonts w:asciiTheme="majorBidi" w:hAnsiTheme="majorBidi" w:cstheme="majorBidi"/>
          <w:sz w:val="24"/>
          <w:szCs w:val="24"/>
        </w:rPr>
        <w:t xml:space="preserve"> impact of originators' "skin in the game" when making investment choices, as their decisions resoundingly correlate with ex post loan quality. This congruence in Mintos' enforcement of "skin in the game" and investors' interpretation thereof, vis-à-vis ex post loan performance, attests to its efficacy in attenuating information asymmetry regarding unobservable loan quality.</w:t>
      </w:r>
    </w:p>
    <w:p w14:paraId="034E782D" w14:textId="6A078EAE" w:rsidR="00C033B5" w:rsidRDefault="00C033B5" w:rsidP="0014274D">
      <w:pPr>
        <w:spacing w:after="0" w:line="240" w:lineRule="auto"/>
        <w:ind w:firstLine="357"/>
        <w:jc w:val="both"/>
        <w:rPr>
          <w:rFonts w:asciiTheme="majorBidi" w:hAnsiTheme="majorBidi" w:cstheme="majorBidi"/>
          <w:sz w:val="24"/>
          <w:szCs w:val="24"/>
        </w:rPr>
      </w:pPr>
      <w:r w:rsidRPr="00C033B5">
        <w:rPr>
          <w:rFonts w:asciiTheme="majorBidi" w:hAnsiTheme="majorBidi" w:cstheme="majorBidi"/>
          <w:sz w:val="24"/>
          <w:szCs w:val="24"/>
        </w:rPr>
        <w:t>As the significance of resale marketplace lending burgeons within the financial landscape, our study underscores the necessity of comprehending these intricate dynamics for both investors and platforms. "Skin in the game" emerges as a preeminent mechanism in alleviating information asymmetry within P2P lending ecosystems, solidifying its position as a vital tool in this evolving landscape.</w:t>
      </w:r>
    </w:p>
    <w:p w14:paraId="673350D7" w14:textId="77777777" w:rsidR="0014274D" w:rsidRPr="00C033B5" w:rsidRDefault="0014274D" w:rsidP="0014274D">
      <w:pPr>
        <w:spacing w:after="0" w:line="240" w:lineRule="auto"/>
        <w:ind w:firstLine="357"/>
        <w:jc w:val="both"/>
        <w:rPr>
          <w:rFonts w:asciiTheme="majorBidi" w:hAnsiTheme="majorBidi" w:cstheme="majorBidi"/>
          <w:sz w:val="24"/>
          <w:szCs w:val="24"/>
        </w:rPr>
      </w:pPr>
    </w:p>
    <w:p w14:paraId="74650254" w14:textId="44AC6FDF" w:rsidR="00C033B5" w:rsidRPr="0014274D" w:rsidRDefault="00C033B5" w:rsidP="00856618">
      <w:pPr>
        <w:pStyle w:val="ListParagraph"/>
        <w:numPr>
          <w:ilvl w:val="1"/>
          <w:numId w:val="41"/>
        </w:numPr>
        <w:spacing w:after="0" w:line="240" w:lineRule="auto"/>
        <w:ind w:left="851" w:hanging="425"/>
        <w:jc w:val="both"/>
        <w:rPr>
          <w:rFonts w:asciiTheme="majorBidi" w:hAnsiTheme="majorBidi" w:cstheme="majorBidi"/>
          <w:b/>
          <w:bCs/>
          <w:sz w:val="24"/>
          <w:szCs w:val="24"/>
        </w:rPr>
      </w:pPr>
      <w:r w:rsidRPr="0014274D">
        <w:rPr>
          <w:rFonts w:asciiTheme="majorBidi" w:hAnsiTheme="majorBidi" w:cstheme="majorBidi"/>
          <w:b/>
          <w:bCs/>
          <w:sz w:val="24"/>
          <w:szCs w:val="24"/>
        </w:rPr>
        <w:t xml:space="preserve">Managerial </w:t>
      </w:r>
      <w:r w:rsidR="0014274D" w:rsidRPr="0014274D">
        <w:rPr>
          <w:rFonts w:asciiTheme="majorBidi" w:hAnsiTheme="majorBidi" w:cstheme="majorBidi"/>
          <w:b/>
          <w:bCs/>
          <w:sz w:val="24"/>
          <w:szCs w:val="24"/>
        </w:rPr>
        <w:t>Implications</w:t>
      </w:r>
    </w:p>
    <w:p w14:paraId="62174242" w14:textId="7D967827" w:rsidR="00C033B5" w:rsidRPr="00C033B5" w:rsidRDefault="00C033B5" w:rsidP="00D61F58">
      <w:pPr>
        <w:spacing w:after="0" w:line="240" w:lineRule="auto"/>
        <w:ind w:firstLine="426"/>
        <w:jc w:val="both"/>
        <w:rPr>
          <w:rFonts w:asciiTheme="majorBidi" w:hAnsiTheme="majorBidi" w:cstheme="majorBidi"/>
          <w:sz w:val="24"/>
          <w:szCs w:val="24"/>
        </w:rPr>
      </w:pPr>
      <w:r w:rsidRPr="00C033B5">
        <w:rPr>
          <w:rFonts w:asciiTheme="majorBidi" w:hAnsiTheme="majorBidi" w:cstheme="majorBidi"/>
          <w:sz w:val="24"/>
          <w:szCs w:val="24"/>
        </w:rPr>
        <w:t xml:space="preserve">The study also considers the implications of our findings for management decision making. As a starting point, we consider the general information asymmetry management framework presented in Figure (4). The study first considers the assessment of information problems faced by investors on Mintos. In principle, the problem of information asymmetry poses a threat to the investors at two levels. These are misrepresentation of loan originator characteristics (i.e., adverse selection) and quality cheating (moral hazard). As illustrated in Figure (4), both issues are mitigated generally by the use of signals and incentives respectively. Although, some firms employ individual mechanisms to serve as signal and incentives separately, the mechanism used in our study to address the information asymmetry problems served duals roles as signals and incentive devices (Rao &amp; Bergen, 1992). In our empirical findings, we observed that "skin in the game" serves as an effective mechanism that addresses the challenges of information asymmetry. By requiring loan originators to have a personal stake in the loans they originate, </w:t>
      </w:r>
      <w:r w:rsidRPr="00C033B5">
        <w:rPr>
          <w:rFonts w:asciiTheme="majorBidi" w:hAnsiTheme="majorBidi" w:cstheme="majorBidi"/>
          <w:sz w:val="24"/>
          <w:szCs w:val="24"/>
        </w:rPr>
        <w:lastRenderedPageBreak/>
        <w:t>"skin in the game" becomes a tangible signal of their commitment and risk-sharing with investors. </w:t>
      </w:r>
    </w:p>
    <w:p w14:paraId="3155C48E" w14:textId="773DFE4A" w:rsidR="00C033B5" w:rsidRPr="00C033B5" w:rsidRDefault="00C033B5" w:rsidP="00D61F58">
      <w:pPr>
        <w:spacing w:after="0" w:line="240" w:lineRule="auto"/>
        <w:ind w:firstLine="426"/>
        <w:jc w:val="both"/>
        <w:rPr>
          <w:rFonts w:asciiTheme="majorBidi" w:hAnsiTheme="majorBidi" w:cstheme="majorBidi"/>
          <w:sz w:val="24"/>
          <w:szCs w:val="24"/>
        </w:rPr>
      </w:pPr>
      <w:r w:rsidRPr="00C033B5">
        <w:rPr>
          <w:rFonts w:asciiTheme="majorBidi" w:hAnsiTheme="majorBidi" w:cstheme="majorBidi"/>
          <w:sz w:val="24"/>
          <w:szCs w:val="24"/>
        </w:rPr>
        <w:t>Finally, the study considers the implications of the findings for the services literature. The extant literature suggests that marketers use service guarantees and assurance in their efforts to communicate the quality of services. Service guarantees are strategic tools used by firms to reduce the prepurchase risk for customers (</w:t>
      </w:r>
      <w:proofErr w:type="spellStart"/>
      <w:r w:rsidRPr="00C033B5">
        <w:rPr>
          <w:rFonts w:asciiTheme="majorBidi" w:hAnsiTheme="majorBidi" w:cstheme="majorBidi"/>
          <w:sz w:val="24"/>
          <w:szCs w:val="24"/>
        </w:rPr>
        <w:t>Hogreve</w:t>
      </w:r>
      <w:proofErr w:type="spellEnd"/>
      <w:r w:rsidRPr="00C033B5">
        <w:rPr>
          <w:rFonts w:asciiTheme="majorBidi" w:hAnsiTheme="majorBidi" w:cstheme="majorBidi"/>
          <w:sz w:val="24"/>
          <w:szCs w:val="24"/>
        </w:rPr>
        <w:t xml:space="preserve"> &amp; Gremler, 2009). Service providers signal their commitment to delivering high-quality services and to reduce customers' perceived risk associated with the service encounter. "Skin in the game" can be considered a form of service assurance, where the service provider demonstrates its dedication and alignment of interests with the customer by having a personal stake in the outcome. As such, it implies that the service provider is willing to share the risks and rewards associated with the service with the customer, which can foster a sense of reliability and trust. </w:t>
      </w:r>
    </w:p>
    <w:p w14:paraId="4262489D" w14:textId="4DAA0746" w:rsidR="00C033B5" w:rsidRPr="00C033B5" w:rsidRDefault="00C033B5" w:rsidP="00D61F58">
      <w:pPr>
        <w:spacing w:after="0" w:line="240" w:lineRule="auto"/>
        <w:ind w:firstLine="426"/>
        <w:jc w:val="both"/>
        <w:rPr>
          <w:rFonts w:asciiTheme="majorBidi" w:hAnsiTheme="majorBidi" w:cstheme="majorBidi"/>
          <w:sz w:val="24"/>
          <w:szCs w:val="24"/>
        </w:rPr>
      </w:pPr>
      <w:r w:rsidRPr="00C033B5">
        <w:rPr>
          <w:rFonts w:asciiTheme="majorBidi" w:hAnsiTheme="majorBidi" w:cstheme="majorBidi"/>
          <w:sz w:val="24"/>
          <w:szCs w:val="24"/>
        </w:rPr>
        <w:t>From a practical standpoint, however, it is unclear what the effects of service guarantees are. Although studies have suggested that service guarantees reduce the consumer’s perceived risk prior to purchase (Ostrom &amp; Iacobucci, 1998; Boshoff, 2002; Lidén &amp; Edvardsson, 2003), there are no consistent results regarding which elements of a service guarantee cause this reduction of risk. Furthermore, there is no clear empirical evidence on whether the presence of a service guarantee yields quality improvements (</w:t>
      </w:r>
      <w:proofErr w:type="spellStart"/>
      <w:r w:rsidRPr="00C033B5">
        <w:rPr>
          <w:rFonts w:asciiTheme="majorBidi" w:hAnsiTheme="majorBidi" w:cstheme="majorBidi"/>
          <w:sz w:val="24"/>
          <w:szCs w:val="24"/>
        </w:rPr>
        <w:t>Hogreve</w:t>
      </w:r>
      <w:proofErr w:type="spellEnd"/>
      <w:r w:rsidRPr="00C033B5">
        <w:rPr>
          <w:rFonts w:asciiTheme="majorBidi" w:hAnsiTheme="majorBidi" w:cstheme="majorBidi"/>
          <w:sz w:val="24"/>
          <w:szCs w:val="24"/>
        </w:rPr>
        <w:t xml:space="preserve"> &amp; Gremler, 2009).</w:t>
      </w:r>
    </w:p>
    <w:p w14:paraId="4F887E62" w14:textId="0EE5F9F3" w:rsidR="00C033B5" w:rsidRPr="00C033B5" w:rsidRDefault="00C033B5" w:rsidP="00D61F58">
      <w:pPr>
        <w:spacing w:line="240" w:lineRule="auto"/>
        <w:ind w:firstLine="360"/>
        <w:jc w:val="both"/>
        <w:rPr>
          <w:rFonts w:asciiTheme="majorBidi" w:hAnsiTheme="majorBidi" w:cstheme="majorBidi"/>
          <w:sz w:val="24"/>
          <w:szCs w:val="24"/>
        </w:rPr>
      </w:pPr>
      <w:r w:rsidRPr="00C033B5">
        <w:rPr>
          <w:rFonts w:asciiTheme="majorBidi" w:hAnsiTheme="majorBidi" w:cstheme="majorBidi"/>
          <w:sz w:val="24"/>
          <w:szCs w:val="24"/>
        </w:rPr>
        <w:t>The empirical findings in this study for skin in the game suggest why efforts at providing service guarantees serves as an effective mechanism. Requiring loan originators to have skin in the game serve a specific purpose for end customers by offering tangible evidence of a firm's commitment to the service provided. This may explain why competition in the market transcends a mere focus on pricing, compelling firms to invest in strategic service guarantees. Mintos can capitalize on this unique selling point by further emphasizing the concept in its marketing efforts and showcasing real-life success stories of how "skin in the game" has positively impacted loan quality and investor returns. By elucidating the link between theory and practice, our study provides valuable insights for management decision making for Mintos and other resale marketplace lending platforms.</w:t>
      </w:r>
    </w:p>
    <w:p w14:paraId="42655D27" w14:textId="18A4BD7A" w:rsidR="00C033B5" w:rsidRPr="00E53478" w:rsidRDefault="00C033B5" w:rsidP="00856618">
      <w:pPr>
        <w:pStyle w:val="ListParagraph"/>
        <w:numPr>
          <w:ilvl w:val="0"/>
          <w:numId w:val="13"/>
        </w:numPr>
        <w:jc w:val="center"/>
        <w:rPr>
          <w:rFonts w:asciiTheme="majorBidi" w:hAnsiTheme="majorBidi" w:cstheme="majorBidi"/>
          <w:b/>
          <w:bCs/>
          <w:sz w:val="24"/>
          <w:szCs w:val="24"/>
        </w:rPr>
      </w:pPr>
      <w:r w:rsidRPr="00E53478">
        <w:rPr>
          <w:rFonts w:asciiTheme="majorBidi" w:hAnsiTheme="majorBidi" w:cstheme="majorBidi"/>
          <w:b/>
          <w:bCs/>
          <w:sz w:val="24"/>
          <w:szCs w:val="24"/>
        </w:rPr>
        <w:t>C</w:t>
      </w:r>
      <w:r w:rsidR="00E53478" w:rsidRPr="00E53478">
        <w:rPr>
          <w:rFonts w:asciiTheme="majorBidi" w:hAnsiTheme="majorBidi" w:cstheme="majorBidi"/>
          <w:b/>
          <w:bCs/>
          <w:sz w:val="24"/>
          <w:szCs w:val="24"/>
        </w:rPr>
        <w:t>ONCLUSION</w:t>
      </w:r>
    </w:p>
    <w:p w14:paraId="45B37C0E" w14:textId="78EC1B2E" w:rsidR="00C033B5" w:rsidRPr="00D61F58" w:rsidRDefault="00C033B5" w:rsidP="00856618">
      <w:pPr>
        <w:pStyle w:val="ListParagraph"/>
        <w:numPr>
          <w:ilvl w:val="1"/>
          <w:numId w:val="42"/>
        </w:numPr>
        <w:spacing w:after="0" w:line="240" w:lineRule="auto"/>
        <w:ind w:left="426" w:hanging="426"/>
        <w:jc w:val="both"/>
        <w:rPr>
          <w:rFonts w:asciiTheme="majorBidi" w:hAnsiTheme="majorBidi" w:cstheme="majorBidi"/>
          <w:b/>
          <w:bCs/>
          <w:sz w:val="24"/>
          <w:szCs w:val="24"/>
        </w:rPr>
      </w:pPr>
      <w:r w:rsidRPr="00D61F58">
        <w:rPr>
          <w:rFonts w:asciiTheme="majorBidi" w:hAnsiTheme="majorBidi" w:cstheme="majorBidi"/>
          <w:b/>
          <w:bCs/>
          <w:sz w:val="24"/>
          <w:szCs w:val="24"/>
        </w:rPr>
        <w:t>Concluding Remarks</w:t>
      </w:r>
    </w:p>
    <w:p w14:paraId="208A599F" w14:textId="77777777" w:rsidR="00D61F58" w:rsidRDefault="00C033B5" w:rsidP="00D61F58">
      <w:pPr>
        <w:spacing w:after="0" w:line="240" w:lineRule="auto"/>
        <w:ind w:firstLine="426"/>
        <w:jc w:val="both"/>
        <w:rPr>
          <w:rFonts w:asciiTheme="majorBidi" w:hAnsiTheme="majorBidi" w:cstheme="majorBidi"/>
          <w:sz w:val="24"/>
          <w:szCs w:val="24"/>
        </w:rPr>
      </w:pPr>
      <w:r w:rsidRPr="00C033B5">
        <w:rPr>
          <w:rFonts w:asciiTheme="majorBidi" w:hAnsiTheme="majorBidi" w:cstheme="majorBidi"/>
          <w:sz w:val="24"/>
          <w:szCs w:val="24"/>
        </w:rPr>
        <w:t>The information asymmetry and its amplified effects in the resale marketplace lending domain, where loan originators may be incentivized to prioritize loan origination and distribution over loan quality motivates us to explore the role of skin in the game mechanism in alleviating information asymmetry between investors and loan originators. Employing the data from Mintos, the largest resale marketplace lending platform in EU, we investigate the impact of level of skin in the game borne by an originator on the ex-ante and ex-post loan performance. The findings of the study indicate that the loans listed by originators with higher level of skin in the game are significantly and negatively related to interest rates, likelihood of default and severity of default. These findings suggest that loan originators may strategically signal the commitment and trust in the loans they offer by bearing higher level of skin in the game. Accordingly, the evidenced reduction in the likelihood and severity of default also reaffirms our expectation of the dual role played by skin in the game as an incentive and signal. </w:t>
      </w:r>
    </w:p>
    <w:p w14:paraId="69E865E9" w14:textId="5D1F9B01" w:rsidR="00C033B5" w:rsidRPr="00D61F58" w:rsidRDefault="00C033B5" w:rsidP="00D61F58">
      <w:pPr>
        <w:spacing w:line="240" w:lineRule="auto"/>
        <w:ind w:firstLine="426"/>
        <w:jc w:val="both"/>
        <w:rPr>
          <w:rFonts w:asciiTheme="majorBidi" w:hAnsiTheme="majorBidi" w:cstheme="majorBidi"/>
          <w:sz w:val="24"/>
          <w:szCs w:val="24"/>
        </w:rPr>
      </w:pPr>
      <w:r w:rsidRPr="00C033B5">
        <w:rPr>
          <w:rFonts w:asciiTheme="majorBidi" w:hAnsiTheme="majorBidi" w:cstheme="majorBidi"/>
          <w:sz w:val="24"/>
          <w:szCs w:val="24"/>
        </w:rPr>
        <w:t xml:space="preserve">According to Alexander &amp; Cumming (2020), the detection and prevention of fraud and misconduct takes the utmost precedence in the financial risk management. Although the empirical research on resale marketplace lending is scarce, the evidence of fraudsters generally in the crowd funding market is already established (Karami, Cumming, </w:t>
      </w:r>
      <w:proofErr w:type="spellStart"/>
      <w:r w:rsidRPr="00C033B5">
        <w:rPr>
          <w:rFonts w:asciiTheme="majorBidi" w:hAnsiTheme="majorBidi" w:cstheme="majorBidi"/>
          <w:sz w:val="24"/>
          <w:szCs w:val="24"/>
        </w:rPr>
        <w:t>Hornuf</w:t>
      </w:r>
      <w:proofErr w:type="spellEnd"/>
      <w:r w:rsidRPr="00C033B5">
        <w:rPr>
          <w:rFonts w:asciiTheme="majorBidi" w:hAnsiTheme="majorBidi" w:cstheme="majorBidi"/>
          <w:sz w:val="24"/>
          <w:szCs w:val="24"/>
        </w:rPr>
        <w:t xml:space="preserve">, &amp; Schweizer, 2017). This intricacy emerges as a collective of agents; i.e., loan originators and Mintos collaborates to improve the well-being of investors. Thereby, posing a significant challenge in disentangling individual outcomes from each other. The findings of this study also reaffirms </w:t>
      </w:r>
      <w:r w:rsidRPr="00C033B5">
        <w:rPr>
          <w:rFonts w:asciiTheme="majorBidi" w:hAnsiTheme="majorBidi" w:cstheme="majorBidi"/>
          <w:sz w:val="24"/>
          <w:szCs w:val="24"/>
        </w:rPr>
        <w:lastRenderedPageBreak/>
        <w:t xml:space="preserve">the loan originator’s tendency to engage in opportunistic </w:t>
      </w:r>
      <w:proofErr w:type="spellStart"/>
      <w:r w:rsidRPr="00C033B5">
        <w:rPr>
          <w:rFonts w:asciiTheme="majorBidi" w:hAnsiTheme="majorBidi" w:cstheme="majorBidi"/>
          <w:sz w:val="24"/>
          <w:szCs w:val="24"/>
        </w:rPr>
        <w:t>behavior</w:t>
      </w:r>
      <w:proofErr w:type="spellEnd"/>
      <w:r w:rsidRPr="00C033B5">
        <w:rPr>
          <w:rFonts w:asciiTheme="majorBidi" w:hAnsiTheme="majorBidi" w:cstheme="majorBidi"/>
          <w:sz w:val="24"/>
          <w:szCs w:val="24"/>
        </w:rPr>
        <w:t xml:space="preserve"> as evidenced by the inverse relationship between skin in the game and likelihood and severity of default. As the level of skin in the game decreases, originators have a tendency to exert less effort to ensure the quality of loan offerings</w:t>
      </w:r>
      <w:r w:rsidRPr="00C033B5">
        <w:t>.</w:t>
      </w:r>
    </w:p>
    <w:p w14:paraId="139A957B" w14:textId="1ADB6834" w:rsidR="00C033B5" w:rsidRPr="00CC0525" w:rsidRDefault="00C033B5" w:rsidP="00856618">
      <w:pPr>
        <w:pStyle w:val="ListParagraph"/>
        <w:numPr>
          <w:ilvl w:val="1"/>
          <w:numId w:val="42"/>
        </w:numPr>
        <w:spacing w:line="240" w:lineRule="auto"/>
        <w:ind w:left="426" w:hanging="425"/>
        <w:jc w:val="both"/>
        <w:rPr>
          <w:rFonts w:asciiTheme="majorBidi" w:hAnsiTheme="majorBidi" w:cstheme="majorBidi"/>
          <w:b/>
          <w:bCs/>
          <w:sz w:val="24"/>
          <w:szCs w:val="24"/>
        </w:rPr>
      </w:pPr>
      <w:r w:rsidRPr="00CC0525">
        <w:rPr>
          <w:rFonts w:asciiTheme="majorBidi" w:hAnsiTheme="majorBidi" w:cstheme="majorBidi"/>
          <w:b/>
          <w:bCs/>
          <w:sz w:val="24"/>
          <w:szCs w:val="24"/>
        </w:rPr>
        <w:t>Policy Implications </w:t>
      </w:r>
    </w:p>
    <w:p w14:paraId="2C655080" w14:textId="7DE67812" w:rsidR="00C033B5" w:rsidRPr="00C033B5" w:rsidRDefault="00C033B5" w:rsidP="00D61F58">
      <w:pPr>
        <w:spacing w:after="0" w:line="240" w:lineRule="auto"/>
        <w:ind w:firstLine="426"/>
        <w:jc w:val="both"/>
        <w:rPr>
          <w:rFonts w:asciiTheme="majorBidi" w:hAnsiTheme="majorBidi" w:cstheme="majorBidi"/>
          <w:sz w:val="24"/>
          <w:szCs w:val="24"/>
        </w:rPr>
      </w:pPr>
      <w:r w:rsidRPr="00C033B5">
        <w:rPr>
          <w:rFonts w:asciiTheme="majorBidi" w:hAnsiTheme="majorBidi" w:cstheme="majorBidi"/>
          <w:sz w:val="24"/>
          <w:szCs w:val="24"/>
        </w:rPr>
        <w:t xml:space="preserve">The extant literature identified the prevalence of four important stakeholders such as, regulators, platform, investors and borrowers among peer to peer lending platforms (Bao, Ding, Gopal, &amp; </w:t>
      </w:r>
      <w:proofErr w:type="spellStart"/>
      <w:r w:rsidRPr="00C033B5">
        <w:rPr>
          <w:rFonts w:asciiTheme="majorBidi" w:hAnsiTheme="majorBidi" w:cstheme="majorBidi"/>
          <w:sz w:val="24"/>
          <w:szCs w:val="24"/>
        </w:rPr>
        <w:t>Möhlmann</w:t>
      </w:r>
      <w:proofErr w:type="spellEnd"/>
      <w:r w:rsidRPr="00C033B5">
        <w:rPr>
          <w:rFonts w:asciiTheme="majorBidi" w:hAnsiTheme="majorBidi" w:cstheme="majorBidi"/>
          <w:sz w:val="24"/>
          <w:szCs w:val="24"/>
        </w:rPr>
        <w:t>, 2023). The findings of this study also has important implications for investors on the platform. According to Bao et al. (2023), the investors on the platform are the ultimate bearers of default risks and is often exacerbated due to risk of information asymmetry and investment concentration. Our findings indicate that investors can optimize the default risk by investing in loans that are listed by originators with higher level of skin in the game. Furthermore, investors on the platform also face investment concentration risk if the investors are unable to diversify the loans due to internal mechanisms (Bao et al., 2023). The inherent nature of the current loan-based investments i.e., notes poses substantial investment concentration risk to investors as several loans are bundled together to form a set of notes. At an investor level, our findings indicate that investors can optimize investment concentration risk by investing in loans originated by higher skin in the game. Originators with higher level of skin in the game practice more caution in bundling the loans and are less likely to slip in subprime loans due to their heightened sensitivity to loan performance. Investors will realize improved returns and reduced long term risks by investing in the loans listed by originators with a higher skin in the game. This will promote and improve responsible investment practices on the platform.</w:t>
      </w:r>
    </w:p>
    <w:p w14:paraId="45CDF68C" w14:textId="0D9936BD" w:rsidR="00C033B5" w:rsidRPr="00C033B5" w:rsidRDefault="00C033B5" w:rsidP="00D61F58">
      <w:pPr>
        <w:spacing w:after="0" w:line="240" w:lineRule="auto"/>
        <w:ind w:firstLine="426"/>
        <w:jc w:val="both"/>
        <w:rPr>
          <w:rFonts w:asciiTheme="majorBidi" w:hAnsiTheme="majorBidi" w:cstheme="majorBidi"/>
          <w:sz w:val="24"/>
          <w:szCs w:val="24"/>
        </w:rPr>
      </w:pPr>
      <w:r w:rsidRPr="00C033B5">
        <w:rPr>
          <w:rFonts w:asciiTheme="majorBidi" w:hAnsiTheme="majorBidi" w:cstheme="majorBidi"/>
          <w:sz w:val="24"/>
          <w:szCs w:val="24"/>
        </w:rPr>
        <w:t>In addition, findings indicated a substantial increase in the underlying risk arising from transition to current security design, i.e. notes. Therefore, policy makers also should consider requiring the platform or loan originators to separate a set of notes into tranches as observed in the Mortgage backed securities market (Mizen, 2008), issuing a rating for each individual loan pooled in the bundle. This will in turn promote transparency in the underlying risk of the security and facilitate investors to make responsible lending decisions in alignment with their risk appetite. In addition, policymakers should also require platforms to give due discretion for investors to invest in set of notes by respective tranches. This will reduce investment concentration risk and promote investor welfare.</w:t>
      </w:r>
    </w:p>
    <w:p w14:paraId="09782D9B" w14:textId="49D5AF3A" w:rsidR="00C033B5" w:rsidRPr="00C033B5" w:rsidRDefault="00C033B5" w:rsidP="00CC0525">
      <w:pPr>
        <w:spacing w:after="0" w:line="240" w:lineRule="auto"/>
        <w:ind w:firstLine="426"/>
        <w:jc w:val="both"/>
        <w:rPr>
          <w:rFonts w:asciiTheme="majorBidi" w:hAnsiTheme="majorBidi" w:cstheme="majorBidi"/>
          <w:sz w:val="24"/>
          <w:szCs w:val="24"/>
        </w:rPr>
      </w:pPr>
      <w:r w:rsidRPr="00C033B5">
        <w:rPr>
          <w:rFonts w:asciiTheme="majorBidi" w:hAnsiTheme="majorBidi" w:cstheme="majorBidi"/>
          <w:sz w:val="24"/>
          <w:szCs w:val="24"/>
        </w:rPr>
        <w:t xml:space="preserve">The findings of this study also has implications for loan originators. Loan originators offering high quality loan-based investments should bear a higher level of skin in the game as the findings evidenced the </w:t>
      </w:r>
      <w:proofErr w:type="spellStart"/>
      <w:r w:rsidRPr="00C033B5">
        <w:rPr>
          <w:rFonts w:asciiTheme="majorBidi" w:hAnsiTheme="majorBidi" w:cstheme="majorBidi"/>
          <w:sz w:val="24"/>
          <w:szCs w:val="24"/>
        </w:rPr>
        <w:t>signaling</w:t>
      </w:r>
      <w:proofErr w:type="spellEnd"/>
      <w:r w:rsidRPr="00C033B5">
        <w:rPr>
          <w:rFonts w:asciiTheme="majorBidi" w:hAnsiTheme="majorBidi" w:cstheme="majorBidi"/>
          <w:sz w:val="24"/>
          <w:szCs w:val="24"/>
        </w:rPr>
        <w:t xml:space="preserve"> property of skin in the game. Policymakers can also encourage originators to bear a higher level of skin in the game by implementing incentives. As such, loan originators with a higher level of skin in the game could be subjected to less stringent capital adequacy standards.</w:t>
      </w:r>
    </w:p>
    <w:p w14:paraId="627A577E" w14:textId="0F942B07" w:rsidR="00C033B5" w:rsidRPr="00C033B5" w:rsidRDefault="00C033B5" w:rsidP="00D61F58">
      <w:pPr>
        <w:spacing w:after="0" w:line="240" w:lineRule="auto"/>
        <w:ind w:firstLine="426"/>
        <w:jc w:val="both"/>
        <w:rPr>
          <w:rFonts w:asciiTheme="majorBidi" w:hAnsiTheme="majorBidi" w:cstheme="majorBidi"/>
          <w:sz w:val="24"/>
          <w:szCs w:val="24"/>
        </w:rPr>
      </w:pPr>
      <w:r w:rsidRPr="00C033B5">
        <w:rPr>
          <w:rFonts w:asciiTheme="majorBidi" w:hAnsiTheme="majorBidi" w:cstheme="majorBidi"/>
          <w:sz w:val="24"/>
          <w:szCs w:val="24"/>
        </w:rPr>
        <w:t>Although Mintos operates under a regulated environment, there is currently no regulatory framework in place to monitor the participation of originators on resale marketplace lending platforms. Therefore, policy makers should give considerations for the increased and stringent oversight of originators. Firstly, policies should be aimed at originators to disclose such distribution of loans or participation on resale marketplace lending platforms. Regulators should also lay out an eligibility criteria for distribution among loan originators.</w:t>
      </w:r>
    </w:p>
    <w:p w14:paraId="0A7B61DB" w14:textId="42435C2C" w:rsidR="00C033B5" w:rsidRPr="00C033B5" w:rsidRDefault="00C033B5" w:rsidP="00D61F58">
      <w:pPr>
        <w:spacing w:after="0" w:line="240" w:lineRule="auto"/>
        <w:ind w:firstLine="426"/>
        <w:jc w:val="both"/>
        <w:rPr>
          <w:rFonts w:asciiTheme="majorBidi" w:hAnsiTheme="majorBidi" w:cstheme="majorBidi"/>
          <w:sz w:val="24"/>
          <w:szCs w:val="24"/>
        </w:rPr>
      </w:pPr>
      <w:r w:rsidRPr="00C033B5">
        <w:rPr>
          <w:rFonts w:asciiTheme="majorBidi" w:hAnsiTheme="majorBidi" w:cstheme="majorBidi"/>
          <w:sz w:val="24"/>
          <w:szCs w:val="24"/>
        </w:rPr>
        <w:t xml:space="preserve">In addition, although there exists a skin in the game mechanism to align the interests of both the parties at Mintos-Loan originator level, the platform shall also take additional measures to counteract any potential opportunistic </w:t>
      </w:r>
      <w:proofErr w:type="spellStart"/>
      <w:r w:rsidRPr="00C033B5">
        <w:rPr>
          <w:rFonts w:asciiTheme="majorBidi" w:hAnsiTheme="majorBidi" w:cstheme="majorBidi"/>
          <w:sz w:val="24"/>
          <w:szCs w:val="24"/>
        </w:rPr>
        <w:t>behavior</w:t>
      </w:r>
      <w:proofErr w:type="spellEnd"/>
      <w:r w:rsidRPr="00C033B5">
        <w:rPr>
          <w:rFonts w:asciiTheme="majorBidi" w:hAnsiTheme="majorBidi" w:cstheme="majorBidi"/>
          <w:sz w:val="24"/>
          <w:szCs w:val="24"/>
        </w:rPr>
        <w:t xml:space="preserve"> by originators. Originators are better off financially compared to completely retaining the loans as their financial gains from loan origination might still outweigh the potential losses from defaults. Currently, all loan </w:t>
      </w:r>
      <w:r w:rsidRPr="00C033B5">
        <w:rPr>
          <w:rFonts w:asciiTheme="majorBidi" w:hAnsiTheme="majorBidi" w:cstheme="majorBidi"/>
          <w:sz w:val="24"/>
          <w:szCs w:val="24"/>
        </w:rPr>
        <w:lastRenderedPageBreak/>
        <w:t>offerings are accompanied with buyback obligation. However, loan originators tend to struggle to buy back the loan from all investors in the event of a market turmoil, resulting in bankruptcy (</w:t>
      </w:r>
      <w:proofErr w:type="spellStart"/>
      <w:r w:rsidRPr="00C033B5">
        <w:rPr>
          <w:rFonts w:asciiTheme="majorBidi" w:hAnsiTheme="majorBidi" w:cstheme="majorBidi"/>
          <w:sz w:val="24"/>
          <w:szCs w:val="24"/>
        </w:rPr>
        <w:t>Nigmonov</w:t>
      </w:r>
      <w:proofErr w:type="spellEnd"/>
      <w:r w:rsidRPr="00C033B5">
        <w:rPr>
          <w:rFonts w:asciiTheme="majorBidi" w:hAnsiTheme="majorBidi" w:cstheme="majorBidi"/>
          <w:sz w:val="24"/>
          <w:szCs w:val="24"/>
        </w:rPr>
        <w:t xml:space="preserve"> &amp; Shams, 2020). Thus, to improve the efficiency of buyback as a credit enhancement mechanism, Mintos must set out stringent capital requirement in accordance with loan distribution standards on the platform.</w:t>
      </w:r>
    </w:p>
    <w:p w14:paraId="3A65C34F" w14:textId="09DD6529" w:rsidR="00C033B5" w:rsidRPr="00C033B5" w:rsidRDefault="00C033B5" w:rsidP="00D61F58">
      <w:pPr>
        <w:spacing w:line="240" w:lineRule="auto"/>
        <w:ind w:firstLine="426"/>
        <w:jc w:val="both"/>
        <w:rPr>
          <w:rFonts w:asciiTheme="majorBidi" w:hAnsiTheme="majorBidi" w:cstheme="majorBidi"/>
          <w:sz w:val="24"/>
          <w:szCs w:val="24"/>
        </w:rPr>
      </w:pPr>
      <w:r w:rsidRPr="00C033B5">
        <w:rPr>
          <w:rFonts w:asciiTheme="majorBidi" w:hAnsiTheme="majorBidi" w:cstheme="majorBidi"/>
          <w:sz w:val="24"/>
          <w:szCs w:val="24"/>
        </w:rPr>
        <w:t>In conclusion, the findings of our study highlight the multifaceted policy implications for stakeholders involved in resale marketplace lending. All the stakeholders should collaboratively address the unique challenges posed by this evolving financial ecosystem to ensure stability, transparency, and responsible lending practices.</w:t>
      </w:r>
    </w:p>
    <w:p w14:paraId="6D0282BE" w14:textId="12B8E8F2" w:rsidR="00C033B5" w:rsidRPr="00D61F58" w:rsidRDefault="00C033B5" w:rsidP="00856618">
      <w:pPr>
        <w:pStyle w:val="ListParagraph"/>
        <w:numPr>
          <w:ilvl w:val="1"/>
          <w:numId w:val="42"/>
        </w:numPr>
        <w:spacing w:after="0" w:line="240" w:lineRule="auto"/>
        <w:ind w:left="426" w:hanging="425"/>
        <w:jc w:val="both"/>
        <w:rPr>
          <w:rFonts w:asciiTheme="majorBidi" w:hAnsiTheme="majorBidi" w:cstheme="majorBidi"/>
          <w:b/>
          <w:bCs/>
          <w:sz w:val="24"/>
          <w:szCs w:val="24"/>
        </w:rPr>
      </w:pPr>
      <w:r w:rsidRPr="00D61F58">
        <w:rPr>
          <w:rFonts w:asciiTheme="majorBidi" w:hAnsiTheme="majorBidi" w:cstheme="majorBidi"/>
          <w:b/>
          <w:bCs/>
          <w:sz w:val="24"/>
          <w:szCs w:val="24"/>
        </w:rPr>
        <w:t>Limitations and Future Research Avenues</w:t>
      </w:r>
    </w:p>
    <w:p w14:paraId="1542A864" w14:textId="77777777" w:rsidR="00D61F58" w:rsidRDefault="00C033B5" w:rsidP="00D61F58">
      <w:pPr>
        <w:spacing w:after="0" w:line="240" w:lineRule="auto"/>
        <w:ind w:firstLine="426"/>
        <w:jc w:val="both"/>
        <w:rPr>
          <w:rFonts w:asciiTheme="majorBidi" w:hAnsiTheme="majorBidi" w:cstheme="majorBidi"/>
          <w:sz w:val="24"/>
          <w:szCs w:val="24"/>
        </w:rPr>
      </w:pPr>
      <w:r w:rsidRPr="00C033B5">
        <w:rPr>
          <w:rFonts w:asciiTheme="majorBidi" w:hAnsiTheme="majorBidi" w:cstheme="majorBidi"/>
          <w:sz w:val="24"/>
          <w:szCs w:val="24"/>
        </w:rPr>
        <w:t xml:space="preserve">The results of our study must be interpreted in view of certain limitations. We acknowledge that our analyses are based solely on loan originators from the countries within the European Union (EU). This decision was influenced by the platform's geographic concentration, primarily </w:t>
      </w:r>
      <w:proofErr w:type="spellStart"/>
      <w:r w:rsidRPr="00C033B5">
        <w:rPr>
          <w:rFonts w:asciiTheme="majorBidi" w:hAnsiTheme="majorBidi" w:cstheme="majorBidi"/>
          <w:sz w:val="24"/>
          <w:szCs w:val="24"/>
        </w:rPr>
        <w:t>centered</w:t>
      </w:r>
      <w:proofErr w:type="spellEnd"/>
      <w:r w:rsidRPr="00C033B5">
        <w:rPr>
          <w:rFonts w:asciiTheme="majorBidi" w:hAnsiTheme="majorBidi" w:cstheme="majorBidi"/>
          <w:sz w:val="24"/>
          <w:szCs w:val="24"/>
        </w:rPr>
        <w:t xml:space="preserve"> in Europe with limited representation in other regions. As the key explanatory variable in our study, "skin in the game," is fixed for each originator, this lack of diversity induces a potential issue of extreme multicollinearity between country fixed effects and the key variable.</w:t>
      </w:r>
    </w:p>
    <w:p w14:paraId="0B3D6160" w14:textId="5849760D" w:rsidR="00C033B5" w:rsidRPr="00C033B5" w:rsidRDefault="00C033B5" w:rsidP="00D61F58">
      <w:pPr>
        <w:spacing w:line="240" w:lineRule="auto"/>
        <w:ind w:firstLine="426"/>
        <w:jc w:val="both"/>
        <w:rPr>
          <w:rFonts w:asciiTheme="majorBidi" w:hAnsiTheme="majorBidi" w:cstheme="majorBidi"/>
          <w:sz w:val="24"/>
          <w:szCs w:val="24"/>
        </w:rPr>
      </w:pPr>
      <w:r w:rsidRPr="00C033B5">
        <w:rPr>
          <w:rFonts w:asciiTheme="majorBidi" w:hAnsiTheme="majorBidi" w:cstheme="majorBidi"/>
          <w:sz w:val="24"/>
          <w:szCs w:val="24"/>
        </w:rPr>
        <w:t xml:space="preserve">Several avenues for further research are also available. Currently, the platform has both primary and secondary market, in the latter of which loans can be sold by investors to other potential investors. It would be interesting to examine the ease of sale or liquidity of loans that were offered by originators with high skin in the game. Understanding how "skin in the game" influences the secondary market and loan resale dynamics can provide valuable insights into investor </w:t>
      </w:r>
      <w:proofErr w:type="spellStart"/>
      <w:r w:rsidRPr="00C033B5">
        <w:rPr>
          <w:rFonts w:asciiTheme="majorBidi" w:hAnsiTheme="majorBidi" w:cstheme="majorBidi"/>
          <w:sz w:val="24"/>
          <w:szCs w:val="24"/>
        </w:rPr>
        <w:t>behavior</w:t>
      </w:r>
      <w:proofErr w:type="spellEnd"/>
      <w:r w:rsidRPr="00C033B5">
        <w:rPr>
          <w:rFonts w:asciiTheme="majorBidi" w:hAnsiTheme="majorBidi" w:cstheme="majorBidi"/>
          <w:sz w:val="24"/>
          <w:szCs w:val="24"/>
        </w:rPr>
        <w:t xml:space="preserve"> and liquidity. Furthermore, researchers can also examine the link between the pricing of loans and level of skin in the game. Investors may resell the loans to other investors at par, premium or discount in the secondary market. As such, it would be an interesting avenue to examine if high level of skin in the game by the originator of loans signals low risk to potential buyers in the secondary market, and thereby, be willing to buy the loans at premium in line with the Portfolio theory. Exploring whether high "skin in the game" by originators signals lower risk and influences loan pricing can contribute to the understanding of how investors perceive and value risk in the resale marketplace lending platforms.</w:t>
      </w:r>
    </w:p>
    <w:p w14:paraId="608F7D48" w14:textId="6E7A107E" w:rsidR="00C033B5" w:rsidRPr="00C033B5" w:rsidRDefault="00C033B5" w:rsidP="00D61F58">
      <w:pPr>
        <w:jc w:val="center"/>
        <w:rPr>
          <w:rFonts w:asciiTheme="majorBidi" w:hAnsiTheme="majorBidi" w:cstheme="majorBidi"/>
          <w:sz w:val="24"/>
          <w:szCs w:val="24"/>
        </w:rPr>
      </w:pPr>
      <w:r w:rsidRPr="00C033B5">
        <w:rPr>
          <w:rFonts w:asciiTheme="majorBidi" w:hAnsiTheme="majorBidi" w:cstheme="majorBidi"/>
          <w:b/>
          <w:bCs/>
          <w:sz w:val="24"/>
          <w:szCs w:val="24"/>
        </w:rPr>
        <w:t>R</w:t>
      </w:r>
      <w:r w:rsidR="00E53478" w:rsidRPr="00E53478">
        <w:rPr>
          <w:rFonts w:asciiTheme="majorBidi" w:hAnsiTheme="majorBidi" w:cstheme="majorBidi"/>
          <w:b/>
          <w:bCs/>
          <w:sz w:val="24"/>
          <w:szCs w:val="24"/>
        </w:rPr>
        <w:t>EFERENCES</w:t>
      </w:r>
    </w:p>
    <w:p w14:paraId="7BC60D24" w14:textId="77777777" w:rsidR="00C033B5" w:rsidRPr="00C033B5" w:rsidRDefault="00C033B5" w:rsidP="00D61F58">
      <w:pPr>
        <w:spacing w:after="0"/>
        <w:ind w:left="720" w:hanging="720"/>
        <w:jc w:val="both"/>
        <w:rPr>
          <w:rFonts w:asciiTheme="majorBidi" w:hAnsiTheme="majorBidi" w:cstheme="majorBidi"/>
          <w:sz w:val="24"/>
          <w:szCs w:val="24"/>
        </w:rPr>
      </w:pPr>
      <w:r w:rsidRPr="00C033B5">
        <w:rPr>
          <w:rFonts w:asciiTheme="majorBidi" w:hAnsiTheme="majorBidi" w:cstheme="majorBidi"/>
          <w:sz w:val="24"/>
          <w:szCs w:val="24"/>
        </w:rPr>
        <w:t xml:space="preserve">Abbasi, H., </w:t>
      </w:r>
      <w:proofErr w:type="spellStart"/>
      <w:r w:rsidRPr="00C033B5">
        <w:rPr>
          <w:rFonts w:asciiTheme="majorBidi" w:hAnsiTheme="majorBidi" w:cstheme="majorBidi"/>
          <w:sz w:val="24"/>
          <w:szCs w:val="24"/>
        </w:rPr>
        <w:t>Bamdad</w:t>
      </w:r>
      <w:proofErr w:type="spellEnd"/>
      <w:r w:rsidRPr="00C033B5">
        <w:rPr>
          <w:rFonts w:asciiTheme="majorBidi" w:hAnsiTheme="majorBidi" w:cstheme="majorBidi"/>
          <w:sz w:val="24"/>
          <w:szCs w:val="24"/>
        </w:rPr>
        <w:t>, S., &amp; Rahimi, M. (2023). Metaheuristic-based portfolio optimization in peer-to-peer lending platforms. </w:t>
      </w:r>
      <w:r w:rsidRPr="00C033B5">
        <w:rPr>
          <w:rFonts w:asciiTheme="majorBidi" w:hAnsiTheme="majorBidi" w:cstheme="majorBidi"/>
          <w:i/>
          <w:iCs/>
          <w:sz w:val="24"/>
          <w:szCs w:val="24"/>
        </w:rPr>
        <w:t>International Journal of System Assurance Engineering and Management</w:t>
      </w:r>
      <w:r w:rsidRPr="00C033B5">
        <w:rPr>
          <w:rFonts w:asciiTheme="majorBidi" w:hAnsiTheme="majorBidi" w:cstheme="majorBidi"/>
          <w:sz w:val="24"/>
          <w:szCs w:val="24"/>
        </w:rPr>
        <w:t>, 1-14.</w:t>
      </w:r>
    </w:p>
    <w:p w14:paraId="77F3240C"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Acharya, V. V., &amp; Richardson, M. (2012). Implications of the Dodd-Frank Act. </w:t>
      </w:r>
      <w:r w:rsidRPr="00C033B5">
        <w:rPr>
          <w:rFonts w:asciiTheme="majorBidi" w:hAnsiTheme="majorBidi" w:cstheme="majorBidi"/>
          <w:i/>
          <w:iCs/>
          <w:sz w:val="24"/>
          <w:szCs w:val="24"/>
        </w:rPr>
        <w:t>Annual Review of Financial Economics</w:t>
      </w:r>
      <w:r w:rsidRPr="00C033B5">
        <w:rPr>
          <w:rFonts w:asciiTheme="majorBidi" w:hAnsiTheme="majorBidi" w:cstheme="majorBidi"/>
          <w:sz w:val="24"/>
          <w:szCs w:val="24"/>
        </w:rPr>
        <w:t>, </w:t>
      </w:r>
      <w:r w:rsidRPr="00C033B5">
        <w:rPr>
          <w:rFonts w:asciiTheme="majorBidi" w:hAnsiTheme="majorBidi" w:cstheme="majorBidi"/>
          <w:i/>
          <w:iCs/>
          <w:sz w:val="24"/>
          <w:szCs w:val="24"/>
        </w:rPr>
        <w:t>4</w:t>
      </w:r>
      <w:r w:rsidRPr="00C033B5">
        <w:rPr>
          <w:rFonts w:asciiTheme="majorBidi" w:hAnsiTheme="majorBidi" w:cstheme="majorBidi"/>
          <w:sz w:val="24"/>
          <w:szCs w:val="24"/>
        </w:rPr>
        <w:t>, 1–38. </w:t>
      </w:r>
    </w:p>
    <w:p w14:paraId="45BAD7DF"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Ali, A., &amp; Daly, K. (2010). Macroeconomic determinants of credit risk: Recent evidence from a cross country study. </w:t>
      </w:r>
      <w:r w:rsidRPr="00C033B5">
        <w:rPr>
          <w:rFonts w:asciiTheme="majorBidi" w:hAnsiTheme="majorBidi" w:cstheme="majorBidi"/>
          <w:i/>
          <w:iCs/>
          <w:sz w:val="24"/>
          <w:szCs w:val="24"/>
        </w:rPr>
        <w:t>International review of financial analysis</w:t>
      </w:r>
      <w:r w:rsidRPr="00C033B5">
        <w:rPr>
          <w:rFonts w:asciiTheme="majorBidi" w:hAnsiTheme="majorBidi" w:cstheme="majorBidi"/>
          <w:sz w:val="24"/>
          <w:szCs w:val="24"/>
        </w:rPr>
        <w:t>, </w:t>
      </w:r>
      <w:r w:rsidRPr="00C033B5">
        <w:rPr>
          <w:rFonts w:asciiTheme="majorBidi" w:hAnsiTheme="majorBidi" w:cstheme="majorBidi"/>
          <w:i/>
          <w:iCs/>
          <w:sz w:val="24"/>
          <w:szCs w:val="24"/>
        </w:rPr>
        <w:t>19</w:t>
      </w:r>
      <w:r w:rsidRPr="00C033B5">
        <w:rPr>
          <w:rFonts w:asciiTheme="majorBidi" w:hAnsiTheme="majorBidi" w:cstheme="majorBidi"/>
          <w:sz w:val="24"/>
          <w:szCs w:val="24"/>
        </w:rPr>
        <w:t>(3), 165-171.</w:t>
      </w:r>
    </w:p>
    <w:p w14:paraId="2BF85510"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Akerlof, G. A. (1978). The market for “lemons”: Quality uncertainty and the market mechanism. In </w:t>
      </w:r>
      <w:r w:rsidRPr="00C033B5">
        <w:rPr>
          <w:rFonts w:asciiTheme="majorBidi" w:hAnsiTheme="majorBidi" w:cstheme="majorBidi"/>
          <w:i/>
          <w:iCs/>
          <w:sz w:val="24"/>
          <w:szCs w:val="24"/>
        </w:rPr>
        <w:t>Uncertainty in economics</w:t>
      </w:r>
      <w:r w:rsidRPr="00C033B5">
        <w:rPr>
          <w:rFonts w:asciiTheme="majorBidi" w:hAnsiTheme="majorBidi" w:cstheme="majorBidi"/>
          <w:sz w:val="24"/>
          <w:szCs w:val="24"/>
        </w:rPr>
        <w:t> (pp. 235-251). Academic Press.</w:t>
      </w:r>
    </w:p>
    <w:p w14:paraId="70E4127D"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Alexander, C., &amp; Cumming, D. (2022). </w:t>
      </w:r>
      <w:r w:rsidRPr="00C033B5">
        <w:rPr>
          <w:rFonts w:asciiTheme="majorBidi" w:hAnsiTheme="majorBidi" w:cstheme="majorBidi"/>
          <w:i/>
          <w:iCs/>
          <w:sz w:val="24"/>
          <w:szCs w:val="24"/>
        </w:rPr>
        <w:t>Corruption and Fraud in financial markets: Malpractice, Misconduct and Manipulation</w:t>
      </w:r>
      <w:r w:rsidRPr="00C033B5">
        <w:rPr>
          <w:rFonts w:asciiTheme="majorBidi" w:hAnsiTheme="majorBidi" w:cstheme="majorBidi"/>
          <w:sz w:val="24"/>
          <w:szCs w:val="24"/>
        </w:rPr>
        <w:t>. John Wiley &amp; Sons.</w:t>
      </w:r>
    </w:p>
    <w:p w14:paraId="78A630C7"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Amaya, D., Brolley, M., &amp; Smith, B. F. (2020). Diamonds in the rough: The value of scouting for early-stage funding. </w:t>
      </w:r>
      <w:r w:rsidRPr="00C033B5">
        <w:rPr>
          <w:rFonts w:asciiTheme="majorBidi" w:hAnsiTheme="majorBidi" w:cstheme="majorBidi"/>
          <w:i/>
          <w:iCs/>
          <w:sz w:val="24"/>
          <w:szCs w:val="24"/>
        </w:rPr>
        <w:t>The North American Journal of Economics and Finance</w:t>
      </w:r>
      <w:r w:rsidRPr="00C033B5">
        <w:rPr>
          <w:rFonts w:asciiTheme="majorBidi" w:hAnsiTheme="majorBidi" w:cstheme="majorBidi"/>
          <w:sz w:val="24"/>
          <w:szCs w:val="24"/>
        </w:rPr>
        <w:t>, </w:t>
      </w:r>
      <w:r w:rsidRPr="00C033B5">
        <w:rPr>
          <w:rFonts w:asciiTheme="majorBidi" w:hAnsiTheme="majorBidi" w:cstheme="majorBidi"/>
          <w:i/>
          <w:iCs/>
          <w:sz w:val="24"/>
          <w:szCs w:val="24"/>
        </w:rPr>
        <w:t>52</w:t>
      </w:r>
      <w:r w:rsidRPr="00C033B5">
        <w:rPr>
          <w:rFonts w:asciiTheme="majorBidi" w:hAnsiTheme="majorBidi" w:cstheme="majorBidi"/>
          <w:sz w:val="24"/>
          <w:szCs w:val="24"/>
        </w:rPr>
        <w:t>, 101131.</w:t>
      </w:r>
    </w:p>
    <w:p w14:paraId="1AAA4DBD"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An, Y., Davey, H., &amp; Eggleton, I. R. (2011). Towards a comprehensive theoretical framework for voluntary IC disclosure. </w:t>
      </w:r>
      <w:r w:rsidRPr="00C033B5">
        <w:rPr>
          <w:rFonts w:asciiTheme="majorBidi" w:hAnsiTheme="majorBidi" w:cstheme="majorBidi"/>
          <w:i/>
          <w:iCs/>
          <w:sz w:val="24"/>
          <w:szCs w:val="24"/>
        </w:rPr>
        <w:t>Journal of Intellectual Capital</w:t>
      </w:r>
      <w:r w:rsidRPr="00C033B5">
        <w:rPr>
          <w:rFonts w:asciiTheme="majorBidi" w:hAnsiTheme="majorBidi" w:cstheme="majorBidi"/>
          <w:sz w:val="24"/>
          <w:szCs w:val="24"/>
        </w:rPr>
        <w:t>, </w:t>
      </w:r>
      <w:r w:rsidRPr="00C033B5">
        <w:rPr>
          <w:rFonts w:asciiTheme="majorBidi" w:hAnsiTheme="majorBidi" w:cstheme="majorBidi"/>
          <w:i/>
          <w:iCs/>
          <w:sz w:val="24"/>
          <w:szCs w:val="24"/>
        </w:rPr>
        <w:t>12</w:t>
      </w:r>
      <w:r w:rsidRPr="00C033B5">
        <w:rPr>
          <w:rFonts w:asciiTheme="majorBidi" w:hAnsiTheme="majorBidi" w:cstheme="majorBidi"/>
          <w:sz w:val="24"/>
          <w:szCs w:val="24"/>
        </w:rPr>
        <w:t>(4), 571-585.</w:t>
      </w:r>
    </w:p>
    <w:p w14:paraId="1275007D"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lastRenderedPageBreak/>
        <w:t xml:space="preserve">Bao, T., Ding, Y., Gopal, R., &amp; </w:t>
      </w:r>
      <w:proofErr w:type="spellStart"/>
      <w:r w:rsidRPr="00C033B5">
        <w:rPr>
          <w:rFonts w:asciiTheme="majorBidi" w:hAnsiTheme="majorBidi" w:cstheme="majorBidi"/>
          <w:sz w:val="24"/>
          <w:szCs w:val="24"/>
        </w:rPr>
        <w:t>Möhlmann</w:t>
      </w:r>
      <w:proofErr w:type="spellEnd"/>
      <w:r w:rsidRPr="00C033B5">
        <w:rPr>
          <w:rFonts w:asciiTheme="majorBidi" w:hAnsiTheme="majorBidi" w:cstheme="majorBidi"/>
          <w:sz w:val="24"/>
          <w:szCs w:val="24"/>
        </w:rPr>
        <w:t>, M. (2023). Throwing Good Money After Bad: Risk Mitigation Strategies in the P2P Lending Platforms. </w:t>
      </w:r>
      <w:r w:rsidRPr="00C033B5">
        <w:rPr>
          <w:rFonts w:asciiTheme="majorBidi" w:hAnsiTheme="majorBidi" w:cstheme="majorBidi"/>
          <w:i/>
          <w:iCs/>
          <w:sz w:val="24"/>
          <w:szCs w:val="24"/>
        </w:rPr>
        <w:t>Information Systems Frontiers</w:t>
      </w:r>
      <w:r w:rsidRPr="00C033B5">
        <w:rPr>
          <w:rFonts w:asciiTheme="majorBidi" w:hAnsiTheme="majorBidi" w:cstheme="majorBidi"/>
          <w:sz w:val="24"/>
          <w:szCs w:val="24"/>
        </w:rPr>
        <w:t>, 1-21.</w:t>
      </w:r>
    </w:p>
    <w:p w14:paraId="2DA0710F"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 xml:space="preserve">Basha, S. A., Elgammal, M. M., &amp; </w:t>
      </w:r>
      <w:proofErr w:type="spellStart"/>
      <w:r w:rsidRPr="00C033B5">
        <w:rPr>
          <w:rFonts w:asciiTheme="majorBidi" w:hAnsiTheme="majorBidi" w:cstheme="majorBidi"/>
          <w:sz w:val="24"/>
          <w:szCs w:val="24"/>
        </w:rPr>
        <w:t>Abuzayed</w:t>
      </w:r>
      <w:proofErr w:type="spellEnd"/>
      <w:r w:rsidRPr="00C033B5">
        <w:rPr>
          <w:rFonts w:asciiTheme="majorBidi" w:hAnsiTheme="majorBidi" w:cstheme="majorBidi"/>
          <w:sz w:val="24"/>
          <w:szCs w:val="24"/>
        </w:rPr>
        <w:t>, B. M. (2021). Online peer-to-peer lending: A review of the literature. </w:t>
      </w:r>
      <w:r w:rsidRPr="00C033B5">
        <w:rPr>
          <w:rFonts w:asciiTheme="majorBidi" w:hAnsiTheme="majorBidi" w:cstheme="majorBidi"/>
          <w:i/>
          <w:iCs/>
          <w:sz w:val="24"/>
          <w:szCs w:val="24"/>
        </w:rPr>
        <w:t>Electronic Commerce Research and Applications</w:t>
      </w:r>
      <w:r w:rsidRPr="00C033B5">
        <w:rPr>
          <w:rFonts w:asciiTheme="majorBidi" w:hAnsiTheme="majorBidi" w:cstheme="majorBidi"/>
          <w:sz w:val="24"/>
          <w:szCs w:val="24"/>
        </w:rPr>
        <w:t>, </w:t>
      </w:r>
      <w:r w:rsidRPr="00C033B5">
        <w:rPr>
          <w:rFonts w:asciiTheme="majorBidi" w:hAnsiTheme="majorBidi" w:cstheme="majorBidi"/>
          <w:i/>
          <w:iCs/>
          <w:sz w:val="24"/>
          <w:szCs w:val="24"/>
        </w:rPr>
        <w:t>48</w:t>
      </w:r>
      <w:r w:rsidRPr="00C033B5">
        <w:rPr>
          <w:rFonts w:asciiTheme="majorBidi" w:hAnsiTheme="majorBidi" w:cstheme="majorBidi"/>
          <w:sz w:val="24"/>
          <w:szCs w:val="24"/>
        </w:rPr>
        <w:t>, 101069.</w:t>
      </w:r>
    </w:p>
    <w:p w14:paraId="7F1E2862"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Bastos, J. A. (2010). Forecasting bank loans loss-given-default. </w:t>
      </w:r>
      <w:r w:rsidRPr="00C033B5">
        <w:rPr>
          <w:rFonts w:asciiTheme="majorBidi" w:hAnsiTheme="majorBidi" w:cstheme="majorBidi"/>
          <w:i/>
          <w:iCs/>
          <w:sz w:val="24"/>
          <w:szCs w:val="24"/>
        </w:rPr>
        <w:t>Journal of Banking &amp; </w:t>
      </w:r>
    </w:p>
    <w:p w14:paraId="430032EF"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i/>
          <w:iCs/>
          <w:sz w:val="24"/>
          <w:szCs w:val="24"/>
        </w:rPr>
        <w:tab/>
        <w:t>Finance</w:t>
      </w:r>
      <w:r w:rsidRPr="00C033B5">
        <w:rPr>
          <w:rFonts w:asciiTheme="majorBidi" w:hAnsiTheme="majorBidi" w:cstheme="majorBidi"/>
          <w:sz w:val="24"/>
          <w:szCs w:val="24"/>
        </w:rPr>
        <w:t>, </w:t>
      </w:r>
      <w:r w:rsidRPr="00C033B5">
        <w:rPr>
          <w:rFonts w:asciiTheme="majorBidi" w:hAnsiTheme="majorBidi" w:cstheme="majorBidi"/>
          <w:i/>
          <w:iCs/>
          <w:sz w:val="24"/>
          <w:szCs w:val="24"/>
        </w:rPr>
        <w:t>34</w:t>
      </w:r>
      <w:r w:rsidRPr="00C033B5">
        <w:rPr>
          <w:rFonts w:asciiTheme="majorBidi" w:hAnsiTheme="majorBidi" w:cstheme="majorBidi"/>
          <w:sz w:val="24"/>
          <w:szCs w:val="24"/>
        </w:rPr>
        <w:t>(10), 2510-2517.</w:t>
      </w:r>
    </w:p>
    <w:p w14:paraId="79AED410"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Bastos, J. A., &amp; Matos, S. M. (2022). Explainable models of credit losses. </w:t>
      </w:r>
      <w:r w:rsidRPr="00C033B5">
        <w:rPr>
          <w:rFonts w:asciiTheme="majorBidi" w:hAnsiTheme="majorBidi" w:cstheme="majorBidi"/>
          <w:i/>
          <w:iCs/>
          <w:sz w:val="24"/>
          <w:szCs w:val="24"/>
        </w:rPr>
        <w:t>European Journal of Operational Research</w:t>
      </w:r>
      <w:r w:rsidRPr="00C033B5">
        <w:rPr>
          <w:rFonts w:asciiTheme="majorBidi" w:hAnsiTheme="majorBidi" w:cstheme="majorBidi"/>
          <w:sz w:val="24"/>
          <w:szCs w:val="24"/>
        </w:rPr>
        <w:t>, </w:t>
      </w:r>
      <w:r w:rsidRPr="00C033B5">
        <w:rPr>
          <w:rFonts w:asciiTheme="majorBidi" w:hAnsiTheme="majorBidi" w:cstheme="majorBidi"/>
          <w:i/>
          <w:iCs/>
          <w:sz w:val="24"/>
          <w:szCs w:val="24"/>
        </w:rPr>
        <w:t>301</w:t>
      </w:r>
      <w:r w:rsidRPr="00C033B5">
        <w:rPr>
          <w:rFonts w:asciiTheme="majorBidi" w:hAnsiTheme="majorBidi" w:cstheme="majorBidi"/>
          <w:sz w:val="24"/>
          <w:szCs w:val="24"/>
        </w:rPr>
        <w:t>(1), 386-394.</w:t>
      </w:r>
    </w:p>
    <w:p w14:paraId="430A5077"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Baum, J.R., &amp; Wally, S. (2003). Strategic decision speed and firm </w:t>
      </w:r>
    </w:p>
    <w:p w14:paraId="7DBDB95F"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performance. </w:t>
      </w:r>
      <w:r w:rsidRPr="00C033B5">
        <w:rPr>
          <w:rFonts w:asciiTheme="majorBidi" w:hAnsiTheme="majorBidi" w:cstheme="majorBidi"/>
          <w:i/>
          <w:iCs/>
          <w:sz w:val="24"/>
          <w:szCs w:val="24"/>
        </w:rPr>
        <w:t>Strategic management journal</w:t>
      </w:r>
      <w:r w:rsidRPr="00C033B5">
        <w:rPr>
          <w:rFonts w:asciiTheme="majorBidi" w:hAnsiTheme="majorBidi" w:cstheme="majorBidi"/>
          <w:sz w:val="24"/>
          <w:szCs w:val="24"/>
        </w:rPr>
        <w:t>, </w:t>
      </w:r>
      <w:r w:rsidRPr="00C033B5">
        <w:rPr>
          <w:rFonts w:asciiTheme="majorBidi" w:hAnsiTheme="majorBidi" w:cstheme="majorBidi"/>
          <w:i/>
          <w:iCs/>
          <w:sz w:val="24"/>
          <w:szCs w:val="24"/>
        </w:rPr>
        <w:t>24</w:t>
      </w:r>
      <w:r w:rsidRPr="00C033B5">
        <w:rPr>
          <w:rFonts w:asciiTheme="majorBidi" w:hAnsiTheme="majorBidi" w:cstheme="majorBidi"/>
          <w:sz w:val="24"/>
          <w:szCs w:val="24"/>
        </w:rPr>
        <w:t>(11), 1107-1129.</w:t>
      </w:r>
    </w:p>
    <w:p w14:paraId="727D7109"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Bellotti, T., &amp; Crook, J. (2012). Loss given default models incorporating macroeconomic </w:t>
      </w:r>
    </w:p>
    <w:p w14:paraId="51666C77"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ab/>
        <w:t>variables for credit cards. </w:t>
      </w:r>
      <w:r w:rsidRPr="00C033B5">
        <w:rPr>
          <w:rFonts w:asciiTheme="majorBidi" w:hAnsiTheme="majorBidi" w:cstheme="majorBidi"/>
          <w:i/>
          <w:iCs/>
          <w:sz w:val="24"/>
          <w:szCs w:val="24"/>
        </w:rPr>
        <w:t>International Journal of Forecasting</w:t>
      </w:r>
      <w:r w:rsidRPr="00C033B5">
        <w:rPr>
          <w:rFonts w:asciiTheme="majorBidi" w:hAnsiTheme="majorBidi" w:cstheme="majorBidi"/>
          <w:sz w:val="24"/>
          <w:szCs w:val="24"/>
        </w:rPr>
        <w:t>, </w:t>
      </w:r>
      <w:r w:rsidRPr="00C033B5">
        <w:rPr>
          <w:rFonts w:asciiTheme="majorBidi" w:hAnsiTheme="majorBidi" w:cstheme="majorBidi"/>
          <w:i/>
          <w:iCs/>
          <w:sz w:val="24"/>
          <w:szCs w:val="24"/>
        </w:rPr>
        <w:t>28</w:t>
      </w:r>
      <w:r w:rsidRPr="00C033B5">
        <w:rPr>
          <w:rFonts w:asciiTheme="majorBidi" w:hAnsiTheme="majorBidi" w:cstheme="majorBidi"/>
          <w:sz w:val="24"/>
          <w:szCs w:val="24"/>
        </w:rPr>
        <w:t>(1), 171-182.</w:t>
      </w:r>
    </w:p>
    <w:p w14:paraId="615BF75B"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A3E0F">
        <w:rPr>
          <w:rFonts w:asciiTheme="majorBidi" w:hAnsiTheme="majorBidi" w:cstheme="majorBidi"/>
          <w:sz w:val="24"/>
          <w:szCs w:val="24"/>
          <w:lang w:val="de-DE"/>
        </w:rPr>
        <w:t xml:space="preserve">Berger, A. N., &amp; Udell, G. F. (1990). </w:t>
      </w:r>
      <w:r w:rsidRPr="00C033B5">
        <w:rPr>
          <w:rFonts w:asciiTheme="majorBidi" w:hAnsiTheme="majorBidi" w:cstheme="majorBidi"/>
          <w:sz w:val="24"/>
          <w:szCs w:val="24"/>
        </w:rPr>
        <w:t>Collateral, loan quality and bank risk. </w:t>
      </w:r>
      <w:r w:rsidRPr="00C033B5">
        <w:rPr>
          <w:rFonts w:asciiTheme="majorBidi" w:hAnsiTheme="majorBidi" w:cstheme="majorBidi"/>
          <w:i/>
          <w:iCs/>
          <w:sz w:val="24"/>
          <w:szCs w:val="24"/>
        </w:rPr>
        <w:t>Journal of Monetary Economics</w:t>
      </w:r>
      <w:r w:rsidRPr="00C033B5">
        <w:rPr>
          <w:rFonts w:asciiTheme="majorBidi" w:hAnsiTheme="majorBidi" w:cstheme="majorBidi"/>
          <w:sz w:val="24"/>
          <w:szCs w:val="24"/>
        </w:rPr>
        <w:t>, </w:t>
      </w:r>
      <w:r w:rsidRPr="00C033B5">
        <w:rPr>
          <w:rFonts w:asciiTheme="majorBidi" w:hAnsiTheme="majorBidi" w:cstheme="majorBidi"/>
          <w:i/>
          <w:iCs/>
          <w:sz w:val="24"/>
          <w:szCs w:val="24"/>
        </w:rPr>
        <w:t>25</w:t>
      </w:r>
      <w:r w:rsidRPr="00C033B5">
        <w:rPr>
          <w:rFonts w:asciiTheme="majorBidi" w:hAnsiTheme="majorBidi" w:cstheme="majorBidi"/>
          <w:sz w:val="24"/>
          <w:szCs w:val="24"/>
        </w:rPr>
        <w:t>(1), 21-42.</w:t>
      </w:r>
    </w:p>
    <w:p w14:paraId="202D4E01"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Berry, L. L. (1995). Relationship marketing of services—growing interest, emerging perspectives. </w:t>
      </w:r>
      <w:r w:rsidRPr="00C033B5">
        <w:rPr>
          <w:rFonts w:asciiTheme="majorBidi" w:hAnsiTheme="majorBidi" w:cstheme="majorBidi"/>
          <w:i/>
          <w:iCs/>
          <w:sz w:val="24"/>
          <w:szCs w:val="24"/>
        </w:rPr>
        <w:t>Journal of the Academy of marketing science</w:t>
      </w:r>
      <w:r w:rsidRPr="00C033B5">
        <w:rPr>
          <w:rFonts w:asciiTheme="majorBidi" w:hAnsiTheme="majorBidi" w:cstheme="majorBidi"/>
          <w:sz w:val="24"/>
          <w:szCs w:val="24"/>
        </w:rPr>
        <w:t>, </w:t>
      </w:r>
      <w:r w:rsidRPr="00C033B5">
        <w:rPr>
          <w:rFonts w:asciiTheme="majorBidi" w:hAnsiTheme="majorBidi" w:cstheme="majorBidi"/>
          <w:i/>
          <w:iCs/>
          <w:sz w:val="24"/>
          <w:szCs w:val="24"/>
        </w:rPr>
        <w:t>23</w:t>
      </w:r>
      <w:r w:rsidRPr="00C033B5">
        <w:rPr>
          <w:rFonts w:asciiTheme="majorBidi" w:hAnsiTheme="majorBidi" w:cstheme="majorBidi"/>
          <w:sz w:val="24"/>
          <w:szCs w:val="24"/>
        </w:rPr>
        <w:t>, 236-245.</w:t>
      </w:r>
    </w:p>
    <w:p w14:paraId="05163E14"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 xml:space="preserve">Bikhchandani, S., &amp; Sharma, S. (2000). Herd </w:t>
      </w:r>
      <w:proofErr w:type="spellStart"/>
      <w:r w:rsidRPr="00C033B5">
        <w:rPr>
          <w:rFonts w:asciiTheme="majorBidi" w:hAnsiTheme="majorBidi" w:cstheme="majorBidi"/>
          <w:sz w:val="24"/>
          <w:szCs w:val="24"/>
        </w:rPr>
        <w:t>behavior</w:t>
      </w:r>
      <w:proofErr w:type="spellEnd"/>
      <w:r w:rsidRPr="00C033B5">
        <w:rPr>
          <w:rFonts w:asciiTheme="majorBidi" w:hAnsiTheme="majorBidi" w:cstheme="majorBidi"/>
          <w:sz w:val="24"/>
          <w:szCs w:val="24"/>
        </w:rPr>
        <w:t xml:space="preserve"> in financial markets. </w:t>
      </w:r>
      <w:r w:rsidRPr="00C033B5">
        <w:rPr>
          <w:rFonts w:asciiTheme="majorBidi" w:hAnsiTheme="majorBidi" w:cstheme="majorBidi"/>
          <w:i/>
          <w:iCs/>
          <w:sz w:val="24"/>
          <w:szCs w:val="24"/>
        </w:rPr>
        <w:t>IMF Staff papers</w:t>
      </w:r>
      <w:r w:rsidRPr="00C033B5">
        <w:rPr>
          <w:rFonts w:asciiTheme="majorBidi" w:hAnsiTheme="majorBidi" w:cstheme="majorBidi"/>
          <w:sz w:val="24"/>
          <w:szCs w:val="24"/>
        </w:rPr>
        <w:t>, </w:t>
      </w:r>
      <w:r w:rsidRPr="00C033B5">
        <w:rPr>
          <w:rFonts w:asciiTheme="majorBidi" w:hAnsiTheme="majorBidi" w:cstheme="majorBidi"/>
          <w:i/>
          <w:iCs/>
          <w:sz w:val="24"/>
          <w:szCs w:val="24"/>
        </w:rPr>
        <w:t>47</w:t>
      </w:r>
      <w:r w:rsidRPr="00C033B5">
        <w:rPr>
          <w:rFonts w:asciiTheme="majorBidi" w:hAnsiTheme="majorBidi" w:cstheme="majorBidi"/>
          <w:sz w:val="24"/>
          <w:szCs w:val="24"/>
        </w:rPr>
        <w:t>(3), 279-310.</w:t>
      </w:r>
    </w:p>
    <w:p w14:paraId="41584435"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Boshoff, C. (2002). Service advertising: an exploratory study of risk perceptions. </w:t>
      </w:r>
      <w:r w:rsidRPr="00C033B5">
        <w:rPr>
          <w:rFonts w:asciiTheme="majorBidi" w:hAnsiTheme="majorBidi" w:cstheme="majorBidi"/>
          <w:i/>
          <w:iCs/>
          <w:sz w:val="24"/>
          <w:szCs w:val="24"/>
        </w:rPr>
        <w:t>Journal of Service Research</w:t>
      </w:r>
      <w:r w:rsidRPr="00C033B5">
        <w:rPr>
          <w:rFonts w:asciiTheme="majorBidi" w:hAnsiTheme="majorBidi" w:cstheme="majorBidi"/>
          <w:sz w:val="24"/>
          <w:szCs w:val="24"/>
        </w:rPr>
        <w:t>, </w:t>
      </w:r>
      <w:r w:rsidRPr="00C033B5">
        <w:rPr>
          <w:rFonts w:asciiTheme="majorBidi" w:hAnsiTheme="majorBidi" w:cstheme="majorBidi"/>
          <w:i/>
          <w:iCs/>
          <w:sz w:val="24"/>
          <w:szCs w:val="24"/>
        </w:rPr>
        <w:t>4</w:t>
      </w:r>
      <w:r w:rsidRPr="00C033B5">
        <w:rPr>
          <w:rFonts w:asciiTheme="majorBidi" w:hAnsiTheme="majorBidi" w:cstheme="majorBidi"/>
          <w:sz w:val="24"/>
          <w:szCs w:val="24"/>
        </w:rPr>
        <w:t>(4), 290-298.</w:t>
      </w:r>
    </w:p>
    <w:p w14:paraId="723D6EE8"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proofErr w:type="spellStart"/>
      <w:r w:rsidRPr="00C033B5">
        <w:rPr>
          <w:rFonts w:asciiTheme="majorBidi" w:hAnsiTheme="majorBidi" w:cstheme="majorBidi"/>
          <w:sz w:val="24"/>
          <w:szCs w:val="24"/>
        </w:rPr>
        <w:t>Caldieraro</w:t>
      </w:r>
      <w:proofErr w:type="spellEnd"/>
      <w:r w:rsidRPr="00C033B5">
        <w:rPr>
          <w:rFonts w:asciiTheme="majorBidi" w:hAnsiTheme="majorBidi" w:cstheme="majorBidi"/>
          <w:sz w:val="24"/>
          <w:szCs w:val="24"/>
        </w:rPr>
        <w:t>, F., Zhang, J. Z., Cunha Jr, M., &amp; Shulman, J. D. (2018). Strategic information transmission in peer-to-peer lending markets. </w:t>
      </w:r>
      <w:r w:rsidRPr="00C033B5">
        <w:rPr>
          <w:rFonts w:asciiTheme="majorBidi" w:hAnsiTheme="majorBidi" w:cstheme="majorBidi"/>
          <w:i/>
          <w:iCs/>
          <w:sz w:val="24"/>
          <w:szCs w:val="24"/>
        </w:rPr>
        <w:t>Journal of Marketing</w:t>
      </w:r>
      <w:r w:rsidRPr="00C033B5">
        <w:rPr>
          <w:rFonts w:asciiTheme="majorBidi" w:hAnsiTheme="majorBidi" w:cstheme="majorBidi"/>
          <w:sz w:val="24"/>
          <w:szCs w:val="24"/>
        </w:rPr>
        <w:t>, </w:t>
      </w:r>
      <w:r w:rsidRPr="00C033B5">
        <w:rPr>
          <w:rFonts w:asciiTheme="majorBidi" w:hAnsiTheme="majorBidi" w:cstheme="majorBidi"/>
          <w:i/>
          <w:iCs/>
          <w:sz w:val="24"/>
          <w:szCs w:val="24"/>
        </w:rPr>
        <w:t>82</w:t>
      </w:r>
      <w:r w:rsidRPr="00C033B5">
        <w:rPr>
          <w:rFonts w:asciiTheme="majorBidi" w:hAnsiTheme="majorBidi" w:cstheme="majorBidi"/>
          <w:sz w:val="24"/>
          <w:szCs w:val="24"/>
        </w:rPr>
        <w:t>(2), 42-63.</w:t>
      </w:r>
    </w:p>
    <w:p w14:paraId="39D4A953"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proofErr w:type="spellStart"/>
      <w:r w:rsidRPr="00C033B5">
        <w:rPr>
          <w:rFonts w:asciiTheme="majorBidi" w:hAnsiTheme="majorBidi" w:cstheme="majorBidi"/>
          <w:sz w:val="24"/>
          <w:szCs w:val="24"/>
        </w:rPr>
        <w:t>Chemla</w:t>
      </w:r>
      <w:proofErr w:type="spellEnd"/>
      <w:r w:rsidRPr="00C033B5">
        <w:rPr>
          <w:rFonts w:asciiTheme="majorBidi" w:hAnsiTheme="majorBidi" w:cstheme="majorBidi"/>
          <w:sz w:val="24"/>
          <w:szCs w:val="24"/>
        </w:rPr>
        <w:t>, G., &amp; Hennessy, C. A. (2014). Skin in the game and moral hazard. </w:t>
      </w:r>
      <w:r w:rsidRPr="00C033B5">
        <w:rPr>
          <w:rFonts w:asciiTheme="majorBidi" w:hAnsiTheme="majorBidi" w:cstheme="majorBidi"/>
          <w:i/>
          <w:iCs/>
          <w:sz w:val="24"/>
          <w:szCs w:val="24"/>
        </w:rPr>
        <w:t>The Journal of Finance</w:t>
      </w:r>
      <w:r w:rsidRPr="00C033B5">
        <w:rPr>
          <w:rFonts w:asciiTheme="majorBidi" w:hAnsiTheme="majorBidi" w:cstheme="majorBidi"/>
          <w:sz w:val="24"/>
          <w:szCs w:val="24"/>
        </w:rPr>
        <w:t>, </w:t>
      </w:r>
      <w:r w:rsidRPr="00C033B5">
        <w:rPr>
          <w:rFonts w:asciiTheme="majorBidi" w:hAnsiTheme="majorBidi" w:cstheme="majorBidi"/>
          <w:i/>
          <w:iCs/>
          <w:sz w:val="24"/>
          <w:szCs w:val="24"/>
        </w:rPr>
        <w:t>69</w:t>
      </w:r>
      <w:r w:rsidRPr="00C033B5">
        <w:rPr>
          <w:rFonts w:asciiTheme="majorBidi" w:hAnsiTheme="majorBidi" w:cstheme="majorBidi"/>
          <w:sz w:val="24"/>
          <w:szCs w:val="24"/>
        </w:rPr>
        <w:t>(4), 1597-1641.</w:t>
      </w:r>
    </w:p>
    <w:p w14:paraId="2E70B67C"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Chen, X., Hu, X., &amp; Ben, S. (2021). How do reputation, structure design and FinTech ecosystem affect the net cash inflow of P2P lending platforms? Evidence from China. </w:t>
      </w:r>
      <w:r w:rsidRPr="00C033B5">
        <w:rPr>
          <w:rFonts w:asciiTheme="majorBidi" w:hAnsiTheme="majorBidi" w:cstheme="majorBidi"/>
          <w:i/>
          <w:iCs/>
          <w:sz w:val="24"/>
          <w:szCs w:val="24"/>
        </w:rPr>
        <w:t>Electronic Commerce Research</w:t>
      </w:r>
      <w:r w:rsidRPr="00C033B5">
        <w:rPr>
          <w:rFonts w:asciiTheme="majorBidi" w:hAnsiTheme="majorBidi" w:cstheme="majorBidi"/>
          <w:sz w:val="24"/>
          <w:szCs w:val="24"/>
        </w:rPr>
        <w:t>, </w:t>
      </w:r>
      <w:r w:rsidRPr="00C033B5">
        <w:rPr>
          <w:rFonts w:asciiTheme="majorBidi" w:hAnsiTheme="majorBidi" w:cstheme="majorBidi"/>
          <w:i/>
          <w:iCs/>
          <w:sz w:val="24"/>
          <w:szCs w:val="24"/>
        </w:rPr>
        <w:t>21</w:t>
      </w:r>
      <w:r w:rsidRPr="00C033B5">
        <w:rPr>
          <w:rFonts w:asciiTheme="majorBidi" w:hAnsiTheme="majorBidi" w:cstheme="majorBidi"/>
          <w:sz w:val="24"/>
          <w:szCs w:val="24"/>
        </w:rPr>
        <w:t>, 1055-1082.</w:t>
      </w:r>
    </w:p>
    <w:p w14:paraId="35158B04"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Chen, X., Huang, B., &amp; Shaban, M. (2022). Naïve or sophisticated? Information disclosure and investment decisions in peer to peer lending. </w:t>
      </w:r>
      <w:r w:rsidRPr="00C033B5">
        <w:rPr>
          <w:rFonts w:asciiTheme="majorBidi" w:hAnsiTheme="majorBidi" w:cstheme="majorBidi"/>
          <w:i/>
          <w:iCs/>
          <w:sz w:val="24"/>
          <w:szCs w:val="24"/>
        </w:rPr>
        <w:t>Journal of Corporate Finance</w:t>
      </w:r>
      <w:r w:rsidRPr="00C033B5">
        <w:rPr>
          <w:rFonts w:asciiTheme="majorBidi" w:hAnsiTheme="majorBidi" w:cstheme="majorBidi"/>
          <w:sz w:val="24"/>
          <w:szCs w:val="24"/>
        </w:rPr>
        <w:t>, </w:t>
      </w:r>
      <w:r w:rsidRPr="00C033B5">
        <w:rPr>
          <w:rFonts w:asciiTheme="majorBidi" w:hAnsiTheme="majorBidi" w:cstheme="majorBidi"/>
          <w:i/>
          <w:iCs/>
          <w:sz w:val="24"/>
          <w:szCs w:val="24"/>
        </w:rPr>
        <w:t>77</w:t>
      </w:r>
      <w:r w:rsidRPr="00C033B5">
        <w:rPr>
          <w:rFonts w:asciiTheme="majorBidi" w:hAnsiTheme="majorBidi" w:cstheme="majorBidi"/>
          <w:sz w:val="24"/>
          <w:szCs w:val="24"/>
        </w:rPr>
        <w:t>, 101805.</w:t>
      </w:r>
    </w:p>
    <w:p w14:paraId="1682D55F"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Chen, X., Zhou, L., &amp; Wan, D. (2016). Group social capital and lending outcomes in the financial credit market: An empirical study of online peer-to-peer lending. </w:t>
      </w:r>
      <w:r w:rsidRPr="00C033B5">
        <w:rPr>
          <w:rFonts w:asciiTheme="majorBidi" w:hAnsiTheme="majorBidi" w:cstheme="majorBidi"/>
          <w:i/>
          <w:iCs/>
          <w:sz w:val="24"/>
          <w:szCs w:val="24"/>
        </w:rPr>
        <w:t>Electronic Commerce Research and Applications</w:t>
      </w:r>
      <w:r w:rsidRPr="00C033B5">
        <w:rPr>
          <w:rFonts w:asciiTheme="majorBidi" w:hAnsiTheme="majorBidi" w:cstheme="majorBidi"/>
          <w:sz w:val="24"/>
          <w:szCs w:val="24"/>
        </w:rPr>
        <w:t>, </w:t>
      </w:r>
      <w:r w:rsidRPr="00C033B5">
        <w:rPr>
          <w:rFonts w:asciiTheme="majorBidi" w:hAnsiTheme="majorBidi" w:cstheme="majorBidi"/>
          <w:i/>
          <w:iCs/>
          <w:sz w:val="24"/>
          <w:szCs w:val="24"/>
        </w:rPr>
        <w:t>15</w:t>
      </w:r>
      <w:r w:rsidRPr="00C033B5">
        <w:rPr>
          <w:rFonts w:asciiTheme="majorBidi" w:hAnsiTheme="majorBidi" w:cstheme="majorBidi"/>
          <w:sz w:val="24"/>
          <w:szCs w:val="24"/>
        </w:rPr>
        <w:t>, 1-13.</w:t>
      </w:r>
    </w:p>
    <w:p w14:paraId="34406AD7"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Chowdhury, A. N., Chen, P. H., &amp; Tiong, R. L. (2015). Credit enhancement factors for the </w:t>
      </w:r>
    </w:p>
    <w:p w14:paraId="264F7EF7"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ab/>
        <w:t>financing of independent power producer (IPP) projects in Asia. </w:t>
      </w:r>
      <w:r w:rsidRPr="00C033B5">
        <w:rPr>
          <w:rFonts w:asciiTheme="majorBidi" w:hAnsiTheme="majorBidi" w:cstheme="majorBidi"/>
          <w:i/>
          <w:iCs/>
          <w:sz w:val="24"/>
          <w:szCs w:val="24"/>
        </w:rPr>
        <w:t>International journal of project management</w:t>
      </w:r>
      <w:r w:rsidRPr="00C033B5">
        <w:rPr>
          <w:rFonts w:asciiTheme="majorBidi" w:hAnsiTheme="majorBidi" w:cstheme="majorBidi"/>
          <w:sz w:val="24"/>
          <w:szCs w:val="24"/>
        </w:rPr>
        <w:t>, </w:t>
      </w:r>
      <w:r w:rsidRPr="00C033B5">
        <w:rPr>
          <w:rFonts w:asciiTheme="majorBidi" w:hAnsiTheme="majorBidi" w:cstheme="majorBidi"/>
          <w:i/>
          <w:iCs/>
          <w:sz w:val="24"/>
          <w:szCs w:val="24"/>
        </w:rPr>
        <w:t>33</w:t>
      </w:r>
      <w:r w:rsidRPr="00C033B5">
        <w:rPr>
          <w:rFonts w:asciiTheme="majorBidi" w:hAnsiTheme="majorBidi" w:cstheme="majorBidi"/>
          <w:sz w:val="24"/>
          <w:szCs w:val="24"/>
        </w:rPr>
        <w:t>(7), 1576-1587.</w:t>
      </w:r>
    </w:p>
    <w:p w14:paraId="52C6A0CC"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 xml:space="preserve">Cosma, S., </w:t>
      </w:r>
      <w:proofErr w:type="spellStart"/>
      <w:r w:rsidRPr="00C033B5">
        <w:rPr>
          <w:rFonts w:asciiTheme="majorBidi" w:hAnsiTheme="majorBidi" w:cstheme="majorBidi"/>
          <w:sz w:val="24"/>
          <w:szCs w:val="24"/>
        </w:rPr>
        <w:t>Pattarin</w:t>
      </w:r>
      <w:proofErr w:type="spellEnd"/>
      <w:r w:rsidRPr="00C033B5">
        <w:rPr>
          <w:rFonts w:asciiTheme="majorBidi" w:hAnsiTheme="majorBidi" w:cstheme="majorBidi"/>
          <w:sz w:val="24"/>
          <w:szCs w:val="24"/>
        </w:rPr>
        <w:t>, F., &amp; Pennetta, D. (2020). Business Models in the Lending-Based </w:t>
      </w:r>
    </w:p>
    <w:p w14:paraId="29138E7F"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ab/>
        <w:t>Crowdfunding Industry. </w:t>
      </w:r>
      <w:r w:rsidRPr="00C033B5">
        <w:rPr>
          <w:rFonts w:asciiTheme="majorBidi" w:hAnsiTheme="majorBidi" w:cstheme="majorBidi"/>
          <w:i/>
          <w:iCs/>
          <w:sz w:val="24"/>
          <w:szCs w:val="24"/>
        </w:rPr>
        <w:t>Banking and Beyond: The Evolution of Financing along </w:t>
      </w:r>
    </w:p>
    <w:p w14:paraId="6E4E768D"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i/>
          <w:iCs/>
          <w:sz w:val="24"/>
          <w:szCs w:val="24"/>
        </w:rPr>
        <w:tab/>
        <w:t>Traditional and Alternative Avenues</w:t>
      </w:r>
      <w:r w:rsidRPr="00C033B5">
        <w:rPr>
          <w:rFonts w:asciiTheme="majorBidi" w:hAnsiTheme="majorBidi" w:cstheme="majorBidi"/>
          <w:sz w:val="24"/>
          <w:szCs w:val="24"/>
        </w:rPr>
        <w:t>, 191-213.</w:t>
      </w:r>
    </w:p>
    <w:p w14:paraId="5326E5F3"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Crawford, G., &amp; Rosenblatt, E. (1995). Efficient mortgage default option exercise: Evidence from loss severity. </w:t>
      </w:r>
      <w:r w:rsidRPr="00C033B5">
        <w:rPr>
          <w:rFonts w:asciiTheme="majorBidi" w:hAnsiTheme="majorBidi" w:cstheme="majorBidi"/>
          <w:i/>
          <w:iCs/>
          <w:sz w:val="24"/>
          <w:szCs w:val="24"/>
        </w:rPr>
        <w:t>Journal of Real Estate Research</w:t>
      </w:r>
      <w:r w:rsidRPr="00C033B5">
        <w:rPr>
          <w:rFonts w:asciiTheme="majorBidi" w:hAnsiTheme="majorBidi" w:cstheme="majorBidi"/>
          <w:sz w:val="24"/>
          <w:szCs w:val="24"/>
        </w:rPr>
        <w:t>, </w:t>
      </w:r>
      <w:r w:rsidRPr="00C033B5">
        <w:rPr>
          <w:rFonts w:asciiTheme="majorBidi" w:hAnsiTheme="majorBidi" w:cstheme="majorBidi"/>
          <w:i/>
          <w:iCs/>
          <w:sz w:val="24"/>
          <w:szCs w:val="24"/>
        </w:rPr>
        <w:t>10</w:t>
      </w:r>
      <w:r w:rsidRPr="00C033B5">
        <w:rPr>
          <w:rFonts w:asciiTheme="majorBidi" w:hAnsiTheme="majorBidi" w:cstheme="majorBidi"/>
          <w:sz w:val="24"/>
          <w:szCs w:val="24"/>
        </w:rPr>
        <w:t>(5), 543-555.</w:t>
      </w:r>
    </w:p>
    <w:p w14:paraId="16507651"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Cressy, R., &amp; Toivanen, O. (2001). Is there adverse selection in the credit market?. </w:t>
      </w:r>
      <w:r w:rsidRPr="00C033B5">
        <w:rPr>
          <w:rFonts w:asciiTheme="majorBidi" w:hAnsiTheme="majorBidi" w:cstheme="majorBidi"/>
          <w:i/>
          <w:iCs/>
          <w:sz w:val="24"/>
          <w:szCs w:val="24"/>
        </w:rPr>
        <w:t>Venture </w:t>
      </w:r>
    </w:p>
    <w:p w14:paraId="27D7CF81"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i/>
          <w:iCs/>
          <w:sz w:val="24"/>
          <w:szCs w:val="24"/>
        </w:rPr>
        <w:tab/>
        <w:t>Capital: An International Journal of Entrepreneurial Finance</w:t>
      </w:r>
      <w:r w:rsidRPr="00C033B5">
        <w:rPr>
          <w:rFonts w:asciiTheme="majorBidi" w:hAnsiTheme="majorBidi" w:cstheme="majorBidi"/>
          <w:sz w:val="24"/>
          <w:szCs w:val="24"/>
        </w:rPr>
        <w:t>, </w:t>
      </w:r>
      <w:r w:rsidRPr="00C033B5">
        <w:rPr>
          <w:rFonts w:asciiTheme="majorBidi" w:hAnsiTheme="majorBidi" w:cstheme="majorBidi"/>
          <w:i/>
          <w:iCs/>
          <w:sz w:val="24"/>
          <w:szCs w:val="24"/>
        </w:rPr>
        <w:t>3</w:t>
      </w:r>
      <w:r w:rsidRPr="00C033B5">
        <w:rPr>
          <w:rFonts w:asciiTheme="majorBidi" w:hAnsiTheme="majorBidi" w:cstheme="majorBidi"/>
          <w:sz w:val="24"/>
          <w:szCs w:val="24"/>
        </w:rPr>
        <w:t>(3), 215-238.</w:t>
      </w:r>
    </w:p>
    <w:p w14:paraId="1D4045AE"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Dembe, A. E., &amp; Boden, L. I. (2000). Moral hazard: a question of morality?. </w:t>
      </w:r>
      <w:r w:rsidRPr="00C033B5">
        <w:rPr>
          <w:rFonts w:asciiTheme="majorBidi" w:hAnsiTheme="majorBidi" w:cstheme="majorBidi"/>
          <w:i/>
          <w:iCs/>
          <w:sz w:val="24"/>
          <w:szCs w:val="24"/>
        </w:rPr>
        <w:t>New Solutions: A Journal of Environmental and Occupational Health Policy</w:t>
      </w:r>
      <w:r w:rsidRPr="00C033B5">
        <w:rPr>
          <w:rFonts w:asciiTheme="majorBidi" w:hAnsiTheme="majorBidi" w:cstheme="majorBidi"/>
          <w:sz w:val="24"/>
          <w:szCs w:val="24"/>
        </w:rPr>
        <w:t>, </w:t>
      </w:r>
      <w:r w:rsidRPr="00C033B5">
        <w:rPr>
          <w:rFonts w:asciiTheme="majorBidi" w:hAnsiTheme="majorBidi" w:cstheme="majorBidi"/>
          <w:i/>
          <w:iCs/>
          <w:sz w:val="24"/>
          <w:szCs w:val="24"/>
        </w:rPr>
        <w:t>10</w:t>
      </w:r>
      <w:r w:rsidRPr="00C033B5">
        <w:rPr>
          <w:rFonts w:asciiTheme="majorBidi" w:hAnsiTheme="majorBidi" w:cstheme="majorBidi"/>
          <w:sz w:val="24"/>
          <w:szCs w:val="24"/>
        </w:rPr>
        <w:t>(3), 257-279.</w:t>
      </w:r>
    </w:p>
    <w:p w14:paraId="45BDF86E"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A3E0F">
        <w:rPr>
          <w:rFonts w:asciiTheme="majorBidi" w:hAnsiTheme="majorBidi" w:cstheme="majorBidi"/>
          <w:sz w:val="24"/>
          <w:szCs w:val="24"/>
          <w:lang w:val="de-DE"/>
        </w:rPr>
        <w:t xml:space="preserve">Ding, J., Huang, J., Li, Y., &amp; Meng, M. (2019). </w:t>
      </w:r>
      <w:r w:rsidRPr="00C033B5">
        <w:rPr>
          <w:rFonts w:asciiTheme="majorBidi" w:hAnsiTheme="majorBidi" w:cstheme="majorBidi"/>
          <w:sz w:val="24"/>
          <w:szCs w:val="24"/>
        </w:rPr>
        <w:t>Is there an effective reputation mechanism in peer-to-peer lending? Evidence from China. </w:t>
      </w:r>
      <w:r w:rsidRPr="00C033B5">
        <w:rPr>
          <w:rFonts w:asciiTheme="majorBidi" w:hAnsiTheme="majorBidi" w:cstheme="majorBidi"/>
          <w:i/>
          <w:iCs/>
          <w:sz w:val="24"/>
          <w:szCs w:val="24"/>
        </w:rPr>
        <w:t>Finance Research Letters</w:t>
      </w:r>
      <w:r w:rsidRPr="00C033B5">
        <w:rPr>
          <w:rFonts w:asciiTheme="majorBidi" w:hAnsiTheme="majorBidi" w:cstheme="majorBidi"/>
          <w:sz w:val="24"/>
          <w:szCs w:val="24"/>
        </w:rPr>
        <w:t>, </w:t>
      </w:r>
      <w:r w:rsidRPr="00C033B5">
        <w:rPr>
          <w:rFonts w:asciiTheme="majorBidi" w:hAnsiTheme="majorBidi" w:cstheme="majorBidi"/>
          <w:i/>
          <w:iCs/>
          <w:sz w:val="24"/>
          <w:szCs w:val="24"/>
        </w:rPr>
        <w:t>30</w:t>
      </w:r>
      <w:r w:rsidRPr="00C033B5">
        <w:rPr>
          <w:rFonts w:asciiTheme="majorBidi" w:hAnsiTheme="majorBidi" w:cstheme="majorBidi"/>
          <w:sz w:val="24"/>
          <w:szCs w:val="24"/>
        </w:rPr>
        <w:t>, 208-215.</w:t>
      </w:r>
    </w:p>
    <w:p w14:paraId="23F07419"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Dionne, G. (1981). Moral hazard and search activity. </w:t>
      </w:r>
      <w:r w:rsidRPr="00C033B5">
        <w:rPr>
          <w:rFonts w:asciiTheme="majorBidi" w:hAnsiTheme="majorBidi" w:cstheme="majorBidi"/>
          <w:i/>
          <w:iCs/>
          <w:sz w:val="24"/>
          <w:szCs w:val="24"/>
        </w:rPr>
        <w:t>Journal of risk and Insurance</w:t>
      </w:r>
      <w:r w:rsidRPr="00C033B5">
        <w:rPr>
          <w:rFonts w:asciiTheme="majorBidi" w:hAnsiTheme="majorBidi" w:cstheme="majorBidi"/>
          <w:sz w:val="24"/>
          <w:szCs w:val="24"/>
        </w:rPr>
        <w:t>, 422-434.</w:t>
      </w:r>
    </w:p>
    <w:p w14:paraId="5AA29848"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A3E0F">
        <w:rPr>
          <w:rFonts w:asciiTheme="majorBidi" w:hAnsiTheme="majorBidi" w:cstheme="majorBidi"/>
          <w:sz w:val="24"/>
          <w:szCs w:val="24"/>
          <w:lang w:val="de-DE"/>
        </w:rPr>
        <w:t xml:space="preserve">Dorfleitner, G., Leidl, M., Priberny, C., &amp; von Mosch, J. (2013). </w:t>
      </w:r>
      <w:r w:rsidRPr="00C033B5">
        <w:rPr>
          <w:rFonts w:asciiTheme="majorBidi" w:hAnsiTheme="majorBidi" w:cstheme="majorBidi"/>
          <w:sz w:val="24"/>
          <w:szCs w:val="24"/>
        </w:rPr>
        <w:t>What determines microcredit interest rates?. </w:t>
      </w:r>
      <w:r w:rsidRPr="00C033B5">
        <w:rPr>
          <w:rFonts w:asciiTheme="majorBidi" w:hAnsiTheme="majorBidi" w:cstheme="majorBidi"/>
          <w:i/>
          <w:iCs/>
          <w:sz w:val="24"/>
          <w:szCs w:val="24"/>
        </w:rPr>
        <w:t>Applied Financial Economics</w:t>
      </w:r>
      <w:r w:rsidRPr="00C033B5">
        <w:rPr>
          <w:rFonts w:asciiTheme="majorBidi" w:hAnsiTheme="majorBidi" w:cstheme="majorBidi"/>
          <w:sz w:val="24"/>
          <w:szCs w:val="24"/>
        </w:rPr>
        <w:t>, </w:t>
      </w:r>
      <w:r w:rsidRPr="00C033B5">
        <w:rPr>
          <w:rFonts w:asciiTheme="majorBidi" w:hAnsiTheme="majorBidi" w:cstheme="majorBidi"/>
          <w:i/>
          <w:iCs/>
          <w:sz w:val="24"/>
          <w:szCs w:val="24"/>
        </w:rPr>
        <w:t>23</w:t>
      </w:r>
      <w:r w:rsidRPr="00C033B5">
        <w:rPr>
          <w:rFonts w:asciiTheme="majorBidi" w:hAnsiTheme="majorBidi" w:cstheme="majorBidi"/>
          <w:sz w:val="24"/>
          <w:szCs w:val="24"/>
        </w:rPr>
        <w:t>(20), 1579-1597.</w:t>
      </w:r>
    </w:p>
    <w:p w14:paraId="2AB8DAA6"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proofErr w:type="spellStart"/>
      <w:r w:rsidRPr="00C033B5">
        <w:rPr>
          <w:rFonts w:asciiTheme="majorBidi" w:hAnsiTheme="majorBidi" w:cstheme="majorBidi"/>
          <w:sz w:val="24"/>
          <w:szCs w:val="24"/>
        </w:rPr>
        <w:lastRenderedPageBreak/>
        <w:t>Dorfleitner</w:t>
      </w:r>
      <w:proofErr w:type="spellEnd"/>
      <w:r w:rsidRPr="00C033B5">
        <w:rPr>
          <w:rFonts w:asciiTheme="majorBidi" w:hAnsiTheme="majorBidi" w:cstheme="majorBidi"/>
          <w:sz w:val="24"/>
          <w:szCs w:val="24"/>
        </w:rPr>
        <w:t>, G., Priberny, C., Schuster, S., Stoiber, J., Weber, M., de Castro, I., &amp; Kammler, J. (2016). Description-text related soft information in peer-to-peer lending–Evidence from two leading European platforms. </w:t>
      </w:r>
      <w:r w:rsidRPr="00C033B5">
        <w:rPr>
          <w:rFonts w:asciiTheme="majorBidi" w:hAnsiTheme="majorBidi" w:cstheme="majorBidi"/>
          <w:i/>
          <w:iCs/>
          <w:sz w:val="24"/>
          <w:szCs w:val="24"/>
        </w:rPr>
        <w:t>Journal of Banking &amp; Finance</w:t>
      </w:r>
      <w:r w:rsidRPr="00C033B5">
        <w:rPr>
          <w:rFonts w:asciiTheme="majorBidi" w:hAnsiTheme="majorBidi" w:cstheme="majorBidi"/>
          <w:sz w:val="24"/>
          <w:szCs w:val="24"/>
        </w:rPr>
        <w:t>, </w:t>
      </w:r>
      <w:r w:rsidRPr="00C033B5">
        <w:rPr>
          <w:rFonts w:asciiTheme="majorBidi" w:hAnsiTheme="majorBidi" w:cstheme="majorBidi"/>
          <w:i/>
          <w:iCs/>
          <w:sz w:val="24"/>
          <w:szCs w:val="24"/>
        </w:rPr>
        <w:t>64</w:t>
      </w:r>
      <w:r w:rsidRPr="00C033B5">
        <w:rPr>
          <w:rFonts w:asciiTheme="majorBidi" w:hAnsiTheme="majorBidi" w:cstheme="majorBidi"/>
          <w:sz w:val="24"/>
          <w:szCs w:val="24"/>
        </w:rPr>
        <w:t>, 169-187.</w:t>
      </w:r>
    </w:p>
    <w:p w14:paraId="10A8D9A4"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Duarte, J., Siegel, S., &amp; Young, L. (2012). Trust and credit: The role of appearance in peer-to-peer lending. </w:t>
      </w:r>
      <w:r w:rsidRPr="00C033B5">
        <w:rPr>
          <w:rFonts w:asciiTheme="majorBidi" w:hAnsiTheme="majorBidi" w:cstheme="majorBidi"/>
          <w:i/>
          <w:iCs/>
          <w:sz w:val="24"/>
          <w:szCs w:val="24"/>
        </w:rPr>
        <w:t>The Review of Financial Studies</w:t>
      </w:r>
      <w:r w:rsidRPr="00C033B5">
        <w:rPr>
          <w:rFonts w:asciiTheme="majorBidi" w:hAnsiTheme="majorBidi" w:cstheme="majorBidi"/>
          <w:sz w:val="24"/>
          <w:szCs w:val="24"/>
        </w:rPr>
        <w:t>, </w:t>
      </w:r>
      <w:r w:rsidRPr="00C033B5">
        <w:rPr>
          <w:rFonts w:asciiTheme="majorBidi" w:hAnsiTheme="majorBidi" w:cstheme="majorBidi"/>
          <w:i/>
          <w:iCs/>
          <w:sz w:val="24"/>
          <w:szCs w:val="24"/>
        </w:rPr>
        <w:t>25</w:t>
      </w:r>
      <w:r w:rsidRPr="00C033B5">
        <w:rPr>
          <w:rFonts w:asciiTheme="majorBidi" w:hAnsiTheme="majorBidi" w:cstheme="majorBidi"/>
          <w:sz w:val="24"/>
          <w:szCs w:val="24"/>
        </w:rPr>
        <w:t>(8), 2455-2484.</w:t>
      </w:r>
    </w:p>
    <w:p w14:paraId="38B2190F"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Eckstein, A. (2017). Skin in the Game for Credit Rating Agencies and Proxy Advisors: Reality Meets Theory. </w:t>
      </w:r>
      <w:r w:rsidRPr="00C033B5">
        <w:rPr>
          <w:rFonts w:asciiTheme="majorBidi" w:hAnsiTheme="majorBidi" w:cstheme="majorBidi"/>
          <w:i/>
          <w:iCs/>
          <w:sz w:val="24"/>
          <w:szCs w:val="24"/>
        </w:rPr>
        <w:t>Harv. Bus. L. Rev.</w:t>
      </w:r>
      <w:r w:rsidRPr="00C033B5">
        <w:rPr>
          <w:rFonts w:asciiTheme="majorBidi" w:hAnsiTheme="majorBidi" w:cstheme="majorBidi"/>
          <w:sz w:val="24"/>
          <w:szCs w:val="24"/>
        </w:rPr>
        <w:t>, </w:t>
      </w:r>
      <w:r w:rsidRPr="00C033B5">
        <w:rPr>
          <w:rFonts w:asciiTheme="majorBidi" w:hAnsiTheme="majorBidi" w:cstheme="majorBidi"/>
          <w:i/>
          <w:iCs/>
          <w:sz w:val="24"/>
          <w:szCs w:val="24"/>
        </w:rPr>
        <w:t>7</w:t>
      </w:r>
      <w:r w:rsidRPr="00C033B5">
        <w:rPr>
          <w:rFonts w:asciiTheme="majorBidi" w:hAnsiTheme="majorBidi" w:cstheme="majorBidi"/>
          <w:sz w:val="24"/>
          <w:szCs w:val="24"/>
        </w:rPr>
        <w:t>, 221.</w:t>
      </w:r>
    </w:p>
    <w:p w14:paraId="23781BEF"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Ehrlich, I., &amp; Becker, G. S. (1972). Market insurance, self-insurance, and self-protection. </w:t>
      </w:r>
      <w:r w:rsidRPr="00C033B5">
        <w:rPr>
          <w:rFonts w:asciiTheme="majorBidi" w:hAnsiTheme="majorBidi" w:cstheme="majorBidi"/>
          <w:i/>
          <w:iCs/>
          <w:sz w:val="24"/>
          <w:szCs w:val="24"/>
        </w:rPr>
        <w:t>Journal of political Economy</w:t>
      </w:r>
      <w:r w:rsidRPr="00C033B5">
        <w:rPr>
          <w:rFonts w:asciiTheme="majorBidi" w:hAnsiTheme="majorBidi" w:cstheme="majorBidi"/>
          <w:sz w:val="24"/>
          <w:szCs w:val="24"/>
        </w:rPr>
        <w:t>, </w:t>
      </w:r>
      <w:r w:rsidRPr="00C033B5">
        <w:rPr>
          <w:rFonts w:asciiTheme="majorBidi" w:hAnsiTheme="majorBidi" w:cstheme="majorBidi"/>
          <w:i/>
          <w:iCs/>
          <w:sz w:val="24"/>
          <w:szCs w:val="24"/>
        </w:rPr>
        <w:t>80</w:t>
      </w:r>
      <w:r w:rsidRPr="00C033B5">
        <w:rPr>
          <w:rFonts w:asciiTheme="majorBidi" w:hAnsiTheme="majorBidi" w:cstheme="majorBidi"/>
          <w:sz w:val="24"/>
          <w:szCs w:val="24"/>
        </w:rPr>
        <w:t>(4), 623-648.</w:t>
      </w:r>
    </w:p>
    <w:p w14:paraId="51D45E3D"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Eisenhardt, K. M. (1989). Agency theory: An assessment and review. </w:t>
      </w:r>
      <w:r w:rsidRPr="00C033B5">
        <w:rPr>
          <w:rFonts w:asciiTheme="majorBidi" w:hAnsiTheme="majorBidi" w:cstheme="majorBidi"/>
          <w:i/>
          <w:iCs/>
          <w:sz w:val="24"/>
          <w:szCs w:val="24"/>
        </w:rPr>
        <w:t>Academy of management review</w:t>
      </w:r>
      <w:r w:rsidRPr="00C033B5">
        <w:rPr>
          <w:rFonts w:asciiTheme="majorBidi" w:hAnsiTheme="majorBidi" w:cstheme="majorBidi"/>
          <w:sz w:val="24"/>
          <w:szCs w:val="24"/>
        </w:rPr>
        <w:t>, </w:t>
      </w:r>
      <w:r w:rsidRPr="00C033B5">
        <w:rPr>
          <w:rFonts w:asciiTheme="majorBidi" w:hAnsiTheme="majorBidi" w:cstheme="majorBidi"/>
          <w:i/>
          <w:iCs/>
          <w:sz w:val="24"/>
          <w:szCs w:val="24"/>
        </w:rPr>
        <w:t>14</w:t>
      </w:r>
      <w:r w:rsidRPr="00C033B5">
        <w:rPr>
          <w:rFonts w:asciiTheme="majorBidi" w:hAnsiTheme="majorBidi" w:cstheme="majorBidi"/>
          <w:sz w:val="24"/>
          <w:szCs w:val="24"/>
        </w:rPr>
        <w:t>(1), 57-74.</w:t>
      </w:r>
    </w:p>
    <w:p w14:paraId="5B302FC3"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proofErr w:type="spellStart"/>
      <w:r w:rsidRPr="00C033B5">
        <w:rPr>
          <w:rFonts w:asciiTheme="majorBidi" w:hAnsiTheme="majorBidi" w:cstheme="majorBidi"/>
          <w:sz w:val="24"/>
          <w:szCs w:val="24"/>
        </w:rPr>
        <w:t>Emekter</w:t>
      </w:r>
      <w:proofErr w:type="spellEnd"/>
      <w:r w:rsidRPr="00C033B5">
        <w:rPr>
          <w:rFonts w:asciiTheme="majorBidi" w:hAnsiTheme="majorBidi" w:cstheme="majorBidi"/>
          <w:sz w:val="24"/>
          <w:szCs w:val="24"/>
        </w:rPr>
        <w:t xml:space="preserve">, R., Tu, Y., </w:t>
      </w:r>
      <w:proofErr w:type="spellStart"/>
      <w:r w:rsidRPr="00C033B5">
        <w:rPr>
          <w:rFonts w:asciiTheme="majorBidi" w:hAnsiTheme="majorBidi" w:cstheme="majorBidi"/>
          <w:sz w:val="24"/>
          <w:szCs w:val="24"/>
        </w:rPr>
        <w:t>Jirasakuldech</w:t>
      </w:r>
      <w:proofErr w:type="spellEnd"/>
      <w:r w:rsidRPr="00C033B5">
        <w:rPr>
          <w:rFonts w:asciiTheme="majorBidi" w:hAnsiTheme="majorBidi" w:cstheme="majorBidi"/>
          <w:sz w:val="24"/>
          <w:szCs w:val="24"/>
        </w:rPr>
        <w:t>, B., &amp; Lu, M. (2015). Evaluating credit risk and loan performance in online Peer-to-Peer (P2P) lending. </w:t>
      </w:r>
      <w:r w:rsidRPr="00C033B5">
        <w:rPr>
          <w:rFonts w:asciiTheme="majorBidi" w:hAnsiTheme="majorBidi" w:cstheme="majorBidi"/>
          <w:i/>
          <w:iCs/>
          <w:sz w:val="24"/>
          <w:szCs w:val="24"/>
        </w:rPr>
        <w:t>Applied Economics</w:t>
      </w:r>
      <w:r w:rsidRPr="00C033B5">
        <w:rPr>
          <w:rFonts w:asciiTheme="majorBidi" w:hAnsiTheme="majorBidi" w:cstheme="majorBidi"/>
          <w:sz w:val="24"/>
          <w:szCs w:val="24"/>
        </w:rPr>
        <w:t>, </w:t>
      </w:r>
      <w:r w:rsidRPr="00C033B5">
        <w:rPr>
          <w:rFonts w:asciiTheme="majorBidi" w:hAnsiTheme="majorBidi" w:cstheme="majorBidi"/>
          <w:i/>
          <w:iCs/>
          <w:sz w:val="24"/>
          <w:szCs w:val="24"/>
        </w:rPr>
        <w:t>47</w:t>
      </w:r>
      <w:r w:rsidRPr="00C033B5">
        <w:rPr>
          <w:rFonts w:asciiTheme="majorBidi" w:hAnsiTheme="majorBidi" w:cstheme="majorBidi"/>
          <w:sz w:val="24"/>
          <w:szCs w:val="24"/>
        </w:rPr>
        <w:t>(1), 54-70.</w:t>
      </w:r>
    </w:p>
    <w:p w14:paraId="62A5315E"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Ferrari, S., &amp; Cribari-Neto, F. (2004). Beta regression for modelling rates and proportions. </w:t>
      </w:r>
      <w:r w:rsidRPr="00C033B5">
        <w:rPr>
          <w:rFonts w:asciiTheme="majorBidi" w:hAnsiTheme="majorBidi" w:cstheme="majorBidi"/>
          <w:i/>
          <w:iCs/>
          <w:sz w:val="24"/>
          <w:szCs w:val="24"/>
        </w:rPr>
        <w:t>Journal of applied statistics</w:t>
      </w:r>
      <w:r w:rsidRPr="00C033B5">
        <w:rPr>
          <w:rFonts w:asciiTheme="majorBidi" w:hAnsiTheme="majorBidi" w:cstheme="majorBidi"/>
          <w:sz w:val="24"/>
          <w:szCs w:val="24"/>
        </w:rPr>
        <w:t>, </w:t>
      </w:r>
      <w:r w:rsidRPr="00C033B5">
        <w:rPr>
          <w:rFonts w:asciiTheme="majorBidi" w:hAnsiTheme="majorBidi" w:cstheme="majorBidi"/>
          <w:i/>
          <w:iCs/>
          <w:sz w:val="24"/>
          <w:szCs w:val="24"/>
        </w:rPr>
        <w:t>31</w:t>
      </w:r>
      <w:r w:rsidRPr="00C033B5">
        <w:rPr>
          <w:rFonts w:asciiTheme="majorBidi" w:hAnsiTheme="majorBidi" w:cstheme="majorBidi"/>
          <w:sz w:val="24"/>
          <w:szCs w:val="24"/>
        </w:rPr>
        <w:t>(7), 799-815.</w:t>
      </w:r>
    </w:p>
    <w:p w14:paraId="7663C1B4"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Fosu, S., Danso, A., Agyei-</w:t>
      </w:r>
      <w:proofErr w:type="spellStart"/>
      <w:r w:rsidRPr="00C033B5">
        <w:rPr>
          <w:rFonts w:asciiTheme="majorBidi" w:hAnsiTheme="majorBidi" w:cstheme="majorBidi"/>
          <w:sz w:val="24"/>
          <w:szCs w:val="24"/>
        </w:rPr>
        <w:t>Boapeah</w:t>
      </w:r>
      <w:proofErr w:type="spellEnd"/>
      <w:r w:rsidRPr="00C033B5">
        <w:rPr>
          <w:rFonts w:asciiTheme="majorBidi" w:hAnsiTheme="majorBidi" w:cstheme="majorBidi"/>
          <w:sz w:val="24"/>
          <w:szCs w:val="24"/>
        </w:rPr>
        <w:t>, H., Ntim, C. G., &amp; Adegbite, E. (2020). Credit information sharing and loan default in developing countries: the moderating effect of banking market concentration and national governance quality. </w:t>
      </w:r>
      <w:r w:rsidRPr="00C033B5">
        <w:rPr>
          <w:rFonts w:asciiTheme="majorBidi" w:hAnsiTheme="majorBidi" w:cstheme="majorBidi"/>
          <w:i/>
          <w:iCs/>
          <w:sz w:val="24"/>
          <w:szCs w:val="24"/>
        </w:rPr>
        <w:t>Review of Quantitative Finance and Accounting</w:t>
      </w:r>
      <w:r w:rsidRPr="00C033B5">
        <w:rPr>
          <w:rFonts w:asciiTheme="majorBidi" w:hAnsiTheme="majorBidi" w:cstheme="majorBidi"/>
          <w:sz w:val="24"/>
          <w:szCs w:val="24"/>
        </w:rPr>
        <w:t>, </w:t>
      </w:r>
      <w:r w:rsidRPr="00C033B5">
        <w:rPr>
          <w:rFonts w:asciiTheme="majorBidi" w:hAnsiTheme="majorBidi" w:cstheme="majorBidi"/>
          <w:i/>
          <w:iCs/>
          <w:sz w:val="24"/>
          <w:szCs w:val="24"/>
        </w:rPr>
        <w:t>55</w:t>
      </w:r>
      <w:r w:rsidRPr="00C033B5">
        <w:rPr>
          <w:rFonts w:asciiTheme="majorBidi" w:hAnsiTheme="majorBidi" w:cstheme="majorBidi"/>
          <w:sz w:val="24"/>
          <w:szCs w:val="24"/>
        </w:rPr>
        <w:t>(1), 55-103.</w:t>
      </w:r>
    </w:p>
    <w:p w14:paraId="6C0B1F6F"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Freedman, S., &amp; Jin, G. Z. (2017). The information value of online social networks: Lessons from peer-to-peer lending. </w:t>
      </w:r>
      <w:r w:rsidRPr="00C033B5">
        <w:rPr>
          <w:rFonts w:asciiTheme="majorBidi" w:hAnsiTheme="majorBidi" w:cstheme="majorBidi"/>
          <w:i/>
          <w:iCs/>
          <w:sz w:val="24"/>
          <w:szCs w:val="24"/>
        </w:rPr>
        <w:t>International Journal of Industrial Organization</w:t>
      </w:r>
      <w:r w:rsidRPr="00C033B5">
        <w:rPr>
          <w:rFonts w:asciiTheme="majorBidi" w:hAnsiTheme="majorBidi" w:cstheme="majorBidi"/>
          <w:sz w:val="24"/>
          <w:szCs w:val="24"/>
        </w:rPr>
        <w:t>, </w:t>
      </w:r>
      <w:r w:rsidRPr="00C033B5">
        <w:rPr>
          <w:rFonts w:asciiTheme="majorBidi" w:hAnsiTheme="majorBidi" w:cstheme="majorBidi"/>
          <w:i/>
          <w:iCs/>
          <w:sz w:val="24"/>
          <w:szCs w:val="24"/>
        </w:rPr>
        <w:t>51</w:t>
      </w:r>
      <w:r w:rsidRPr="00C033B5">
        <w:rPr>
          <w:rFonts w:asciiTheme="majorBidi" w:hAnsiTheme="majorBidi" w:cstheme="majorBidi"/>
          <w:sz w:val="24"/>
          <w:szCs w:val="24"/>
        </w:rPr>
        <w:t>, 185-222.</w:t>
      </w:r>
    </w:p>
    <w:p w14:paraId="01C1C7B6"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Galema, R. (2020). Credit rationing in P2P lending to SMEs: Do lender-borrower relationships matter?. </w:t>
      </w:r>
      <w:r w:rsidRPr="00C033B5">
        <w:rPr>
          <w:rFonts w:asciiTheme="majorBidi" w:hAnsiTheme="majorBidi" w:cstheme="majorBidi"/>
          <w:i/>
          <w:iCs/>
          <w:sz w:val="24"/>
          <w:szCs w:val="24"/>
        </w:rPr>
        <w:t>Journal of Corporate Finance</w:t>
      </w:r>
      <w:r w:rsidRPr="00C033B5">
        <w:rPr>
          <w:rFonts w:asciiTheme="majorBidi" w:hAnsiTheme="majorBidi" w:cstheme="majorBidi"/>
          <w:sz w:val="24"/>
          <w:szCs w:val="24"/>
        </w:rPr>
        <w:t>, </w:t>
      </w:r>
      <w:r w:rsidRPr="00C033B5">
        <w:rPr>
          <w:rFonts w:asciiTheme="majorBidi" w:hAnsiTheme="majorBidi" w:cstheme="majorBidi"/>
          <w:i/>
          <w:iCs/>
          <w:sz w:val="24"/>
          <w:szCs w:val="24"/>
        </w:rPr>
        <w:t>65</w:t>
      </w:r>
      <w:r w:rsidRPr="00C033B5">
        <w:rPr>
          <w:rFonts w:asciiTheme="majorBidi" w:hAnsiTheme="majorBidi" w:cstheme="majorBidi"/>
          <w:sz w:val="24"/>
          <w:szCs w:val="24"/>
        </w:rPr>
        <w:t>, 101742.</w:t>
      </w:r>
    </w:p>
    <w:p w14:paraId="02173144"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 xml:space="preserve">Gavurova, B., </w:t>
      </w:r>
      <w:proofErr w:type="spellStart"/>
      <w:r w:rsidRPr="00C033B5">
        <w:rPr>
          <w:rFonts w:asciiTheme="majorBidi" w:hAnsiTheme="majorBidi" w:cstheme="majorBidi"/>
          <w:sz w:val="24"/>
          <w:szCs w:val="24"/>
        </w:rPr>
        <w:t>Dujcak</w:t>
      </w:r>
      <w:proofErr w:type="spellEnd"/>
      <w:r w:rsidRPr="00C033B5">
        <w:rPr>
          <w:rFonts w:asciiTheme="majorBidi" w:hAnsiTheme="majorBidi" w:cstheme="majorBidi"/>
          <w:sz w:val="24"/>
          <w:szCs w:val="24"/>
        </w:rPr>
        <w:t xml:space="preserve">, M., Kovac, V., &amp; </w:t>
      </w:r>
      <w:proofErr w:type="spellStart"/>
      <w:r w:rsidRPr="00C033B5">
        <w:rPr>
          <w:rFonts w:asciiTheme="majorBidi" w:hAnsiTheme="majorBidi" w:cstheme="majorBidi"/>
          <w:sz w:val="24"/>
          <w:szCs w:val="24"/>
        </w:rPr>
        <w:t>Kotásková</w:t>
      </w:r>
      <w:proofErr w:type="spellEnd"/>
      <w:r w:rsidRPr="00C033B5">
        <w:rPr>
          <w:rFonts w:asciiTheme="majorBidi" w:hAnsiTheme="majorBidi" w:cstheme="majorBidi"/>
          <w:sz w:val="24"/>
          <w:szCs w:val="24"/>
        </w:rPr>
        <w:t>, A. (2018). Determinants of successful loan application at peer-to-peer lending market. </w:t>
      </w:r>
      <w:r w:rsidRPr="00C033B5">
        <w:rPr>
          <w:rFonts w:asciiTheme="majorBidi" w:hAnsiTheme="majorBidi" w:cstheme="majorBidi"/>
          <w:i/>
          <w:iCs/>
          <w:sz w:val="24"/>
          <w:szCs w:val="24"/>
        </w:rPr>
        <w:t>Economics &amp; Sociology</w:t>
      </w:r>
      <w:r w:rsidRPr="00C033B5">
        <w:rPr>
          <w:rFonts w:asciiTheme="majorBidi" w:hAnsiTheme="majorBidi" w:cstheme="majorBidi"/>
          <w:sz w:val="24"/>
          <w:szCs w:val="24"/>
        </w:rPr>
        <w:t>, </w:t>
      </w:r>
      <w:r w:rsidRPr="00C033B5">
        <w:rPr>
          <w:rFonts w:asciiTheme="majorBidi" w:hAnsiTheme="majorBidi" w:cstheme="majorBidi"/>
          <w:i/>
          <w:iCs/>
          <w:sz w:val="24"/>
          <w:szCs w:val="24"/>
        </w:rPr>
        <w:t>11</w:t>
      </w:r>
      <w:r w:rsidRPr="00C033B5">
        <w:rPr>
          <w:rFonts w:asciiTheme="majorBidi" w:hAnsiTheme="majorBidi" w:cstheme="majorBidi"/>
          <w:sz w:val="24"/>
          <w:szCs w:val="24"/>
        </w:rPr>
        <w:t>(1), 85-99.</w:t>
      </w:r>
    </w:p>
    <w:p w14:paraId="4EC9AE42"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 xml:space="preserve">Giudici, P., Hadji-Misheva, B., &amp; </w:t>
      </w:r>
      <w:proofErr w:type="spellStart"/>
      <w:r w:rsidRPr="00C033B5">
        <w:rPr>
          <w:rFonts w:asciiTheme="majorBidi" w:hAnsiTheme="majorBidi" w:cstheme="majorBidi"/>
          <w:sz w:val="24"/>
          <w:szCs w:val="24"/>
        </w:rPr>
        <w:t>Spelta</w:t>
      </w:r>
      <w:proofErr w:type="spellEnd"/>
      <w:r w:rsidRPr="00C033B5">
        <w:rPr>
          <w:rFonts w:asciiTheme="majorBidi" w:hAnsiTheme="majorBidi" w:cstheme="majorBidi"/>
          <w:sz w:val="24"/>
          <w:szCs w:val="24"/>
        </w:rPr>
        <w:t>, A. (2020). Network based credit risk models. </w:t>
      </w:r>
      <w:r w:rsidRPr="00C033B5">
        <w:rPr>
          <w:rFonts w:asciiTheme="majorBidi" w:hAnsiTheme="majorBidi" w:cstheme="majorBidi"/>
          <w:i/>
          <w:iCs/>
          <w:sz w:val="24"/>
          <w:szCs w:val="24"/>
        </w:rPr>
        <w:t>Quality Engineering</w:t>
      </w:r>
      <w:r w:rsidRPr="00C033B5">
        <w:rPr>
          <w:rFonts w:asciiTheme="majorBidi" w:hAnsiTheme="majorBidi" w:cstheme="majorBidi"/>
          <w:sz w:val="24"/>
          <w:szCs w:val="24"/>
        </w:rPr>
        <w:t>, </w:t>
      </w:r>
      <w:r w:rsidRPr="00C033B5">
        <w:rPr>
          <w:rFonts w:asciiTheme="majorBidi" w:hAnsiTheme="majorBidi" w:cstheme="majorBidi"/>
          <w:i/>
          <w:iCs/>
          <w:sz w:val="24"/>
          <w:szCs w:val="24"/>
        </w:rPr>
        <w:t>32</w:t>
      </w:r>
      <w:r w:rsidRPr="00C033B5">
        <w:rPr>
          <w:rFonts w:asciiTheme="majorBidi" w:hAnsiTheme="majorBidi" w:cstheme="majorBidi"/>
          <w:sz w:val="24"/>
          <w:szCs w:val="24"/>
        </w:rPr>
        <w:t>(2), 199-211.</w:t>
      </w:r>
    </w:p>
    <w:p w14:paraId="2A2EFF6D"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Gonzalez, L., &amp; Loureiro, Y. K. (2014). When can a photo increase credit? The impact of lender and borrower profiles on online peer-to-peer loans. </w:t>
      </w:r>
      <w:r w:rsidRPr="00C033B5">
        <w:rPr>
          <w:rFonts w:asciiTheme="majorBidi" w:hAnsiTheme="majorBidi" w:cstheme="majorBidi"/>
          <w:i/>
          <w:iCs/>
          <w:sz w:val="24"/>
          <w:szCs w:val="24"/>
        </w:rPr>
        <w:t xml:space="preserve">Journal of </w:t>
      </w:r>
      <w:proofErr w:type="spellStart"/>
      <w:r w:rsidRPr="00C033B5">
        <w:rPr>
          <w:rFonts w:asciiTheme="majorBidi" w:hAnsiTheme="majorBidi" w:cstheme="majorBidi"/>
          <w:i/>
          <w:iCs/>
          <w:sz w:val="24"/>
          <w:szCs w:val="24"/>
        </w:rPr>
        <w:t>Behavioral</w:t>
      </w:r>
      <w:proofErr w:type="spellEnd"/>
      <w:r w:rsidRPr="00C033B5">
        <w:rPr>
          <w:rFonts w:asciiTheme="majorBidi" w:hAnsiTheme="majorBidi" w:cstheme="majorBidi"/>
          <w:i/>
          <w:iCs/>
          <w:sz w:val="24"/>
          <w:szCs w:val="24"/>
        </w:rPr>
        <w:t xml:space="preserve"> and Experimental Finance</w:t>
      </w:r>
      <w:r w:rsidRPr="00C033B5">
        <w:rPr>
          <w:rFonts w:asciiTheme="majorBidi" w:hAnsiTheme="majorBidi" w:cstheme="majorBidi"/>
          <w:sz w:val="24"/>
          <w:szCs w:val="24"/>
        </w:rPr>
        <w:t>, </w:t>
      </w:r>
      <w:r w:rsidRPr="00C033B5">
        <w:rPr>
          <w:rFonts w:asciiTheme="majorBidi" w:hAnsiTheme="majorBidi" w:cstheme="majorBidi"/>
          <w:i/>
          <w:iCs/>
          <w:sz w:val="24"/>
          <w:szCs w:val="24"/>
        </w:rPr>
        <w:t>2</w:t>
      </w:r>
      <w:r w:rsidRPr="00C033B5">
        <w:rPr>
          <w:rFonts w:asciiTheme="majorBidi" w:hAnsiTheme="majorBidi" w:cstheme="majorBidi"/>
          <w:sz w:val="24"/>
          <w:szCs w:val="24"/>
        </w:rPr>
        <w:t>, 44-58.</w:t>
      </w:r>
    </w:p>
    <w:p w14:paraId="6809C88B"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Greiner, M. E., &amp; Wang, H. (2010). Building consumer-to-consumer trust in e-finance marketplaces: An empirical analysis. </w:t>
      </w:r>
      <w:r w:rsidRPr="00C033B5">
        <w:rPr>
          <w:rFonts w:asciiTheme="majorBidi" w:hAnsiTheme="majorBidi" w:cstheme="majorBidi"/>
          <w:i/>
          <w:iCs/>
          <w:sz w:val="24"/>
          <w:szCs w:val="24"/>
        </w:rPr>
        <w:t>International Journal of Electronic Commerce</w:t>
      </w:r>
      <w:r w:rsidRPr="00C033B5">
        <w:rPr>
          <w:rFonts w:asciiTheme="majorBidi" w:hAnsiTheme="majorBidi" w:cstheme="majorBidi"/>
          <w:sz w:val="24"/>
          <w:szCs w:val="24"/>
        </w:rPr>
        <w:t>, </w:t>
      </w:r>
      <w:r w:rsidRPr="00C033B5">
        <w:rPr>
          <w:rFonts w:asciiTheme="majorBidi" w:hAnsiTheme="majorBidi" w:cstheme="majorBidi"/>
          <w:i/>
          <w:iCs/>
          <w:sz w:val="24"/>
          <w:szCs w:val="24"/>
        </w:rPr>
        <w:t>15</w:t>
      </w:r>
      <w:r w:rsidRPr="00C033B5">
        <w:rPr>
          <w:rFonts w:asciiTheme="majorBidi" w:hAnsiTheme="majorBidi" w:cstheme="majorBidi"/>
          <w:sz w:val="24"/>
          <w:szCs w:val="24"/>
        </w:rPr>
        <w:t>(2), 105-136.</w:t>
      </w:r>
    </w:p>
    <w:p w14:paraId="5A5F756E"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 xml:space="preserve">Gropp, R., </w:t>
      </w:r>
      <w:proofErr w:type="spellStart"/>
      <w:r w:rsidRPr="00C033B5">
        <w:rPr>
          <w:rFonts w:asciiTheme="majorBidi" w:hAnsiTheme="majorBidi" w:cstheme="majorBidi"/>
          <w:sz w:val="24"/>
          <w:szCs w:val="24"/>
        </w:rPr>
        <w:t>Gruendl</w:t>
      </w:r>
      <w:proofErr w:type="spellEnd"/>
      <w:r w:rsidRPr="00C033B5">
        <w:rPr>
          <w:rFonts w:asciiTheme="majorBidi" w:hAnsiTheme="majorBidi" w:cstheme="majorBidi"/>
          <w:sz w:val="24"/>
          <w:szCs w:val="24"/>
        </w:rPr>
        <w:t>, C., &amp; Guettler, A. (2014). The impact of public guarantees on bank risk-taking: Evidence from a natural experiment. </w:t>
      </w:r>
      <w:r w:rsidRPr="00C033B5">
        <w:rPr>
          <w:rFonts w:asciiTheme="majorBidi" w:hAnsiTheme="majorBidi" w:cstheme="majorBidi"/>
          <w:i/>
          <w:iCs/>
          <w:sz w:val="24"/>
          <w:szCs w:val="24"/>
        </w:rPr>
        <w:t>Review of Finance</w:t>
      </w:r>
      <w:r w:rsidRPr="00C033B5">
        <w:rPr>
          <w:rFonts w:asciiTheme="majorBidi" w:hAnsiTheme="majorBidi" w:cstheme="majorBidi"/>
          <w:sz w:val="24"/>
          <w:szCs w:val="24"/>
        </w:rPr>
        <w:t>, </w:t>
      </w:r>
      <w:r w:rsidRPr="00C033B5">
        <w:rPr>
          <w:rFonts w:asciiTheme="majorBidi" w:hAnsiTheme="majorBidi" w:cstheme="majorBidi"/>
          <w:i/>
          <w:iCs/>
          <w:sz w:val="24"/>
          <w:szCs w:val="24"/>
        </w:rPr>
        <w:t>18</w:t>
      </w:r>
      <w:r w:rsidRPr="00C033B5">
        <w:rPr>
          <w:rFonts w:asciiTheme="majorBidi" w:hAnsiTheme="majorBidi" w:cstheme="majorBidi"/>
          <w:sz w:val="24"/>
          <w:szCs w:val="24"/>
        </w:rPr>
        <w:t>(2), 457-488.</w:t>
      </w:r>
    </w:p>
    <w:p w14:paraId="1B28DD3F"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Handbook, C. (1998). Loan portfolio management. </w:t>
      </w:r>
      <w:r w:rsidRPr="00C033B5">
        <w:rPr>
          <w:rFonts w:asciiTheme="majorBidi" w:hAnsiTheme="majorBidi" w:cstheme="majorBidi"/>
          <w:i/>
          <w:iCs/>
          <w:sz w:val="24"/>
          <w:szCs w:val="24"/>
        </w:rPr>
        <w:t>Washington, DC: Office of the Comptroller of the currency</w:t>
      </w:r>
      <w:r w:rsidRPr="00C033B5">
        <w:rPr>
          <w:rFonts w:asciiTheme="majorBidi" w:hAnsiTheme="majorBidi" w:cstheme="majorBidi"/>
          <w:sz w:val="24"/>
          <w:szCs w:val="24"/>
        </w:rPr>
        <w:t>.</w:t>
      </w:r>
    </w:p>
    <w:p w14:paraId="09BC7D07"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proofErr w:type="spellStart"/>
      <w:r w:rsidRPr="00C033B5">
        <w:rPr>
          <w:rFonts w:asciiTheme="majorBidi" w:hAnsiTheme="majorBidi" w:cstheme="majorBidi"/>
          <w:sz w:val="24"/>
          <w:szCs w:val="24"/>
        </w:rPr>
        <w:t>Havrylchyk</w:t>
      </w:r>
      <w:proofErr w:type="spellEnd"/>
      <w:r w:rsidRPr="00C033B5">
        <w:rPr>
          <w:rFonts w:asciiTheme="majorBidi" w:hAnsiTheme="majorBidi" w:cstheme="majorBidi"/>
          <w:sz w:val="24"/>
          <w:szCs w:val="24"/>
        </w:rPr>
        <w:t>, O., &amp; Verdier, M. (2018). The financial intermediation role of the P2P lending platforms. </w:t>
      </w:r>
      <w:r w:rsidRPr="00C033B5">
        <w:rPr>
          <w:rFonts w:asciiTheme="majorBidi" w:hAnsiTheme="majorBidi" w:cstheme="majorBidi"/>
          <w:i/>
          <w:iCs/>
          <w:sz w:val="24"/>
          <w:szCs w:val="24"/>
        </w:rPr>
        <w:t>Comparative Economic Studies</w:t>
      </w:r>
      <w:r w:rsidRPr="00C033B5">
        <w:rPr>
          <w:rFonts w:asciiTheme="majorBidi" w:hAnsiTheme="majorBidi" w:cstheme="majorBidi"/>
          <w:sz w:val="24"/>
          <w:szCs w:val="24"/>
        </w:rPr>
        <w:t>, </w:t>
      </w:r>
      <w:r w:rsidRPr="00C033B5">
        <w:rPr>
          <w:rFonts w:asciiTheme="majorBidi" w:hAnsiTheme="majorBidi" w:cstheme="majorBidi"/>
          <w:i/>
          <w:iCs/>
          <w:sz w:val="24"/>
          <w:szCs w:val="24"/>
        </w:rPr>
        <w:t>60</w:t>
      </w:r>
      <w:r w:rsidRPr="00C033B5">
        <w:rPr>
          <w:rFonts w:asciiTheme="majorBidi" w:hAnsiTheme="majorBidi" w:cstheme="majorBidi"/>
          <w:sz w:val="24"/>
          <w:szCs w:val="24"/>
        </w:rPr>
        <w:t>, 115-130.</w:t>
      </w:r>
    </w:p>
    <w:p w14:paraId="1F151F6E"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proofErr w:type="spellStart"/>
      <w:r w:rsidRPr="00C033B5">
        <w:rPr>
          <w:rFonts w:asciiTheme="majorBidi" w:hAnsiTheme="majorBidi" w:cstheme="majorBidi"/>
          <w:sz w:val="24"/>
          <w:szCs w:val="24"/>
        </w:rPr>
        <w:t>Herzenstein</w:t>
      </w:r>
      <w:proofErr w:type="spellEnd"/>
      <w:r w:rsidRPr="00C033B5">
        <w:rPr>
          <w:rFonts w:asciiTheme="majorBidi" w:hAnsiTheme="majorBidi" w:cstheme="majorBidi"/>
          <w:sz w:val="24"/>
          <w:szCs w:val="24"/>
        </w:rPr>
        <w:t xml:space="preserve">, M., Dholakia, U. M., &amp; Andrews, R. L. (2011a). Strategic herding </w:t>
      </w:r>
      <w:proofErr w:type="spellStart"/>
      <w:r w:rsidRPr="00C033B5">
        <w:rPr>
          <w:rFonts w:asciiTheme="majorBidi" w:hAnsiTheme="majorBidi" w:cstheme="majorBidi"/>
          <w:sz w:val="24"/>
          <w:szCs w:val="24"/>
        </w:rPr>
        <w:t>behavior</w:t>
      </w:r>
      <w:proofErr w:type="spellEnd"/>
      <w:r w:rsidRPr="00C033B5">
        <w:rPr>
          <w:rFonts w:asciiTheme="majorBidi" w:hAnsiTheme="majorBidi" w:cstheme="majorBidi"/>
          <w:sz w:val="24"/>
          <w:szCs w:val="24"/>
        </w:rPr>
        <w:t xml:space="preserve"> in peer-to-peer loan auctions. </w:t>
      </w:r>
      <w:r w:rsidRPr="00C033B5">
        <w:rPr>
          <w:rFonts w:asciiTheme="majorBidi" w:hAnsiTheme="majorBidi" w:cstheme="majorBidi"/>
          <w:i/>
          <w:iCs/>
          <w:sz w:val="24"/>
          <w:szCs w:val="24"/>
        </w:rPr>
        <w:t>Journal of Interactive Marketing</w:t>
      </w:r>
      <w:r w:rsidRPr="00C033B5">
        <w:rPr>
          <w:rFonts w:asciiTheme="majorBidi" w:hAnsiTheme="majorBidi" w:cstheme="majorBidi"/>
          <w:sz w:val="24"/>
          <w:szCs w:val="24"/>
        </w:rPr>
        <w:t>, </w:t>
      </w:r>
      <w:r w:rsidRPr="00C033B5">
        <w:rPr>
          <w:rFonts w:asciiTheme="majorBidi" w:hAnsiTheme="majorBidi" w:cstheme="majorBidi"/>
          <w:i/>
          <w:iCs/>
          <w:sz w:val="24"/>
          <w:szCs w:val="24"/>
        </w:rPr>
        <w:t>25</w:t>
      </w:r>
      <w:r w:rsidRPr="00C033B5">
        <w:rPr>
          <w:rFonts w:asciiTheme="majorBidi" w:hAnsiTheme="majorBidi" w:cstheme="majorBidi"/>
          <w:sz w:val="24"/>
          <w:szCs w:val="24"/>
        </w:rPr>
        <w:t>(1), 27-36.</w:t>
      </w:r>
    </w:p>
    <w:p w14:paraId="0863870C"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proofErr w:type="spellStart"/>
      <w:r w:rsidRPr="00C033B5">
        <w:rPr>
          <w:rFonts w:asciiTheme="majorBidi" w:hAnsiTheme="majorBidi" w:cstheme="majorBidi"/>
          <w:sz w:val="24"/>
          <w:szCs w:val="24"/>
        </w:rPr>
        <w:t>Herzenstein</w:t>
      </w:r>
      <w:proofErr w:type="spellEnd"/>
      <w:r w:rsidRPr="00C033B5">
        <w:rPr>
          <w:rFonts w:asciiTheme="majorBidi" w:hAnsiTheme="majorBidi" w:cstheme="majorBidi"/>
          <w:sz w:val="24"/>
          <w:szCs w:val="24"/>
        </w:rPr>
        <w:t>, M., Sonenshein, S., &amp; Dholakia, U. M. (2011b). Tell me a good story and I may lend you money: The role of narratives in peer-to-peer lending decisions. </w:t>
      </w:r>
      <w:r w:rsidRPr="00C033B5">
        <w:rPr>
          <w:rFonts w:asciiTheme="majorBidi" w:hAnsiTheme="majorBidi" w:cstheme="majorBidi"/>
          <w:i/>
          <w:iCs/>
          <w:sz w:val="24"/>
          <w:szCs w:val="24"/>
        </w:rPr>
        <w:t>Journal of Marketing Research</w:t>
      </w:r>
      <w:r w:rsidRPr="00C033B5">
        <w:rPr>
          <w:rFonts w:asciiTheme="majorBidi" w:hAnsiTheme="majorBidi" w:cstheme="majorBidi"/>
          <w:sz w:val="24"/>
          <w:szCs w:val="24"/>
        </w:rPr>
        <w:t>, </w:t>
      </w:r>
      <w:r w:rsidRPr="00C033B5">
        <w:rPr>
          <w:rFonts w:asciiTheme="majorBidi" w:hAnsiTheme="majorBidi" w:cstheme="majorBidi"/>
          <w:i/>
          <w:iCs/>
          <w:sz w:val="24"/>
          <w:szCs w:val="24"/>
        </w:rPr>
        <w:t>48</w:t>
      </w:r>
      <w:r w:rsidRPr="00C033B5">
        <w:rPr>
          <w:rFonts w:asciiTheme="majorBidi" w:hAnsiTheme="majorBidi" w:cstheme="majorBidi"/>
          <w:sz w:val="24"/>
          <w:szCs w:val="24"/>
        </w:rPr>
        <w:t>(SPL), S138-S149.</w:t>
      </w:r>
    </w:p>
    <w:p w14:paraId="6D4080CB"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Hildebrand, T., Puri, M., &amp; Rocholl, J. (2017). Adverse incentives in crowdfunding. </w:t>
      </w:r>
      <w:r w:rsidRPr="00C033B5">
        <w:rPr>
          <w:rFonts w:asciiTheme="majorBidi" w:hAnsiTheme="majorBidi" w:cstheme="majorBidi"/>
          <w:i/>
          <w:iCs/>
          <w:sz w:val="24"/>
          <w:szCs w:val="24"/>
        </w:rPr>
        <w:t>Management Science</w:t>
      </w:r>
      <w:r w:rsidRPr="00C033B5">
        <w:rPr>
          <w:rFonts w:asciiTheme="majorBidi" w:hAnsiTheme="majorBidi" w:cstheme="majorBidi"/>
          <w:sz w:val="24"/>
          <w:szCs w:val="24"/>
        </w:rPr>
        <w:t>, </w:t>
      </w:r>
      <w:r w:rsidRPr="00C033B5">
        <w:rPr>
          <w:rFonts w:asciiTheme="majorBidi" w:hAnsiTheme="majorBidi" w:cstheme="majorBidi"/>
          <w:i/>
          <w:iCs/>
          <w:sz w:val="24"/>
          <w:szCs w:val="24"/>
        </w:rPr>
        <w:t>63</w:t>
      </w:r>
      <w:r w:rsidRPr="00C033B5">
        <w:rPr>
          <w:rFonts w:asciiTheme="majorBidi" w:hAnsiTheme="majorBidi" w:cstheme="majorBidi"/>
          <w:sz w:val="24"/>
          <w:szCs w:val="24"/>
        </w:rPr>
        <w:t>(3), 587-608.</w:t>
      </w:r>
    </w:p>
    <w:p w14:paraId="5E99D6BE"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A3E0F">
        <w:rPr>
          <w:rFonts w:asciiTheme="majorBidi" w:hAnsiTheme="majorBidi" w:cstheme="majorBidi"/>
          <w:sz w:val="24"/>
          <w:szCs w:val="24"/>
          <w:lang w:val="de-DE"/>
        </w:rPr>
        <w:t xml:space="preserve">Höcht, S., Min, A., Wieczorek, J., &amp; Zagst, R. (2022). </w:t>
      </w:r>
      <w:r w:rsidRPr="00C033B5">
        <w:rPr>
          <w:rFonts w:asciiTheme="majorBidi" w:hAnsiTheme="majorBidi" w:cstheme="majorBidi"/>
          <w:sz w:val="24"/>
          <w:szCs w:val="24"/>
        </w:rPr>
        <w:t>Explaining Aggregated Recovery </w:t>
      </w:r>
    </w:p>
    <w:p w14:paraId="4ED01F8C"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ab/>
        <w:t>Rates. </w:t>
      </w:r>
      <w:r w:rsidRPr="00C033B5">
        <w:rPr>
          <w:rFonts w:asciiTheme="majorBidi" w:hAnsiTheme="majorBidi" w:cstheme="majorBidi"/>
          <w:i/>
          <w:iCs/>
          <w:sz w:val="24"/>
          <w:szCs w:val="24"/>
        </w:rPr>
        <w:t>Risks</w:t>
      </w:r>
      <w:r w:rsidRPr="00C033B5">
        <w:rPr>
          <w:rFonts w:asciiTheme="majorBidi" w:hAnsiTheme="majorBidi" w:cstheme="majorBidi"/>
          <w:sz w:val="24"/>
          <w:szCs w:val="24"/>
        </w:rPr>
        <w:t>, </w:t>
      </w:r>
      <w:r w:rsidRPr="00C033B5">
        <w:rPr>
          <w:rFonts w:asciiTheme="majorBidi" w:hAnsiTheme="majorBidi" w:cstheme="majorBidi"/>
          <w:i/>
          <w:iCs/>
          <w:sz w:val="24"/>
          <w:szCs w:val="24"/>
        </w:rPr>
        <w:t>10</w:t>
      </w:r>
      <w:r w:rsidRPr="00C033B5">
        <w:rPr>
          <w:rFonts w:asciiTheme="majorBidi" w:hAnsiTheme="majorBidi" w:cstheme="majorBidi"/>
          <w:sz w:val="24"/>
          <w:szCs w:val="24"/>
        </w:rPr>
        <w:t>(1), 18.</w:t>
      </w:r>
    </w:p>
    <w:p w14:paraId="2157269C"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lastRenderedPageBreak/>
        <w:t>Hogreve, J., &amp; Gremler, D. D. (2009). Twenty years of service guarantee research: A synthesis. </w:t>
      </w:r>
      <w:r w:rsidRPr="00C033B5">
        <w:rPr>
          <w:rFonts w:asciiTheme="majorBidi" w:hAnsiTheme="majorBidi" w:cstheme="majorBidi"/>
          <w:i/>
          <w:iCs/>
          <w:sz w:val="24"/>
          <w:szCs w:val="24"/>
        </w:rPr>
        <w:t>Journal of service research</w:t>
      </w:r>
      <w:r w:rsidRPr="00C033B5">
        <w:rPr>
          <w:rFonts w:asciiTheme="majorBidi" w:hAnsiTheme="majorBidi" w:cstheme="majorBidi"/>
          <w:sz w:val="24"/>
          <w:szCs w:val="24"/>
        </w:rPr>
        <w:t>, </w:t>
      </w:r>
      <w:r w:rsidRPr="00C033B5">
        <w:rPr>
          <w:rFonts w:asciiTheme="majorBidi" w:hAnsiTheme="majorBidi" w:cstheme="majorBidi"/>
          <w:i/>
          <w:iCs/>
          <w:sz w:val="24"/>
          <w:szCs w:val="24"/>
        </w:rPr>
        <w:t>11</w:t>
      </w:r>
      <w:r w:rsidRPr="00C033B5">
        <w:rPr>
          <w:rFonts w:asciiTheme="majorBidi" w:hAnsiTheme="majorBidi" w:cstheme="majorBidi"/>
          <w:sz w:val="24"/>
          <w:szCs w:val="24"/>
        </w:rPr>
        <w:t>(4), 322-343.</w:t>
      </w:r>
    </w:p>
    <w:p w14:paraId="277105F7"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 xml:space="preserve">Jensen, M., &amp; Meckling, W. H. (1976). Theory of the firm: Managerial </w:t>
      </w:r>
      <w:proofErr w:type="spellStart"/>
      <w:r w:rsidRPr="00C033B5">
        <w:rPr>
          <w:rFonts w:asciiTheme="majorBidi" w:hAnsiTheme="majorBidi" w:cstheme="majorBidi"/>
          <w:sz w:val="24"/>
          <w:szCs w:val="24"/>
        </w:rPr>
        <w:t>behavior</w:t>
      </w:r>
      <w:proofErr w:type="spellEnd"/>
      <w:r w:rsidRPr="00C033B5">
        <w:rPr>
          <w:rFonts w:asciiTheme="majorBidi" w:hAnsiTheme="majorBidi" w:cstheme="majorBidi"/>
          <w:sz w:val="24"/>
          <w:szCs w:val="24"/>
        </w:rPr>
        <w:t>, agency costs and ownership structure. </w:t>
      </w:r>
      <w:r w:rsidRPr="00C033B5">
        <w:rPr>
          <w:rFonts w:asciiTheme="majorBidi" w:hAnsiTheme="majorBidi" w:cstheme="majorBidi"/>
          <w:i/>
          <w:iCs/>
          <w:sz w:val="24"/>
          <w:szCs w:val="24"/>
        </w:rPr>
        <w:t>Journal of Financial Economics</w:t>
      </w:r>
      <w:r w:rsidRPr="00C033B5">
        <w:rPr>
          <w:rFonts w:asciiTheme="majorBidi" w:hAnsiTheme="majorBidi" w:cstheme="majorBidi"/>
          <w:sz w:val="24"/>
          <w:szCs w:val="24"/>
        </w:rPr>
        <w:t>, </w:t>
      </w:r>
      <w:r w:rsidRPr="00C033B5">
        <w:rPr>
          <w:rFonts w:asciiTheme="majorBidi" w:hAnsiTheme="majorBidi" w:cstheme="majorBidi"/>
          <w:i/>
          <w:iCs/>
          <w:sz w:val="24"/>
          <w:szCs w:val="24"/>
        </w:rPr>
        <w:t>3</w:t>
      </w:r>
      <w:r w:rsidRPr="00C033B5">
        <w:rPr>
          <w:rFonts w:asciiTheme="majorBidi" w:hAnsiTheme="majorBidi" w:cstheme="majorBidi"/>
          <w:sz w:val="24"/>
          <w:szCs w:val="24"/>
        </w:rPr>
        <w:t>(4), 305-360.</w:t>
      </w:r>
    </w:p>
    <w:p w14:paraId="35FE9FA9"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 xml:space="preserve">Jia, N., &amp; Wang, D. (2017). Skin in the game: General partner capital commitment, investment </w:t>
      </w:r>
      <w:proofErr w:type="spellStart"/>
      <w:r w:rsidRPr="00C033B5">
        <w:rPr>
          <w:rFonts w:asciiTheme="majorBidi" w:hAnsiTheme="majorBidi" w:cstheme="majorBidi"/>
          <w:sz w:val="24"/>
          <w:szCs w:val="24"/>
        </w:rPr>
        <w:t>behavior</w:t>
      </w:r>
      <w:proofErr w:type="spellEnd"/>
      <w:r w:rsidRPr="00C033B5">
        <w:rPr>
          <w:rFonts w:asciiTheme="majorBidi" w:hAnsiTheme="majorBidi" w:cstheme="majorBidi"/>
          <w:sz w:val="24"/>
          <w:szCs w:val="24"/>
        </w:rPr>
        <w:t xml:space="preserve"> and venture capital fund performance. </w:t>
      </w:r>
      <w:r w:rsidRPr="00C033B5">
        <w:rPr>
          <w:rFonts w:asciiTheme="majorBidi" w:hAnsiTheme="majorBidi" w:cstheme="majorBidi"/>
          <w:i/>
          <w:iCs/>
          <w:sz w:val="24"/>
          <w:szCs w:val="24"/>
        </w:rPr>
        <w:t>Journal of Corporate Finance</w:t>
      </w:r>
      <w:r w:rsidRPr="00C033B5">
        <w:rPr>
          <w:rFonts w:asciiTheme="majorBidi" w:hAnsiTheme="majorBidi" w:cstheme="majorBidi"/>
          <w:sz w:val="24"/>
          <w:szCs w:val="24"/>
        </w:rPr>
        <w:t>, </w:t>
      </w:r>
      <w:r w:rsidRPr="00C033B5">
        <w:rPr>
          <w:rFonts w:asciiTheme="majorBidi" w:hAnsiTheme="majorBidi" w:cstheme="majorBidi"/>
          <w:i/>
          <w:iCs/>
          <w:sz w:val="24"/>
          <w:szCs w:val="24"/>
        </w:rPr>
        <w:t>47</w:t>
      </w:r>
      <w:r w:rsidRPr="00C033B5">
        <w:rPr>
          <w:rFonts w:asciiTheme="majorBidi" w:hAnsiTheme="majorBidi" w:cstheme="majorBidi"/>
          <w:sz w:val="24"/>
          <w:szCs w:val="24"/>
        </w:rPr>
        <w:t>, 110-130.</w:t>
      </w:r>
    </w:p>
    <w:p w14:paraId="043FE273"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Jin, J., Shang, Q., &amp; Ma, Q. (2019). The role of appearance attractiveness and loan amount in peer-to-peer lending: Evidence from event-related potentials. </w:t>
      </w:r>
      <w:r w:rsidRPr="00C033B5">
        <w:rPr>
          <w:rFonts w:asciiTheme="majorBidi" w:hAnsiTheme="majorBidi" w:cstheme="majorBidi"/>
          <w:i/>
          <w:iCs/>
          <w:sz w:val="24"/>
          <w:szCs w:val="24"/>
        </w:rPr>
        <w:t>Neuroscience letters</w:t>
      </w:r>
      <w:r w:rsidRPr="00C033B5">
        <w:rPr>
          <w:rFonts w:asciiTheme="majorBidi" w:hAnsiTheme="majorBidi" w:cstheme="majorBidi"/>
          <w:sz w:val="24"/>
          <w:szCs w:val="24"/>
        </w:rPr>
        <w:t>, </w:t>
      </w:r>
      <w:r w:rsidRPr="00C033B5">
        <w:rPr>
          <w:rFonts w:asciiTheme="majorBidi" w:hAnsiTheme="majorBidi" w:cstheme="majorBidi"/>
          <w:i/>
          <w:iCs/>
          <w:sz w:val="24"/>
          <w:szCs w:val="24"/>
        </w:rPr>
        <w:t>692</w:t>
      </w:r>
      <w:r w:rsidRPr="00C033B5">
        <w:rPr>
          <w:rFonts w:asciiTheme="majorBidi" w:hAnsiTheme="majorBidi" w:cstheme="majorBidi"/>
          <w:sz w:val="24"/>
          <w:szCs w:val="24"/>
        </w:rPr>
        <w:t>, 10-15.</w:t>
      </w:r>
    </w:p>
    <w:p w14:paraId="21DF1744"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Kar, A. K., &amp; Swain, R. B. (2014). Interest rates and financial performance of microfinance institutions: Recent global evidence. </w:t>
      </w:r>
      <w:r w:rsidRPr="00C033B5">
        <w:rPr>
          <w:rFonts w:asciiTheme="majorBidi" w:hAnsiTheme="majorBidi" w:cstheme="majorBidi"/>
          <w:i/>
          <w:iCs/>
          <w:sz w:val="24"/>
          <w:szCs w:val="24"/>
        </w:rPr>
        <w:t>The European Journal of Development Research</w:t>
      </w:r>
      <w:r w:rsidRPr="00C033B5">
        <w:rPr>
          <w:rFonts w:asciiTheme="majorBidi" w:hAnsiTheme="majorBidi" w:cstheme="majorBidi"/>
          <w:sz w:val="24"/>
          <w:szCs w:val="24"/>
        </w:rPr>
        <w:t>, </w:t>
      </w:r>
      <w:r w:rsidRPr="00C033B5">
        <w:rPr>
          <w:rFonts w:asciiTheme="majorBidi" w:hAnsiTheme="majorBidi" w:cstheme="majorBidi"/>
          <w:i/>
          <w:iCs/>
          <w:sz w:val="24"/>
          <w:szCs w:val="24"/>
        </w:rPr>
        <w:t>26</w:t>
      </w:r>
      <w:r w:rsidRPr="00C033B5">
        <w:rPr>
          <w:rFonts w:asciiTheme="majorBidi" w:hAnsiTheme="majorBidi" w:cstheme="majorBidi"/>
          <w:sz w:val="24"/>
          <w:szCs w:val="24"/>
        </w:rPr>
        <w:t>, 87-106.</w:t>
      </w:r>
    </w:p>
    <w:p w14:paraId="068C5C1B"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 xml:space="preserve">Karami, M., Cumming, D., </w:t>
      </w:r>
      <w:proofErr w:type="spellStart"/>
      <w:r w:rsidRPr="00C033B5">
        <w:rPr>
          <w:rFonts w:asciiTheme="majorBidi" w:hAnsiTheme="majorBidi" w:cstheme="majorBidi"/>
          <w:sz w:val="24"/>
          <w:szCs w:val="24"/>
        </w:rPr>
        <w:t>Hornuf</w:t>
      </w:r>
      <w:proofErr w:type="spellEnd"/>
      <w:r w:rsidRPr="00C033B5">
        <w:rPr>
          <w:rFonts w:asciiTheme="majorBidi" w:hAnsiTheme="majorBidi" w:cstheme="majorBidi"/>
          <w:sz w:val="24"/>
          <w:szCs w:val="24"/>
        </w:rPr>
        <w:t xml:space="preserve">, L., &amp; Schweizer, D. (2017). Disentangling Crowdfunding from </w:t>
      </w:r>
      <w:proofErr w:type="spellStart"/>
      <w:r w:rsidRPr="00C033B5">
        <w:rPr>
          <w:rFonts w:asciiTheme="majorBidi" w:hAnsiTheme="majorBidi" w:cstheme="majorBidi"/>
          <w:sz w:val="24"/>
          <w:szCs w:val="24"/>
        </w:rPr>
        <w:t>Fraudfunding</w:t>
      </w:r>
      <w:proofErr w:type="spellEnd"/>
      <w:r w:rsidRPr="00C033B5">
        <w:rPr>
          <w:rFonts w:asciiTheme="majorBidi" w:hAnsiTheme="majorBidi" w:cstheme="majorBidi"/>
          <w:sz w:val="24"/>
          <w:szCs w:val="24"/>
        </w:rPr>
        <w:t>. In </w:t>
      </w:r>
      <w:proofErr w:type="spellStart"/>
      <w:r w:rsidRPr="00C033B5">
        <w:rPr>
          <w:rFonts w:asciiTheme="majorBidi" w:hAnsiTheme="majorBidi" w:cstheme="majorBidi"/>
          <w:i/>
          <w:iCs/>
          <w:sz w:val="24"/>
          <w:szCs w:val="24"/>
        </w:rPr>
        <w:t>VfS</w:t>
      </w:r>
      <w:proofErr w:type="spellEnd"/>
      <w:r w:rsidRPr="00C033B5">
        <w:rPr>
          <w:rFonts w:asciiTheme="majorBidi" w:hAnsiTheme="majorBidi" w:cstheme="majorBidi"/>
          <w:i/>
          <w:iCs/>
          <w:sz w:val="24"/>
          <w:szCs w:val="24"/>
        </w:rPr>
        <w:t xml:space="preserve"> Annual Conference 2017 (Vienna): Alternative Structures for Money and Banking</w:t>
      </w:r>
      <w:r w:rsidRPr="00C033B5">
        <w:rPr>
          <w:rFonts w:asciiTheme="majorBidi" w:hAnsiTheme="majorBidi" w:cstheme="majorBidi"/>
          <w:sz w:val="24"/>
          <w:szCs w:val="24"/>
        </w:rPr>
        <w:t xml:space="preserve"> (No. 168120). Verein für </w:t>
      </w:r>
      <w:proofErr w:type="spellStart"/>
      <w:r w:rsidRPr="00C033B5">
        <w:rPr>
          <w:rFonts w:asciiTheme="majorBidi" w:hAnsiTheme="majorBidi" w:cstheme="majorBidi"/>
          <w:sz w:val="24"/>
          <w:szCs w:val="24"/>
        </w:rPr>
        <w:t>Socialpolitik</w:t>
      </w:r>
      <w:proofErr w:type="spellEnd"/>
      <w:r w:rsidRPr="00C033B5">
        <w:rPr>
          <w:rFonts w:asciiTheme="majorBidi" w:hAnsiTheme="majorBidi" w:cstheme="majorBidi"/>
          <w:sz w:val="24"/>
          <w:szCs w:val="24"/>
        </w:rPr>
        <w:t>/German Economic Association.</w:t>
      </w:r>
    </w:p>
    <w:p w14:paraId="51B62776"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proofErr w:type="spellStart"/>
      <w:r w:rsidRPr="00C033B5">
        <w:rPr>
          <w:rFonts w:asciiTheme="majorBidi" w:hAnsiTheme="majorBidi" w:cstheme="majorBidi"/>
          <w:sz w:val="24"/>
          <w:szCs w:val="24"/>
        </w:rPr>
        <w:t>Kgoroeadira</w:t>
      </w:r>
      <w:proofErr w:type="spellEnd"/>
      <w:r w:rsidRPr="00C033B5">
        <w:rPr>
          <w:rFonts w:asciiTheme="majorBidi" w:hAnsiTheme="majorBidi" w:cstheme="majorBidi"/>
          <w:sz w:val="24"/>
          <w:szCs w:val="24"/>
        </w:rPr>
        <w:t>, R., Burke, A., &amp; Van Stel, A. (2019). Small business online loan crowdfunding: who gets funded and what determines the rate of interest?. </w:t>
      </w:r>
      <w:r w:rsidRPr="00C033B5">
        <w:rPr>
          <w:rFonts w:asciiTheme="majorBidi" w:hAnsiTheme="majorBidi" w:cstheme="majorBidi"/>
          <w:i/>
          <w:iCs/>
          <w:sz w:val="24"/>
          <w:szCs w:val="24"/>
        </w:rPr>
        <w:t>Small Business Economics</w:t>
      </w:r>
      <w:r w:rsidRPr="00C033B5">
        <w:rPr>
          <w:rFonts w:asciiTheme="majorBidi" w:hAnsiTheme="majorBidi" w:cstheme="majorBidi"/>
          <w:sz w:val="24"/>
          <w:szCs w:val="24"/>
        </w:rPr>
        <w:t>, </w:t>
      </w:r>
      <w:r w:rsidRPr="00C033B5">
        <w:rPr>
          <w:rFonts w:asciiTheme="majorBidi" w:hAnsiTheme="majorBidi" w:cstheme="majorBidi"/>
          <w:i/>
          <w:iCs/>
          <w:sz w:val="24"/>
          <w:szCs w:val="24"/>
        </w:rPr>
        <w:t>52</w:t>
      </w:r>
      <w:r w:rsidRPr="00C033B5">
        <w:rPr>
          <w:rFonts w:asciiTheme="majorBidi" w:hAnsiTheme="majorBidi" w:cstheme="majorBidi"/>
          <w:sz w:val="24"/>
          <w:szCs w:val="24"/>
        </w:rPr>
        <w:t>, 67-87.</w:t>
      </w:r>
    </w:p>
    <w:p w14:paraId="5414C7C9"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Kirby, E., &amp; Worner, S. (2014). Crowd-funding: An infant industry growing fast. </w:t>
      </w:r>
      <w:r w:rsidRPr="00C033B5">
        <w:rPr>
          <w:rFonts w:asciiTheme="majorBidi" w:hAnsiTheme="majorBidi" w:cstheme="majorBidi"/>
          <w:i/>
          <w:iCs/>
          <w:sz w:val="24"/>
          <w:szCs w:val="24"/>
        </w:rPr>
        <w:t>IOSCO Research Department</w:t>
      </w:r>
      <w:r w:rsidRPr="00C033B5">
        <w:rPr>
          <w:rFonts w:asciiTheme="majorBidi" w:hAnsiTheme="majorBidi" w:cstheme="majorBidi"/>
          <w:sz w:val="24"/>
          <w:szCs w:val="24"/>
        </w:rPr>
        <w:t>, </w:t>
      </w:r>
      <w:r w:rsidRPr="00C033B5">
        <w:rPr>
          <w:rFonts w:asciiTheme="majorBidi" w:hAnsiTheme="majorBidi" w:cstheme="majorBidi"/>
          <w:i/>
          <w:iCs/>
          <w:sz w:val="24"/>
          <w:szCs w:val="24"/>
        </w:rPr>
        <w:t>2014</w:t>
      </w:r>
      <w:r w:rsidRPr="00C033B5">
        <w:rPr>
          <w:rFonts w:asciiTheme="majorBidi" w:hAnsiTheme="majorBidi" w:cstheme="majorBidi"/>
          <w:sz w:val="24"/>
          <w:szCs w:val="24"/>
        </w:rPr>
        <w:t>, 1-63.</w:t>
      </w:r>
    </w:p>
    <w:p w14:paraId="3C4155C4"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Klein, B., &amp; Murphy, K. M. (1988). Vertical restraints as contract enforcement mechanisms. </w:t>
      </w:r>
      <w:r w:rsidRPr="00C033B5">
        <w:rPr>
          <w:rFonts w:asciiTheme="majorBidi" w:hAnsiTheme="majorBidi" w:cstheme="majorBidi"/>
          <w:i/>
          <w:iCs/>
          <w:sz w:val="24"/>
          <w:szCs w:val="24"/>
        </w:rPr>
        <w:t>The Journal of Law and Economics</w:t>
      </w:r>
      <w:r w:rsidRPr="00C033B5">
        <w:rPr>
          <w:rFonts w:asciiTheme="majorBidi" w:hAnsiTheme="majorBidi" w:cstheme="majorBidi"/>
          <w:sz w:val="24"/>
          <w:szCs w:val="24"/>
        </w:rPr>
        <w:t>, </w:t>
      </w:r>
      <w:r w:rsidRPr="00C033B5">
        <w:rPr>
          <w:rFonts w:asciiTheme="majorBidi" w:hAnsiTheme="majorBidi" w:cstheme="majorBidi"/>
          <w:i/>
          <w:iCs/>
          <w:sz w:val="24"/>
          <w:szCs w:val="24"/>
        </w:rPr>
        <w:t>31</w:t>
      </w:r>
      <w:r w:rsidRPr="00C033B5">
        <w:rPr>
          <w:rFonts w:asciiTheme="majorBidi" w:hAnsiTheme="majorBidi" w:cstheme="majorBidi"/>
          <w:sz w:val="24"/>
          <w:szCs w:val="24"/>
        </w:rPr>
        <w:t>(2), 265-297.</w:t>
      </w:r>
    </w:p>
    <w:p w14:paraId="318421B0"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proofErr w:type="spellStart"/>
      <w:r w:rsidRPr="00C033B5">
        <w:rPr>
          <w:rFonts w:asciiTheme="majorBidi" w:hAnsiTheme="majorBidi" w:cstheme="majorBidi"/>
          <w:sz w:val="24"/>
          <w:szCs w:val="24"/>
        </w:rPr>
        <w:t>Koulafetis</w:t>
      </w:r>
      <w:proofErr w:type="spellEnd"/>
      <w:r w:rsidRPr="00C033B5">
        <w:rPr>
          <w:rFonts w:asciiTheme="majorBidi" w:hAnsiTheme="majorBidi" w:cstheme="majorBidi"/>
          <w:sz w:val="24"/>
          <w:szCs w:val="24"/>
        </w:rPr>
        <w:t>, P. (2017). </w:t>
      </w:r>
      <w:r w:rsidRPr="00C033B5">
        <w:rPr>
          <w:rFonts w:asciiTheme="majorBidi" w:hAnsiTheme="majorBidi" w:cstheme="majorBidi"/>
          <w:i/>
          <w:iCs/>
          <w:sz w:val="24"/>
          <w:szCs w:val="24"/>
        </w:rPr>
        <w:t>Modern credit risk management: Theory and practice</w:t>
      </w:r>
      <w:r w:rsidRPr="00C033B5">
        <w:rPr>
          <w:rFonts w:asciiTheme="majorBidi" w:hAnsiTheme="majorBidi" w:cstheme="majorBidi"/>
          <w:sz w:val="24"/>
          <w:szCs w:val="24"/>
        </w:rPr>
        <w:t>. Palgrave </w:t>
      </w:r>
    </w:p>
    <w:p w14:paraId="350D1C7A"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ab/>
        <w:t>Macmillan.</w:t>
      </w:r>
    </w:p>
    <w:p w14:paraId="530A4F5B"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Kreps, D. M. (1990). </w:t>
      </w:r>
      <w:r w:rsidRPr="00C033B5">
        <w:rPr>
          <w:rFonts w:asciiTheme="majorBidi" w:hAnsiTheme="majorBidi" w:cstheme="majorBidi"/>
          <w:i/>
          <w:iCs/>
          <w:sz w:val="24"/>
          <w:szCs w:val="24"/>
        </w:rPr>
        <w:t>A Course in Microeconomic Theory</w:t>
      </w:r>
      <w:r w:rsidRPr="00C033B5">
        <w:rPr>
          <w:rFonts w:asciiTheme="majorBidi" w:hAnsiTheme="majorBidi" w:cstheme="majorBidi"/>
          <w:sz w:val="24"/>
          <w:szCs w:val="24"/>
        </w:rPr>
        <w:t>. Princeton University Press.</w:t>
      </w:r>
    </w:p>
    <w:p w14:paraId="4D934A7F"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Kyereboah‐Coleman, A. (2007). The impact of capital structure on the performance of </w:t>
      </w:r>
    </w:p>
    <w:p w14:paraId="269DCE51"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ab/>
        <w:t>microfinance institutions. </w:t>
      </w:r>
      <w:r w:rsidRPr="00C033B5">
        <w:rPr>
          <w:rFonts w:asciiTheme="majorBidi" w:hAnsiTheme="majorBidi" w:cstheme="majorBidi"/>
          <w:i/>
          <w:iCs/>
          <w:sz w:val="24"/>
          <w:szCs w:val="24"/>
        </w:rPr>
        <w:t>The journal of risk finance</w:t>
      </w:r>
      <w:r w:rsidRPr="00C033B5">
        <w:rPr>
          <w:rFonts w:asciiTheme="majorBidi" w:hAnsiTheme="majorBidi" w:cstheme="majorBidi"/>
          <w:sz w:val="24"/>
          <w:szCs w:val="24"/>
        </w:rPr>
        <w:t>, </w:t>
      </w:r>
      <w:r w:rsidRPr="00C033B5">
        <w:rPr>
          <w:rFonts w:asciiTheme="majorBidi" w:hAnsiTheme="majorBidi" w:cstheme="majorBidi"/>
          <w:i/>
          <w:iCs/>
          <w:sz w:val="24"/>
          <w:szCs w:val="24"/>
        </w:rPr>
        <w:t>8</w:t>
      </w:r>
      <w:r w:rsidRPr="00C033B5">
        <w:rPr>
          <w:rFonts w:asciiTheme="majorBidi" w:hAnsiTheme="majorBidi" w:cstheme="majorBidi"/>
          <w:sz w:val="24"/>
          <w:szCs w:val="24"/>
        </w:rPr>
        <w:t>(1), 56-71.</w:t>
      </w:r>
    </w:p>
    <w:p w14:paraId="0F00CDA6"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 xml:space="preserve">Lee, E., &amp; Lee, B. (2012). Herding </w:t>
      </w:r>
      <w:proofErr w:type="spellStart"/>
      <w:r w:rsidRPr="00C033B5">
        <w:rPr>
          <w:rFonts w:asciiTheme="majorBidi" w:hAnsiTheme="majorBidi" w:cstheme="majorBidi"/>
          <w:sz w:val="24"/>
          <w:szCs w:val="24"/>
        </w:rPr>
        <w:t>behavior</w:t>
      </w:r>
      <w:proofErr w:type="spellEnd"/>
      <w:r w:rsidRPr="00C033B5">
        <w:rPr>
          <w:rFonts w:asciiTheme="majorBidi" w:hAnsiTheme="majorBidi" w:cstheme="majorBidi"/>
          <w:sz w:val="24"/>
          <w:szCs w:val="24"/>
        </w:rPr>
        <w:t xml:space="preserve"> in online P2P lending: An empirical investigation. </w:t>
      </w:r>
      <w:r w:rsidRPr="00C033B5">
        <w:rPr>
          <w:rFonts w:asciiTheme="majorBidi" w:hAnsiTheme="majorBidi" w:cstheme="majorBidi"/>
          <w:i/>
          <w:iCs/>
          <w:sz w:val="24"/>
          <w:szCs w:val="24"/>
        </w:rPr>
        <w:t>Electronic commerce research and applications</w:t>
      </w:r>
      <w:r w:rsidRPr="00C033B5">
        <w:rPr>
          <w:rFonts w:asciiTheme="majorBidi" w:hAnsiTheme="majorBidi" w:cstheme="majorBidi"/>
          <w:sz w:val="24"/>
          <w:szCs w:val="24"/>
        </w:rPr>
        <w:t>, </w:t>
      </w:r>
      <w:r w:rsidRPr="00C033B5">
        <w:rPr>
          <w:rFonts w:asciiTheme="majorBidi" w:hAnsiTheme="majorBidi" w:cstheme="majorBidi"/>
          <w:i/>
          <w:iCs/>
          <w:sz w:val="24"/>
          <w:szCs w:val="24"/>
        </w:rPr>
        <w:t>11</w:t>
      </w:r>
      <w:r w:rsidRPr="00C033B5">
        <w:rPr>
          <w:rFonts w:asciiTheme="majorBidi" w:hAnsiTheme="majorBidi" w:cstheme="majorBidi"/>
          <w:sz w:val="24"/>
          <w:szCs w:val="24"/>
        </w:rPr>
        <w:t>(5), 495-503.</w:t>
      </w:r>
    </w:p>
    <w:p w14:paraId="2CDE1313"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Leland, H. E., &amp; Pyle, D. H. (1977). Informational asymmetries, financial structure, and financial intermediation. </w:t>
      </w:r>
      <w:r w:rsidRPr="00C033B5">
        <w:rPr>
          <w:rFonts w:asciiTheme="majorBidi" w:hAnsiTheme="majorBidi" w:cstheme="majorBidi"/>
          <w:i/>
          <w:iCs/>
          <w:sz w:val="24"/>
          <w:szCs w:val="24"/>
        </w:rPr>
        <w:t>The journal of Finance</w:t>
      </w:r>
      <w:r w:rsidRPr="00C033B5">
        <w:rPr>
          <w:rFonts w:asciiTheme="majorBidi" w:hAnsiTheme="majorBidi" w:cstheme="majorBidi"/>
          <w:sz w:val="24"/>
          <w:szCs w:val="24"/>
        </w:rPr>
        <w:t>, </w:t>
      </w:r>
      <w:r w:rsidRPr="00C033B5">
        <w:rPr>
          <w:rFonts w:asciiTheme="majorBidi" w:hAnsiTheme="majorBidi" w:cstheme="majorBidi"/>
          <w:i/>
          <w:iCs/>
          <w:sz w:val="24"/>
          <w:szCs w:val="24"/>
        </w:rPr>
        <w:t>32</w:t>
      </w:r>
      <w:r w:rsidRPr="00C033B5">
        <w:rPr>
          <w:rFonts w:asciiTheme="majorBidi" w:hAnsiTheme="majorBidi" w:cstheme="majorBidi"/>
          <w:sz w:val="24"/>
          <w:szCs w:val="24"/>
        </w:rPr>
        <w:t>(2), 371-387.</w:t>
      </w:r>
    </w:p>
    <w:p w14:paraId="5E8E9B77"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Li, J., Maung, M., &amp; Wilson, C. (2018). Governance and financial development: A cross-country analysis. </w:t>
      </w:r>
      <w:r w:rsidRPr="00C033B5">
        <w:rPr>
          <w:rFonts w:asciiTheme="majorBidi" w:hAnsiTheme="majorBidi" w:cstheme="majorBidi"/>
          <w:i/>
          <w:iCs/>
          <w:sz w:val="24"/>
          <w:szCs w:val="24"/>
        </w:rPr>
        <w:t>Journal of International Financial Markets, Institutions and Money</w:t>
      </w:r>
      <w:r w:rsidRPr="00C033B5">
        <w:rPr>
          <w:rFonts w:asciiTheme="majorBidi" w:hAnsiTheme="majorBidi" w:cstheme="majorBidi"/>
          <w:sz w:val="24"/>
          <w:szCs w:val="24"/>
        </w:rPr>
        <w:t>, </w:t>
      </w:r>
      <w:r w:rsidRPr="00C033B5">
        <w:rPr>
          <w:rFonts w:asciiTheme="majorBidi" w:hAnsiTheme="majorBidi" w:cstheme="majorBidi"/>
          <w:i/>
          <w:iCs/>
          <w:sz w:val="24"/>
          <w:szCs w:val="24"/>
        </w:rPr>
        <w:t>52</w:t>
      </w:r>
      <w:r w:rsidRPr="00C033B5">
        <w:rPr>
          <w:rFonts w:asciiTheme="majorBidi" w:hAnsiTheme="majorBidi" w:cstheme="majorBidi"/>
          <w:sz w:val="24"/>
          <w:szCs w:val="24"/>
        </w:rPr>
        <w:t>, 227-239.</w:t>
      </w:r>
    </w:p>
    <w:p w14:paraId="1FEEFCB9"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Lidén, S. B., &amp; Edvardsson, B. (2003). Customer expectations on service guarantees. </w:t>
      </w:r>
      <w:r w:rsidRPr="00C033B5">
        <w:rPr>
          <w:rFonts w:asciiTheme="majorBidi" w:hAnsiTheme="majorBidi" w:cstheme="majorBidi"/>
          <w:i/>
          <w:iCs/>
          <w:sz w:val="24"/>
          <w:szCs w:val="24"/>
        </w:rPr>
        <w:t>Managing Service Quality: An International Journal</w:t>
      </w:r>
      <w:r w:rsidRPr="00C033B5">
        <w:rPr>
          <w:rFonts w:asciiTheme="majorBidi" w:hAnsiTheme="majorBidi" w:cstheme="majorBidi"/>
          <w:sz w:val="24"/>
          <w:szCs w:val="24"/>
        </w:rPr>
        <w:t>, </w:t>
      </w:r>
      <w:r w:rsidRPr="00C033B5">
        <w:rPr>
          <w:rFonts w:asciiTheme="majorBidi" w:hAnsiTheme="majorBidi" w:cstheme="majorBidi"/>
          <w:i/>
          <w:iCs/>
          <w:sz w:val="24"/>
          <w:szCs w:val="24"/>
        </w:rPr>
        <w:t>13</w:t>
      </w:r>
      <w:r w:rsidRPr="00C033B5">
        <w:rPr>
          <w:rFonts w:asciiTheme="majorBidi" w:hAnsiTheme="majorBidi" w:cstheme="majorBidi"/>
          <w:sz w:val="24"/>
          <w:szCs w:val="24"/>
        </w:rPr>
        <w:t>(5), 338-348.</w:t>
      </w:r>
    </w:p>
    <w:p w14:paraId="2E620C8A"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 xml:space="preserve">Lin, M., </w:t>
      </w:r>
      <w:proofErr w:type="spellStart"/>
      <w:r w:rsidRPr="00C033B5">
        <w:rPr>
          <w:rFonts w:asciiTheme="majorBidi" w:hAnsiTheme="majorBidi" w:cstheme="majorBidi"/>
          <w:sz w:val="24"/>
          <w:szCs w:val="24"/>
        </w:rPr>
        <w:t>Prabhala</w:t>
      </w:r>
      <w:proofErr w:type="spellEnd"/>
      <w:r w:rsidRPr="00C033B5">
        <w:rPr>
          <w:rFonts w:asciiTheme="majorBidi" w:hAnsiTheme="majorBidi" w:cstheme="majorBidi"/>
          <w:sz w:val="24"/>
          <w:szCs w:val="24"/>
        </w:rPr>
        <w:t>, N. R., &amp; Viswanathan, S. (2013). Judging borrowers by the company they keep: Friendship networks and information asymmetry in online peer-to-peer lending. Management science, 59(1), 17-35.</w:t>
      </w:r>
    </w:p>
    <w:p w14:paraId="0287E0FB"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proofErr w:type="spellStart"/>
      <w:r w:rsidRPr="00C033B5">
        <w:rPr>
          <w:rFonts w:asciiTheme="majorBidi" w:hAnsiTheme="majorBidi" w:cstheme="majorBidi"/>
          <w:sz w:val="24"/>
          <w:szCs w:val="24"/>
        </w:rPr>
        <w:t>Liñares</w:t>
      </w:r>
      <w:proofErr w:type="spellEnd"/>
      <w:r w:rsidRPr="00C033B5">
        <w:rPr>
          <w:rFonts w:asciiTheme="majorBidi" w:hAnsiTheme="majorBidi" w:cstheme="majorBidi"/>
          <w:sz w:val="24"/>
          <w:szCs w:val="24"/>
        </w:rPr>
        <w:t>-Zegarra, J., &amp; Wilson, J. O. (2018). The size and growth of microfinance institutions. </w:t>
      </w:r>
      <w:r w:rsidRPr="00C033B5">
        <w:rPr>
          <w:rFonts w:asciiTheme="majorBidi" w:hAnsiTheme="majorBidi" w:cstheme="majorBidi"/>
          <w:i/>
          <w:iCs/>
          <w:sz w:val="24"/>
          <w:szCs w:val="24"/>
        </w:rPr>
        <w:t>The British Accounting Review</w:t>
      </w:r>
      <w:r w:rsidRPr="00C033B5">
        <w:rPr>
          <w:rFonts w:asciiTheme="majorBidi" w:hAnsiTheme="majorBidi" w:cstheme="majorBidi"/>
          <w:sz w:val="24"/>
          <w:szCs w:val="24"/>
        </w:rPr>
        <w:t>, </w:t>
      </w:r>
      <w:r w:rsidRPr="00C033B5">
        <w:rPr>
          <w:rFonts w:asciiTheme="majorBidi" w:hAnsiTheme="majorBidi" w:cstheme="majorBidi"/>
          <w:i/>
          <w:iCs/>
          <w:sz w:val="24"/>
          <w:szCs w:val="24"/>
        </w:rPr>
        <w:t>50</w:t>
      </w:r>
      <w:r w:rsidRPr="00C033B5">
        <w:rPr>
          <w:rFonts w:asciiTheme="majorBidi" w:hAnsiTheme="majorBidi" w:cstheme="majorBidi"/>
          <w:sz w:val="24"/>
          <w:szCs w:val="24"/>
        </w:rPr>
        <w:t>(2), 199-213.</w:t>
      </w:r>
    </w:p>
    <w:p w14:paraId="31CE9E4E"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Liu, Y., Zhou, Q., Zhao, X., &amp; Wang, Y. (2018). Can listing information indicate borrower credit risk in online peer-to-peer lending?. </w:t>
      </w:r>
      <w:r w:rsidRPr="00C033B5">
        <w:rPr>
          <w:rFonts w:asciiTheme="majorBidi" w:hAnsiTheme="majorBidi" w:cstheme="majorBidi"/>
          <w:i/>
          <w:iCs/>
          <w:sz w:val="24"/>
          <w:szCs w:val="24"/>
        </w:rPr>
        <w:t>Emerging Markets Finance and </w:t>
      </w:r>
    </w:p>
    <w:p w14:paraId="5E9BD4C1"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i/>
          <w:iCs/>
          <w:sz w:val="24"/>
          <w:szCs w:val="24"/>
        </w:rPr>
        <w:tab/>
        <w:t>Trade</w:t>
      </w:r>
      <w:r w:rsidRPr="00C033B5">
        <w:rPr>
          <w:rFonts w:asciiTheme="majorBidi" w:hAnsiTheme="majorBidi" w:cstheme="majorBidi"/>
          <w:sz w:val="24"/>
          <w:szCs w:val="24"/>
        </w:rPr>
        <w:t>, </w:t>
      </w:r>
      <w:r w:rsidRPr="00C033B5">
        <w:rPr>
          <w:rFonts w:asciiTheme="majorBidi" w:hAnsiTheme="majorBidi" w:cstheme="majorBidi"/>
          <w:i/>
          <w:iCs/>
          <w:sz w:val="24"/>
          <w:szCs w:val="24"/>
        </w:rPr>
        <w:t>54</w:t>
      </w:r>
      <w:r w:rsidRPr="00C033B5">
        <w:rPr>
          <w:rFonts w:asciiTheme="majorBidi" w:hAnsiTheme="majorBidi" w:cstheme="majorBidi"/>
          <w:sz w:val="24"/>
          <w:szCs w:val="24"/>
        </w:rPr>
        <w:t>(13), 2982-2994.</w:t>
      </w:r>
    </w:p>
    <w:p w14:paraId="1B3DC65C"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Lu, H., Wang, B., Wang, H., &amp; Zhao, T. (2020). Does social capital matter for peer-to-peer-lending? Empirical evidence. </w:t>
      </w:r>
      <w:r w:rsidRPr="00C033B5">
        <w:rPr>
          <w:rFonts w:asciiTheme="majorBidi" w:hAnsiTheme="majorBidi" w:cstheme="majorBidi"/>
          <w:i/>
          <w:iCs/>
          <w:sz w:val="24"/>
          <w:szCs w:val="24"/>
        </w:rPr>
        <w:t>Pacific-Basin Finance Journal</w:t>
      </w:r>
      <w:r w:rsidRPr="00C033B5">
        <w:rPr>
          <w:rFonts w:asciiTheme="majorBidi" w:hAnsiTheme="majorBidi" w:cstheme="majorBidi"/>
          <w:sz w:val="24"/>
          <w:szCs w:val="24"/>
        </w:rPr>
        <w:t>, </w:t>
      </w:r>
      <w:r w:rsidRPr="00C033B5">
        <w:rPr>
          <w:rFonts w:asciiTheme="majorBidi" w:hAnsiTheme="majorBidi" w:cstheme="majorBidi"/>
          <w:i/>
          <w:iCs/>
          <w:sz w:val="24"/>
          <w:szCs w:val="24"/>
        </w:rPr>
        <w:t>61</w:t>
      </w:r>
      <w:r w:rsidRPr="00C033B5">
        <w:rPr>
          <w:rFonts w:asciiTheme="majorBidi" w:hAnsiTheme="majorBidi" w:cstheme="majorBidi"/>
          <w:sz w:val="24"/>
          <w:szCs w:val="24"/>
        </w:rPr>
        <w:t>, 101338.</w:t>
      </w:r>
    </w:p>
    <w:p w14:paraId="2BEF6D86"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Lu, K., Wei, Z., &amp; Chan, T. Y. (2022). Information asymmetry among investors and strategic bidding in peer-to-peer lending. </w:t>
      </w:r>
      <w:r w:rsidRPr="00C033B5">
        <w:rPr>
          <w:rFonts w:asciiTheme="majorBidi" w:hAnsiTheme="majorBidi" w:cstheme="majorBidi"/>
          <w:i/>
          <w:iCs/>
          <w:sz w:val="24"/>
          <w:szCs w:val="24"/>
        </w:rPr>
        <w:t>Information Systems Research</w:t>
      </w:r>
      <w:r w:rsidRPr="00C033B5">
        <w:rPr>
          <w:rFonts w:asciiTheme="majorBidi" w:hAnsiTheme="majorBidi" w:cstheme="majorBidi"/>
          <w:sz w:val="24"/>
          <w:szCs w:val="24"/>
        </w:rPr>
        <w:t>, </w:t>
      </w:r>
      <w:r w:rsidRPr="00C033B5">
        <w:rPr>
          <w:rFonts w:asciiTheme="majorBidi" w:hAnsiTheme="majorBidi" w:cstheme="majorBidi"/>
          <w:i/>
          <w:iCs/>
          <w:sz w:val="24"/>
          <w:szCs w:val="24"/>
        </w:rPr>
        <w:t>33</w:t>
      </w:r>
      <w:r w:rsidRPr="00C033B5">
        <w:rPr>
          <w:rFonts w:asciiTheme="majorBidi" w:hAnsiTheme="majorBidi" w:cstheme="majorBidi"/>
          <w:sz w:val="24"/>
          <w:szCs w:val="24"/>
        </w:rPr>
        <w:t>(3), 824-845.</w:t>
      </w:r>
    </w:p>
    <w:p w14:paraId="1B4966B4"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lastRenderedPageBreak/>
        <w:t xml:space="preserve">Malmström, M. (2014). Typologies of bootstrap financing </w:t>
      </w:r>
      <w:proofErr w:type="spellStart"/>
      <w:r w:rsidRPr="00C033B5">
        <w:rPr>
          <w:rFonts w:asciiTheme="majorBidi" w:hAnsiTheme="majorBidi" w:cstheme="majorBidi"/>
          <w:sz w:val="24"/>
          <w:szCs w:val="24"/>
        </w:rPr>
        <w:t>behavior</w:t>
      </w:r>
      <w:proofErr w:type="spellEnd"/>
      <w:r w:rsidRPr="00C033B5">
        <w:rPr>
          <w:rFonts w:asciiTheme="majorBidi" w:hAnsiTheme="majorBidi" w:cstheme="majorBidi"/>
          <w:sz w:val="24"/>
          <w:szCs w:val="24"/>
        </w:rPr>
        <w:t xml:space="preserve"> in small ventures. </w:t>
      </w:r>
      <w:r w:rsidRPr="00C033B5">
        <w:rPr>
          <w:rFonts w:asciiTheme="majorBidi" w:hAnsiTheme="majorBidi" w:cstheme="majorBidi"/>
          <w:i/>
          <w:iCs/>
          <w:sz w:val="24"/>
          <w:szCs w:val="24"/>
        </w:rPr>
        <w:t>Venture Capital</w:t>
      </w:r>
      <w:r w:rsidRPr="00C033B5">
        <w:rPr>
          <w:rFonts w:asciiTheme="majorBidi" w:hAnsiTheme="majorBidi" w:cstheme="majorBidi"/>
          <w:sz w:val="24"/>
          <w:szCs w:val="24"/>
        </w:rPr>
        <w:t>, </w:t>
      </w:r>
      <w:r w:rsidRPr="00C033B5">
        <w:rPr>
          <w:rFonts w:asciiTheme="majorBidi" w:hAnsiTheme="majorBidi" w:cstheme="majorBidi"/>
          <w:i/>
          <w:iCs/>
          <w:sz w:val="24"/>
          <w:szCs w:val="24"/>
        </w:rPr>
        <w:t>16</w:t>
      </w:r>
      <w:r w:rsidRPr="00C033B5">
        <w:rPr>
          <w:rFonts w:asciiTheme="majorBidi" w:hAnsiTheme="majorBidi" w:cstheme="majorBidi"/>
          <w:sz w:val="24"/>
          <w:szCs w:val="24"/>
        </w:rPr>
        <w:t>(1), 27-50.</w:t>
      </w:r>
    </w:p>
    <w:p w14:paraId="69F5C3A1"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Mandel, B. H., Morgan, D., &amp; Wei, C. (2012). The role of bank credit enhancements in </w:t>
      </w:r>
    </w:p>
    <w:p w14:paraId="145EF931"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ab/>
        <w:t>securitization. </w:t>
      </w:r>
      <w:r w:rsidRPr="00C033B5">
        <w:rPr>
          <w:rFonts w:asciiTheme="majorBidi" w:hAnsiTheme="majorBidi" w:cstheme="majorBidi"/>
          <w:i/>
          <w:iCs/>
          <w:sz w:val="24"/>
          <w:szCs w:val="24"/>
        </w:rPr>
        <w:t>Federal Reserve Bank of New York Economic Policy Review</w:t>
      </w:r>
      <w:r w:rsidRPr="00C033B5">
        <w:rPr>
          <w:rFonts w:asciiTheme="majorBidi" w:hAnsiTheme="majorBidi" w:cstheme="majorBidi"/>
          <w:sz w:val="24"/>
          <w:szCs w:val="24"/>
        </w:rPr>
        <w:t>, </w:t>
      </w:r>
      <w:r w:rsidRPr="00C033B5">
        <w:rPr>
          <w:rFonts w:asciiTheme="majorBidi" w:hAnsiTheme="majorBidi" w:cstheme="majorBidi"/>
          <w:i/>
          <w:iCs/>
          <w:sz w:val="24"/>
          <w:szCs w:val="24"/>
        </w:rPr>
        <w:t>18</w:t>
      </w:r>
      <w:r w:rsidRPr="00C033B5">
        <w:rPr>
          <w:rFonts w:asciiTheme="majorBidi" w:hAnsiTheme="majorBidi" w:cstheme="majorBidi"/>
          <w:sz w:val="24"/>
          <w:szCs w:val="24"/>
        </w:rPr>
        <w:t>(2), 35-46.</w:t>
      </w:r>
    </w:p>
    <w:p w14:paraId="1A8A9064"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Markowitz, H. M. (1952). Portfolio selection. </w:t>
      </w:r>
      <w:r w:rsidRPr="00C033B5">
        <w:rPr>
          <w:rFonts w:asciiTheme="majorBidi" w:hAnsiTheme="majorBidi" w:cstheme="majorBidi"/>
          <w:i/>
          <w:iCs/>
          <w:sz w:val="24"/>
          <w:szCs w:val="24"/>
        </w:rPr>
        <w:t>Journal of finance</w:t>
      </w:r>
      <w:r w:rsidRPr="00C033B5">
        <w:rPr>
          <w:rFonts w:asciiTheme="majorBidi" w:hAnsiTheme="majorBidi" w:cstheme="majorBidi"/>
          <w:sz w:val="24"/>
          <w:szCs w:val="24"/>
        </w:rPr>
        <w:t>, </w:t>
      </w:r>
      <w:r w:rsidRPr="00C033B5">
        <w:rPr>
          <w:rFonts w:asciiTheme="majorBidi" w:hAnsiTheme="majorBidi" w:cstheme="majorBidi"/>
          <w:i/>
          <w:iCs/>
          <w:sz w:val="24"/>
          <w:szCs w:val="24"/>
        </w:rPr>
        <w:t>7</w:t>
      </w:r>
      <w:r w:rsidRPr="00C033B5">
        <w:rPr>
          <w:rFonts w:asciiTheme="majorBidi" w:hAnsiTheme="majorBidi" w:cstheme="majorBidi"/>
          <w:sz w:val="24"/>
          <w:szCs w:val="24"/>
        </w:rPr>
        <w:t>(1), 71-91.</w:t>
      </w:r>
    </w:p>
    <w:p w14:paraId="50D1F9A9"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McCoy, P. A., Pavlov, A. D., &amp; Wachter, S. M. (2008). Systemic risk through securitization: The result of deregulation and regulatory failure. </w:t>
      </w:r>
      <w:r w:rsidRPr="00C033B5">
        <w:rPr>
          <w:rFonts w:asciiTheme="majorBidi" w:hAnsiTheme="majorBidi" w:cstheme="majorBidi"/>
          <w:i/>
          <w:iCs/>
          <w:sz w:val="24"/>
          <w:szCs w:val="24"/>
        </w:rPr>
        <w:t>Conn. L. Rev.</w:t>
      </w:r>
      <w:r w:rsidRPr="00C033B5">
        <w:rPr>
          <w:rFonts w:asciiTheme="majorBidi" w:hAnsiTheme="majorBidi" w:cstheme="majorBidi"/>
          <w:sz w:val="24"/>
          <w:szCs w:val="24"/>
        </w:rPr>
        <w:t>, </w:t>
      </w:r>
      <w:r w:rsidRPr="00C033B5">
        <w:rPr>
          <w:rFonts w:asciiTheme="majorBidi" w:hAnsiTheme="majorBidi" w:cstheme="majorBidi"/>
          <w:i/>
          <w:iCs/>
          <w:sz w:val="24"/>
          <w:szCs w:val="24"/>
        </w:rPr>
        <w:t>41</w:t>
      </w:r>
      <w:r w:rsidRPr="00C033B5">
        <w:rPr>
          <w:rFonts w:asciiTheme="majorBidi" w:hAnsiTheme="majorBidi" w:cstheme="majorBidi"/>
          <w:sz w:val="24"/>
          <w:szCs w:val="24"/>
        </w:rPr>
        <w:t>, 1327.</w:t>
      </w:r>
    </w:p>
    <w:p w14:paraId="22639E1D"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Messomo Elle, S. (2019). Financial and Human Capital of Microentrepreneurs and Financing by Microfinance Institutions (MFIs) in Cameroon. </w:t>
      </w:r>
      <w:r w:rsidRPr="00C033B5">
        <w:rPr>
          <w:rFonts w:asciiTheme="majorBidi" w:hAnsiTheme="majorBidi" w:cstheme="majorBidi"/>
          <w:i/>
          <w:iCs/>
          <w:sz w:val="24"/>
          <w:szCs w:val="24"/>
        </w:rPr>
        <w:t>Journal of Finance &amp; Banking Review (JFBR), 4</w:t>
      </w:r>
      <w:r w:rsidRPr="00C033B5">
        <w:rPr>
          <w:rFonts w:asciiTheme="majorBidi" w:hAnsiTheme="majorBidi" w:cstheme="majorBidi"/>
          <w:sz w:val="24"/>
          <w:szCs w:val="24"/>
        </w:rPr>
        <w:t>(3), 98–107. https://doi.org/10.35609/jfbr.2019.4.3(3)</w:t>
      </w:r>
    </w:p>
    <w:p w14:paraId="62B59094"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 xml:space="preserve">Mintos. (2023). </w:t>
      </w:r>
      <w:r w:rsidRPr="00C033B5">
        <w:rPr>
          <w:rFonts w:asciiTheme="majorBidi" w:hAnsiTheme="majorBidi" w:cstheme="majorBidi"/>
          <w:i/>
          <w:iCs/>
          <w:sz w:val="24"/>
          <w:szCs w:val="24"/>
        </w:rPr>
        <w:t>Consolidated annual report for the year 2022</w:t>
      </w:r>
      <w:r w:rsidRPr="00C033B5">
        <w:rPr>
          <w:rFonts w:asciiTheme="majorBidi" w:hAnsiTheme="majorBidi" w:cstheme="majorBidi"/>
          <w:sz w:val="24"/>
          <w:szCs w:val="24"/>
        </w:rPr>
        <w:t>. Retrieved from </w:t>
      </w:r>
    </w:p>
    <w:p w14:paraId="6A7879FF"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ab/>
        <w:t>https://assets.mintos.com/53ADD82E-BE9D-B3C0-91A3-D44AFB7622B5.pdf</w:t>
      </w:r>
    </w:p>
    <w:p w14:paraId="2AED0B9F"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Mintos. (2023). Loan statistics</w:t>
      </w:r>
      <w:r w:rsidRPr="00C033B5">
        <w:rPr>
          <w:rFonts w:asciiTheme="majorBidi" w:hAnsiTheme="majorBidi" w:cstheme="majorBidi"/>
          <w:i/>
          <w:iCs/>
          <w:sz w:val="24"/>
          <w:szCs w:val="24"/>
        </w:rPr>
        <w:t>.</w:t>
      </w:r>
      <w:r w:rsidRPr="00C033B5">
        <w:rPr>
          <w:rFonts w:asciiTheme="majorBidi" w:hAnsiTheme="majorBidi" w:cstheme="majorBidi"/>
          <w:sz w:val="24"/>
          <w:szCs w:val="24"/>
        </w:rPr>
        <w:t xml:space="preserve"> Retrieved from https://www.mintos.com/en/statistics/loan-</w:t>
      </w:r>
    </w:p>
    <w:p w14:paraId="62E3A063"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ab/>
        <w:t>statistics</w:t>
      </w:r>
    </w:p>
    <w:p w14:paraId="518CD6B2"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Mishra, D. P., Heide, J. B., &amp; Cort, S. G. (1998). Information asymmetry and levels of agency relationships. </w:t>
      </w:r>
      <w:r w:rsidRPr="00C033B5">
        <w:rPr>
          <w:rFonts w:asciiTheme="majorBidi" w:hAnsiTheme="majorBidi" w:cstheme="majorBidi"/>
          <w:i/>
          <w:iCs/>
          <w:sz w:val="24"/>
          <w:szCs w:val="24"/>
        </w:rPr>
        <w:t>Journal of marketing Research</w:t>
      </w:r>
      <w:r w:rsidRPr="00C033B5">
        <w:rPr>
          <w:rFonts w:asciiTheme="majorBidi" w:hAnsiTheme="majorBidi" w:cstheme="majorBidi"/>
          <w:sz w:val="24"/>
          <w:szCs w:val="24"/>
        </w:rPr>
        <w:t>, </w:t>
      </w:r>
      <w:r w:rsidRPr="00C033B5">
        <w:rPr>
          <w:rFonts w:asciiTheme="majorBidi" w:hAnsiTheme="majorBidi" w:cstheme="majorBidi"/>
          <w:i/>
          <w:iCs/>
          <w:sz w:val="24"/>
          <w:szCs w:val="24"/>
        </w:rPr>
        <w:t>35</w:t>
      </w:r>
      <w:r w:rsidRPr="00C033B5">
        <w:rPr>
          <w:rFonts w:asciiTheme="majorBidi" w:hAnsiTheme="majorBidi" w:cstheme="majorBidi"/>
          <w:sz w:val="24"/>
          <w:szCs w:val="24"/>
        </w:rPr>
        <w:t>(3), 277-295.</w:t>
      </w:r>
    </w:p>
    <w:p w14:paraId="2315579D"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Mizen, P. (2008). The credit crunch of 2007–2008: A discussion of the background, market reactions, and policy responses. </w:t>
      </w:r>
      <w:r w:rsidRPr="00C033B5">
        <w:rPr>
          <w:rFonts w:asciiTheme="majorBidi" w:hAnsiTheme="majorBidi" w:cstheme="majorBidi"/>
          <w:i/>
          <w:iCs/>
          <w:sz w:val="24"/>
          <w:szCs w:val="24"/>
        </w:rPr>
        <w:t>Federal Reserve Bank of St. Louis Review</w:t>
      </w:r>
      <w:r w:rsidRPr="00C033B5">
        <w:rPr>
          <w:rFonts w:asciiTheme="majorBidi" w:hAnsiTheme="majorBidi" w:cstheme="majorBidi"/>
          <w:sz w:val="24"/>
          <w:szCs w:val="24"/>
        </w:rPr>
        <w:t>, </w:t>
      </w:r>
      <w:r w:rsidRPr="00C033B5">
        <w:rPr>
          <w:rFonts w:asciiTheme="majorBidi" w:hAnsiTheme="majorBidi" w:cstheme="majorBidi"/>
          <w:i/>
          <w:iCs/>
          <w:sz w:val="24"/>
          <w:szCs w:val="24"/>
        </w:rPr>
        <w:t>90</w:t>
      </w:r>
      <w:r w:rsidRPr="00C033B5">
        <w:rPr>
          <w:rFonts w:asciiTheme="majorBidi" w:hAnsiTheme="majorBidi" w:cstheme="majorBidi"/>
          <w:sz w:val="24"/>
          <w:szCs w:val="24"/>
        </w:rPr>
        <w:t>(5), 531.</w:t>
      </w:r>
    </w:p>
    <w:p w14:paraId="04CED990"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Nigmonov, A., &amp; Shams, S. (2021). COVID-19 pandemic risk and probability of loan default: evidence from marketplace lending market. </w:t>
      </w:r>
      <w:r w:rsidRPr="00C033B5">
        <w:rPr>
          <w:rFonts w:asciiTheme="majorBidi" w:hAnsiTheme="majorBidi" w:cstheme="majorBidi"/>
          <w:i/>
          <w:iCs/>
          <w:sz w:val="24"/>
          <w:szCs w:val="24"/>
        </w:rPr>
        <w:t>Financial Innovation</w:t>
      </w:r>
      <w:r w:rsidRPr="00C033B5">
        <w:rPr>
          <w:rFonts w:asciiTheme="majorBidi" w:hAnsiTheme="majorBidi" w:cstheme="majorBidi"/>
          <w:sz w:val="24"/>
          <w:szCs w:val="24"/>
        </w:rPr>
        <w:t>, </w:t>
      </w:r>
      <w:r w:rsidRPr="00C033B5">
        <w:rPr>
          <w:rFonts w:asciiTheme="majorBidi" w:hAnsiTheme="majorBidi" w:cstheme="majorBidi"/>
          <w:i/>
          <w:iCs/>
          <w:sz w:val="24"/>
          <w:szCs w:val="24"/>
        </w:rPr>
        <w:t>7</w:t>
      </w:r>
      <w:r w:rsidRPr="00C033B5">
        <w:rPr>
          <w:rFonts w:asciiTheme="majorBidi" w:hAnsiTheme="majorBidi" w:cstheme="majorBidi"/>
          <w:sz w:val="24"/>
          <w:szCs w:val="24"/>
        </w:rPr>
        <w:t>(1), 1-28.</w:t>
      </w:r>
    </w:p>
    <w:p w14:paraId="0E7D0D48"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Norden, L., &amp; Wagner, W. (2008). Credit derivatives and loan pricing. </w:t>
      </w:r>
      <w:r w:rsidRPr="00C033B5">
        <w:rPr>
          <w:rFonts w:asciiTheme="majorBidi" w:hAnsiTheme="majorBidi" w:cstheme="majorBidi"/>
          <w:i/>
          <w:iCs/>
          <w:sz w:val="24"/>
          <w:szCs w:val="24"/>
        </w:rPr>
        <w:t>Journal of banking &amp; finance</w:t>
      </w:r>
      <w:r w:rsidRPr="00C033B5">
        <w:rPr>
          <w:rFonts w:asciiTheme="majorBidi" w:hAnsiTheme="majorBidi" w:cstheme="majorBidi"/>
          <w:sz w:val="24"/>
          <w:szCs w:val="24"/>
        </w:rPr>
        <w:t>, </w:t>
      </w:r>
      <w:r w:rsidRPr="00C033B5">
        <w:rPr>
          <w:rFonts w:asciiTheme="majorBidi" w:hAnsiTheme="majorBidi" w:cstheme="majorBidi"/>
          <w:i/>
          <w:iCs/>
          <w:sz w:val="24"/>
          <w:szCs w:val="24"/>
        </w:rPr>
        <w:t>32</w:t>
      </w:r>
      <w:r w:rsidRPr="00C033B5">
        <w:rPr>
          <w:rFonts w:asciiTheme="majorBidi" w:hAnsiTheme="majorBidi" w:cstheme="majorBidi"/>
          <w:sz w:val="24"/>
          <w:szCs w:val="24"/>
        </w:rPr>
        <w:t>(12), 2560-2569.</w:t>
      </w:r>
    </w:p>
    <w:p w14:paraId="6E733DD3"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 xml:space="preserve">Nwachukwu, J. C., Aziz, A., Tony‐Okeke, U., &amp; </w:t>
      </w:r>
      <w:proofErr w:type="spellStart"/>
      <w:r w:rsidRPr="00C033B5">
        <w:rPr>
          <w:rFonts w:asciiTheme="majorBidi" w:hAnsiTheme="majorBidi" w:cstheme="majorBidi"/>
          <w:sz w:val="24"/>
          <w:szCs w:val="24"/>
        </w:rPr>
        <w:t>Asongu</w:t>
      </w:r>
      <w:proofErr w:type="spellEnd"/>
      <w:r w:rsidRPr="00C033B5">
        <w:rPr>
          <w:rFonts w:asciiTheme="majorBidi" w:hAnsiTheme="majorBidi" w:cstheme="majorBidi"/>
          <w:sz w:val="24"/>
          <w:szCs w:val="24"/>
        </w:rPr>
        <w:t>, S. A. (2018). The determinants of interest rates in microfinance: Age, scale and organizational charter. </w:t>
      </w:r>
      <w:r w:rsidRPr="00C033B5">
        <w:rPr>
          <w:rFonts w:asciiTheme="majorBidi" w:hAnsiTheme="majorBidi" w:cstheme="majorBidi"/>
          <w:i/>
          <w:iCs/>
          <w:sz w:val="24"/>
          <w:szCs w:val="24"/>
        </w:rPr>
        <w:t>Review of Development Economics</w:t>
      </w:r>
      <w:r w:rsidRPr="00C033B5">
        <w:rPr>
          <w:rFonts w:asciiTheme="majorBidi" w:hAnsiTheme="majorBidi" w:cstheme="majorBidi"/>
          <w:sz w:val="24"/>
          <w:szCs w:val="24"/>
        </w:rPr>
        <w:t>, </w:t>
      </w:r>
      <w:r w:rsidRPr="00C033B5">
        <w:rPr>
          <w:rFonts w:asciiTheme="majorBidi" w:hAnsiTheme="majorBidi" w:cstheme="majorBidi"/>
          <w:i/>
          <w:iCs/>
          <w:sz w:val="24"/>
          <w:szCs w:val="24"/>
        </w:rPr>
        <w:t>22</w:t>
      </w:r>
      <w:r w:rsidRPr="00C033B5">
        <w:rPr>
          <w:rFonts w:asciiTheme="majorBidi" w:hAnsiTheme="majorBidi" w:cstheme="majorBidi"/>
          <w:sz w:val="24"/>
          <w:szCs w:val="24"/>
        </w:rPr>
        <w:t>(3), 135-159.</w:t>
      </w:r>
    </w:p>
    <w:p w14:paraId="5617AA1B"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Ostrom, A. L., &amp; Iacobucci, D. (1998). The effect of guarantees on consumers’ evaluation of services. </w:t>
      </w:r>
      <w:r w:rsidRPr="00C033B5">
        <w:rPr>
          <w:rFonts w:asciiTheme="majorBidi" w:hAnsiTheme="majorBidi" w:cstheme="majorBidi"/>
          <w:i/>
          <w:iCs/>
          <w:sz w:val="24"/>
          <w:szCs w:val="24"/>
        </w:rPr>
        <w:t>Journal of Services Marketing</w:t>
      </w:r>
      <w:r w:rsidRPr="00C033B5">
        <w:rPr>
          <w:rFonts w:asciiTheme="majorBidi" w:hAnsiTheme="majorBidi" w:cstheme="majorBidi"/>
          <w:sz w:val="24"/>
          <w:szCs w:val="24"/>
        </w:rPr>
        <w:t>, </w:t>
      </w:r>
      <w:r w:rsidRPr="00C033B5">
        <w:rPr>
          <w:rFonts w:asciiTheme="majorBidi" w:hAnsiTheme="majorBidi" w:cstheme="majorBidi"/>
          <w:i/>
          <w:iCs/>
          <w:sz w:val="24"/>
          <w:szCs w:val="24"/>
        </w:rPr>
        <w:t>12</w:t>
      </w:r>
      <w:r w:rsidRPr="00C033B5">
        <w:rPr>
          <w:rFonts w:asciiTheme="majorBidi" w:hAnsiTheme="majorBidi" w:cstheme="majorBidi"/>
          <w:sz w:val="24"/>
          <w:szCs w:val="24"/>
        </w:rPr>
        <w:t>(5), 362-378.</w:t>
      </w:r>
    </w:p>
    <w:p w14:paraId="64E5C1B9"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Papke, L. E., &amp; Wooldridge, J. M. (1996). Econometric methods for fractional response variables with an application to 401 (k) plan participation rates. </w:t>
      </w:r>
      <w:r w:rsidRPr="00C033B5">
        <w:rPr>
          <w:rFonts w:asciiTheme="majorBidi" w:hAnsiTheme="majorBidi" w:cstheme="majorBidi"/>
          <w:i/>
          <w:iCs/>
          <w:sz w:val="24"/>
          <w:szCs w:val="24"/>
        </w:rPr>
        <w:t>Journal of applied econometrics</w:t>
      </w:r>
      <w:r w:rsidRPr="00C033B5">
        <w:rPr>
          <w:rFonts w:asciiTheme="majorBidi" w:hAnsiTheme="majorBidi" w:cstheme="majorBidi"/>
          <w:sz w:val="24"/>
          <w:szCs w:val="24"/>
        </w:rPr>
        <w:t>, </w:t>
      </w:r>
      <w:r w:rsidRPr="00C033B5">
        <w:rPr>
          <w:rFonts w:asciiTheme="majorBidi" w:hAnsiTheme="majorBidi" w:cstheme="majorBidi"/>
          <w:i/>
          <w:iCs/>
          <w:sz w:val="24"/>
          <w:szCs w:val="24"/>
        </w:rPr>
        <w:t>11</w:t>
      </w:r>
      <w:r w:rsidRPr="00C033B5">
        <w:rPr>
          <w:rFonts w:asciiTheme="majorBidi" w:hAnsiTheme="majorBidi" w:cstheme="majorBidi"/>
          <w:sz w:val="24"/>
          <w:szCs w:val="24"/>
        </w:rPr>
        <w:t>(6), 619-632.</w:t>
      </w:r>
    </w:p>
    <w:p w14:paraId="5D45AFF8"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Park, K. T., Yang, H., &amp; Sohn, S. Y. (2022). Recommendation of investment portfolio for peer-to-peer lending with additional consideration of bidding period. </w:t>
      </w:r>
      <w:r w:rsidRPr="00C033B5">
        <w:rPr>
          <w:rFonts w:asciiTheme="majorBidi" w:hAnsiTheme="majorBidi" w:cstheme="majorBidi"/>
          <w:i/>
          <w:iCs/>
          <w:sz w:val="24"/>
          <w:szCs w:val="24"/>
        </w:rPr>
        <w:t>Annals of Operations Research</w:t>
      </w:r>
      <w:r w:rsidRPr="00C033B5">
        <w:rPr>
          <w:rFonts w:asciiTheme="majorBidi" w:hAnsiTheme="majorBidi" w:cstheme="majorBidi"/>
          <w:sz w:val="24"/>
          <w:szCs w:val="24"/>
        </w:rPr>
        <w:t>, 1-23.</w:t>
      </w:r>
    </w:p>
    <w:p w14:paraId="557CAE29"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Pauly, M. V. (1978). Overinsurance and public provision of insurance: The roles of moral hazard and adverse selection. In </w:t>
      </w:r>
      <w:r w:rsidRPr="00C033B5">
        <w:rPr>
          <w:rFonts w:asciiTheme="majorBidi" w:hAnsiTheme="majorBidi" w:cstheme="majorBidi"/>
          <w:i/>
          <w:iCs/>
          <w:sz w:val="24"/>
          <w:szCs w:val="24"/>
        </w:rPr>
        <w:t>Uncertainty in economics</w:t>
      </w:r>
      <w:r w:rsidRPr="00C033B5">
        <w:rPr>
          <w:rFonts w:asciiTheme="majorBidi" w:hAnsiTheme="majorBidi" w:cstheme="majorBidi"/>
          <w:sz w:val="24"/>
          <w:szCs w:val="24"/>
        </w:rPr>
        <w:t> (pp. 307-331). Academic Press.</w:t>
      </w:r>
    </w:p>
    <w:p w14:paraId="2B323868"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Petersen, M. A., &amp; Rajan, R. G. (1994). The benefits of lending relationships: Evidence from small business data. </w:t>
      </w:r>
      <w:r w:rsidRPr="00C033B5">
        <w:rPr>
          <w:rFonts w:asciiTheme="majorBidi" w:hAnsiTheme="majorBidi" w:cstheme="majorBidi"/>
          <w:i/>
          <w:iCs/>
          <w:sz w:val="24"/>
          <w:szCs w:val="24"/>
        </w:rPr>
        <w:t>The journal of finance</w:t>
      </w:r>
      <w:r w:rsidRPr="00C033B5">
        <w:rPr>
          <w:rFonts w:asciiTheme="majorBidi" w:hAnsiTheme="majorBidi" w:cstheme="majorBidi"/>
          <w:sz w:val="24"/>
          <w:szCs w:val="24"/>
        </w:rPr>
        <w:t>, </w:t>
      </w:r>
      <w:r w:rsidRPr="00C033B5">
        <w:rPr>
          <w:rFonts w:asciiTheme="majorBidi" w:hAnsiTheme="majorBidi" w:cstheme="majorBidi"/>
          <w:i/>
          <w:iCs/>
          <w:sz w:val="24"/>
          <w:szCs w:val="24"/>
        </w:rPr>
        <w:t>49</w:t>
      </w:r>
      <w:r w:rsidRPr="00C033B5">
        <w:rPr>
          <w:rFonts w:asciiTheme="majorBidi" w:hAnsiTheme="majorBidi" w:cstheme="majorBidi"/>
          <w:sz w:val="24"/>
          <w:szCs w:val="24"/>
        </w:rPr>
        <w:t>(1), 3-37.</w:t>
      </w:r>
    </w:p>
    <w:p w14:paraId="40AABBA2"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Phan Thi Hang, N. (2023). Policy recommendations for controlling credit risks in commercial banks after the covid-19 pandemic in Vietnam. </w:t>
      </w:r>
      <w:r w:rsidRPr="00C033B5">
        <w:rPr>
          <w:rFonts w:asciiTheme="majorBidi" w:hAnsiTheme="majorBidi" w:cstheme="majorBidi"/>
          <w:i/>
          <w:iCs/>
          <w:sz w:val="24"/>
          <w:szCs w:val="24"/>
        </w:rPr>
        <w:t>Cogent Economics &amp; Finance</w:t>
      </w:r>
      <w:r w:rsidRPr="00C033B5">
        <w:rPr>
          <w:rFonts w:asciiTheme="majorBidi" w:hAnsiTheme="majorBidi" w:cstheme="majorBidi"/>
          <w:sz w:val="24"/>
          <w:szCs w:val="24"/>
        </w:rPr>
        <w:t>, </w:t>
      </w:r>
      <w:r w:rsidRPr="00C033B5">
        <w:rPr>
          <w:rFonts w:asciiTheme="majorBidi" w:hAnsiTheme="majorBidi" w:cstheme="majorBidi"/>
          <w:i/>
          <w:iCs/>
          <w:sz w:val="24"/>
          <w:szCs w:val="24"/>
        </w:rPr>
        <w:t>11</w:t>
      </w:r>
      <w:r w:rsidRPr="00C033B5">
        <w:rPr>
          <w:rFonts w:asciiTheme="majorBidi" w:hAnsiTheme="majorBidi" w:cstheme="majorBidi"/>
          <w:sz w:val="24"/>
          <w:szCs w:val="24"/>
        </w:rPr>
        <w:t>(1), 2160044.</w:t>
      </w:r>
    </w:p>
    <w:p w14:paraId="70ED051F"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Picard, P. (1987). On the design of incentive schemes under moral hazard and adverse selection. </w:t>
      </w:r>
      <w:r w:rsidRPr="00C033B5">
        <w:rPr>
          <w:rFonts w:asciiTheme="majorBidi" w:hAnsiTheme="majorBidi" w:cstheme="majorBidi"/>
          <w:i/>
          <w:iCs/>
          <w:sz w:val="24"/>
          <w:szCs w:val="24"/>
        </w:rPr>
        <w:t>Journal of public economics</w:t>
      </w:r>
      <w:r w:rsidRPr="00C033B5">
        <w:rPr>
          <w:rFonts w:asciiTheme="majorBidi" w:hAnsiTheme="majorBidi" w:cstheme="majorBidi"/>
          <w:sz w:val="24"/>
          <w:szCs w:val="24"/>
        </w:rPr>
        <w:t>, </w:t>
      </w:r>
      <w:r w:rsidRPr="00C033B5">
        <w:rPr>
          <w:rFonts w:asciiTheme="majorBidi" w:hAnsiTheme="majorBidi" w:cstheme="majorBidi"/>
          <w:i/>
          <w:iCs/>
          <w:sz w:val="24"/>
          <w:szCs w:val="24"/>
        </w:rPr>
        <w:t>33</w:t>
      </w:r>
      <w:r w:rsidRPr="00C033B5">
        <w:rPr>
          <w:rFonts w:asciiTheme="majorBidi" w:hAnsiTheme="majorBidi" w:cstheme="majorBidi"/>
          <w:sz w:val="24"/>
          <w:szCs w:val="24"/>
        </w:rPr>
        <w:t>(3), 305-331.</w:t>
      </w:r>
    </w:p>
    <w:p w14:paraId="4FEA7D35"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proofErr w:type="spellStart"/>
      <w:r w:rsidRPr="00C033B5">
        <w:rPr>
          <w:rFonts w:asciiTheme="majorBidi" w:hAnsiTheme="majorBidi" w:cstheme="majorBidi"/>
          <w:sz w:val="24"/>
          <w:szCs w:val="24"/>
        </w:rPr>
        <w:t>Pointner</w:t>
      </w:r>
      <w:proofErr w:type="spellEnd"/>
      <w:r w:rsidRPr="00C033B5">
        <w:rPr>
          <w:rFonts w:asciiTheme="majorBidi" w:hAnsiTheme="majorBidi" w:cstheme="majorBidi"/>
          <w:sz w:val="24"/>
          <w:szCs w:val="24"/>
        </w:rPr>
        <w:t>, W., &amp; Raunig, B. (2018). A primer on peer-to-peer lending: immediate financial intermediation in practice. </w:t>
      </w:r>
      <w:r w:rsidRPr="00C033B5">
        <w:rPr>
          <w:rFonts w:asciiTheme="majorBidi" w:hAnsiTheme="majorBidi" w:cstheme="majorBidi"/>
          <w:i/>
          <w:iCs/>
          <w:sz w:val="24"/>
          <w:szCs w:val="24"/>
        </w:rPr>
        <w:t>Monetary Policy &amp; the Economy</w:t>
      </w:r>
      <w:r w:rsidRPr="00C033B5">
        <w:rPr>
          <w:rFonts w:asciiTheme="majorBidi" w:hAnsiTheme="majorBidi" w:cstheme="majorBidi"/>
          <w:sz w:val="24"/>
          <w:szCs w:val="24"/>
        </w:rPr>
        <w:t>, </w:t>
      </w:r>
      <w:r w:rsidRPr="00C033B5">
        <w:rPr>
          <w:rFonts w:asciiTheme="majorBidi" w:hAnsiTheme="majorBidi" w:cstheme="majorBidi"/>
          <w:i/>
          <w:iCs/>
          <w:sz w:val="24"/>
          <w:szCs w:val="24"/>
        </w:rPr>
        <w:t>3</w:t>
      </w:r>
      <w:r w:rsidRPr="00C033B5">
        <w:rPr>
          <w:rFonts w:asciiTheme="majorBidi" w:hAnsiTheme="majorBidi" w:cstheme="majorBidi"/>
          <w:sz w:val="24"/>
          <w:szCs w:val="24"/>
        </w:rPr>
        <w:t>(18), 36-51.</w:t>
      </w:r>
    </w:p>
    <w:p w14:paraId="71D23956"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Pollinger, J. J., Outhwaite, J., &amp; Cordero‐Guzmán, H. (2007). The question of sustainability for microfinance institutions. </w:t>
      </w:r>
      <w:r w:rsidRPr="00C033B5">
        <w:rPr>
          <w:rFonts w:asciiTheme="majorBidi" w:hAnsiTheme="majorBidi" w:cstheme="majorBidi"/>
          <w:i/>
          <w:iCs/>
          <w:sz w:val="24"/>
          <w:szCs w:val="24"/>
        </w:rPr>
        <w:t>Journal of Small Business Management</w:t>
      </w:r>
      <w:r w:rsidRPr="00C033B5">
        <w:rPr>
          <w:rFonts w:asciiTheme="majorBidi" w:hAnsiTheme="majorBidi" w:cstheme="majorBidi"/>
          <w:sz w:val="24"/>
          <w:szCs w:val="24"/>
        </w:rPr>
        <w:t>, </w:t>
      </w:r>
      <w:r w:rsidRPr="00C033B5">
        <w:rPr>
          <w:rFonts w:asciiTheme="majorBidi" w:hAnsiTheme="majorBidi" w:cstheme="majorBidi"/>
          <w:i/>
          <w:iCs/>
          <w:sz w:val="24"/>
          <w:szCs w:val="24"/>
        </w:rPr>
        <w:t>45</w:t>
      </w:r>
      <w:r w:rsidRPr="00C033B5">
        <w:rPr>
          <w:rFonts w:asciiTheme="majorBidi" w:hAnsiTheme="majorBidi" w:cstheme="majorBidi"/>
          <w:sz w:val="24"/>
          <w:szCs w:val="24"/>
        </w:rPr>
        <w:t>(1), 23-41.</w:t>
      </w:r>
    </w:p>
    <w:p w14:paraId="28EE8557"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Pope, D. G., &amp; Sydnor, J. R. (2011). What’s in a Picture?: Evidence of Discrimination from Prosper. com. </w:t>
      </w:r>
      <w:r w:rsidRPr="00C033B5">
        <w:rPr>
          <w:rFonts w:asciiTheme="majorBidi" w:hAnsiTheme="majorBidi" w:cstheme="majorBidi"/>
          <w:i/>
          <w:iCs/>
          <w:sz w:val="24"/>
          <w:szCs w:val="24"/>
        </w:rPr>
        <w:t>Journal of Human resources</w:t>
      </w:r>
      <w:r w:rsidRPr="00C033B5">
        <w:rPr>
          <w:rFonts w:asciiTheme="majorBidi" w:hAnsiTheme="majorBidi" w:cstheme="majorBidi"/>
          <w:sz w:val="24"/>
          <w:szCs w:val="24"/>
        </w:rPr>
        <w:t>, </w:t>
      </w:r>
      <w:r w:rsidRPr="00C033B5">
        <w:rPr>
          <w:rFonts w:asciiTheme="majorBidi" w:hAnsiTheme="majorBidi" w:cstheme="majorBidi"/>
          <w:i/>
          <w:iCs/>
          <w:sz w:val="24"/>
          <w:szCs w:val="24"/>
        </w:rPr>
        <w:t>46</w:t>
      </w:r>
      <w:r w:rsidRPr="00C033B5">
        <w:rPr>
          <w:rFonts w:asciiTheme="majorBidi" w:hAnsiTheme="majorBidi" w:cstheme="majorBidi"/>
          <w:sz w:val="24"/>
          <w:szCs w:val="24"/>
        </w:rPr>
        <w:t>(1), 53-92.</w:t>
      </w:r>
    </w:p>
    <w:p w14:paraId="617E2010"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proofErr w:type="spellStart"/>
      <w:r w:rsidRPr="00C033B5">
        <w:rPr>
          <w:rFonts w:asciiTheme="majorBidi" w:hAnsiTheme="majorBidi" w:cstheme="majorBidi"/>
          <w:sz w:val="24"/>
          <w:szCs w:val="24"/>
        </w:rPr>
        <w:lastRenderedPageBreak/>
        <w:t>Pötzsch</w:t>
      </w:r>
      <w:proofErr w:type="spellEnd"/>
      <w:r w:rsidRPr="00C033B5">
        <w:rPr>
          <w:rFonts w:asciiTheme="majorBidi" w:hAnsiTheme="majorBidi" w:cstheme="majorBidi"/>
          <w:sz w:val="24"/>
          <w:szCs w:val="24"/>
        </w:rPr>
        <w:t>, S., &amp; Böhme, R. (2010). The Role of Soft Information in Trust Building: Evidence from Online Social Lending. </w:t>
      </w:r>
      <w:r w:rsidRPr="00C033B5">
        <w:rPr>
          <w:rFonts w:asciiTheme="majorBidi" w:hAnsiTheme="majorBidi" w:cstheme="majorBidi"/>
          <w:i/>
          <w:iCs/>
          <w:sz w:val="24"/>
          <w:szCs w:val="24"/>
        </w:rPr>
        <w:t>Trust and Trustworthy Computing</w:t>
      </w:r>
      <w:r w:rsidRPr="00C033B5">
        <w:rPr>
          <w:rFonts w:asciiTheme="majorBidi" w:hAnsiTheme="majorBidi" w:cstheme="majorBidi"/>
          <w:sz w:val="24"/>
          <w:szCs w:val="24"/>
        </w:rPr>
        <w:t>, 381-395.</w:t>
      </w:r>
    </w:p>
    <w:p w14:paraId="3EA0EE43"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 xml:space="preserve">PricewaterhouseCoopers. (2015). </w:t>
      </w:r>
      <w:r w:rsidRPr="00C033B5">
        <w:rPr>
          <w:rFonts w:asciiTheme="majorBidi" w:hAnsiTheme="majorBidi" w:cstheme="majorBidi"/>
          <w:i/>
          <w:iCs/>
          <w:sz w:val="24"/>
          <w:szCs w:val="24"/>
        </w:rPr>
        <w:t>Peer pressure: How peer-to-peer lending platforms are </w:t>
      </w:r>
    </w:p>
    <w:p w14:paraId="3EE1621F"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i/>
          <w:iCs/>
          <w:sz w:val="24"/>
          <w:szCs w:val="24"/>
        </w:rPr>
        <w:tab/>
        <w:t>transforming the consumer lending industry</w:t>
      </w:r>
      <w:r w:rsidRPr="00C033B5">
        <w:rPr>
          <w:rFonts w:asciiTheme="majorBidi" w:hAnsiTheme="majorBidi" w:cstheme="majorBidi"/>
          <w:sz w:val="24"/>
          <w:szCs w:val="24"/>
        </w:rPr>
        <w:t>. Retrieved from </w:t>
      </w:r>
    </w:p>
    <w:p w14:paraId="677E1AAC"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ab/>
        <w:t>https://www.pwc.com/us/en/consumer-finance/publications/assets/peer-to-peer-</w:t>
      </w:r>
    </w:p>
    <w:p w14:paraId="6BD22966"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ab/>
        <w:t>lending.pdf</w:t>
      </w:r>
    </w:p>
    <w:p w14:paraId="788B23FD"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 xml:space="preserve">Prystav, F. (2016). Personal information in peer-to-peer loan applications: Is less more? Journal of </w:t>
      </w:r>
      <w:proofErr w:type="spellStart"/>
      <w:r w:rsidRPr="00C033B5">
        <w:rPr>
          <w:rFonts w:asciiTheme="majorBidi" w:hAnsiTheme="majorBidi" w:cstheme="majorBidi"/>
          <w:sz w:val="24"/>
          <w:szCs w:val="24"/>
        </w:rPr>
        <w:t>Behavioral</w:t>
      </w:r>
      <w:proofErr w:type="spellEnd"/>
      <w:r w:rsidRPr="00C033B5">
        <w:rPr>
          <w:rFonts w:asciiTheme="majorBidi" w:hAnsiTheme="majorBidi" w:cstheme="majorBidi"/>
          <w:sz w:val="24"/>
          <w:szCs w:val="24"/>
        </w:rPr>
        <w:t xml:space="preserve"> and Experimental Finance, 9, 6–19.</w:t>
      </w:r>
    </w:p>
    <w:p w14:paraId="0CF09D85"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 xml:space="preserve">Qi, M., &amp; Zhao, X. (2011). Comparison of </w:t>
      </w:r>
      <w:proofErr w:type="spellStart"/>
      <w:r w:rsidRPr="00C033B5">
        <w:rPr>
          <w:rFonts w:asciiTheme="majorBidi" w:hAnsiTheme="majorBidi" w:cstheme="majorBidi"/>
          <w:sz w:val="24"/>
          <w:szCs w:val="24"/>
        </w:rPr>
        <w:t>modeling</w:t>
      </w:r>
      <w:proofErr w:type="spellEnd"/>
      <w:r w:rsidRPr="00C033B5">
        <w:rPr>
          <w:rFonts w:asciiTheme="majorBidi" w:hAnsiTheme="majorBidi" w:cstheme="majorBidi"/>
          <w:sz w:val="24"/>
          <w:szCs w:val="24"/>
        </w:rPr>
        <w:t xml:space="preserve"> methods for loss given default. </w:t>
      </w:r>
      <w:r w:rsidRPr="00C033B5">
        <w:rPr>
          <w:rFonts w:asciiTheme="majorBidi" w:hAnsiTheme="majorBidi" w:cstheme="majorBidi"/>
          <w:i/>
          <w:iCs/>
          <w:sz w:val="24"/>
          <w:szCs w:val="24"/>
        </w:rPr>
        <w:t>Journal of Banking &amp; Finance</w:t>
      </w:r>
      <w:r w:rsidRPr="00C033B5">
        <w:rPr>
          <w:rFonts w:asciiTheme="majorBidi" w:hAnsiTheme="majorBidi" w:cstheme="majorBidi"/>
          <w:sz w:val="24"/>
          <w:szCs w:val="24"/>
        </w:rPr>
        <w:t>, </w:t>
      </w:r>
      <w:r w:rsidRPr="00C033B5">
        <w:rPr>
          <w:rFonts w:asciiTheme="majorBidi" w:hAnsiTheme="majorBidi" w:cstheme="majorBidi"/>
          <w:i/>
          <w:iCs/>
          <w:sz w:val="24"/>
          <w:szCs w:val="24"/>
        </w:rPr>
        <w:t>35</w:t>
      </w:r>
      <w:r w:rsidRPr="00C033B5">
        <w:rPr>
          <w:rFonts w:asciiTheme="majorBidi" w:hAnsiTheme="majorBidi" w:cstheme="majorBidi"/>
          <w:sz w:val="24"/>
          <w:szCs w:val="24"/>
        </w:rPr>
        <w:t>(11), 2842-2855.</w:t>
      </w:r>
    </w:p>
    <w:p w14:paraId="05D7AD7E"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Rao, A. R., &amp; Bergen, M. E. (1992). Price premium variations as a consequence of buyers' lack of information. </w:t>
      </w:r>
      <w:r w:rsidRPr="00C033B5">
        <w:rPr>
          <w:rFonts w:asciiTheme="majorBidi" w:hAnsiTheme="majorBidi" w:cstheme="majorBidi"/>
          <w:i/>
          <w:iCs/>
          <w:sz w:val="24"/>
          <w:szCs w:val="24"/>
        </w:rPr>
        <w:t>Journal of consumer research</w:t>
      </w:r>
      <w:r w:rsidRPr="00C033B5">
        <w:rPr>
          <w:rFonts w:asciiTheme="majorBidi" w:hAnsiTheme="majorBidi" w:cstheme="majorBidi"/>
          <w:sz w:val="24"/>
          <w:szCs w:val="24"/>
        </w:rPr>
        <w:t>, </w:t>
      </w:r>
      <w:r w:rsidRPr="00C033B5">
        <w:rPr>
          <w:rFonts w:asciiTheme="majorBidi" w:hAnsiTheme="majorBidi" w:cstheme="majorBidi"/>
          <w:i/>
          <w:iCs/>
          <w:sz w:val="24"/>
          <w:szCs w:val="24"/>
        </w:rPr>
        <w:t>19</w:t>
      </w:r>
      <w:r w:rsidRPr="00C033B5">
        <w:rPr>
          <w:rFonts w:asciiTheme="majorBidi" w:hAnsiTheme="majorBidi" w:cstheme="majorBidi"/>
          <w:sz w:val="24"/>
          <w:szCs w:val="24"/>
        </w:rPr>
        <w:t>(3), 412-423.</w:t>
      </w:r>
    </w:p>
    <w:p w14:paraId="3E277AC3"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Rao, A. R., &amp; Monroe, K. B. (1996). Causes and consequences of price premiums. </w:t>
      </w:r>
      <w:r w:rsidRPr="00C033B5">
        <w:rPr>
          <w:rFonts w:asciiTheme="majorBidi" w:hAnsiTheme="majorBidi" w:cstheme="majorBidi"/>
          <w:i/>
          <w:iCs/>
          <w:sz w:val="24"/>
          <w:szCs w:val="24"/>
        </w:rPr>
        <w:t>Journal of business</w:t>
      </w:r>
      <w:r w:rsidRPr="00C033B5">
        <w:rPr>
          <w:rFonts w:asciiTheme="majorBidi" w:hAnsiTheme="majorBidi" w:cstheme="majorBidi"/>
          <w:sz w:val="24"/>
          <w:szCs w:val="24"/>
        </w:rPr>
        <w:t>, 511-535.</w:t>
      </w:r>
    </w:p>
    <w:p w14:paraId="0B9D6954"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Serrano-Cinca, C., Gutiérrez-Nieto, B., &amp; López-Palacios, L. (2015). Determinants of default in P2P lending. </w:t>
      </w:r>
      <w:proofErr w:type="spellStart"/>
      <w:r w:rsidRPr="00C033B5">
        <w:rPr>
          <w:rFonts w:asciiTheme="majorBidi" w:hAnsiTheme="majorBidi" w:cstheme="majorBidi"/>
          <w:i/>
          <w:iCs/>
          <w:sz w:val="24"/>
          <w:szCs w:val="24"/>
        </w:rPr>
        <w:t>PloS</w:t>
      </w:r>
      <w:proofErr w:type="spellEnd"/>
      <w:r w:rsidRPr="00C033B5">
        <w:rPr>
          <w:rFonts w:asciiTheme="majorBidi" w:hAnsiTheme="majorBidi" w:cstheme="majorBidi"/>
          <w:i/>
          <w:iCs/>
          <w:sz w:val="24"/>
          <w:szCs w:val="24"/>
        </w:rPr>
        <w:t xml:space="preserve"> one</w:t>
      </w:r>
      <w:r w:rsidRPr="00C033B5">
        <w:rPr>
          <w:rFonts w:asciiTheme="majorBidi" w:hAnsiTheme="majorBidi" w:cstheme="majorBidi"/>
          <w:sz w:val="24"/>
          <w:szCs w:val="24"/>
        </w:rPr>
        <w:t>, </w:t>
      </w:r>
      <w:r w:rsidRPr="00C033B5">
        <w:rPr>
          <w:rFonts w:asciiTheme="majorBidi" w:hAnsiTheme="majorBidi" w:cstheme="majorBidi"/>
          <w:i/>
          <w:iCs/>
          <w:sz w:val="24"/>
          <w:szCs w:val="24"/>
        </w:rPr>
        <w:t>10</w:t>
      </w:r>
      <w:r w:rsidRPr="00C033B5">
        <w:rPr>
          <w:rFonts w:asciiTheme="majorBidi" w:hAnsiTheme="majorBidi" w:cstheme="majorBidi"/>
          <w:sz w:val="24"/>
          <w:szCs w:val="24"/>
        </w:rPr>
        <w:t>(10), e0139427.</w:t>
      </w:r>
    </w:p>
    <w:p w14:paraId="30DE70DE"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Shapiro, C. (1983). Premiums for high quality products as returns to reputations. </w:t>
      </w:r>
      <w:r w:rsidRPr="00C033B5">
        <w:rPr>
          <w:rFonts w:asciiTheme="majorBidi" w:hAnsiTheme="majorBidi" w:cstheme="majorBidi"/>
          <w:i/>
          <w:iCs/>
          <w:sz w:val="24"/>
          <w:szCs w:val="24"/>
        </w:rPr>
        <w:t>The quarterly journal of economics</w:t>
      </w:r>
      <w:r w:rsidRPr="00C033B5">
        <w:rPr>
          <w:rFonts w:asciiTheme="majorBidi" w:hAnsiTheme="majorBidi" w:cstheme="majorBidi"/>
          <w:sz w:val="24"/>
          <w:szCs w:val="24"/>
        </w:rPr>
        <w:t>, </w:t>
      </w:r>
      <w:r w:rsidRPr="00C033B5">
        <w:rPr>
          <w:rFonts w:asciiTheme="majorBidi" w:hAnsiTheme="majorBidi" w:cstheme="majorBidi"/>
          <w:i/>
          <w:iCs/>
          <w:sz w:val="24"/>
          <w:szCs w:val="24"/>
        </w:rPr>
        <w:t>98</w:t>
      </w:r>
      <w:r w:rsidRPr="00C033B5">
        <w:rPr>
          <w:rFonts w:asciiTheme="majorBidi" w:hAnsiTheme="majorBidi" w:cstheme="majorBidi"/>
          <w:sz w:val="24"/>
          <w:szCs w:val="24"/>
        </w:rPr>
        <w:t>(4), 659-679.</w:t>
      </w:r>
    </w:p>
    <w:p w14:paraId="609CB4B6"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Shavell, S. (1979). On moral hazard and insurance. </w:t>
      </w:r>
      <w:r w:rsidRPr="00C033B5">
        <w:rPr>
          <w:rFonts w:asciiTheme="majorBidi" w:hAnsiTheme="majorBidi" w:cstheme="majorBidi"/>
          <w:i/>
          <w:iCs/>
          <w:sz w:val="24"/>
          <w:szCs w:val="24"/>
        </w:rPr>
        <w:t>The quarterly journal of economics</w:t>
      </w:r>
      <w:r w:rsidRPr="00C033B5">
        <w:rPr>
          <w:rFonts w:asciiTheme="majorBidi" w:hAnsiTheme="majorBidi" w:cstheme="majorBidi"/>
          <w:sz w:val="24"/>
          <w:szCs w:val="24"/>
        </w:rPr>
        <w:t>, </w:t>
      </w:r>
      <w:r w:rsidRPr="00C033B5">
        <w:rPr>
          <w:rFonts w:asciiTheme="majorBidi" w:hAnsiTheme="majorBidi" w:cstheme="majorBidi"/>
          <w:i/>
          <w:iCs/>
          <w:sz w:val="24"/>
          <w:szCs w:val="24"/>
        </w:rPr>
        <w:t>93</w:t>
      </w:r>
      <w:r w:rsidRPr="00C033B5">
        <w:rPr>
          <w:rFonts w:asciiTheme="majorBidi" w:hAnsiTheme="majorBidi" w:cstheme="majorBidi"/>
          <w:sz w:val="24"/>
          <w:szCs w:val="24"/>
        </w:rPr>
        <w:t>(4), 541-562.</w:t>
      </w:r>
    </w:p>
    <w:p w14:paraId="76CD8F91"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proofErr w:type="spellStart"/>
      <w:r w:rsidRPr="00C033B5">
        <w:rPr>
          <w:rFonts w:asciiTheme="majorBidi" w:hAnsiTheme="majorBidi" w:cstheme="majorBidi"/>
          <w:sz w:val="24"/>
          <w:szCs w:val="24"/>
        </w:rPr>
        <w:t>Sifrain</w:t>
      </w:r>
      <w:proofErr w:type="spellEnd"/>
      <w:r w:rsidRPr="00C033B5">
        <w:rPr>
          <w:rFonts w:asciiTheme="majorBidi" w:hAnsiTheme="majorBidi" w:cstheme="majorBidi"/>
          <w:sz w:val="24"/>
          <w:szCs w:val="24"/>
        </w:rPr>
        <w:t>, R. (2023). Predictive Analysis of Default Risk in Peer-to-Peer Lending Platforms: </w:t>
      </w:r>
    </w:p>
    <w:p w14:paraId="4709ABA1"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ab/>
        <w:t xml:space="preserve">Empirical Evidence from </w:t>
      </w:r>
      <w:proofErr w:type="spellStart"/>
      <w:r w:rsidRPr="00C033B5">
        <w:rPr>
          <w:rFonts w:asciiTheme="majorBidi" w:hAnsiTheme="majorBidi" w:cstheme="majorBidi"/>
          <w:sz w:val="24"/>
          <w:szCs w:val="24"/>
        </w:rPr>
        <w:t>LendingClub</w:t>
      </w:r>
      <w:proofErr w:type="spellEnd"/>
      <w:r w:rsidRPr="00C033B5">
        <w:rPr>
          <w:rFonts w:asciiTheme="majorBidi" w:hAnsiTheme="majorBidi" w:cstheme="majorBidi"/>
          <w:sz w:val="24"/>
          <w:szCs w:val="24"/>
        </w:rPr>
        <w:t>. </w:t>
      </w:r>
      <w:r w:rsidRPr="00C033B5">
        <w:rPr>
          <w:rFonts w:asciiTheme="majorBidi" w:hAnsiTheme="majorBidi" w:cstheme="majorBidi"/>
          <w:i/>
          <w:iCs/>
          <w:sz w:val="24"/>
          <w:szCs w:val="24"/>
        </w:rPr>
        <w:t>Journal of Financial Risk Management</w:t>
      </w:r>
      <w:r w:rsidRPr="00C033B5">
        <w:rPr>
          <w:rFonts w:asciiTheme="majorBidi" w:hAnsiTheme="majorBidi" w:cstheme="majorBidi"/>
          <w:sz w:val="24"/>
          <w:szCs w:val="24"/>
        </w:rPr>
        <w:t>, </w:t>
      </w:r>
      <w:r w:rsidRPr="00C033B5">
        <w:rPr>
          <w:rFonts w:asciiTheme="majorBidi" w:hAnsiTheme="majorBidi" w:cstheme="majorBidi"/>
          <w:i/>
          <w:iCs/>
          <w:sz w:val="24"/>
          <w:szCs w:val="24"/>
        </w:rPr>
        <w:t>12</w:t>
      </w:r>
      <w:r w:rsidRPr="00C033B5">
        <w:rPr>
          <w:rFonts w:asciiTheme="majorBidi" w:hAnsiTheme="majorBidi" w:cstheme="majorBidi"/>
          <w:sz w:val="24"/>
          <w:szCs w:val="24"/>
        </w:rPr>
        <w:t>(1), 28-49.</w:t>
      </w:r>
    </w:p>
    <w:p w14:paraId="590A265D"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Smith, M. H. (1879). </w:t>
      </w:r>
      <w:r w:rsidRPr="00C033B5">
        <w:rPr>
          <w:rFonts w:asciiTheme="majorBidi" w:hAnsiTheme="majorBidi" w:cstheme="majorBidi"/>
          <w:i/>
          <w:iCs/>
          <w:sz w:val="24"/>
          <w:szCs w:val="24"/>
        </w:rPr>
        <w:t>Sunshine and shadow in New York</w:t>
      </w:r>
      <w:r w:rsidRPr="00C033B5">
        <w:rPr>
          <w:rFonts w:asciiTheme="majorBidi" w:hAnsiTheme="majorBidi" w:cstheme="majorBidi"/>
          <w:sz w:val="24"/>
          <w:szCs w:val="24"/>
        </w:rPr>
        <w:t>. JB Burr Publishing Company.</w:t>
      </w:r>
    </w:p>
    <w:p w14:paraId="756EA6AF"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 xml:space="preserve">Spence, M. (1978). Job market </w:t>
      </w:r>
      <w:proofErr w:type="spellStart"/>
      <w:r w:rsidRPr="00C033B5">
        <w:rPr>
          <w:rFonts w:asciiTheme="majorBidi" w:hAnsiTheme="majorBidi" w:cstheme="majorBidi"/>
          <w:sz w:val="24"/>
          <w:szCs w:val="24"/>
        </w:rPr>
        <w:t>signaling</w:t>
      </w:r>
      <w:proofErr w:type="spellEnd"/>
      <w:r w:rsidRPr="00C033B5">
        <w:rPr>
          <w:rFonts w:asciiTheme="majorBidi" w:hAnsiTheme="majorBidi" w:cstheme="majorBidi"/>
          <w:sz w:val="24"/>
          <w:szCs w:val="24"/>
        </w:rPr>
        <w:t>. In </w:t>
      </w:r>
      <w:r w:rsidRPr="00C033B5">
        <w:rPr>
          <w:rFonts w:asciiTheme="majorBidi" w:hAnsiTheme="majorBidi" w:cstheme="majorBidi"/>
          <w:i/>
          <w:iCs/>
          <w:sz w:val="24"/>
          <w:szCs w:val="24"/>
        </w:rPr>
        <w:t>Uncertainty in economics</w:t>
      </w:r>
      <w:r w:rsidRPr="00C033B5">
        <w:rPr>
          <w:rFonts w:asciiTheme="majorBidi" w:hAnsiTheme="majorBidi" w:cstheme="majorBidi"/>
          <w:sz w:val="24"/>
          <w:szCs w:val="24"/>
        </w:rPr>
        <w:t> (pp. 281-306). Academic Press.</w:t>
      </w:r>
    </w:p>
    <w:p w14:paraId="30FD6CCE"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 xml:space="preserve">Tang, M., Mei, M., Li, C., </w:t>
      </w:r>
      <w:proofErr w:type="spellStart"/>
      <w:r w:rsidRPr="00C033B5">
        <w:rPr>
          <w:rFonts w:asciiTheme="majorBidi" w:hAnsiTheme="majorBidi" w:cstheme="majorBidi"/>
          <w:sz w:val="24"/>
          <w:szCs w:val="24"/>
        </w:rPr>
        <w:t>Lv</w:t>
      </w:r>
      <w:proofErr w:type="spellEnd"/>
      <w:r w:rsidRPr="00C033B5">
        <w:rPr>
          <w:rFonts w:asciiTheme="majorBidi" w:hAnsiTheme="majorBidi" w:cstheme="majorBidi"/>
          <w:sz w:val="24"/>
          <w:szCs w:val="24"/>
        </w:rPr>
        <w:t xml:space="preserve">, X., Li, X., &amp; Wang, L. (2020). How does an individual’s default </w:t>
      </w:r>
      <w:proofErr w:type="spellStart"/>
      <w:r w:rsidRPr="00C033B5">
        <w:rPr>
          <w:rFonts w:asciiTheme="majorBidi" w:hAnsiTheme="majorBidi" w:cstheme="majorBidi"/>
          <w:sz w:val="24"/>
          <w:szCs w:val="24"/>
        </w:rPr>
        <w:t>behavior</w:t>
      </w:r>
      <w:proofErr w:type="spellEnd"/>
      <w:r w:rsidRPr="00C033B5">
        <w:rPr>
          <w:rFonts w:asciiTheme="majorBidi" w:hAnsiTheme="majorBidi" w:cstheme="majorBidi"/>
          <w:sz w:val="24"/>
          <w:szCs w:val="24"/>
        </w:rPr>
        <w:t xml:space="preserve"> on an online peer-to-peer lending platform influence an observer’s default intention?. </w:t>
      </w:r>
      <w:r w:rsidRPr="00C033B5">
        <w:rPr>
          <w:rFonts w:asciiTheme="majorBidi" w:hAnsiTheme="majorBidi" w:cstheme="majorBidi"/>
          <w:i/>
          <w:iCs/>
          <w:sz w:val="24"/>
          <w:szCs w:val="24"/>
        </w:rPr>
        <w:t>Financial Innovation</w:t>
      </w:r>
      <w:r w:rsidRPr="00C033B5">
        <w:rPr>
          <w:rFonts w:asciiTheme="majorBidi" w:hAnsiTheme="majorBidi" w:cstheme="majorBidi"/>
          <w:sz w:val="24"/>
          <w:szCs w:val="24"/>
        </w:rPr>
        <w:t>, </w:t>
      </w:r>
      <w:r w:rsidRPr="00C033B5">
        <w:rPr>
          <w:rFonts w:asciiTheme="majorBidi" w:hAnsiTheme="majorBidi" w:cstheme="majorBidi"/>
          <w:i/>
          <w:iCs/>
          <w:sz w:val="24"/>
          <w:szCs w:val="24"/>
        </w:rPr>
        <w:t>6</w:t>
      </w:r>
      <w:r w:rsidRPr="00C033B5">
        <w:rPr>
          <w:rFonts w:asciiTheme="majorBidi" w:hAnsiTheme="majorBidi" w:cstheme="majorBidi"/>
          <w:sz w:val="24"/>
          <w:szCs w:val="24"/>
        </w:rPr>
        <w:t>(1), 1-20.</w:t>
      </w:r>
    </w:p>
    <w:p w14:paraId="0543DD9A"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Tao, Q., Dong, Y., &amp; Lin, Z. (2017). Who can get money? Evidence from the Chinese peer-to-peer lending platform. </w:t>
      </w:r>
      <w:r w:rsidRPr="00C033B5">
        <w:rPr>
          <w:rFonts w:asciiTheme="majorBidi" w:hAnsiTheme="majorBidi" w:cstheme="majorBidi"/>
          <w:i/>
          <w:iCs/>
          <w:sz w:val="24"/>
          <w:szCs w:val="24"/>
        </w:rPr>
        <w:t>Information Systems Frontiers</w:t>
      </w:r>
      <w:r w:rsidRPr="00C033B5">
        <w:rPr>
          <w:rFonts w:asciiTheme="majorBidi" w:hAnsiTheme="majorBidi" w:cstheme="majorBidi"/>
          <w:sz w:val="24"/>
          <w:szCs w:val="24"/>
        </w:rPr>
        <w:t>, </w:t>
      </w:r>
      <w:r w:rsidRPr="00C033B5">
        <w:rPr>
          <w:rFonts w:asciiTheme="majorBidi" w:hAnsiTheme="majorBidi" w:cstheme="majorBidi"/>
          <w:i/>
          <w:iCs/>
          <w:sz w:val="24"/>
          <w:szCs w:val="24"/>
        </w:rPr>
        <w:t>19</w:t>
      </w:r>
      <w:r w:rsidRPr="00C033B5">
        <w:rPr>
          <w:rFonts w:asciiTheme="majorBidi" w:hAnsiTheme="majorBidi" w:cstheme="majorBidi"/>
          <w:sz w:val="24"/>
          <w:szCs w:val="24"/>
        </w:rPr>
        <w:t>, 425-441.</w:t>
      </w:r>
    </w:p>
    <w:p w14:paraId="17990A5B"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proofErr w:type="spellStart"/>
      <w:r w:rsidRPr="00C033B5">
        <w:rPr>
          <w:rFonts w:asciiTheme="majorBidi" w:hAnsiTheme="majorBidi" w:cstheme="majorBidi"/>
          <w:sz w:val="24"/>
          <w:szCs w:val="24"/>
        </w:rPr>
        <w:t>Telser</w:t>
      </w:r>
      <w:proofErr w:type="spellEnd"/>
      <w:r w:rsidRPr="00C033B5">
        <w:rPr>
          <w:rFonts w:asciiTheme="majorBidi" w:hAnsiTheme="majorBidi" w:cstheme="majorBidi"/>
          <w:sz w:val="24"/>
          <w:szCs w:val="24"/>
        </w:rPr>
        <w:t>, L. G. (1980). A theory of self-enforcing agreements. </w:t>
      </w:r>
      <w:r w:rsidRPr="00C033B5">
        <w:rPr>
          <w:rFonts w:asciiTheme="majorBidi" w:hAnsiTheme="majorBidi" w:cstheme="majorBidi"/>
          <w:i/>
          <w:iCs/>
          <w:sz w:val="24"/>
          <w:szCs w:val="24"/>
        </w:rPr>
        <w:t>Journal of business</w:t>
      </w:r>
      <w:r w:rsidRPr="00C033B5">
        <w:rPr>
          <w:rFonts w:asciiTheme="majorBidi" w:hAnsiTheme="majorBidi" w:cstheme="majorBidi"/>
          <w:sz w:val="24"/>
          <w:szCs w:val="24"/>
        </w:rPr>
        <w:t>, 27-44.</w:t>
      </w:r>
    </w:p>
    <w:p w14:paraId="652EFB61"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Tian, X. (2011). The causes and consequences of venture capital stage financing. </w:t>
      </w:r>
      <w:r w:rsidRPr="00C033B5">
        <w:rPr>
          <w:rFonts w:asciiTheme="majorBidi" w:hAnsiTheme="majorBidi" w:cstheme="majorBidi"/>
          <w:i/>
          <w:iCs/>
          <w:sz w:val="24"/>
          <w:szCs w:val="24"/>
        </w:rPr>
        <w:t>Journal of Financial Economics</w:t>
      </w:r>
      <w:r w:rsidRPr="00C033B5">
        <w:rPr>
          <w:rFonts w:asciiTheme="majorBidi" w:hAnsiTheme="majorBidi" w:cstheme="majorBidi"/>
          <w:sz w:val="24"/>
          <w:szCs w:val="24"/>
        </w:rPr>
        <w:t>, </w:t>
      </w:r>
      <w:r w:rsidRPr="00C033B5">
        <w:rPr>
          <w:rFonts w:asciiTheme="majorBidi" w:hAnsiTheme="majorBidi" w:cstheme="majorBidi"/>
          <w:i/>
          <w:iCs/>
          <w:sz w:val="24"/>
          <w:szCs w:val="24"/>
        </w:rPr>
        <w:t>101</w:t>
      </w:r>
      <w:r w:rsidRPr="00C033B5">
        <w:rPr>
          <w:rFonts w:asciiTheme="majorBidi" w:hAnsiTheme="majorBidi" w:cstheme="majorBidi"/>
          <w:sz w:val="24"/>
          <w:szCs w:val="24"/>
        </w:rPr>
        <w:t>(1), 132-159.</w:t>
      </w:r>
    </w:p>
    <w:p w14:paraId="566EAC87"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Tong, E. N., Mues, C., Brown, I., &amp; Thomas, L. C. (2016). Exposure at default models with and without the credit conversion factor. </w:t>
      </w:r>
      <w:r w:rsidRPr="00C033B5">
        <w:rPr>
          <w:rFonts w:asciiTheme="majorBidi" w:hAnsiTheme="majorBidi" w:cstheme="majorBidi"/>
          <w:i/>
          <w:iCs/>
          <w:sz w:val="24"/>
          <w:szCs w:val="24"/>
        </w:rPr>
        <w:t>European Journal of Operational Research</w:t>
      </w:r>
      <w:r w:rsidRPr="00C033B5">
        <w:rPr>
          <w:rFonts w:asciiTheme="majorBidi" w:hAnsiTheme="majorBidi" w:cstheme="majorBidi"/>
          <w:sz w:val="24"/>
          <w:szCs w:val="24"/>
        </w:rPr>
        <w:t>, </w:t>
      </w:r>
      <w:r w:rsidRPr="00C033B5">
        <w:rPr>
          <w:rFonts w:asciiTheme="majorBidi" w:hAnsiTheme="majorBidi" w:cstheme="majorBidi"/>
          <w:i/>
          <w:iCs/>
          <w:sz w:val="24"/>
          <w:szCs w:val="24"/>
        </w:rPr>
        <w:t>252</w:t>
      </w:r>
      <w:r w:rsidRPr="00C033B5">
        <w:rPr>
          <w:rFonts w:asciiTheme="majorBidi" w:hAnsiTheme="majorBidi" w:cstheme="majorBidi"/>
          <w:sz w:val="24"/>
          <w:szCs w:val="24"/>
        </w:rPr>
        <w:t>(3), 910-920.</w:t>
      </w:r>
    </w:p>
    <w:p w14:paraId="6EDD8D48"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Wang, H., Forbes, C. S., Fenech, J. P., &amp; Vaz, J. (2020). The determinants of bank loan recovery rates in good times and bad–new evidence. </w:t>
      </w:r>
      <w:r w:rsidRPr="00C033B5">
        <w:rPr>
          <w:rFonts w:asciiTheme="majorBidi" w:hAnsiTheme="majorBidi" w:cstheme="majorBidi"/>
          <w:i/>
          <w:iCs/>
          <w:sz w:val="24"/>
          <w:szCs w:val="24"/>
        </w:rPr>
        <w:t xml:space="preserve">Journal of Economic </w:t>
      </w:r>
      <w:proofErr w:type="spellStart"/>
      <w:r w:rsidRPr="00C033B5">
        <w:rPr>
          <w:rFonts w:asciiTheme="majorBidi" w:hAnsiTheme="majorBidi" w:cstheme="majorBidi"/>
          <w:i/>
          <w:iCs/>
          <w:sz w:val="24"/>
          <w:szCs w:val="24"/>
        </w:rPr>
        <w:t>Behavior</w:t>
      </w:r>
      <w:proofErr w:type="spellEnd"/>
      <w:r w:rsidRPr="00C033B5">
        <w:rPr>
          <w:rFonts w:asciiTheme="majorBidi" w:hAnsiTheme="majorBidi" w:cstheme="majorBidi"/>
          <w:i/>
          <w:iCs/>
          <w:sz w:val="24"/>
          <w:szCs w:val="24"/>
        </w:rPr>
        <w:t xml:space="preserve"> &amp; </w:t>
      </w:r>
    </w:p>
    <w:p w14:paraId="448205FB"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i/>
          <w:iCs/>
          <w:sz w:val="24"/>
          <w:szCs w:val="24"/>
        </w:rPr>
        <w:tab/>
        <w:t>Organization</w:t>
      </w:r>
      <w:r w:rsidRPr="00C033B5">
        <w:rPr>
          <w:rFonts w:asciiTheme="majorBidi" w:hAnsiTheme="majorBidi" w:cstheme="majorBidi"/>
          <w:sz w:val="24"/>
          <w:szCs w:val="24"/>
        </w:rPr>
        <w:t>, </w:t>
      </w:r>
      <w:r w:rsidRPr="00C033B5">
        <w:rPr>
          <w:rFonts w:asciiTheme="majorBidi" w:hAnsiTheme="majorBidi" w:cstheme="majorBidi"/>
          <w:i/>
          <w:iCs/>
          <w:sz w:val="24"/>
          <w:szCs w:val="24"/>
        </w:rPr>
        <w:t>177</w:t>
      </w:r>
      <w:r w:rsidRPr="00C033B5">
        <w:rPr>
          <w:rFonts w:asciiTheme="majorBidi" w:hAnsiTheme="majorBidi" w:cstheme="majorBidi"/>
          <w:sz w:val="24"/>
          <w:szCs w:val="24"/>
        </w:rPr>
        <w:t>, 875-897.</w:t>
      </w:r>
    </w:p>
    <w:p w14:paraId="4B2C4DB8"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Wang, Q., Xiong, X., &amp; Zheng, Z. (2021). Platform characteristics and online peer-to-peer lending: evidence from China. </w:t>
      </w:r>
      <w:r w:rsidRPr="00C033B5">
        <w:rPr>
          <w:rFonts w:asciiTheme="majorBidi" w:hAnsiTheme="majorBidi" w:cstheme="majorBidi"/>
          <w:i/>
          <w:iCs/>
          <w:sz w:val="24"/>
          <w:szCs w:val="24"/>
        </w:rPr>
        <w:t>Finance Research Letters</w:t>
      </w:r>
      <w:r w:rsidRPr="00C033B5">
        <w:rPr>
          <w:rFonts w:asciiTheme="majorBidi" w:hAnsiTheme="majorBidi" w:cstheme="majorBidi"/>
          <w:sz w:val="24"/>
          <w:szCs w:val="24"/>
        </w:rPr>
        <w:t>, </w:t>
      </w:r>
      <w:r w:rsidRPr="00C033B5">
        <w:rPr>
          <w:rFonts w:asciiTheme="majorBidi" w:hAnsiTheme="majorBidi" w:cstheme="majorBidi"/>
          <w:i/>
          <w:iCs/>
          <w:sz w:val="24"/>
          <w:szCs w:val="24"/>
        </w:rPr>
        <w:t>38</w:t>
      </w:r>
      <w:r w:rsidRPr="00C033B5">
        <w:rPr>
          <w:rFonts w:asciiTheme="majorBidi" w:hAnsiTheme="majorBidi" w:cstheme="majorBidi"/>
          <w:sz w:val="24"/>
          <w:szCs w:val="24"/>
        </w:rPr>
        <w:t>, 101511.</w:t>
      </w:r>
    </w:p>
    <w:p w14:paraId="7DAE5605"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Weiss, G. N., Pelger, K., &amp; Horsch, A. (2010). Mitigating adverse selection in p2p lending–Empirical evidence from prosper. com. </w:t>
      </w:r>
      <w:r w:rsidRPr="00C033B5">
        <w:rPr>
          <w:rFonts w:asciiTheme="majorBidi" w:hAnsiTheme="majorBidi" w:cstheme="majorBidi"/>
          <w:i/>
          <w:iCs/>
          <w:sz w:val="24"/>
          <w:szCs w:val="24"/>
        </w:rPr>
        <w:t>Available at SSRN 1650774</w:t>
      </w:r>
      <w:r w:rsidRPr="00C033B5">
        <w:rPr>
          <w:rFonts w:asciiTheme="majorBidi" w:hAnsiTheme="majorBidi" w:cstheme="majorBidi"/>
          <w:sz w:val="24"/>
          <w:szCs w:val="24"/>
        </w:rPr>
        <w:t>.</w:t>
      </w:r>
    </w:p>
    <w:p w14:paraId="2426F747"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Wei, Z., &amp; Lin, M. (2017). Market mechanisms in online peer-to-peer lending. </w:t>
      </w:r>
      <w:r w:rsidRPr="00C033B5">
        <w:rPr>
          <w:rFonts w:asciiTheme="majorBidi" w:hAnsiTheme="majorBidi" w:cstheme="majorBidi"/>
          <w:i/>
          <w:iCs/>
          <w:sz w:val="24"/>
          <w:szCs w:val="24"/>
        </w:rPr>
        <w:t>Management Science</w:t>
      </w:r>
      <w:r w:rsidRPr="00C033B5">
        <w:rPr>
          <w:rFonts w:asciiTheme="majorBidi" w:hAnsiTheme="majorBidi" w:cstheme="majorBidi"/>
          <w:sz w:val="24"/>
          <w:szCs w:val="24"/>
        </w:rPr>
        <w:t>, </w:t>
      </w:r>
      <w:r w:rsidRPr="00C033B5">
        <w:rPr>
          <w:rFonts w:asciiTheme="majorBidi" w:hAnsiTheme="majorBidi" w:cstheme="majorBidi"/>
          <w:i/>
          <w:iCs/>
          <w:sz w:val="24"/>
          <w:szCs w:val="24"/>
        </w:rPr>
        <w:t>63</w:t>
      </w:r>
      <w:r w:rsidRPr="00C033B5">
        <w:rPr>
          <w:rFonts w:asciiTheme="majorBidi" w:hAnsiTheme="majorBidi" w:cstheme="majorBidi"/>
          <w:sz w:val="24"/>
          <w:szCs w:val="24"/>
        </w:rPr>
        <w:t>(12), 4236-4257.</w:t>
      </w:r>
    </w:p>
    <w:p w14:paraId="05E92335" w14:textId="77777777" w:rsidR="00C033B5" w:rsidRPr="00CA3E0F" w:rsidRDefault="00C033B5" w:rsidP="00D61F58">
      <w:pPr>
        <w:spacing w:after="0" w:line="240" w:lineRule="auto"/>
        <w:ind w:left="720" w:hanging="720"/>
        <w:jc w:val="both"/>
        <w:rPr>
          <w:rFonts w:asciiTheme="majorBidi" w:hAnsiTheme="majorBidi" w:cstheme="majorBidi"/>
          <w:sz w:val="24"/>
          <w:szCs w:val="24"/>
          <w:lang w:val="de-DE"/>
        </w:rPr>
      </w:pPr>
      <w:proofErr w:type="spellStart"/>
      <w:r w:rsidRPr="00C033B5">
        <w:rPr>
          <w:rFonts w:asciiTheme="majorBidi" w:hAnsiTheme="majorBidi" w:cstheme="majorBidi"/>
          <w:sz w:val="24"/>
          <w:szCs w:val="24"/>
        </w:rPr>
        <w:t>Witzany</w:t>
      </w:r>
      <w:proofErr w:type="spellEnd"/>
      <w:r w:rsidRPr="00C033B5">
        <w:rPr>
          <w:rFonts w:asciiTheme="majorBidi" w:hAnsiTheme="majorBidi" w:cstheme="majorBidi"/>
          <w:sz w:val="24"/>
          <w:szCs w:val="24"/>
        </w:rPr>
        <w:t>, J. (2017). </w:t>
      </w:r>
      <w:r w:rsidRPr="00C033B5">
        <w:rPr>
          <w:rFonts w:asciiTheme="majorBidi" w:hAnsiTheme="majorBidi" w:cstheme="majorBidi"/>
          <w:i/>
          <w:iCs/>
          <w:sz w:val="24"/>
          <w:szCs w:val="24"/>
        </w:rPr>
        <w:t xml:space="preserve">Credit risk management: Pricing, measurement, and </w:t>
      </w:r>
      <w:proofErr w:type="spellStart"/>
      <w:r w:rsidRPr="00C033B5">
        <w:rPr>
          <w:rFonts w:asciiTheme="majorBidi" w:hAnsiTheme="majorBidi" w:cstheme="majorBidi"/>
          <w:i/>
          <w:iCs/>
          <w:sz w:val="24"/>
          <w:szCs w:val="24"/>
        </w:rPr>
        <w:t>modeling</w:t>
      </w:r>
      <w:proofErr w:type="spellEnd"/>
      <w:r w:rsidRPr="00C033B5">
        <w:rPr>
          <w:rFonts w:asciiTheme="majorBidi" w:hAnsiTheme="majorBidi" w:cstheme="majorBidi"/>
          <w:sz w:val="24"/>
          <w:szCs w:val="24"/>
        </w:rPr>
        <w:t xml:space="preserve">. </w:t>
      </w:r>
      <w:r w:rsidRPr="00CA3E0F">
        <w:rPr>
          <w:rFonts w:asciiTheme="majorBidi" w:hAnsiTheme="majorBidi" w:cstheme="majorBidi"/>
          <w:sz w:val="24"/>
          <w:szCs w:val="24"/>
          <w:lang w:val="de-DE"/>
        </w:rPr>
        <w:t>Springer International Publishing AG.</w:t>
      </w:r>
    </w:p>
    <w:p w14:paraId="5BF85582"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A3E0F">
        <w:rPr>
          <w:rFonts w:asciiTheme="majorBidi" w:hAnsiTheme="majorBidi" w:cstheme="majorBidi"/>
          <w:sz w:val="24"/>
          <w:szCs w:val="24"/>
          <w:lang w:val="de-DE"/>
        </w:rPr>
        <w:t xml:space="preserve">Wu, B., Liu, Z., Gu, Q., &amp; Tsai, F. S. (2023). </w:t>
      </w:r>
      <w:r w:rsidRPr="00C033B5">
        <w:rPr>
          <w:rFonts w:asciiTheme="majorBidi" w:hAnsiTheme="majorBidi" w:cstheme="majorBidi"/>
          <w:sz w:val="24"/>
          <w:szCs w:val="24"/>
        </w:rPr>
        <w:t xml:space="preserve">Underdog mentality, identity discrimination and access to peer-to-peer lending market: Exploring effects of digital </w:t>
      </w:r>
      <w:r w:rsidRPr="00C033B5">
        <w:rPr>
          <w:rFonts w:asciiTheme="majorBidi" w:hAnsiTheme="majorBidi" w:cstheme="majorBidi"/>
          <w:sz w:val="24"/>
          <w:szCs w:val="24"/>
        </w:rPr>
        <w:lastRenderedPageBreak/>
        <w:t>authentication. </w:t>
      </w:r>
      <w:r w:rsidRPr="00C033B5">
        <w:rPr>
          <w:rFonts w:asciiTheme="majorBidi" w:hAnsiTheme="majorBidi" w:cstheme="majorBidi"/>
          <w:i/>
          <w:iCs/>
          <w:sz w:val="24"/>
          <w:szCs w:val="24"/>
        </w:rPr>
        <w:t>Journal of International Financial Markets, Institutions and Money</w:t>
      </w:r>
      <w:r w:rsidRPr="00C033B5">
        <w:rPr>
          <w:rFonts w:asciiTheme="majorBidi" w:hAnsiTheme="majorBidi" w:cstheme="majorBidi"/>
          <w:sz w:val="24"/>
          <w:szCs w:val="24"/>
        </w:rPr>
        <w:t>, </w:t>
      </w:r>
      <w:r w:rsidRPr="00C033B5">
        <w:rPr>
          <w:rFonts w:asciiTheme="majorBidi" w:hAnsiTheme="majorBidi" w:cstheme="majorBidi"/>
          <w:i/>
          <w:iCs/>
          <w:sz w:val="24"/>
          <w:szCs w:val="24"/>
        </w:rPr>
        <w:t>83</w:t>
      </w:r>
      <w:r w:rsidRPr="00C033B5">
        <w:rPr>
          <w:rFonts w:asciiTheme="majorBidi" w:hAnsiTheme="majorBidi" w:cstheme="majorBidi"/>
          <w:sz w:val="24"/>
          <w:szCs w:val="24"/>
        </w:rPr>
        <w:t>, 101714.</w:t>
      </w:r>
    </w:p>
    <w:p w14:paraId="60F55156"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Wu, P. C., Liu, S. Y., &amp; Huang, C. W. (2022). The Impact of FinTech Index on P2P Lending Rate. </w:t>
      </w:r>
      <w:r w:rsidRPr="00C033B5">
        <w:rPr>
          <w:rFonts w:asciiTheme="majorBidi" w:hAnsiTheme="majorBidi" w:cstheme="majorBidi"/>
          <w:i/>
          <w:iCs/>
          <w:sz w:val="24"/>
          <w:szCs w:val="24"/>
        </w:rPr>
        <w:t>Review of Integrative Business and Economics Research</w:t>
      </w:r>
      <w:r w:rsidRPr="00C033B5">
        <w:rPr>
          <w:rFonts w:asciiTheme="majorBidi" w:hAnsiTheme="majorBidi" w:cstheme="majorBidi"/>
          <w:sz w:val="24"/>
          <w:szCs w:val="24"/>
        </w:rPr>
        <w:t>, </w:t>
      </w:r>
      <w:r w:rsidRPr="00C033B5">
        <w:rPr>
          <w:rFonts w:asciiTheme="majorBidi" w:hAnsiTheme="majorBidi" w:cstheme="majorBidi"/>
          <w:i/>
          <w:iCs/>
          <w:sz w:val="24"/>
          <w:szCs w:val="24"/>
        </w:rPr>
        <w:t>11</w:t>
      </w:r>
      <w:r w:rsidRPr="00C033B5">
        <w:rPr>
          <w:rFonts w:asciiTheme="majorBidi" w:hAnsiTheme="majorBidi" w:cstheme="majorBidi"/>
          <w:sz w:val="24"/>
          <w:szCs w:val="24"/>
        </w:rPr>
        <w:t>(2), 79-94.</w:t>
      </w:r>
    </w:p>
    <w:p w14:paraId="3E3E4CC6"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 xml:space="preserve">Yao, J., Chen, J., Wei, J., Chen, Y., &amp; Yang, S. (2019). The relationship between soft information in loan titles and online peer-to-peer lending: evidence from </w:t>
      </w:r>
      <w:proofErr w:type="spellStart"/>
      <w:r w:rsidRPr="00C033B5">
        <w:rPr>
          <w:rFonts w:asciiTheme="majorBidi" w:hAnsiTheme="majorBidi" w:cstheme="majorBidi"/>
          <w:sz w:val="24"/>
          <w:szCs w:val="24"/>
        </w:rPr>
        <w:t>RenRenDai</w:t>
      </w:r>
      <w:proofErr w:type="spellEnd"/>
      <w:r w:rsidRPr="00C033B5">
        <w:rPr>
          <w:rFonts w:asciiTheme="majorBidi" w:hAnsiTheme="majorBidi" w:cstheme="majorBidi"/>
          <w:sz w:val="24"/>
          <w:szCs w:val="24"/>
        </w:rPr>
        <w:t xml:space="preserve"> platform. </w:t>
      </w:r>
      <w:r w:rsidRPr="00C033B5">
        <w:rPr>
          <w:rFonts w:asciiTheme="majorBidi" w:hAnsiTheme="majorBidi" w:cstheme="majorBidi"/>
          <w:i/>
          <w:iCs/>
          <w:sz w:val="24"/>
          <w:szCs w:val="24"/>
        </w:rPr>
        <w:t>Electronic Commerce Research</w:t>
      </w:r>
      <w:r w:rsidRPr="00C033B5">
        <w:rPr>
          <w:rFonts w:asciiTheme="majorBidi" w:hAnsiTheme="majorBidi" w:cstheme="majorBidi"/>
          <w:sz w:val="24"/>
          <w:szCs w:val="24"/>
        </w:rPr>
        <w:t>, </w:t>
      </w:r>
      <w:r w:rsidRPr="00C033B5">
        <w:rPr>
          <w:rFonts w:asciiTheme="majorBidi" w:hAnsiTheme="majorBidi" w:cstheme="majorBidi"/>
          <w:i/>
          <w:iCs/>
          <w:sz w:val="24"/>
          <w:szCs w:val="24"/>
        </w:rPr>
        <w:t>19</w:t>
      </w:r>
      <w:r w:rsidRPr="00C033B5">
        <w:rPr>
          <w:rFonts w:asciiTheme="majorBidi" w:hAnsiTheme="majorBidi" w:cstheme="majorBidi"/>
          <w:sz w:val="24"/>
          <w:szCs w:val="24"/>
        </w:rPr>
        <w:t>, 111-129.</w:t>
      </w:r>
    </w:p>
    <w:p w14:paraId="77141D6B"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Yum, H., Lee, B., &amp; Chae, M. (2012). From the wisdom of crowds to my own judgment in microfinance through online peer-to-peer lending platforms. </w:t>
      </w:r>
      <w:r w:rsidRPr="00C033B5">
        <w:rPr>
          <w:rFonts w:asciiTheme="majorBidi" w:hAnsiTheme="majorBidi" w:cstheme="majorBidi"/>
          <w:i/>
          <w:iCs/>
          <w:sz w:val="24"/>
          <w:szCs w:val="24"/>
        </w:rPr>
        <w:t>Electronic Commerce Research and Applications</w:t>
      </w:r>
      <w:r w:rsidRPr="00C033B5">
        <w:rPr>
          <w:rFonts w:asciiTheme="majorBidi" w:hAnsiTheme="majorBidi" w:cstheme="majorBidi"/>
          <w:sz w:val="24"/>
          <w:szCs w:val="24"/>
        </w:rPr>
        <w:t>, </w:t>
      </w:r>
      <w:r w:rsidRPr="00C033B5">
        <w:rPr>
          <w:rFonts w:asciiTheme="majorBidi" w:hAnsiTheme="majorBidi" w:cstheme="majorBidi"/>
          <w:i/>
          <w:iCs/>
          <w:sz w:val="24"/>
          <w:szCs w:val="24"/>
        </w:rPr>
        <w:t>11</w:t>
      </w:r>
      <w:r w:rsidRPr="00C033B5">
        <w:rPr>
          <w:rFonts w:asciiTheme="majorBidi" w:hAnsiTheme="majorBidi" w:cstheme="majorBidi"/>
          <w:sz w:val="24"/>
          <w:szCs w:val="24"/>
        </w:rPr>
        <w:t>(5), 469-483.</w:t>
      </w:r>
    </w:p>
    <w:p w14:paraId="59B99BBD"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Zhang, J., &amp; Liu, P. (2012). Rational herding in microloan markets. </w:t>
      </w:r>
      <w:r w:rsidRPr="00C033B5">
        <w:rPr>
          <w:rFonts w:asciiTheme="majorBidi" w:hAnsiTheme="majorBidi" w:cstheme="majorBidi"/>
          <w:i/>
          <w:iCs/>
          <w:sz w:val="24"/>
          <w:szCs w:val="24"/>
        </w:rPr>
        <w:t>Management science</w:t>
      </w:r>
      <w:r w:rsidRPr="00C033B5">
        <w:rPr>
          <w:rFonts w:asciiTheme="majorBidi" w:hAnsiTheme="majorBidi" w:cstheme="majorBidi"/>
          <w:sz w:val="24"/>
          <w:szCs w:val="24"/>
        </w:rPr>
        <w:t>, </w:t>
      </w:r>
      <w:r w:rsidRPr="00C033B5">
        <w:rPr>
          <w:rFonts w:asciiTheme="majorBidi" w:hAnsiTheme="majorBidi" w:cstheme="majorBidi"/>
          <w:i/>
          <w:iCs/>
          <w:sz w:val="24"/>
          <w:szCs w:val="24"/>
        </w:rPr>
        <w:t>58</w:t>
      </w:r>
      <w:r w:rsidRPr="00C033B5">
        <w:rPr>
          <w:rFonts w:asciiTheme="majorBidi" w:hAnsiTheme="majorBidi" w:cstheme="majorBidi"/>
          <w:sz w:val="24"/>
          <w:szCs w:val="24"/>
        </w:rPr>
        <w:t>(5), 892-912.</w:t>
      </w:r>
    </w:p>
    <w:p w14:paraId="409883E4"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Zhang, K., &amp; Chen, X. (2017). Herding in a P2P lending market: Rational inference OR irrational trust?. </w:t>
      </w:r>
      <w:r w:rsidRPr="00C033B5">
        <w:rPr>
          <w:rFonts w:asciiTheme="majorBidi" w:hAnsiTheme="majorBidi" w:cstheme="majorBidi"/>
          <w:i/>
          <w:iCs/>
          <w:sz w:val="24"/>
          <w:szCs w:val="24"/>
        </w:rPr>
        <w:t>Electronic Commerce Research and Applications</w:t>
      </w:r>
      <w:r w:rsidRPr="00C033B5">
        <w:rPr>
          <w:rFonts w:asciiTheme="majorBidi" w:hAnsiTheme="majorBidi" w:cstheme="majorBidi"/>
          <w:sz w:val="24"/>
          <w:szCs w:val="24"/>
        </w:rPr>
        <w:t>, </w:t>
      </w:r>
      <w:r w:rsidRPr="00C033B5">
        <w:rPr>
          <w:rFonts w:asciiTheme="majorBidi" w:hAnsiTheme="majorBidi" w:cstheme="majorBidi"/>
          <w:i/>
          <w:iCs/>
          <w:sz w:val="24"/>
          <w:szCs w:val="24"/>
        </w:rPr>
        <w:t>23</w:t>
      </w:r>
      <w:r w:rsidRPr="00C033B5">
        <w:rPr>
          <w:rFonts w:asciiTheme="majorBidi" w:hAnsiTheme="majorBidi" w:cstheme="majorBidi"/>
          <w:sz w:val="24"/>
          <w:szCs w:val="24"/>
        </w:rPr>
        <w:t>, 45-53.</w:t>
      </w:r>
    </w:p>
    <w:p w14:paraId="3608A0B0"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Zhao, L., Shneor, R., &amp; Sun, Z. (2022). Skin in the game: Self-funding and reward crowdfunding success. </w:t>
      </w:r>
      <w:r w:rsidRPr="00C033B5">
        <w:rPr>
          <w:rFonts w:asciiTheme="majorBidi" w:hAnsiTheme="majorBidi" w:cstheme="majorBidi"/>
          <w:i/>
          <w:iCs/>
          <w:sz w:val="24"/>
          <w:szCs w:val="24"/>
        </w:rPr>
        <w:t>Business Horizons</w:t>
      </w:r>
      <w:r w:rsidRPr="00C033B5">
        <w:rPr>
          <w:rFonts w:asciiTheme="majorBidi" w:hAnsiTheme="majorBidi" w:cstheme="majorBidi"/>
          <w:sz w:val="24"/>
          <w:szCs w:val="24"/>
        </w:rPr>
        <w:t>, </w:t>
      </w:r>
      <w:r w:rsidRPr="00C033B5">
        <w:rPr>
          <w:rFonts w:asciiTheme="majorBidi" w:hAnsiTheme="majorBidi" w:cstheme="majorBidi"/>
          <w:i/>
          <w:iCs/>
          <w:sz w:val="24"/>
          <w:szCs w:val="24"/>
        </w:rPr>
        <w:t>65</w:t>
      </w:r>
      <w:r w:rsidRPr="00C033B5">
        <w:rPr>
          <w:rFonts w:asciiTheme="majorBidi" w:hAnsiTheme="majorBidi" w:cstheme="majorBidi"/>
          <w:sz w:val="24"/>
          <w:szCs w:val="24"/>
        </w:rPr>
        <w:t>(1), 89-100.</w:t>
      </w:r>
    </w:p>
    <w:p w14:paraId="04095822"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Zhu, Z. (2018). Safety promise, moral hazard and financial supervision: Evidence from peer-to-peer lending. </w:t>
      </w:r>
      <w:r w:rsidRPr="00C033B5">
        <w:rPr>
          <w:rFonts w:asciiTheme="majorBidi" w:hAnsiTheme="majorBidi" w:cstheme="majorBidi"/>
          <w:i/>
          <w:iCs/>
          <w:sz w:val="24"/>
          <w:szCs w:val="24"/>
        </w:rPr>
        <w:t>Finance Research Letters</w:t>
      </w:r>
      <w:r w:rsidRPr="00C033B5">
        <w:rPr>
          <w:rFonts w:asciiTheme="majorBidi" w:hAnsiTheme="majorBidi" w:cstheme="majorBidi"/>
          <w:sz w:val="24"/>
          <w:szCs w:val="24"/>
        </w:rPr>
        <w:t>, </w:t>
      </w:r>
      <w:r w:rsidRPr="00C033B5">
        <w:rPr>
          <w:rFonts w:asciiTheme="majorBidi" w:hAnsiTheme="majorBidi" w:cstheme="majorBidi"/>
          <w:i/>
          <w:iCs/>
          <w:sz w:val="24"/>
          <w:szCs w:val="24"/>
        </w:rPr>
        <w:t>27</w:t>
      </w:r>
      <w:r w:rsidRPr="00C033B5">
        <w:rPr>
          <w:rFonts w:asciiTheme="majorBidi" w:hAnsiTheme="majorBidi" w:cstheme="majorBidi"/>
          <w:sz w:val="24"/>
          <w:szCs w:val="24"/>
        </w:rPr>
        <w:t>, 1-5.</w:t>
      </w:r>
    </w:p>
    <w:p w14:paraId="7586BBCF" w14:textId="77777777" w:rsidR="00C033B5" w:rsidRPr="00C033B5" w:rsidRDefault="00C033B5" w:rsidP="00D61F58">
      <w:pPr>
        <w:spacing w:after="0" w:line="240" w:lineRule="auto"/>
        <w:ind w:left="720" w:hanging="720"/>
        <w:jc w:val="both"/>
        <w:rPr>
          <w:rFonts w:asciiTheme="majorBidi" w:hAnsiTheme="majorBidi" w:cstheme="majorBidi"/>
          <w:sz w:val="24"/>
          <w:szCs w:val="24"/>
        </w:rPr>
      </w:pPr>
      <w:r w:rsidRPr="00C033B5">
        <w:rPr>
          <w:rFonts w:asciiTheme="majorBidi" w:hAnsiTheme="majorBidi" w:cstheme="majorBidi"/>
          <w:sz w:val="24"/>
          <w:szCs w:val="24"/>
        </w:rPr>
        <w:t xml:space="preserve">Ziegler, T., Shneor, R., Wenzlaff, K., Suresh, K., Paes, F. F. D. C., Mammadova, L., ... &amp; Knaup, C. (2021). </w:t>
      </w:r>
      <w:r w:rsidRPr="00C033B5">
        <w:rPr>
          <w:rFonts w:asciiTheme="majorBidi" w:hAnsiTheme="majorBidi" w:cstheme="majorBidi"/>
          <w:i/>
          <w:iCs/>
          <w:sz w:val="24"/>
          <w:szCs w:val="24"/>
        </w:rPr>
        <w:t>The 2nd global alternative finance market benchmarking report</w:t>
      </w:r>
      <w:r w:rsidRPr="00C033B5">
        <w:rPr>
          <w:rFonts w:asciiTheme="majorBidi" w:hAnsiTheme="majorBidi" w:cstheme="majorBidi"/>
          <w:sz w:val="24"/>
          <w:szCs w:val="24"/>
        </w:rPr>
        <w:t>. Retrieved from https://www.jbs.cam.ac.uk/faculty-research/centres/alternative-finance/publications/the-2nd-global-alternative-finance-market-benchmarking-report</w:t>
      </w:r>
    </w:p>
    <w:p w14:paraId="10DF0BE4" w14:textId="77777777" w:rsidR="00E53478" w:rsidRDefault="00E53478" w:rsidP="00C033B5">
      <w:pPr>
        <w:rPr>
          <w:b/>
          <w:bCs/>
        </w:rPr>
      </w:pPr>
    </w:p>
    <w:p w14:paraId="586E75B6" w14:textId="3DF3B27D" w:rsidR="00C033B5" w:rsidRPr="00C033B5" w:rsidRDefault="00C033B5" w:rsidP="00E53478">
      <w:pPr>
        <w:jc w:val="center"/>
        <w:rPr>
          <w:rFonts w:asciiTheme="majorBidi" w:hAnsiTheme="majorBidi" w:cstheme="majorBidi"/>
          <w:b/>
          <w:bCs/>
          <w:sz w:val="24"/>
          <w:szCs w:val="24"/>
        </w:rPr>
      </w:pPr>
      <w:r w:rsidRPr="00C033B5">
        <w:rPr>
          <w:rFonts w:asciiTheme="majorBidi" w:hAnsiTheme="majorBidi" w:cstheme="majorBidi"/>
          <w:b/>
          <w:bCs/>
          <w:sz w:val="24"/>
          <w:szCs w:val="24"/>
        </w:rPr>
        <w:t>A</w:t>
      </w:r>
      <w:r w:rsidR="00E53478" w:rsidRPr="00E53478">
        <w:rPr>
          <w:rFonts w:asciiTheme="majorBidi" w:hAnsiTheme="majorBidi" w:cstheme="majorBidi"/>
          <w:b/>
          <w:bCs/>
          <w:sz w:val="24"/>
          <w:szCs w:val="24"/>
        </w:rPr>
        <w:t>PPENDIX</w:t>
      </w:r>
    </w:p>
    <w:p w14:paraId="20A6A7ED" w14:textId="77777777" w:rsidR="00C033B5" w:rsidRPr="004F735C" w:rsidRDefault="00C033B5" w:rsidP="00D61F58">
      <w:pPr>
        <w:jc w:val="center"/>
        <w:rPr>
          <w:rFonts w:asciiTheme="majorBidi" w:hAnsiTheme="majorBidi" w:cstheme="majorBidi"/>
        </w:rPr>
      </w:pPr>
      <w:r w:rsidRPr="004F735C">
        <w:rPr>
          <w:rFonts w:asciiTheme="majorBidi" w:hAnsiTheme="majorBidi" w:cstheme="majorBidi"/>
          <w:b/>
          <w:bCs/>
        </w:rPr>
        <w:t>Appendix Table A1</w:t>
      </w:r>
      <w:r w:rsidRPr="004F735C">
        <w:rPr>
          <w:rFonts w:asciiTheme="majorBidi" w:hAnsiTheme="majorBidi" w:cstheme="majorBidi"/>
        </w:rPr>
        <w:t>: Definition of variables</w:t>
      </w:r>
    </w:p>
    <w:tbl>
      <w:tblPr>
        <w:tblW w:w="0" w:type="auto"/>
        <w:tblBorders>
          <w:top w:val="single" w:sz="4" w:space="0" w:color="000000"/>
          <w:bottom w:val="single" w:sz="4" w:space="0" w:color="000000"/>
          <w:insideH w:val="single" w:sz="4" w:space="0" w:color="auto"/>
        </w:tblBorders>
        <w:tblCellMar>
          <w:top w:w="15" w:type="dxa"/>
          <w:left w:w="15" w:type="dxa"/>
          <w:bottom w:w="15" w:type="dxa"/>
          <w:right w:w="15" w:type="dxa"/>
        </w:tblCellMar>
        <w:tblLook w:val="04A0" w:firstRow="1" w:lastRow="0" w:firstColumn="1" w:lastColumn="0" w:noHBand="0" w:noVBand="1"/>
      </w:tblPr>
      <w:tblGrid>
        <w:gridCol w:w="2312"/>
        <w:gridCol w:w="4210"/>
        <w:gridCol w:w="1319"/>
        <w:gridCol w:w="1185"/>
      </w:tblGrid>
      <w:tr w:rsidR="00C033B5" w:rsidRPr="004F735C" w14:paraId="5E821210" w14:textId="77777777" w:rsidTr="00D61F58">
        <w:trPr>
          <w:trHeight w:val="20"/>
        </w:trPr>
        <w:tc>
          <w:tcPr>
            <w:tcW w:w="0" w:type="auto"/>
            <w:tcMar>
              <w:top w:w="0" w:type="dxa"/>
              <w:left w:w="115" w:type="dxa"/>
              <w:bottom w:w="0" w:type="dxa"/>
              <w:right w:w="115" w:type="dxa"/>
            </w:tcMar>
            <w:vAlign w:val="center"/>
            <w:hideMark/>
          </w:tcPr>
          <w:p w14:paraId="3484FCA6"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Name</w:t>
            </w:r>
          </w:p>
        </w:tc>
        <w:tc>
          <w:tcPr>
            <w:tcW w:w="0" w:type="auto"/>
            <w:tcMar>
              <w:top w:w="0" w:type="dxa"/>
              <w:left w:w="115" w:type="dxa"/>
              <w:bottom w:w="0" w:type="dxa"/>
              <w:right w:w="115" w:type="dxa"/>
            </w:tcMar>
            <w:vAlign w:val="center"/>
            <w:hideMark/>
          </w:tcPr>
          <w:p w14:paraId="6CDD4611"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Definition</w:t>
            </w:r>
          </w:p>
        </w:tc>
        <w:tc>
          <w:tcPr>
            <w:tcW w:w="0" w:type="auto"/>
            <w:tcMar>
              <w:top w:w="0" w:type="dxa"/>
              <w:left w:w="115" w:type="dxa"/>
              <w:bottom w:w="0" w:type="dxa"/>
              <w:right w:w="115" w:type="dxa"/>
            </w:tcMar>
            <w:vAlign w:val="center"/>
            <w:hideMark/>
          </w:tcPr>
          <w:p w14:paraId="7FD5EB3D"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Source</w:t>
            </w:r>
          </w:p>
        </w:tc>
        <w:tc>
          <w:tcPr>
            <w:tcW w:w="0" w:type="auto"/>
            <w:tcMar>
              <w:top w:w="0" w:type="dxa"/>
              <w:left w:w="115" w:type="dxa"/>
              <w:bottom w:w="0" w:type="dxa"/>
              <w:right w:w="115" w:type="dxa"/>
            </w:tcMar>
            <w:vAlign w:val="center"/>
            <w:hideMark/>
          </w:tcPr>
          <w:p w14:paraId="4CAE871C"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Expected sign</w:t>
            </w:r>
          </w:p>
        </w:tc>
      </w:tr>
      <w:tr w:rsidR="00C033B5" w:rsidRPr="004F735C" w14:paraId="215E36F6" w14:textId="77777777" w:rsidTr="004F735C">
        <w:trPr>
          <w:trHeight w:val="20"/>
        </w:trPr>
        <w:tc>
          <w:tcPr>
            <w:tcW w:w="0" w:type="auto"/>
            <w:tcBorders>
              <w:bottom w:val="single" w:sz="4" w:space="0" w:color="auto"/>
            </w:tcBorders>
            <w:tcMar>
              <w:top w:w="0" w:type="dxa"/>
              <w:left w:w="115" w:type="dxa"/>
              <w:bottom w:w="0" w:type="dxa"/>
              <w:right w:w="115" w:type="dxa"/>
            </w:tcMar>
            <w:vAlign w:val="center"/>
            <w:hideMark/>
          </w:tcPr>
          <w:p w14:paraId="3EFBE84C" w14:textId="77777777" w:rsidR="00C033B5" w:rsidRPr="004F735C" w:rsidRDefault="00C033B5" w:rsidP="00C033B5">
            <w:pPr>
              <w:rPr>
                <w:rFonts w:asciiTheme="majorBidi" w:hAnsiTheme="majorBidi" w:cstheme="majorBidi"/>
              </w:rPr>
            </w:pPr>
            <w:r w:rsidRPr="004F735C">
              <w:rPr>
                <w:rFonts w:asciiTheme="majorBidi" w:hAnsiTheme="majorBidi" w:cstheme="majorBidi"/>
                <w:b/>
                <w:bCs/>
                <w:i/>
                <w:iCs/>
              </w:rPr>
              <w:t>Dependent variables</w:t>
            </w:r>
          </w:p>
        </w:tc>
        <w:tc>
          <w:tcPr>
            <w:tcW w:w="0" w:type="auto"/>
            <w:tcBorders>
              <w:bottom w:val="single" w:sz="4" w:space="0" w:color="auto"/>
            </w:tcBorders>
            <w:tcMar>
              <w:top w:w="0" w:type="dxa"/>
              <w:left w:w="115" w:type="dxa"/>
              <w:bottom w:w="0" w:type="dxa"/>
              <w:right w:w="115" w:type="dxa"/>
            </w:tcMar>
            <w:vAlign w:val="center"/>
            <w:hideMark/>
          </w:tcPr>
          <w:p w14:paraId="610B8872" w14:textId="77777777" w:rsidR="00C033B5" w:rsidRPr="004F735C" w:rsidRDefault="00C033B5" w:rsidP="00C033B5">
            <w:pPr>
              <w:rPr>
                <w:rFonts w:asciiTheme="majorBidi" w:hAnsiTheme="majorBidi" w:cstheme="majorBidi"/>
              </w:rPr>
            </w:pPr>
          </w:p>
        </w:tc>
        <w:tc>
          <w:tcPr>
            <w:tcW w:w="0" w:type="auto"/>
            <w:tcBorders>
              <w:bottom w:val="single" w:sz="4" w:space="0" w:color="auto"/>
            </w:tcBorders>
            <w:tcMar>
              <w:top w:w="0" w:type="dxa"/>
              <w:left w:w="115" w:type="dxa"/>
              <w:bottom w:w="0" w:type="dxa"/>
              <w:right w:w="115" w:type="dxa"/>
            </w:tcMar>
            <w:vAlign w:val="center"/>
            <w:hideMark/>
          </w:tcPr>
          <w:p w14:paraId="127E5947" w14:textId="77777777" w:rsidR="00C033B5" w:rsidRPr="004F735C" w:rsidRDefault="00C033B5" w:rsidP="00C033B5">
            <w:pPr>
              <w:rPr>
                <w:rFonts w:asciiTheme="majorBidi" w:hAnsiTheme="majorBidi" w:cstheme="majorBidi"/>
              </w:rPr>
            </w:pPr>
          </w:p>
        </w:tc>
        <w:tc>
          <w:tcPr>
            <w:tcW w:w="0" w:type="auto"/>
            <w:tcBorders>
              <w:bottom w:val="single" w:sz="4" w:space="0" w:color="auto"/>
            </w:tcBorders>
            <w:tcMar>
              <w:top w:w="0" w:type="dxa"/>
              <w:left w:w="115" w:type="dxa"/>
              <w:bottom w:w="0" w:type="dxa"/>
              <w:right w:w="115" w:type="dxa"/>
            </w:tcMar>
            <w:vAlign w:val="center"/>
            <w:hideMark/>
          </w:tcPr>
          <w:p w14:paraId="1433C6CC" w14:textId="77777777" w:rsidR="00C033B5" w:rsidRPr="004F735C" w:rsidRDefault="00C033B5" w:rsidP="00C033B5">
            <w:pPr>
              <w:rPr>
                <w:rFonts w:asciiTheme="majorBidi" w:hAnsiTheme="majorBidi" w:cstheme="majorBidi"/>
              </w:rPr>
            </w:pPr>
          </w:p>
        </w:tc>
      </w:tr>
      <w:tr w:rsidR="00C033B5" w:rsidRPr="004F735C" w14:paraId="4F61A1A9" w14:textId="77777777" w:rsidTr="004F735C">
        <w:trPr>
          <w:trHeight w:val="20"/>
        </w:trPr>
        <w:tc>
          <w:tcPr>
            <w:tcW w:w="0" w:type="auto"/>
            <w:tcBorders>
              <w:top w:val="single" w:sz="4" w:space="0" w:color="auto"/>
              <w:bottom w:val="nil"/>
            </w:tcBorders>
            <w:tcMar>
              <w:top w:w="0" w:type="dxa"/>
              <w:left w:w="115" w:type="dxa"/>
              <w:bottom w:w="0" w:type="dxa"/>
              <w:right w:w="115" w:type="dxa"/>
            </w:tcMar>
            <w:vAlign w:val="center"/>
            <w:hideMark/>
          </w:tcPr>
          <w:p w14:paraId="366F2D58" w14:textId="77777777" w:rsidR="00C033B5" w:rsidRPr="004F735C" w:rsidRDefault="00C033B5" w:rsidP="00C033B5">
            <w:pPr>
              <w:rPr>
                <w:rFonts w:asciiTheme="majorBidi" w:hAnsiTheme="majorBidi" w:cstheme="majorBidi"/>
              </w:rPr>
            </w:pPr>
            <w:r w:rsidRPr="004F735C">
              <w:rPr>
                <w:rFonts w:asciiTheme="majorBidi" w:hAnsiTheme="majorBidi" w:cstheme="majorBidi"/>
              </w:rPr>
              <w:t>Interest</w:t>
            </w:r>
          </w:p>
        </w:tc>
        <w:tc>
          <w:tcPr>
            <w:tcW w:w="0" w:type="auto"/>
            <w:tcBorders>
              <w:top w:val="single" w:sz="4" w:space="0" w:color="auto"/>
              <w:bottom w:val="nil"/>
            </w:tcBorders>
            <w:tcMar>
              <w:top w:w="0" w:type="dxa"/>
              <w:left w:w="115" w:type="dxa"/>
              <w:bottom w:w="0" w:type="dxa"/>
              <w:right w:w="115" w:type="dxa"/>
            </w:tcMar>
            <w:vAlign w:val="center"/>
            <w:hideMark/>
          </w:tcPr>
          <w:p w14:paraId="622B68BA" w14:textId="77777777" w:rsidR="00C033B5" w:rsidRPr="004F735C" w:rsidRDefault="00C033B5" w:rsidP="00C033B5">
            <w:pPr>
              <w:rPr>
                <w:rFonts w:asciiTheme="majorBidi" w:hAnsiTheme="majorBidi" w:cstheme="majorBidi"/>
              </w:rPr>
            </w:pPr>
            <w:r w:rsidRPr="004F735C">
              <w:rPr>
                <w:rFonts w:asciiTheme="majorBidi" w:hAnsiTheme="majorBidi" w:cstheme="majorBidi"/>
              </w:rPr>
              <w:t>The rate of interest paid by loan originators to investors (%)</w:t>
            </w:r>
          </w:p>
        </w:tc>
        <w:tc>
          <w:tcPr>
            <w:tcW w:w="0" w:type="auto"/>
            <w:tcBorders>
              <w:top w:val="single" w:sz="4" w:space="0" w:color="auto"/>
              <w:bottom w:val="nil"/>
            </w:tcBorders>
            <w:tcMar>
              <w:top w:w="0" w:type="dxa"/>
              <w:left w:w="115" w:type="dxa"/>
              <w:bottom w:w="0" w:type="dxa"/>
              <w:right w:w="115" w:type="dxa"/>
            </w:tcMar>
            <w:vAlign w:val="center"/>
            <w:hideMark/>
          </w:tcPr>
          <w:p w14:paraId="365D86A8" w14:textId="77777777" w:rsidR="00C033B5" w:rsidRPr="004F735C" w:rsidRDefault="00C033B5" w:rsidP="00C033B5">
            <w:pPr>
              <w:rPr>
                <w:rFonts w:asciiTheme="majorBidi" w:hAnsiTheme="majorBidi" w:cstheme="majorBidi"/>
              </w:rPr>
            </w:pPr>
            <w:r w:rsidRPr="004F735C">
              <w:rPr>
                <w:rFonts w:asciiTheme="majorBidi" w:hAnsiTheme="majorBidi" w:cstheme="majorBidi"/>
              </w:rPr>
              <w:t>Mintos Loan book</w:t>
            </w:r>
          </w:p>
        </w:tc>
        <w:tc>
          <w:tcPr>
            <w:tcW w:w="0" w:type="auto"/>
            <w:tcBorders>
              <w:top w:val="single" w:sz="4" w:space="0" w:color="auto"/>
              <w:bottom w:val="nil"/>
            </w:tcBorders>
            <w:tcMar>
              <w:top w:w="0" w:type="dxa"/>
              <w:left w:w="115" w:type="dxa"/>
              <w:bottom w:w="0" w:type="dxa"/>
              <w:right w:w="115" w:type="dxa"/>
            </w:tcMar>
            <w:vAlign w:val="center"/>
            <w:hideMark/>
          </w:tcPr>
          <w:p w14:paraId="3D03A1C4" w14:textId="77777777" w:rsidR="00C033B5" w:rsidRPr="004F735C" w:rsidRDefault="00C033B5" w:rsidP="00C033B5">
            <w:pPr>
              <w:rPr>
                <w:rFonts w:asciiTheme="majorBidi" w:hAnsiTheme="majorBidi" w:cstheme="majorBidi"/>
              </w:rPr>
            </w:pPr>
          </w:p>
        </w:tc>
      </w:tr>
      <w:tr w:rsidR="00C033B5" w:rsidRPr="004F735C" w14:paraId="249AE487" w14:textId="77777777" w:rsidTr="004F735C">
        <w:trPr>
          <w:trHeight w:val="20"/>
        </w:trPr>
        <w:tc>
          <w:tcPr>
            <w:tcW w:w="0" w:type="auto"/>
            <w:tcBorders>
              <w:top w:val="nil"/>
              <w:bottom w:val="nil"/>
            </w:tcBorders>
            <w:tcMar>
              <w:top w:w="0" w:type="dxa"/>
              <w:left w:w="115" w:type="dxa"/>
              <w:bottom w:w="0" w:type="dxa"/>
              <w:right w:w="115" w:type="dxa"/>
            </w:tcMar>
            <w:vAlign w:val="center"/>
            <w:hideMark/>
          </w:tcPr>
          <w:p w14:paraId="6F83B8D8" w14:textId="77777777" w:rsidR="00C033B5" w:rsidRPr="004F735C" w:rsidRDefault="00C033B5" w:rsidP="00C033B5">
            <w:pPr>
              <w:rPr>
                <w:rFonts w:asciiTheme="majorBidi" w:hAnsiTheme="majorBidi" w:cstheme="majorBidi"/>
              </w:rPr>
            </w:pPr>
            <w:r w:rsidRPr="004F735C">
              <w:rPr>
                <w:rFonts w:asciiTheme="majorBidi" w:hAnsiTheme="majorBidi" w:cstheme="majorBidi"/>
              </w:rPr>
              <w:t>Default</w:t>
            </w:r>
          </w:p>
        </w:tc>
        <w:tc>
          <w:tcPr>
            <w:tcW w:w="0" w:type="auto"/>
            <w:tcBorders>
              <w:top w:val="nil"/>
              <w:bottom w:val="nil"/>
            </w:tcBorders>
            <w:tcMar>
              <w:top w:w="0" w:type="dxa"/>
              <w:left w:w="115" w:type="dxa"/>
              <w:bottom w:w="0" w:type="dxa"/>
              <w:right w:w="115" w:type="dxa"/>
            </w:tcMar>
            <w:vAlign w:val="center"/>
            <w:hideMark/>
          </w:tcPr>
          <w:p w14:paraId="2B571840" w14:textId="77777777" w:rsidR="00C033B5" w:rsidRPr="004F735C" w:rsidRDefault="00C033B5" w:rsidP="00C033B5">
            <w:pPr>
              <w:rPr>
                <w:rFonts w:asciiTheme="majorBidi" w:hAnsiTheme="majorBidi" w:cstheme="majorBidi"/>
              </w:rPr>
            </w:pPr>
            <w:r w:rsidRPr="004F735C">
              <w:rPr>
                <w:rFonts w:asciiTheme="majorBidi" w:hAnsiTheme="majorBidi" w:cstheme="majorBidi"/>
              </w:rPr>
              <w:t>1 If the loan has defaulted, and 0 otherwise</w:t>
            </w:r>
          </w:p>
        </w:tc>
        <w:tc>
          <w:tcPr>
            <w:tcW w:w="0" w:type="auto"/>
            <w:tcBorders>
              <w:top w:val="nil"/>
              <w:bottom w:val="nil"/>
            </w:tcBorders>
            <w:tcMar>
              <w:top w:w="0" w:type="dxa"/>
              <w:left w:w="115" w:type="dxa"/>
              <w:bottom w:w="0" w:type="dxa"/>
              <w:right w:w="115" w:type="dxa"/>
            </w:tcMar>
            <w:vAlign w:val="center"/>
            <w:hideMark/>
          </w:tcPr>
          <w:p w14:paraId="474A2ABD" w14:textId="77777777" w:rsidR="00C033B5" w:rsidRPr="004F735C" w:rsidRDefault="00C033B5" w:rsidP="00C033B5">
            <w:pPr>
              <w:rPr>
                <w:rFonts w:asciiTheme="majorBidi" w:hAnsiTheme="majorBidi" w:cstheme="majorBidi"/>
              </w:rPr>
            </w:pPr>
            <w:r w:rsidRPr="004F735C">
              <w:rPr>
                <w:rFonts w:asciiTheme="majorBidi" w:hAnsiTheme="majorBidi" w:cstheme="majorBidi"/>
              </w:rPr>
              <w:t>Mintos Loan book</w:t>
            </w:r>
          </w:p>
        </w:tc>
        <w:tc>
          <w:tcPr>
            <w:tcW w:w="0" w:type="auto"/>
            <w:tcBorders>
              <w:top w:val="nil"/>
              <w:bottom w:val="nil"/>
            </w:tcBorders>
            <w:tcMar>
              <w:top w:w="0" w:type="dxa"/>
              <w:left w:w="115" w:type="dxa"/>
              <w:bottom w:w="0" w:type="dxa"/>
              <w:right w:w="115" w:type="dxa"/>
            </w:tcMar>
            <w:vAlign w:val="center"/>
            <w:hideMark/>
          </w:tcPr>
          <w:p w14:paraId="03566630" w14:textId="77777777" w:rsidR="00C033B5" w:rsidRPr="004F735C" w:rsidRDefault="00C033B5" w:rsidP="00C033B5">
            <w:pPr>
              <w:rPr>
                <w:rFonts w:asciiTheme="majorBidi" w:hAnsiTheme="majorBidi" w:cstheme="majorBidi"/>
              </w:rPr>
            </w:pPr>
          </w:p>
        </w:tc>
      </w:tr>
      <w:tr w:rsidR="00C033B5" w:rsidRPr="004F735C" w14:paraId="438C819A" w14:textId="77777777" w:rsidTr="004F735C">
        <w:trPr>
          <w:trHeight w:val="20"/>
        </w:trPr>
        <w:tc>
          <w:tcPr>
            <w:tcW w:w="0" w:type="auto"/>
            <w:tcBorders>
              <w:top w:val="nil"/>
              <w:bottom w:val="nil"/>
            </w:tcBorders>
            <w:tcMar>
              <w:top w:w="0" w:type="dxa"/>
              <w:left w:w="115" w:type="dxa"/>
              <w:bottom w:w="0" w:type="dxa"/>
              <w:right w:w="115" w:type="dxa"/>
            </w:tcMar>
            <w:vAlign w:val="center"/>
            <w:hideMark/>
          </w:tcPr>
          <w:p w14:paraId="653DE582" w14:textId="77777777" w:rsidR="00C033B5" w:rsidRPr="004F735C" w:rsidRDefault="00C033B5" w:rsidP="00C033B5">
            <w:pPr>
              <w:rPr>
                <w:rFonts w:asciiTheme="majorBidi" w:hAnsiTheme="majorBidi" w:cstheme="majorBidi"/>
              </w:rPr>
            </w:pPr>
            <w:r w:rsidRPr="004F735C">
              <w:rPr>
                <w:rFonts w:asciiTheme="majorBidi" w:hAnsiTheme="majorBidi" w:cstheme="majorBidi"/>
              </w:rPr>
              <w:t>SEVDEF</w:t>
            </w:r>
          </w:p>
        </w:tc>
        <w:tc>
          <w:tcPr>
            <w:tcW w:w="0" w:type="auto"/>
            <w:tcBorders>
              <w:top w:val="nil"/>
              <w:bottom w:val="nil"/>
            </w:tcBorders>
            <w:tcMar>
              <w:top w:w="0" w:type="dxa"/>
              <w:left w:w="115" w:type="dxa"/>
              <w:bottom w:w="0" w:type="dxa"/>
              <w:right w:w="115" w:type="dxa"/>
            </w:tcMar>
            <w:vAlign w:val="center"/>
            <w:hideMark/>
          </w:tcPr>
          <w:p w14:paraId="129A9D99" w14:textId="77777777" w:rsidR="00C033B5" w:rsidRPr="004F735C" w:rsidRDefault="00C033B5" w:rsidP="00C033B5">
            <w:pPr>
              <w:rPr>
                <w:rFonts w:asciiTheme="majorBidi" w:hAnsiTheme="majorBidi" w:cstheme="majorBidi"/>
              </w:rPr>
            </w:pPr>
            <w:r w:rsidRPr="004F735C">
              <w:rPr>
                <w:rFonts w:asciiTheme="majorBidi" w:hAnsiTheme="majorBidi" w:cstheme="majorBidi"/>
              </w:rPr>
              <w:t>The proportion of remaining loan amount to initial loan amount</w:t>
            </w:r>
          </w:p>
        </w:tc>
        <w:tc>
          <w:tcPr>
            <w:tcW w:w="0" w:type="auto"/>
            <w:tcBorders>
              <w:top w:val="nil"/>
              <w:bottom w:val="nil"/>
            </w:tcBorders>
            <w:tcMar>
              <w:top w:w="0" w:type="dxa"/>
              <w:left w:w="115" w:type="dxa"/>
              <w:bottom w:w="0" w:type="dxa"/>
              <w:right w:w="115" w:type="dxa"/>
            </w:tcMar>
            <w:vAlign w:val="center"/>
            <w:hideMark/>
          </w:tcPr>
          <w:p w14:paraId="509CA33D" w14:textId="77777777" w:rsidR="00C033B5" w:rsidRPr="004F735C" w:rsidRDefault="00C033B5" w:rsidP="00C033B5">
            <w:pPr>
              <w:rPr>
                <w:rFonts w:asciiTheme="majorBidi" w:hAnsiTheme="majorBidi" w:cstheme="majorBidi"/>
              </w:rPr>
            </w:pPr>
            <w:r w:rsidRPr="004F735C">
              <w:rPr>
                <w:rFonts w:asciiTheme="majorBidi" w:hAnsiTheme="majorBidi" w:cstheme="majorBidi"/>
              </w:rPr>
              <w:t>Mintos Loan book</w:t>
            </w:r>
          </w:p>
        </w:tc>
        <w:tc>
          <w:tcPr>
            <w:tcW w:w="0" w:type="auto"/>
            <w:tcBorders>
              <w:top w:val="nil"/>
              <w:bottom w:val="nil"/>
            </w:tcBorders>
            <w:tcMar>
              <w:top w:w="0" w:type="dxa"/>
              <w:left w:w="115" w:type="dxa"/>
              <w:bottom w:w="0" w:type="dxa"/>
              <w:right w:w="115" w:type="dxa"/>
            </w:tcMar>
            <w:vAlign w:val="center"/>
            <w:hideMark/>
          </w:tcPr>
          <w:p w14:paraId="242F3EE4" w14:textId="77777777" w:rsidR="00C033B5" w:rsidRPr="004F735C" w:rsidRDefault="00C033B5" w:rsidP="00C033B5">
            <w:pPr>
              <w:rPr>
                <w:rFonts w:asciiTheme="majorBidi" w:hAnsiTheme="majorBidi" w:cstheme="majorBidi"/>
              </w:rPr>
            </w:pPr>
          </w:p>
        </w:tc>
      </w:tr>
      <w:tr w:rsidR="00C033B5" w:rsidRPr="004F735C" w14:paraId="115A30CE" w14:textId="77777777" w:rsidTr="004F735C">
        <w:trPr>
          <w:trHeight w:val="20"/>
        </w:trPr>
        <w:tc>
          <w:tcPr>
            <w:tcW w:w="0" w:type="auto"/>
            <w:tcBorders>
              <w:top w:val="nil"/>
              <w:bottom w:val="nil"/>
            </w:tcBorders>
            <w:tcMar>
              <w:top w:w="0" w:type="dxa"/>
              <w:left w:w="115" w:type="dxa"/>
              <w:bottom w:w="0" w:type="dxa"/>
              <w:right w:w="115" w:type="dxa"/>
            </w:tcMar>
            <w:vAlign w:val="center"/>
            <w:hideMark/>
          </w:tcPr>
          <w:p w14:paraId="0054C372" w14:textId="77777777" w:rsidR="00C033B5" w:rsidRPr="004F735C" w:rsidRDefault="00C033B5" w:rsidP="00C033B5">
            <w:pPr>
              <w:rPr>
                <w:rFonts w:asciiTheme="majorBidi" w:hAnsiTheme="majorBidi" w:cstheme="majorBidi"/>
              </w:rPr>
            </w:pPr>
            <w:r w:rsidRPr="004F735C">
              <w:rPr>
                <w:rFonts w:asciiTheme="majorBidi" w:hAnsiTheme="majorBidi" w:cstheme="majorBidi"/>
                <w:b/>
                <w:bCs/>
                <w:i/>
                <w:iCs/>
              </w:rPr>
              <w:t>Key explanatory variable</w:t>
            </w:r>
          </w:p>
        </w:tc>
        <w:tc>
          <w:tcPr>
            <w:tcW w:w="0" w:type="auto"/>
            <w:tcBorders>
              <w:top w:val="nil"/>
              <w:bottom w:val="nil"/>
            </w:tcBorders>
            <w:tcMar>
              <w:top w:w="0" w:type="dxa"/>
              <w:left w:w="115" w:type="dxa"/>
              <w:bottom w:w="0" w:type="dxa"/>
              <w:right w:w="115" w:type="dxa"/>
            </w:tcMar>
            <w:vAlign w:val="center"/>
            <w:hideMark/>
          </w:tcPr>
          <w:p w14:paraId="4EDA9F5D"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vAlign w:val="center"/>
            <w:hideMark/>
          </w:tcPr>
          <w:p w14:paraId="3420A068"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vAlign w:val="center"/>
            <w:hideMark/>
          </w:tcPr>
          <w:p w14:paraId="62B6940A" w14:textId="77777777" w:rsidR="00C033B5" w:rsidRPr="004F735C" w:rsidRDefault="00C033B5" w:rsidP="00C033B5">
            <w:pPr>
              <w:rPr>
                <w:rFonts w:asciiTheme="majorBidi" w:hAnsiTheme="majorBidi" w:cstheme="majorBidi"/>
              </w:rPr>
            </w:pPr>
          </w:p>
        </w:tc>
      </w:tr>
      <w:tr w:rsidR="00C033B5" w:rsidRPr="004F735C" w14:paraId="53C147A0" w14:textId="77777777" w:rsidTr="004F735C">
        <w:trPr>
          <w:trHeight w:val="20"/>
        </w:trPr>
        <w:tc>
          <w:tcPr>
            <w:tcW w:w="0" w:type="auto"/>
            <w:tcBorders>
              <w:top w:val="nil"/>
              <w:bottom w:val="nil"/>
            </w:tcBorders>
            <w:tcMar>
              <w:top w:w="0" w:type="dxa"/>
              <w:left w:w="115" w:type="dxa"/>
              <w:bottom w:w="0" w:type="dxa"/>
              <w:right w:w="115" w:type="dxa"/>
            </w:tcMar>
            <w:vAlign w:val="center"/>
            <w:hideMark/>
          </w:tcPr>
          <w:p w14:paraId="4C0F1B43" w14:textId="77777777" w:rsidR="00C033B5" w:rsidRPr="004F735C" w:rsidRDefault="00C033B5" w:rsidP="00C033B5">
            <w:pPr>
              <w:rPr>
                <w:rFonts w:asciiTheme="majorBidi" w:hAnsiTheme="majorBidi" w:cstheme="majorBidi"/>
              </w:rPr>
            </w:pPr>
            <w:r w:rsidRPr="004F735C">
              <w:rPr>
                <w:rFonts w:asciiTheme="majorBidi" w:hAnsiTheme="majorBidi" w:cstheme="majorBidi"/>
              </w:rPr>
              <w:t>SITG</w:t>
            </w:r>
          </w:p>
        </w:tc>
        <w:tc>
          <w:tcPr>
            <w:tcW w:w="0" w:type="auto"/>
            <w:tcBorders>
              <w:top w:val="nil"/>
              <w:bottom w:val="nil"/>
            </w:tcBorders>
            <w:tcMar>
              <w:top w:w="0" w:type="dxa"/>
              <w:left w:w="115" w:type="dxa"/>
              <w:bottom w:w="0" w:type="dxa"/>
              <w:right w:w="115" w:type="dxa"/>
            </w:tcMar>
            <w:vAlign w:val="center"/>
            <w:hideMark/>
          </w:tcPr>
          <w:p w14:paraId="7A95BDAA" w14:textId="77777777" w:rsidR="00C033B5" w:rsidRPr="004F735C" w:rsidRDefault="00C033B5" w:rsidP="00C033B5">
            <w:pPr>
              <w:rPr>
                <w:rFonts w:asciiTheme="majorBidi" w:hAnsiTheme="majorBidi" w:cstheme="majorBidi"/>
              </w:rPr>
            </w:pPr>
            <w:r w:rsidRPr="004F735C">
              <w:rPr>
                <w:rFonts w:asciiTheme="majorBidi" w:hAnsiTheme="majorBidi" w:cstheme="majorBidi"/>
              </w:rPr>
              <w:t>The amount or level of skin in the game borne by loan originator</w:t>
            </w:r>
          </w:p>
        </w:tc>
        <w:tc>
          <w:tcPr>
            <w:tcW w:w="0" w:type="auto"/>
            <w:tcBorders>
              <w:top w:val="nil"/>
              <w:bottom w:val="nil"/>
            </w:tcBorders>
            <w:tcMar>
              <w:top w:w="0" w:type="dxa"/>
              <w:left w:w="115" w:type="dxa"/>
              <w:bottom w:w="0" w:type="dxa"/>
              <w:right w:w="115" w:type="dxa"/>
            </w:tcMar>
            <w:vAlign w:val="center"/>
            <w:hideMark/>
          </w:tcPr>
          <w:p w14:paraId="5D9A2B47" w14:textId="77777777" w:rsidR="00C033B5" w:rsidRPr="004F735C" w:rsidRDefault="00C033B5" w:rsidP="00C033B5">
            <w:pPr>
              <w:rPr>
                <w:rFonts w:asciiTheme="majorBidi" w:hAnsiTheme="majorBidi" w:cstheme="majorBidi"/>
              </w:rPr>
            </w:pPr>
            <w:r w:rsidRPr="004F735C">
              <w:rPr>
                <w:rFonts w:asciiTheme="majorBidi" w:hAnsiTheme="majorBidi" w:cstheme="majorBidi"/>
              </w:rPr>
              <w:t>Mintos website</w:t>
            </w:r>
          </w:p>
        </w:tc>
        <w:tc>
          <w:tcPr>
            <w:tcW w:w="0" w:type="auto"/>
            <w:tcBorders>
              <w:top w:val="nil"/>
              <w:bottom w:val="nil"/>
            </w:tcBorders>
            <w:tcMar>
              <w:top w:w="0" w:type="dxa"/>
              <w:left w:w="115" w:type="dxa"/>
              <w:bottom w:w="0" w:type="dxa"/>
              <w:right w:w="115" w:type="dxa"/>
            </w:tcMar>
            <w:vAlign w:val="center"/>
            <w:hideMark/>
          </w:tcPr>
          <w:p w14:paraId="7E7B1AD5" w14:textId="77777777" w:rsidR="00C033B5" w:rsidRPr="004F735C" w:rsidRDefault="00C033B5" w:rsidP="00C033B5">
            <w:pPr>
              <w:rPr>
                <w:rFonts w:asciiTheme="majorBidi" w:hAnsiTheme="majorBidi" w:cstheme="majorBidi"/>
              </w:rPr>
            </w:pPr>
            <w:r w:rsidRPr="004F735C">
              <w:rPr>
                <w:rFonts w:asciiTheme="majorBidi" w:hAnsiTheme="majorBidi" w:cstheme="majorBidi"/>
              </w:rPr>
              <w:t>-</w:t>
            </w:r>
          </w:p>
        </w:tc>
      </w:tr>
      <w:tr w:rsidR="00C033B5" w:rsidRPr="004F735C" w14:paraId="08961F1A" w14:textId="77777777" w:rsidTr="004F735C">
        <w:trPr>
          <w:trHeight w:val="20"/>
        </w:trPr>
        <w:tc>
          <w:tcPr>
            <w:tcW w:w="0" w:type="auto"/>
            <w:tcBorders>
              <w:top w:val="nil"/>
              <w:bottom w:val="nil"/>
            </w:tcBorders>
            <w:tcMar>
              <w:top w:w="0" w:type="dxa"/>
              <w:left w:w="115" w:type="dxa"/>
              <w:bottom w:w="0" w:type="dxa"/>
              <w:right w:w="115" w:type="dxa"/>
            </w:tcMar>
            <w:vAlign w:val="center"/>
            <w:hideMark/>
          </w:tcPr>
          <w:p w14:paraId="38E5B4D8" w14:textId="77777777" w:rsidR="00C033B5" w:rsidRPr="004F735C" w:rsidRDefault="00C033B5" w:rsidP="00C033B5">
            <w:pPr>
              <w:rPr>
                <w:rFonts w:asciiTheme="majorBidi" w:hAnsiTheme="majorBidi" w:cstheme="majorBidi"/>
              </w:rPr>
            </w:pPr>
            <w:r w:rsidRPr="004F735C">
              <w:rPr>
                <w:rFonts w:asciiTheme="majorBidi" w:hAnsiTheme="majorBidi" w:cstheme="majorBidi"/>
                <w:b/>
                <w:bCs/>
                <w:i/>
                <w:iCs/>
              </w:rPr>
              <w:t>Control variables</w:t>
            </w:r>
            <w:r w:rsidRPr="004F735C">
              <w:rPr>
                <w:rFonts w:asciiTheme="majorBidi" w:hAnsiTheme="majorBidi" w:cstheme="majorBidi"/>
                <w:i/>
                <w:iCs/>
              </w:rPr>
              <w:t>:</w:t>
            </w:r>
            <w:r w:rsidRPr="004F735C">
              <w:rPr>
                <w:rFonts w:asciiTheme="majorBidi" w:hAnsiTheme="majorBidi" w:cstheme="majorBidi"/>
                <w:b/>
                <w:bCs/>
                <w:i/>
                <w:iCs/>
              </w:rPr>
              <w:t xml:space="preserve"> Loan characteristics</w:t>
            </w:r>
          </w:p>
        </w:tc>
        <w:tc>
          <w:tcPr>
            <w:tcW w:w="0" w:type="auto"/>
            <w:tcBorders>
              <w:top w:val="nil"/>
              <w:bottom w:val="nil"/>
            </w:tcBorders>
            <w:tcMar>
              <w:top w:w="0" w:type="dxa"/>
              <w:left w:w="115" w:type="dxa"/>
              <w:bottom w:w="0" w:type="dxa"/>
              <w:right w:w="115" w:type="dxa"/>
            </w:tcMar>
            <w:vAlign w:val="center"/>
            <w:hideMark/>
          </w:tcPr>
          <w:p w14:paraId="5F5795A3"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vAlign w:val="center"/>
            <w:hideMark/>
          </w:tcPr>
          <w:p w14:paraId="3E147FE2"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vAlign w:val="center"/>
            <w:hideMark/>
          </w:tcPr>
          <w:p w14:paraId="337AC9A2" w14:textId="77777777" w:rsidR="00C033B5" w:rsidRPr="004F735C" w:rsidRDefault="00C033B5" w:rsidP="00C033B5">
            <w:pPr>
              <w:rPr>
                <w:rFonts w:asciiTheme="majorBidi" w:hAnsiTheme="majorBidi" w:cstheme="majorBidi"/>
              </w:rPr>
            </w:pPr>
          </w:p>
        </w:tc>
      </w:tr>
      <w:tr w:rsidR="00C033B5" w:rsidRPr="004F735C" w14:paraId="43A44E66" w14:textId="77777777" w:rsidTr="004F735C">
        <w:trPr>
          <w:trHeight w:val="20"/>
        </w:trPr>
        <w:tc>
          <w:tcPr>
            <w:tcW w:w="0" w:type="auto"/>
            <w:tcBorders>
              <w:top w:val="nil"/>
              <w:bottom w:val="nil"/>
            </w:tcBorders>
            <w:tcMar>
              <w:top w:w="0" w:type="dxa"/>
              <w:left w:w="115" w:type="dxa"/>
              <w:bottom w:w="0" w:type="dxa"/>
              <w:right w:w="115" w:type="dxa"/>
            </w:tcMar>
            <w:vAlign w:val="center"/>
            <w:hideMark/>
          </w:tcPr>
          <w:p w14:paraId="0233D45B" w14:textId="77777777" w:rsidR="00C033B5" w:rsidRPr="004F735C" w:rsidRDefault="00C033B5" w:rsidP="00C033B5">
            <w:pPr>
              <w:rPr>
                <w:rFonts w:asciiTheme="majorBidi" w:hAnsiTheme="majorBidi" w:cstheme="majorBidi"/>
              </w:rPr>
            </w:pPr>
            <w:r w:rsidRPr="004F735C">
              <w:rPr>
                <w:rFonts w:asciiTheme="majorBidi" w:hAnsiTheme="majorBidi" w:cstheme="majorBidi"/>
              </w:rPr>
              <w:t>Term</w:t>
            </w:r>
          </w:p>
        </w:tc>
        <w:tc>
          <w:tcPr>
            <w:tcW w:w="0" w:type="auto"/>
            <w:tcBorders>
              <w:top w:val="nil"/>
              <w:bottom w:val="nil"/>
            </w:tcBorders>
            <w:tcMar>
              <w:top w:w="0" w:type="dxa"/>
              <w:left w:w="115" w:type="dxa"/>
              <w:bottom w:w="0" w:type="dxa"/>
              <w:right w:w="115" w:type="dxa"/>
            </w:tcMar>
            <w:vAlign w:val="center"/>
            <w:hideMark/>
          </w:tcPr>
          <w:p w14:paraId="19666B79" w14:textId="77777777" w:rsidR="00C033B5" w:rsidRPr="004F735C" w:rsidRDefault="00C033B5" w:rsidP="00C033B5">
            <w:pPr>
              <w:rPr>
                <w:rFonts w:asciiTheme="majorBidi" w:hAnsiTheme="majorBidi" w:cstheme="majorBidi"/>
              </w:rPr>
            </w:pPr>
            <w:r w:rsidRPr="004F735C">
              <w:rPr>
                <w:rFonts w:asciiTheme="majorBidi" w:hAnsiTheme="majorBidi" w:cstheme="majorBidi"/>
              </w:rPr>
              <w:t>The duration of loan in months</w:t>
            </w:r>
          </w:p>
        </w:tc>
        <w:tc>
          <w:tcPr>
            <w:tcW w:w="0" w:type="auto"/>
            <w:tcBorders>
              <w:top w:val="nil"/>
              <w:bottom w:val="nil"/>
            </w:tcBorders>
            <w:tcMar>
              <w:top w:w="0" w:type="dxa"/>
              <w:left w:w="115" w:type="dxa"/>
              <w:bottom w:w="0" w:type="dxa"/>
              <w:right w:w="115" w:type="dxa"/>
            </w:tcMar>
            <w:vAlign w:val="center"/>
            <w:hideMark/>
          </w:tcPr>
          <w:p w14:paraId="0935AE38" w14:textId="77777777" w:rsidR="00C033B5" w:rsidRPr="004F735C" w:rsidRDefault="00C033B5" w:rsidP="00C033B5">
            <w:pPr>
              <w:rPr>
                <w:rFonts w:asciiTheme="majorBidi" w:hAnsiTheme="majorBidi" w:cstheme="majorBidi"/>
              </w:rPr>
            </w:pPr>
            <w:r w:rsidRPr="004F735C">
              <w:rPr>
                <w:rFonts w:asciiTheme="majorBidi" w:hAnsiTheme="majorBidi" w:cstheme="majorBidi"/>
              </w:rPr>
              <w:t>Mintos Loan book</w:t>
            </w:r>
          </w:p>
        </w:tc>
        <w:tc>
          <w:tcPr>
            <w:tcW w:w="0" w:type="auto"/>
            <w:tcBorders>
              <w:top w:val="nil"/>
              <w:bottom w:val="nil"/>
            </w:tcBorders>
            <w:tcMar>
              <w:top w:w="0" w:type="dxa"/>
              <w:left w:w="115" w:type="dxa"/>
              <w:bottom w:w="0" w:type="dxa"/>
              <w:right w:w="115" w:type="dxa"/>
            </w:tcMar>
            <w:vAlign w:val="center"/>
            <w:hideMark/>
          </w:tcPr>
          <w:p w14:paraId="6B6959BB" w14:textId="77777777" w:rsidR="00C033B5" w:rsidRPr="004F735C" w:rsidRDefault="00C033B5" w:rsidP="00C033B5">
            <w:pPr>
              <w:rPr>
                <w:rFonts w:asciiTheme="majorBidi" w:hAnsiTheme="majorBidi" w:cstheme="majorBidi"/>
              </w:rPr>
            </w:pPr>
            <w:r w:rsidRPr="004F735C">
              <w:rPr>
                <w:rFonts w:asciiTheme="majorBidi" w:hAnsiTheme="majorBidi" w:cstheme="majorBidi"/>
              </w:rPr>
              <w:t>+</w:t>
            </w:r>
          </w:p>
        </w:tc>
      </w:tr>
      <w:tr w:rsidR="00C033B5" w:rsidRPr="004F735C" w14:paraId="76F471AE" w14:textId="77777777" w:rsidTr="004F735C">
        <w:trPr>
          <w:trHeight w:val="20"/>
        </w:trPr>
        <w:tc>
          <w:tcPr>
            <w:tcW w:w="0" w:type="auto"/>
            <w:tcBorders>
              <w:top w:val="nil"/>
              <w:bottom w:val="nil"/>
            </w:tcBorders>
            <w:tcMar>
              <w:top w:w="0" w:type="dxa"/>
              <w:left w:w="115" w:type="dxa"/>
              <w:bottom w:w="0" w:type="dxa"/>
              <w:right w:w="115" w:type="dxa"/>
            </w:tcMar>
            <w:vAlign w:val="center"/>
            <w:hideMark/>
          </w:tcPr>
          <w:p w14:paraId="11607573" w14:textId="77777777" w:rsidR="00C033B5" w:rsidRPr="004F735C" w:rsidRDefault="00C033B5" w:rsidP="00C033B5">
            <w:pPr>
              <w:rPr>
                <w:rFonts w:asciiTheme="majorBidi" w:hAnsiTheme="majorBidi" w:cstheme="majorBidi"/>
              </w:rPr>
            </w:pPr>
            <w:r w:rsidRPr="004F735C">
              <w:rPr>
                <w:rFonts w:asciiTheme="majorBidi" w:hAnsiTheme="majorBidi" w:cstheme="majorBidi"/>
              </w:rPr>
              <w:lastRenderedPageBreak/>
              <w:t>Amount</w:t>
            </w:r>
          </w:p>
        </w:tc>
        <w:tc>
          <w:tcPr>
            <w:tcW w:w="0" w:type="auto"/>
            <w:tcBorders>
              <w:top w:val="nil"/>
              <w:bottom w:val="nil"/>
            </w:tcBorders>
            <w:tcMar>
              <w:top w:w="0" w:type="dxa"/>
              <w:left w:w="115" w:type="dxa"/>
              <w:bottom w:w="0" w:type="dxa"/>
              <w:right w:w="115" w:type="dxa"/>
            </w:tcMar>
            <w:vAlign w:val="center"/>
            <w:hideMark/>
          </w:tcPr>
          <w:p w14:paraId="3C8680D0" w14:textId="77777777" w:rsidR="00C033B5" w:rsidRPr="004F735C" w:rsidRDefault="00C033B5" w:rsidP="00C033B5">
            <w:pPr>
              <w:rPr>
                <w:rFonts w:asciiTheme="majorBidi" w:hAnsiTheme="majorBidi" w:cstheme="majorBidi"/>
              </w:rPr>
            </w:pPr>
            <w:r w:rsidRPr="004F735C">
              <w:rPr>
                <w:rFonts w:asciiTheme="majorBidi" w:hAnsiTheme="majorBidi" w:cstheme="majorBidi"/>
              </w:rPr>
              <w:t>The loan amount of the underlying loan in euros</w:t>
            </w:r>
          </w:p>
        </w:tc>
        <w:tc>
          <w:tcPr>
            <w:tcW w:w="0" w:type="auto"/>
            <w:tcBorders>
              <w:top w:val="nil"/>
              <w:bottom w:val="nil"/>
            </w:tcBorders>
            <w:tcMar>
              <w:top w:w="0" w:type="dxa"/>
              <w:left w:w="115" w:type="dxa"/>
              <w:bottom w:w="0" w:type="dxa"/>
              <w:right w:w="115" w:type="dxa"/>
            </w:tcMar>
            <w:vAlign w:val="center"/>
            <w:hideMark/>
          </w:tcPr>
          <w:p w14:paraId="0F0882B5" w14:textId="77777777" w:rsidR="00C033B5" w:rsidRPr="004F735C" w:rsidRDefault="00C033B5" w:rsidP="00C033B5">
            <w:pPr>
              <w:rPr>
                <w:rFonts w:asciiTheme="majorBidi" w:hAnsiTheme="majorBidi" w:cstheme="majorBidi"/>
              </w:rPr>
            </w:pPr>
            <w:r w:rsidRPr="004F735C">
              <w:rPr>
                <w:rFonts w:asciiTheme="majorBidi" w:hAnsiTheme="majorBidi" w:cstheme="majorBidi"/>
              </w:rPr>
              <w:t>Mintos Loan book</w:t>
            </w:r>
          </w:p>
        </w:tc>
        <w:tc>
          <w:tcPr>
            <w:tcW w:w="0" w:type="auto"/>
            <w:tcBorders>
              <w:top w:val="nil"/>
              <w:bottom w:val="nil"/>
            </w:tcBorders>
            <w:tcMar>
              <w:top w:w="0" w:type="dxa"/>
              <w:left w:w="115" w:type="dxa"/>
              <w:bottom w:w="0" w:type="dxa"/>
              <w:right w:w="115" w:type="dxa"/>
            </w:tcMar>
            <w:vAlign w:val="center"/>
            <w:hideMark/>
          </w:tcPr>
          <w:p w14:paraId="548B16BF" w14:textId="77777777" w:rsidR="00C033B5" w:rsidRPr="004F735C" w:rsidRDefault="00C033B5" w:rsidP="00C033B5">
            <w:pPr>
              <w:rPr>
                <w:rFonts w:asciiTheme="majorBidi" w:hAnsiTheme="majorBidi" w:cstheme="majorBidi"/>
              </w:rPr>
            </w:pPr>
            <w:r w:rsidRPr="004F735C">
              <w:rPr>
                <w:rFonts w:asciiTheme="majorBidi" w:hAnsiTheme="majorBidi" w:cstheme="majorBidi"/>
              </w:rPr>
              <w:t>+</w:t>
            </w:r>
          </w:p>
        </w:tc>
      </w:tr>
      <w:tr w:rsidR="00C033B5" w:rsidRPr="004F735C" w14:paraId="5B1F565D" w14:textId="77777777" w:rsidTr="004F735C">
        <w:trPr>
          <w:trHeight w:val="20"/>
        </w:trPr>
        <w:tc>
          <w:tcPr>
            <w:tcW w:w="0" w:type="auto"/>
            <w:tcBorders>
              <w:top w:val="nil"/>
              <w:bottom w:val="nil"/>
            </w:tcBorders>
            <w:tcMar>
              <w:top w:w="0" w:type="dxa"/>
              <w:left w:w="115" w:type="dxa"/>
              <w:bottom w:w="0" w:type="dxa"/>
              <w:right w:w="115" w:type="dxa"/>
            </w:tcMar>
            <w:vAlign w:val="center"/>
            <w:hideMark/>
          </w:tcPr>
          <w:p w14:paraId="1ABA0751" w14:textId="77777777" w:rsidR="00C033B5" w:rsidRPr="004F735C" w:rsidRDefault="00C033B5" w:rsidP="00C033B5">
            <w:pPr>
              <w:rPr>
                <w:rFonts w:asciiTheme="majorBidi" w:hAnsiTheme="majorBidi" w:cstheme="majorBidi"/>
              </w:rPr>
            </w:pPr>
            <w:r w:rsidRPr="004F735C">
              <w:rPr>
                <w:rFonts w:asciiTheme="majorBidi" w:hAnsiTheme="majorBidi" w:cstheme="majorBidi"/>
              </w:rPr>
              <w:t>Loan type</w:t>
            </w:r>
          </w:p>
        </w:tc>
        <w:tc>
          <w:tcPr>
            <w:tcW w:w="0" w:type="auto"/>
            <w:tcBorders>
              <w:top w:val="nil"/>
              <w:bottom w:val="nil"/>
            </w:tcBorders>
            <w:tcMar>
              <w:top w:w="0" w:type="dxa"/>
              <w:left w:w="115" w:type="dxa"/>
              <w:bottom w:w="0" w:type="dxa"/>
              <w:right w:w="115" w:type="dxa"/>
            </w:tcMar>
            <w:vAlign w:val="center"/>
            <w:hideMark/>
          </w:tcPr>
          <w:p w14:paraId="6DB75F80" w14:textId="77777777" w:rsidR="00C033B5" w:rsidRPr="004F735C" w:rsidRDefault="00C033B5" w:rsidP="00C033B5">
            <w:pPr>
              <w:rPr>
                <w:rFonts w:asciiTheme="majorBidi" w:hAnsiTheme="majorBidi" w:cstheme="majorBidi"/>
              </w:rPr>
            </w:pPr>
            <w:r w:rsidRPr="004F735C">
              <w:rPr>
                <w:rFonts w:asciiTheme="majorBidi" w:hAnsiTheme="majorBidi" w:cstheme="majorBidi"/>
              </w:rPr>
              <w:t>The type of loan offered: 1-Agricultural Loan 2-Business Loan, 3-Car Loan, 4- Mortgage Loan, 5- Pawn broking Loan, 6- Personal Loan, 7- Short Term Loan</w:t>
            </w:r>
          </w:p>
        </w:tc>
        <w:tc>
          <w:tcPr>
            <w:tcW w:w="0" w:type="auto"/>
            <w:tcBorders>
              <w:top w:val="nil"/>
              <w:bottom w:val="nil"/>
            </w:tcBorders>
            <w:tcMar>
              <w:top w:w="0" w:type="dxa"/>
              <w:left w:w="115" w:type="dxa"/>
              <w:bottom w:w="0" w:type="dxa"/>
              <w:right w:w="115" w:type="dxa"/>
            </w:tcMar>
            <w:vAlign w:val="center"/>
            <w:hideMark/>
          </w:tcPr>
          <w:p w14:paraId="2ED7B0BB" w14:textId="77777777" w:rsidR="00C033B5" w:rsidRPr="004F735C" w:rsidRDefault="00C033B5" w:rsidP="00C033B5">
            <w:pPr>
              <w:rPr>
                <w:rFonts w:asciiTheme="majorBidi" w:hAnsiTheme="majorBidi" w:cstheme="majorBidi"/>
              </w:rPr>
            </w:pPr>
            <w:r w:rsidRPr="004F735C">
              <w:rPr>
                <w:rFonts w:asciiTheme="majorBidi" w:hAnsiTheme="majorBidi" w:cstheme="majorBidi"/>
              </w:rPr>
              <w:t>Mintos Loan book</w:t>
            </w:r>
          </w:p>
        </w:tc>
        <w:tc>
          <w:tcPr>
            <w:tcW w:w="0" w:type="auto"/>
            <w:tcBorders>
              <w:top w:val="nil"/>
              <w:bottom w:val="nil"/>
            </w:tcBorders>
            <w:tcMar>
              <w:top w:w="0" w:type="dxa"/>
              <w:left w:w="115" w:type="dxa"/>
              <w:bottom w:w="0" w:type="dxa"/>
              <w:right w:w="115" w:type="dxa"/>
            </w:tcMar>
            <w:vAlign w:val="center"/>
            <w:hideMark/>
          </w:tcPr>
          <w:p w14:paraId="23A3B9E5" w14:textId="77777777" w:rsidR="00C033B5" w:rsidRPr="004F735C" w:rsidRDefault="00C033B5" w:rsidP="00C033B5">
            <w:pPr>
              <w:rPr>
                <w:rFonts w:asciiTheme="majorBidi" w:hAnsiTheme="majorBidi" w:cstheme="majorBidi"/>
              </w:rPr>
            </w:pPr>
            <w:r w:rsidRPr="004F735C">
              <w:rPr>
                <w:rFonts w:asciiTheme="majorBidi" w:hAnsiTheme="majorBidi" w:cstheme="majorBidi"/>
              </w:rPr>
              <w:t>=</w:t>
            </w:r>
          </w:p>
        </w:tc>
      </w:tr>
      <w:tr w:rsidR="00C033B5" w:rsidRPr="004F735C" w14:paraId="15D605A2" w14:textId="77777777" w:rsidTr="004F735C">
        <w:trPr>
          <w:trHeight w:val="20"/>
        </w:trPr>
        <w:tc>
          <w:tcPr>
            <w:tcW w:w="0" w:type="auto"/>
            <w:tcBorders>
              <w:top w:val="nil"/>
              <w:bottom w:val="nil"/>
            </w:tcBorders>
            <w:tcMar>
              <w:top w:w="0" w:type="dxa"/>
              <w:left w:w="115" w:type="dxa"/>
              <w:bottom w:w="0" w:type="dxa"/>
              <w:right w:w="115" w:type="dxa"/>
            </w:tcMar>
            <w:vAlign w:val="center"/>
            <w:hideMark/>
          </w:tcPr>
          <w:p w14:paraId="5C411542" w14:textId="77777777" w:rsidR="00C033B5" w:rsidRPr="004F735C" w:rsidRDefault="00C033B5" w:rsidP="00C033B5">
            <w:pPr>
              <w:rPr>
                <w:rFonts w:asciiTheme="majorBidi" w:hAnsiTheme="majorBidi" w:cstheme="majorBidi"/>
              </w:rPr>
            </w:pPr>
            <w:r w:rsidRPr="004F735C">
              <w:rPr>
                <w:rFonts w:asciiTheme="majorBidi" w:hAnsiTheme="majorBidi" w:cstheme="majorBidi"/>
              </w:rPr>
              <w:t>Risk score</w:t>
            </w:r>
          </w:p>
        </w:tc>
        <w:tc>
          <w:tcPr>
            <w:tcW w:w="0" w:type="auto"/>
            <w:tcBorders>
              <w:top w:val="nil"/>
              <w:bottom w:val="nil"/>
            </w:tcBorders>
            <w:tcMar>
              <w:top w:w="0" w:type="dxa"/>
              <w:left w:w="115" w:type="dxa"/>
              <w:bottom w:w="0" w:type="dxa"/>
              <w:right w:w="115" w:type="dxa"/>
            </w:tcMar>
            <w:vAlign w:val="center"/>
            <w:hideMark/>
          </w:tcPr>
          <w:p w14:paraId="47D97F42" w14:textId="77777777" w:rsidR="00C033B5" w:rsidRPr="004F735C" w:rsidRDefault="00C033B5" w:rsidP="00C033B5">
            <w:pPr>
              <w:rPr>
                <w:rFonts w:asciiTheme="majorBidi" w:hAnsiTheme="majorBidi" w:cstheme="majorBidi"/>
              </w:rPr>
            </w:pPr>
            <w:r w:rsidRPr="004F735C">
              <w:rPr>
                <w:rFonts w:asciiTheme="majorBidi" w:hAnsiTheme="majorBidi" w:cstheme="majorBidi"/>
              </w:rPr>
              <w:t>The score issued by Mintos to rate investment risk of claims or notes, with values ranging between 1 (High risk) and 10 (Low risk)</w:t>
            </w:r>
          </w:p>
        </w:tc>
        <w:tc>
          <w:tcPr>
            <w:tcW w:w="0" w:type="auto"/>
            <w:tcBorders>
              <w:top w:val="nil"/>
              <w:bottom w:val="nil"/>
            </w:tcBorders>
            <w:tcMar>
              <w:top w:w="0" w:type="dxa"/>
              <w:left w:w="115" w:type="dxa"/>
              <w:bottom w:w="0" w:type="dxa"/>
              <w:right w:w="115" w:type="dxa"/>
            </w:tcMar>
            <w:vAlign w:val="center"/>
            <w:hideMark/>
          </w:tcPr>
          <w:p w14:paraId="7DF3F199" w14:textId="77777777" w:rsidR="00C033B5" w:rsidRPr="004F735C" w:rsidRDefault="00C033B5" w:rsidP="00C033B5">
            <w:pPr>
              <w:rPr>
                <w:rFonts w:asciiTheme="majorBidi" w:hAnsiTheme="majorBidi" w:cstheme="majorBidi"/>
              </w:rPr>
            </w:pPr>
            <w:r w:rsidRPr="004F735C">
              <w:rPr>
                <w:rFonts w:asciiTheme="majorBidi" w:hAnsiTheme="majorBidi" w:cstheme="majorBidi"/>
              </w:rPr>
              <w:t>Mintos Loan book</w:t>
            </w:r>
          </w:p>
        </w:tc>
        <w:tc>
          <w:tcPr>
            <w:tcW w:w="0" w:type="auto"/>
            <w:tcBorders>
              <w:top w:val="nil"/>
              <w:bottom w:val="nil"/>
            </w:tcBorders>
            <w:tcMar>
              <w:top w:w="0" w:type="dxa"/>
              <w:left w:w="115" w:type="dxa"/>
              <w:bottom w:w="0" w:type="dxa"/>
              <w:right w:w="115" w:type="dxa"/>
            </w:tcMar>
            <w:vAlign w:val="center"/>
            <w:hideMark/>
          </w:tcPr>
          <w:p w14:paraId="128866A2" w14:textId="77777777" w:rsidR="00C033B5" w:rsidRPr="004F735C" w:rsidRDefault="00C033B5" w:rsidP="00C033B5">
            <w:pPr>
              <w:rPr>
                <w:rFonts w:asciiTheme="majorBidi" w:hAnsiTheme="majorBidi" w:cstheme="majorBidi"/>
              </w:rPr>
            </w:pPr>
            <w:r w:rsidRPr="004F735C">
              <w:rPr>
                <w:rFonts w:asciiTheme="majorBidi" w:hAnsiTheme="majorBidi" w:cstheme="majorBidi"/>
              </w:rPr>
              <w:t>-</w:t>
            </w:r>
          </w:p>
        </w:tc>
      </w:tr>
      <w:tr w:rsidR="00C033B5" w:rsidRPr="004F735C" w14:paraId="1155F224" w14:textId="77777777" w:rsidTr="004F735C">
        <w:trPr>
          <w:trHeight w:val="20"/>
        </w:trPr>
        <w:tc>
          <w:tcPr>
            <w:tcW w:w="0" w:type="auto"/>
            <w:tcBorders>
              <w:top w:val="nil"/>
              <w:bottom w:val="nil"/>
            </w:tcBorders>
            <w:tcMar>
              <w:top w:w="0" w:type="dxa"/>
              <w:left w:w="115" w:type="dxa"/>
              <w:bottom w:w="0" w:type="dxa"/>
              <w:right w:w="115" w:type="dxa"/>
            </w:tcMar>
            <w:vAlign w:val="center"/>
            <w:hideMark/>
          </w:tcPr>
          <w:p w14:paraId="4EA2D4D8" w14:textId="77777777" w:rsidR="00C033B5" w:rsidRPr="004F735C" w:rsidRDefault="00C033B5" w:rsidP="00C033B5">
            <w:pPr>
              <w:rPr>
                <w:rFonts w:asciiTheme="majorBidi" w:hAnsiTheme="majorBidi" w:cstheme="majorBidi"/>
              </w:rPr>
            </w:pPr>
            <w:r w:rsidRPr="004F735C">
              <w:rPr>
                <w:rFonts w:asciiTheme="majorBidi" w:hAnsiTheme="majorBidi" w:cstheme="majorBidi"/>
              </w:rPr>
              <w:t>Collateral</w:t>
            </w:r>
          </w:p>
        </w:tc>
        <w:tc>
          <w:tcPr>
            <w:tcW w:w="0" w:type="auto"/>
            <w:tcBorders>
              <w:top w:val="nil"/>
              <w:bottom w:val="nil"/>
            </w:tcBorders>
            <w:tcMar>
              <w:top w:w="0" w:type="dxa"/>
              <w:left w:w="115" w:type="dxa"/>
              <w:bottom w:w="0" w:type="dxa"/>
              <w:right w:w="115" w:type="dxa"/>
            </w:tcMar>
            <w:vAlign w:val="center"/>
            <w:hideMark/>
          </w:tcPr>
          <w:p w14:paraId="57CC36C3" w14:textId="77777777" w:rsidR="00C033B5" w:rsidRPr="004F735C" w:rsidRDefault="00C033B5" w:rsidP="00C033B5">
            <w:pPr>
              <w:rPr>
                <w:rFonts w:asciiTheme="majorBidi" w:hAnsiTheme="majorBidi" w:cstheme="majorBidi"/>
              </w:rPr>
            </w:pPr>
            <w:r w:rsidRPr="004F735C">
              <w:rPr>
                <w:rFonts w:asciiTheme="majorBidi" w:hAnsiTheme="majorBidi" w:cstheme="majorBidi"/>
              </w:rPr>
              <w:t>A dummy variable representing the provision of collateral, the value is 1 if the loan is collateralized and 0 otherwise</w:t>
            </w:r>
          </w:p>
        </w:tc>
        <w:tc>
          <w:tcPr>
            <w:tcW w:w="0" w:type="auto"/>
            <w:tcBorders>
              <w:top w:val="nil"/>
              <w:bottom w:val="nil"/>
            </w:tcBorders>
            <w:tcMar>
              <w:top w:w="0" w:type="dxa"/>
              <w:left w:w="115" w:type="dxa"/>
              <w:bottom w:w="0" w:type="dxa"/>
              <w:right w:w="115" w:type="dxa"/>
            </w:tcMar>
            <w:vAlign w:val="center"/>
            <w:hideMark/>
          </w:tcPr>
          <w:p w14:paraId="505DBDF1" w14:textId="77777777" w:rsidR="00C033B5" w:rsidRPr="004F735C" w:rsidRDefault="00C033B5" w:rsidP="00C033B5">
            <w:pPr>
              <w:rPr>
                <w:rFonts w:asciiTheme="majorBidi" w:hAnsiTheme="majorBidi" w:cstheme="majorBidi"/>
              </w:rPr>
            </w:pPr>
            <w:r w:rsidRPr="004F735C">
              <w:rPr>
                <w:rFonts w:asciiTheme="majorBidi" w:hAnsiTheme="majorBidi" w:cstheme="majorBidi"/>
              </w:rPr>
              <w:t>Mintos Loan book</w:t>
            </w:r>
          </w:p>
        </w:tc>
        <w:tc>
          <w:tcPr>
            <w:tcW w:w="0" w:type="auto"/>
            <w:tcBorders>
              <w:top w:val="nil"/>
              <w:bottom w:val="nil"/>
            </w:tcBorders>
            <w:tcMar>
              <w:top w:w="0" w:type="dxa"/>
              <w:left w:w="115" w:type="dxa"/>
              <w:bottom w:w="0" w:type="dxa"/>
              <w:right w:w="115" w:type="dxa"/>
            </w:tcMar>
            <w:vAlign w:val="center"/>
            <w:hideMark/>
          </w:tcPr>
          <w:p w14:paraId="374C9DFE" w14:textId="77777777" w:rsidR="00C033B5" w:rsidRPr="004F735C" w:rsidRDefault="00C033B5" w:rsidP="00C033B5">
            <w:pPr>
              <w:rPr>
                <w:rFonts w:asciiTheme="majorBidi" w:hAnsiTheme="majorBidi" w:cstheme="majorBidi"/>
              </w:rPr>
            </w:pPr>
            <w:r w:rsidRPr="004F735C">
              <w:rPr>
                <w:rFonts w:asciiTheme="majorBidi" w:hAnsiTheme="majorBidi" w:cstheme="majorBidi"/>
              </w:rPr>
              <w:t>+</w:t>
            </w:r>
          </w:p>
        </w:tc>
      </w:tr>
      <w:tr w:rsidR="00C033B5" w:rsidRPr="004F735C" w14:paraId="75FBED11" w14:textId="77777777" w:rsidTr="004F735C">
        <w:trPr>
          <w:trHeight w:val="20"/>
        </w:trPr>
        <w:tc>
          <w:tcPr>
            <w:tcW w:w="0" w:type="auto"/>
            <w:tcBorders>
              <w:top w:val="nil"/>
              <w:bottom w:val="single" w:sz="4" w:space="0" w:color="auto"/>
            </w:tcBorders>
            <w:tcMar>
              <w:top w:w="0" w:type="dxa"/>
              <w:left w:w="115" w:type="dxa"/>
              <w:bottom w:w="0" w:type="dxa"/>
              <w:right w:w="115" w:type="dxa"/>
            </w:tcMar>
            <w:vAlign w:val="center"/>
            <w:hideMark/>
          </w:tcPr>
          <w:p w14:paraId="293712E4"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Extsched</w:t>
            </w:r>
            <w:proofErr w:type="spellEnd"/>
          </w:p>
        </w:tc>
        <w:tc>
          <w:tcPr>
            <w:tcW w:w="0" w:type="auto"/>
            <w:tcBorders>
              <w:top w:val="nil"/>
              <w:bottom w:val="single" w:sz="4" w:space="0" w:color="auto"/>
            </w:tcBorders>
            <w:tcMar>
              <w:top w:w="0" w:type="dxa"/>
              <w:left w:w="115" w:type="dxa"/>
              <w:bottom w:w="0" w:type="dxa"/>
              <w:right w:w="115" w:type="dxa"/>
            </w:tcMar>
            <w:vAlign w:val="center"/>
            <w:hideMark/>
          </w:tcPr>
          <w:p w14:paraId="40DC7711" w14:textId="77777777" w:rsidR="00C033B5" w:rsidRPr="004F735C" w:rsidRDefault="00C033B5" w:rsidP="00C033B5">
            <w:pPr>
              <w:rPr>
                <w:rFonts w:asciiTheme="majorBidi" w:hAnsiTheme="majorBidi" w:cstheme="majorBidi"/>
              </w:rPr>
            </w:pPr>
            <w:r w:rsidRPr="004F735C">
              <w:rPr>
                <w:rFonts w:asciiTheme="majorBidi" w:hAnsiTheme="majorBidi" w:cstheme="majorBidi"/>
              </w:rPr>
              <w:t>A dummy variable representing the provision of extendable schedule option, the value is 1 if the loan originator provides extendable schedule option and 0 otherwise</w:t>
            </w:r>
          </w:p>
        </w:tc>
        <w:tc>
          <w:tcPr>
            <w:tcW w:w="0" w:type="auto"/>
            <w:tcBorders>
              <w:top w:val="nil"/>
              <w:bottom w:val="single" w:sz="4" w:space="0" w:color="auto"/>
            </w:tcBorders>
            <w:tcMar>
              <w:top w:w="0" w:type="dxa"/>
              <w:left w:w="115" w:type="dxa"/>
              <w:bottom w:w="0" w:type="dxa"/>
              <w:right w:w="115" w:type="dxa"/>
            </w:tcMar>
            <w:vAlign w:val="center"/>
            <w:hideMark/>
          </w:tcPr>
          <w:p w14:paraId="64D09087" w14:textId="77777777" w:rsidR="00C033B5" w:rsidRPr="004F735C" w:rsidRDefault="00C033B5" w:rsidP="00C033B5">
            <w:pPr>
              <w:rPr>
                <w:rFonts w:asciiTheme="majorBidi" w:hAnsiTheme="majorBidi" w:cstheme="majorBidi"/>
              </w:rPr>
            </w:pPr>
            <w:r w:rsidRPr="004F735C">
              <w:rPr>
                <w:rFonts w:asciiTheme="majorBidi" w:hAnsiTheme="majorBidi" w:cstheme="majorBidi"/>
              </w:rPr>
              <w:t>Mintos Loan book</w:t>
            </w:r>
          </w:p>
        </w:tc>
        <w:tc>
          <w:tcPr>
            <w:tcW w:w="0" w:type="auto"/>
            <w:tcBorders>
              <w:top w:val="nil"/>
              <w:bottom w:val="single" w:sz="4" w:space="0" w:color="auto"/>
            </w:tcBorders>
            <w:tcMar>
              <w:top w:w="0" w:type="dxa"/>
              <w:left w:w="115" w:type="dxa"/>
              <w:bottom w:w="0" w:type="dxa"/>
              <w:right w:w="115" w:type="dxa"/>
            </w:tcMar>
            <w:vAlign w:val="center"/>
            <w:hideMark/>
          </w:tcPr>
          <w:p w14:paraId="30458494" w14:textId="77777777" w:rsidR="00C033B5" w:rsidRPr="004F735C" w:rsidRDefault="00C033B5" w:rsidP="00C033B5">
            <w:pPr>
              <w:rPr>
                <w:rFonts w:asciiTheme="majorBidi" w:hAnsiTheme="majorBidi" w:cstheme="majorBidi"/>
              </w:rPr>
            </w:pPr>
            <w:r w:rsidRPr="004F735C">
              <w:rPr>
                <w:rFonts w:asciiTheme="majorBidi" w:hAnsiTheme="majorBidi" w:cstheme="majorBidi"/>
              </w:rPr>
              <w:t>+</w:t>
            </w:r>
          </w:p>
        </w:tc>
      </w:tr>
      <w:tr w:rsidR="00C033B5" w:rsidRPr="004F735C" w14:paraId="254503A7" w14:textId="77777777" w:rsidTr="004F735C">
        <w:trPr>
          <w:trHeight w:val="20"/>
        </w:trPr>
        <w:tc>
          <w:tcPr>
            <w:tcW w:w="0" w:type="auto"/>
            <w:tcBorders>
              <w:top w:val="single" w:sz="4" w:space="0" w:color="auto"/>
              <w:bottom w:val="single" w:sz="4" w:space="0" w:color="auto"/>
            </w:tcBorders>
            <w:tcMar>
              <w:top w:w="0" w:type="dxa"/>
              <w:left w:w="115" w:type="dxa"/>
              <w:bottom w:w="0" w:type="dxa"/>
              <w:right w:w="115" w:type="dxa"/>
            </w:tcMar>
            <w:vAlign w:val="center"/>
            <w:hideMark/>
          </w:tcPr>
          <w:p w14:paraId="5CC29411" w14:textId="77777777" w:rsidR="00C033B5" w:rsidRPr="004F735C" w:rsidRDefault="00C033B5" w:rsidP="00C033B5">
            <w:pPr>
              <w:rPr>
                <w:rFonts w:asciiTheme="majorBidi" w:hAnsiTheme="majorBidi" w:cstheme="majorBidi"/>
              </w:rPr>
            </w:pPr>
            <w:r w:rsidRPr="004F735C">
              <w:rPr>
                <w:rFonts w:asciiTheme="majorBidi" w:hAnsiTheme="majorBidi" w:cstheme="majorBidi"/>
                <w:b/>
                <w:bCs/>
                <w:i/>
                <w:iCs/>
              </w:rPr>
              <w:t>Control variables: Loan originator characteristics</w:t>
            </w:r>
          </w:p>
        </w:tc>
        <w:tc>
          <w:tcPr>
            <w:tcW w:w="0" w:type="auto"/>
            <w:tcBorders>
              <w:top w:val="single" w:sz="4" w:space="0" w:color="auto"/>
              <w:bottom w:val="single" w:sz="4" w:space="0" w:color="auto"/>
            </w:tcBorders>
            <w:tcMar>
              <w:top w:w="0" w:type="dxa"/>
              <w:left w:w="115" w:type="dxa"/>
              <w:bottom w:w="0" w:type="dxa"/>
              <w:right w:w="115" w:type="dxa"/>
            </w:tcMar>
            <w:vAlign w:val="center"/>
            <w:hideMark/>
          </w:tcPr>
          <w:p w14:paraId="2FB749C9" w14:textId="77777777" w:rsidR="00C033B5" w:rsidRPr="004F735C" w:rsidRDefault="00C033B5" w:rsidP="00C033B5">
            <w:pPr>
              <w:rPr>
                <w:rFonts w:asciiTheme="majorBidi" w:hAnsiTheme="majorBidi" w:cstheme="majorBidi"/>
              </w:rPr>
            </w:pPr>
          </w:p>
        </w:tc>
        <w:tc>
          <w:tcPr>
            <w:tcW w:w="0" w:type="auto"/>
            <w:tcBorders>
              <w:top w:val="single" w:sz="4" w:space="0" w:color="auto"/>
              <w:bottom w:val="single" w:sz="4" w:space="0" w:color="auto"/>
            </w:tcBorders>
            <w:tcMar>
              <w:top w:w="0" w:type="dxa"/>
              <w:left w:w="115" w:type="dxa"/>
              <w:bottom w:w="0" w:type="dxa"/>
              <w:right w:w="115" w:type="dxa"/>
            </w:tcMar>
            <w:vAlign w:val="center"/>
            <w:hideMark/>
          </w:tcPr>
          <w:p w14:paraId="2596764B" w14:textId="77777777" w:rsidR="00C033B5" w:rsidRPr="004F735C" w:rsidRDefault="00C033B5" w:rsidP="00C033B5">
            <w:pPr>
              <w:rPr>
                <w:rFonts w:asciiTheme="majorBidi" w:hAnsiTheme="majorBidi" w:cstheme="majorBidi"/>
              </w:rPr>
            </w:pPr>
          </w:p>
        </w:tc>
        <w:tc>
          <w:tcPr>
            <w:tcW w:w="0" w:type="auto"/>
            <w:tcBorders>
              <w:top w:val="single" w:sz="4" w:space="0" w:color="auto"/>
              <w:bottom w:val="single" w:sz="4" w:space="0" w:color="auto"/>
            </w:tcBorders>
            <w:tcMar>
              <w:top w:w="0" w:type="dxa"/>
              <w:left w:w="115" w:type="dxa"/>
              <w:bottom w:w="0" w:type="dxa"/>
              <w:right w:w="115" w:type="dxa"/>
            </w:tcMar>
            <w:vAlign w:val="center"/>
            <w:hideMark/>
          </w:tcPr>
          <w:p w14:paraId="1844DFA9" w14:textId="77777777" w:rsidR="00C033B5" w:rsidRPr="004F735C" w:rsidRDefault="00C033B5" w:rsidP="00C033B5">
            <w:pPr>
              <w:rPr>
                <w:rFonts w:asciiTheme="majorBidi" w:hAnsiTheme="majorBidi" w:cstheme="majorBidi"/>
              </w:rPr>
            </w:pPr>
          </w:p>
        </w:tc>
      </w:tr>
      <w:tr w:rsidR="00C033B5" w:rsidRPr="004F735C" w14:paraId="6CF02B38" w14:textId="77777777" w:rsidTr="004F735C">
        <w:trPr>
          <w:trHeight w:val="20"/>
        </w:trPr>
        <w:tc>
          <w:tcPr>
            <w:tcW w:w="0" w:type="auto"/>
            <w:tcBorders>
              <w:top w:val="single" w:sz="4" w:space="0" w:color="auto"/>
              <w:bottom w:val="nil"/>
            </w:tcBorders>
            <w:tcMar>
              <w:top w:w="0" w:type="dxa"/>
              <w:left w:w="115" w:type="dxa"/>
              <w:bottom w:w="0" w:type="dxa"/>
              <w:right w:w="115" w:type="dxa"/>
            </w:tcMar>
            <w:vAlign w:val="center"/>
            <w:hideMark/>
          </w:tcPr>
          <w:p w14:paraId="63A9EC6A" w14:textId="77777777" w:rsidR="00C033B5" w:rsidRPr="004F735C" w:rsidRDefault="00C033B5" w:rsidP="00C033B5">
            <w:pPr>
              <w:rPr>
                <w:rFonts w:asciiTheme="majorBidi" w:hAnsiTheme="majorBidi" w:cstheme="majorBidi"/>
              </w:rPr>
            </w:pPr>
            <w:r w:rsidRPr="004F735C">
              <w:rPr>
                <w:rFonts w:asciiTheme="majorBidi" w:hAnsiTheme="majorBidi" w:cstheme="majorBidi"/>
              </w:rPr>
              <w:t>Age</w:t>
            </w:r>
          </w:p>
        </w:tc>
        <w:tc>
          <w:tcPr>
            <w:tcW w:w="0" w:type="auto"/>
            <w:tcBorders>
              <w:top w:val="single" w:sz="4" w:space="0" w:color="auto"/>
              <w:bottom w:val="nil"/>
            </w:tcBorders>
            <w:tcMar>
              <w:top w:w="0" w:type="dxa"/>
              <w:left w:w="115" w:type="dxa"/>
              <w:bottom w:w="0" w:type="dxa"/>
              <w:right w:w="115" w:type="dxa"/>
            </w:tcMar>
            <w:vAlign w:val="center"/>
            <w:hideMark/>
          </w:tcPr>
          <w:p w14:paraId="08DF9B0B" w14:textId="77777777" w:rsidR="00C033B5" w:rsidRPr="004F735C" w:rsidRDefault="00C033B5" w:rsidP="00C033B5">
            <w:pPr>
              <w:rPr>
                <w:rFonts w:asciiTheme="majorBidi" w:hAnsiTheme="majorBidi" w:cstheme="majorBidi"/>
              </w:rPr>
            </w:pPr>
            <w:r w:rsidRPr="004F735C">
              <w:rPr>
                <w:rFonts w:asciiTheme="majorBidi" w:hAnsiTheme="majorBidi" w:cstheme="majorBidi"/>
              </w:rPr>
              <w:t>The age of loan originator</w:t>
            </w:r>
          </w:p>
        </w:tc>
        <w:tc>
          <w:tcPr>
            <w:tcW w:w="0" w:type="auto"/>
            <w:tcBorders>
              <w:top w:val="single" w:sz="4" w:space="0" w:color="auto"/>
              <w:bottom w:val="nil"/>
            </w:tcBorders>
            <w:tcMar>
              <w:top w:w="0" w:type="dxa"/>
              <w:left w:w="115" w:type="dxa"/>
              <w:bottom w:w="0" w:type="dxa"/>
              <w:right w:w="115" w:type="dxa"/>
            </w:tcMar>
            <w:vAlign w:val="center"/>
            <w:hideMark/>
          </w:tcPr>
          <w:p w14:paraId="054BA421" w14:textId="77777777" w:rsidR="00C033B5" w:rsidRPr="004F735C" w:rsidRDefault="00C033B5" w:rsidP="00C033B5">
            <w:pPr>
              <w:rPr>
                <w:rFonts w:asciiTheme="majorBidi" w:hAnsiTheme="majorBidi" w:cstheme="majorBidi"/>
              </w:rPr>
            </w:pPr>
            <w:r w:rsidRPr="004F735C">
              <w:rPr>
                <w:rFonts w:asciiTheme="majorBidi" w:hAnsiTheme="majorBidi" w:cstheme="majorBidi"/>
              </w:rPr>
              <w:t>Mintos website</w:t>
            </w:r>
          </w:p>
        </w:tc>
        <w:tc>
          <w:tcPr>
            <w:tcW w:w="0" w:type="auto"/>
            <w:tcBorders>
              <w:top w:val="single" w:sz="4" w:space="0" w:color="auto"/>
              <w:bottom w:val="nil"/>
            </w:tcBorders>
            <w:tcMar>
              <w:top w:w="0" w:type="dxa"/>
              <w:left w:w="115" w:type="dxa"/>
              <w:bottom w:w="0" w:type="dxa"/>
              <w:right w:w="115" w:type="dxa"/>
            </w:tcMar>
            <w:vAlign w:val="center"/>
            <w:hideMark/>
          </w:tcPr>
          <w:p w14:paraId="41E44321" w14:textId="77777777" w:rsidR="00C033B5" w:rsidRPr="004F735C" w:rsidRDefault="00C033B5" w:rsidP="00C033B5">
            <w:pPr>
              <w:rPr>
                <w:rFonts w:asciiTheme="majorBidi" w:hAnsiTheme="majorBidi" w:cstheme="majorBidi"/>
              </w:rPr>
            </w:pPr>
            <w:r w:rsidRPr="004F735C">
              <w:rPr>
                <w:rFonts w:asciiTheme="majorBidi" w:hAnsiTheme="majorBidi" w:cstheme="majorBidi"/>
              </w:rPr>
              <w:t>-</w:t>
            </w:r>
          </w:p>
        </w:tc>
      </w:tr>
      <w:tr w:rsidR="00C033B5" w:rsidRPr="004F735C" w14:paraId="44ADC932" w14:textId="77777777" w:rsidTr="004F735C">
        <w:trPr>
          <w:trHeight w:val="20"/>
        </w:trPr>
        <w:tc>
          <w:tcPr>
            <w:tcW w:w="0" w:type="auto"/>
            <w:tcBorders>
              <w:top w:val="nil"/>
              <w:bottom w:val="nil"/>
            </w:tcBorders>
            <w:tcMar>
              <w:top w:w="0" w:type="dxa"/>
              <w:left w:w="115" w:type="dxa"/>
              <w:bottom w:w="0" w:type="dxa"/>
              <w:right w:w="115" w:type="dxa"/>
            </w:tcMar>
            <w:vAlign w:val="center"/>
            <w:hideMark/>
          </w:tcPr>
          <w:p w14:paraId="54B6E234"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Loanport</w:t>
            </w:r>
            <w:proofErr w:type="spellEnd"/>
          </w:p>
        </w:tc>
        <w:tc>
          <w:tcPr>
            <w:tcW w:w="0" w:type="auto"/>
            <w:tcBorders>
              <w:top w:val="nil"/>
              <w:bottom w:val="nil"/>
            </w:tcBorders>
            <w:tcMar>
              <w:top w:w="0" w:type="dxa"/>
              <w:left w:w="115" w:type="dxa"/>
              <w:bottom w:w="0" w:type="dxa"/>
              <w:right w:w="115" w:type="dxa"/>
            </w:tcMar>
            <w:vAlign w:val="center"/>
            <w:hideMark/>
          </w:tcPr>
          <w:p w14:paraId="0710BD3C" w14:textId="77777777" w:rsidR="00C033B5" w:rsidRPr="004F735C" w:rsidRDefault="00C033B5" w:rsidP="00C033B5">
            <w:pPr>
              <w:rPr>
                <w:rFonts w:asciiTheme="majorBidi" w:hAnsiTheme="majorBidi" w:cstheme="majorBidi"/>
              </w:rPr>
            </w:pPr>
            <w:r w:rsidRPr="004F735C">
              <w:rPr>
                <w:rFonts w:asciiTheme="majorBidi" w:hAnsiTheme="majorBidi" w:cstheme="majorBidi"/>
              </w:rPr>
              <w:t>The total loan portfolio of loan originator as a proxy of size</w:t>
            </w:r>
          </w:p>
        </w:tc>
        <w:tc>
          <w:tcPr>
            <w:tcW w:w="0" w:type="auto"/>
            <w:tcBorders>
              <w:top w:val="nil"/>
              <w:bottom w:val="nil"/>
            </w:tcBorders>
            <w:tcMar>
              <w:top w:w="0" w:type="dxa"/>
              <w:left w:w="115" w:type="dxa"/>
              <w:bottom w:w="0" w:type="dxa"/>
              <w:right w:w="115" w:type="dxa"/>
            </w:tcMar>
            <w:vAlign w:val="center"/>
            <w:hideMark/>
          </w:tcPr>
          <w:p w14:paraId="28386032" w14:textId="77777777" w:rsidR="00C033B5" w:rsidRPr="004F735C" w:rsidRDefault="00C033B5" w:rsidP="00C033B5">
            <w:pPr>
              <w:rPr>
                <w:rFonts w:asciiTheme="majorBidi" w:hAnsiTheme="majorBidi" w:cstheme="majorBidi"/>
              </w:rPr>
            </w:pPr>
            <w:r w:rsidRPr="004F735C">
              <w:rPr>
                <w:rFonts w:asciiTheme="majorBidi" w:hAnsiTheme="majorBidi" w:cstheme="majorBidi"/>
              </w:rPr>
              <w:t>Mintos website</w:t>
            </w:r>
          </w:p>
        </w:tc>
        <w:tc>
          <w:tcPr>
            <w:tcW w:w="0" w:type="auto"/>
            <w:tcBorders>
              <w:top w:val="nil"/>
              <w:bottom w:val="nil"/>
            </w:tcBorders>
            <w:tcMar>
              <w:top w:w="0" w:type="dxa"/>
              <w:left w:w="115" w:type="dxa"/>
              <w:bottom w:w="0" w:type="dxa"/>
              <w:right w:w="115" w:type="dxa"/>
            </w:tcMar>
            <w:vAlign w:val="center"/>
            <w:hideMark/>
          </w:tcPr>
          <w:p w14:paraId="15CF16E3" w14:textId="77777777" w:rsidR="00C033B5" w:rsidRPr="004F735C" w:rsidRDefault="00C033B5" w:rsidP="00C033B5">
            <w:pPr>
              <w:rPr>
                <w:rFonts w:asciiTheme="majorBidi" w:hAnsiTheme="majorBidi" w:cstheme="majorBidi"/>
              </w:rPr>
            </w:pPr>
            <w:r w:rsidRPr="004F735C">
              <w:rPr>
                <w:rFonts w:asciiTheme="majorBidi" w:hAnsiTheme="majorBidi" w:cstheme="majorBidi"/>
              </w:rPr>
              <w:t>-</w:t>
            </w:r>
          </w:p>
        </w:tc>
      </w:tr>
      <w:tr w:rsidR="00C033B5" w:rsidRPr="004F735C" w14:paraId="0D418C14" w14:textId="77777777" w:rsidTr="004F735C">
        <w:trPr>
          <w:trHeight w:val="20"/>
        </w:trPr>
        <w:tc>
          <w:tcPr>
            <w:tcW w:w="0" w:type="auto"/>
            <w:tcBorders>
              <w:top w:val="nil"/>
              <w:bottom w:val="single" w:sz="4" w:space="0" w:color="auto"/>
            </w:tcBorders>
            <w:tcMar>
              <w:top w:w="0" w:type="dxa"/>
              <w:left w:w="115" w:type="dxa"/>
              <w:bottom w:w="0" w:type="dxa"/>
              <w:right w:w="115" w:type="dxa"/>
            </w:tcMar>
            <w:vAlign w:val="center"/>
            <w:hideMark/>
          </w:tcPr>
          <w:p w14:paraId="5A0C6EFC" w14:textId="77777777" w:rsidR="00C033B5" w:rsidRPr="004F735C" w:rsidRDefault="00C033B5" w:rsidP="00C033B5">
            <w:pPr>
              <w:rPr>
                <w:rFonts w:asciiTheme="majorBidi" w:hAnsiTheme="majorBidi" w:cstheme="majorBidi"/>
              </w:rPr>
            </w:pPr>
            <w:r w:rsidRPr="004F735C">
              <w:rPr>
                <w:rFonts w:asciiTheme="majorBidi" w:hAnsiTheme="majorBidi" w:cstheme="majorBidi"/>
              </w:rPr>
              <w:t>Country</w:t>
            </w:r>
          </w:p>
        </w:tc>
        <w:tc>
          <w:tcPr>
            <w:tcW w:w="0" w:type="auto"/>
            <w:tcBorders>
              <w:top w:val="nil"/>
              <w:bottom w:val="single" w:sz="4" w:space="0" w:color="auto"/>
            </w:tcBorders>
            <w:tcMar>
              <w:top w:w="0" w:type="dxa"/>
              <w:left w:w="115" w:type="dxa"/>
              <w:bottom w:w="0" w:type="dxa"/>
              <w:right w:w="115" w:type="dxa"/>
            </w:tcMar>
            <w:vAlign w:val="center"/>
            <w:hideMark/>
          </w:tcPr>
          <w:p w14:paraId="2A0AA200" w14:textId="77777777" w:rsidR="00C033B5" w:rsidRPr="004F735C" w:rsidRDefault="00C033B5" w:rsidP="00C033B5">
            <w:pPr>
              <w:rPr>
                <w:rFonts w:asciiTheme="majorBidi" w:hAnsiTheme="majorBidi" w:cstheme="majorBidi"/>
              </w:rPr>
            </w:pPr>
            <w:r w:rsidRPr="004F735C">
              <w:rPr>
                <w:rFonts w:asciiTheme="majorBidi" w:hAnsiTheme="majorBidi" w:cstheme="majorBidi"/>
              </w:rPr>
              <w:t>Country dummies for all loan originators</w:t>
            </w:r>
          </w:p>
        </w:tc>
        <w:tc>
          <w:tcPr>
            <w:tcW w:w="0" w:type="auto"/>
            <w:tcBorders>
              <w:top w:val="nil"/>
              <w:bottom w:val="single" w:sz="4" w:space="0" w:color="auto"/>
            </w:tcBorders>
            <w:tcMar>
              <w:top w:w="0" w:type="dxa"/>
              <w:left w:w="115" w:type="dxa"/>
              <w:bottom w:w="0" w:type="dxa"/>
              <w:right w:w="115" w:type="dxa"/>
            </w:tcMar>
            <w:vAlign w:val="center"/>
            <w:hideMark/>
          </w:tcPr>
          <w:p w14:paraId="74F5956A" w14:textId="77777777" w:rsidR="00C033B5" w:rsidRPr="004F735C" w:rsidRDefault="00C033B5" w:rsidP="00C033B5">
            <w:pPr>
              <w:rPr>
                <w:rFonts w:asciiTheme="majorBidi" w:hAnsiTheme="majorBidi" w:cstheme="majorBidi"/>
              </w:rPr>
            </w:pPr>
            <w:r w:rsidRPr="004F735C">
              <w:rPr>
                <w:rFonts w:asciiTheme="majorBidi" w:hAnsiTheme="majorBidi" w:cstheme="majorBidi"/>
              </w:rPr>
              <w:t>Mintos Loan book</w:t>
            </w:r>
          </w:p>
        </w:tc>
        <w:tc>
          <w:tcPr>
            <w:tcW w:w="0" w:type="auto"/>
            <w:tcBorders>
              <w:top w:val="nil"/>
              <w:bottom w:val="single" w:sz="4" w:space="0" w:color="auto"/>
            </w:tcBorders>
            <w:tcMar>
              <w:top w:w="0" w:type="dxa"/>
              <w:left w:w="115" w:type="dxa"/>
              <w:bottom w:w="0" w:type="dxa"/>
              <w:right w:w="115" w:type="dxa"/>
            </w:tcMar>
            <w:vAlign w:val="center"/>
            <w:hideMark/>
          </w:tcPr>
          <w:p w14:paraId="0C720549" w14:textId="77777777" w:rsidR="00C033B5" w:rsidRPr="004F735C" w:rsidRDefault="00C033B5" w:rsidP="00C033B5">
            <w:pPr>
              <w:rPr>
                <w:rFonts w:asciiTheme="majorBidi" w:hAnsiTheme="majorBidi" w:cstheme="majorBidi"/>
              </w:rPr>
            </w:pPr>
            <w:r w:rsidRPr="004F735C">
              <w:rPr>
                <w:rFonts w:asciiTheme="majorBidi" w:hAnsiTheme="majorBidi" w:cstheme="majorBidi"/>
              </w:rPr>
              <w:t>=</w:t>
            </w:r>
          </w:p>
        </w:tc>
      </w:tr>
      <w:tr w:rsidR="00C033B5" w:rsidRPr="004F735C" w14:paraId="37B8D4B9" w14:textId="77777777" w:rsidTr="004F735C">
        <w:trPr>
          <w:trHeight w:val="20"/>
        </w:trPr>
        <w:tc>
          <w:tcPr>
            <w:tcW w:w="0" w:type="auto"/>
            <w:tcBorders>
              <w:top w:val="single" w:sz="4" w:space="0" w:color="auto"/>
              <w:bottom w:val="single" w:sz="4" w:space="0" w:color="auto"/>
            </w:tcBorders>
            <w:tcMar>
              <w:top w:w="0" w:type="dxa"/>
              <w:left w:w="115" w:type="dxa"/>
              <w:bottom w:w="0" w:type="dxa"/>
              <w:right w:w="115" w:type="dxa"/>
            </w:tcMar>
            <w:vAlign w:val="center"/>
            <w:hideMark/>
          </w:tcPr>
          <w:p w14:paraId="26A7847A" w14:textId="77777777" w:rsidR="00C033B5" w:rsidRPr="004F735C" w:rsidRDefault="00C033B5" w:rsidP="00C033B5">
            <w:pPr>
              <w:rPr>
                <w:rFonts w:asciiTheme="majorBidi" w:hAnsiTheme="majorBidi" w:cstheme="majorBidi"/>
              </w:rPr>
            </w:pPr>
          </w:p>
          <w:p w14:paraId="0392126B" w14:textId="77777777" w:rsidR="00C033B5" w:rsidRPr="004F735C" w:rsidRDefault="00C033B5" w:rsidP="00C033B5">
            <w:pPr>
              <w:rPr>
                <w:rFonts w:asciiTheme="majorBidi" w:hAnsiTheme="majorBidi" w:cstheme="majorBidi"/>
              </w:rPr>
            </w:pPr>
            <w:r w:rsidRPr="004F735C">
              <w:rPr>
                <w:rFonts w:asciiTheme="majorBidi" w:hAnsiTheme="majorBidi" w:cstheme="majorBidi"/>
                <w:b/>
                <w:bCs/>
                <w:i/>
                <w:iCs/>
              </w:rPr>
              <w:t>Control variables: Macroeconomic variables</w:t>
            </w:r>
          </w:p>
        </w:tc>
        <w:tc>
          <w:tcPr>
            <w:tcW w:w="0" w:type="auto"/>
            <w:tcBorders>
              <w:top w:val="single" w:sz="4" w:space="0" w:color="auto"/>
              <w:bottom w:val="single" w:sz="4" w:space="0" w:color="auto"/>
            </w:tcBorders>
            <w:tcMar>
              <w:top w:w="0" w:type="dxa"/>
              <w:left w:w="115" w:type="dxa"/>
              <w:bottom w:w="0" w:type="dxa"/>
              <w:right w:w="115" w:type="dxa"/>
            </w:tcMar>
            <w:vAlign w:val="center"/>
            <w:hideMark/>
          </w:tcPr>
          <w:p w14:paraId="15D93B09" w14:textId="77777777" w:rsidR="00C033B5" w:rsidRPr="004F735C" w:rsidRDefault="00C033B5" w:rsidP="00C033B5">
            <w:pPr>
              <w:rPr>
                <w:rFonts w:asciiTheme="majorBidi" w:hAnsiTheme="majorBidi" w:cstheme="majorBidi"/>
              </w:rPr>
            </w:pPr>
          </w:p>
        </w:tc>
        <w:tc>
          <w:tcPr>
            <w:tcW w:w="0" w:type="auto"/>
            <w:tcBorders>
              <w:top w:val="single" w:sz="4" w:space="0" w:color="auto"/>
              <w:bottom w:val="single" w:sz="4" w:space="0" w:color="auto"/>
            </w:tcBorders>
            <w:tcMar>
              <w:top w:w="0" w:type="dxa"/>
              <w:left w:w="115" w:type="dxa"/>
              <w:bottom w:w="0" w:type="dxa"/>
              <w:right w:w="115" w:type="dxa"/>
            </w:tcMar>
            <w:vAlign w:val="center"/>
            <w:hideMark/>
          </w:tcPr>
          <w:p w14:paraId="49BA8988" w14:textId="77777777" w:rsidR="00C033B5" w:rsidRPr="004F735C" w:rsidRDefault="00C033B5" w:rsidP="00C033B5">
            <w:pPr>
              <w:rPr>
                <w:rFonts w:asciiTheme="majorBidi" w:hAnsiTheme="majorBidi" w:cstheme="majorBidi"/>
              </w:rPr>
            </w:pPr>
          </w:p>
        </w:tc>
        <w:tc>
          <w:tcPr>
            <w:tcW w:w="0" w:type="auto"/>
            <w:tcBorders>
              <w:top w:val="single" w:sz="4" w:space="0" w:color="auto"/>
              <w:bottom w:val="single" w:sz="4" w:space="0" w:color="auto"/>
            </w:tcBorders>
            <w:tcMar>
              <w:top w:w="0" w:type="dxa"/>
              <w:left w:w="115" w:type="dxa"/>
              <w:bottom w:w="0" w:type="dxa"/>
              <w:right w:w="115" w:type="dxa"/>
            </w:tcMar>
            <w:vAlign w:val="center"/>
            <w:hideMark/>
          </w:tcPr>
          <w:p w14:paraId="143B0844" w14:textId="77777777" w:rsidR="00C033B5" w:rsidRPr="004F735C" w:rsidRDefault="00C033B5" w:rsidP="00C033B5">
            <w:pPr>
              <w:rPr>
                <w:rFonts w:asciiTheme="majorBidi" w:hAnsiTheme="majorBidi" w:cstheme="majorBidi"/>
              </w:rPr>
            </w:pPr>
          </w:p>
        </w:tc>
      </w:tr>
      <w:tr w:rsidR="00C033B5" w:rsidRPr="004F735C" w14:paraId="5C308EEC" w14:textId="77777777" w:rsidTr="004F735C">
        <w:trPr>
          <w:trHeight w:val="20"/>
        </w:trPr>
        <w:tc>
          <w:tcPr>
            <w:tcW w:w="0" w:type="auto"/>
            <w:tcBorders>
              <w:top w:val="single" w:sz="4" w:space="0" w:color="auto"/>
              <w:bottom w:val="nil"/>
            </w:tcBorders>
            <w:tcMar>
              <w:top w:w="0" w:type="dxa"/>
              <w:left w:w="115" w:type="dxa"/>
              <w:bottom w:w="0" w:type="dxa"/>
              <w:right w:w="115" w:type="dxa"/>
            </w:tcMar>
            <w:vAlign w:val="center"/>
            <w:hideMark/>
          </w:tcPr>
          <w:p w14:paraId="48C583A4"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Unemplymt</w:t>
            </w:r>
            <w:proofErr w:type="spellEnd"/>
          </w:p>
        </w:tc>
        <w:tc>
          <w:tcPr>
            <w:tcW w:w="0" w:type="auto"/>
            <w:tcBorders>
              <w:top w:val="single" w:sz="4" w:space="0" w:color="auto"/>
              <w:bottom w:val="nil"/>
            </w:tcBorders>
            <w:tcMar>
              <w:top w:w="0" w:type="dxa"/>
              <w:left w:w="115" w:type="dxa"/>
              <w:bottom w:w="0" w:type="dxa"/>
              <w:right w:w="115" w:type="dxa"/>
            </w:tcMar>
            <w:vAlign w:val="center"/>
            <w:hideMark/>
          </w:tcPr>
          <w:p w14:paraId="5C57FA86" w14:textId="77777777" w:rsidR="00C033B5" w:rsidRPr="004F735C" w:rsidRDefault="00C033B5" w:rsidP="00C033B5">
            <w:pPr>
              <w:rPr>
                <w:rFonts w:asciiTheme="majorBidi" w:hAnsiTheme="majorBidi" w:cstheme="majorBidi"/>
              </w:rPr>
            </w:pPr>
            <w:r w:rsidRPr="004F735C">
              <w:rPr>
                <w:rFonts w:asciiTheme="majorBidi" w:hAnsiTheme="majorBidi" w:cstheme="majorBidi"/>
              </w:rPr>
              <w:t>The unemployment rate for each country (Monthly and seasonally adjusted)</w:t>
            </w:r>
          </w:p>
        </w:tc>
        <w:tc>
          <w:tcPr>
            <w:tcW w:w="0" w:type="auto"/>
            <w:tcBorders>
              <w:top w:val="single" w:sz="4" w:space="0" w:color="auto"/>
              <w:bottom w:val="nil"/>
            </w:tcBorders>
            <w:tcMar>
              <w:top w:w="0" w:type="dxa"/>
              <w:left w:w="115" w:type="dxa"/>
              <w:bottom w:w="0" w:type="dxa"/>
              <w:right w:w="115" w:type="dxa"/>
            </w:tcMar>
            <w:vAlign w:val="center"/>
            <w:hideMark/>
          </w:tcPr>
          <w:p w14:paraId="3632DF9D" w14:textId="77777777" w:rsidR="00C033B5" w:rsidRPr="004F735C" w:rsidRDefault="00C033B5" w:rsidP="00C033B5">
            <w:pPr>
              <w:rPr>
                <w:rFonts w:asciiTheme="majorBidi" w:hAnsiTheme="majorBidi" w:cstheme="majorBidi"/>
              </w:rPr>
            </w:pPr>
            <w:r w:rsidRPr="004F735C">
              <w:rPr>
                <w:rFonts w:asciiTheme="majorBidi" w:hAnsiTheme="majorBidi" w:cstheme="majorBidi"/>
              </w:rPr>
              <w:t>European Central Bank</w:t>
            </w:r>
          </w:p>
        </w:tc>
        <w:tc>
          <w:tcPr>
            <w:tcW w:w="0" w:type="auto"/>
            <w:tcBorders>
              <w:top w:val="single" w:sz="4" w:space="0" w:color="auto"/>
              <w:bottom w:val="nil"/>
            </w:tcBorders>
            <w:tcMar>
              <w:top w:w="0" w:type="dxa"/>
              <w:left w:w="115" w:type="dxa"/>
              <w:bottom w:w="0" w:type="dxa"/>
              <w:right w:w="115" w:type="dxa"/>
            </w:tcMar>
            <w:vAlign w:val="center"/>
            <w:hideMark/>
          </w:tcPr>
          <w:p w14:paraId="58B96A51" w14:textId="77777777" w:rsidR="00C033B5" w:rsidRPr="004F735C" w:rsidRDefault="00C033B5" w:rsidP="00C033B5">
            <w:pPr>
              <w:rPr>
                <w:rFonts w:asciiTheme="majorBidi" w:hAnsiTheme="majorBidi" w:cstheme="majorBidi"/>
              </w:rPr>
            </w:pPr>
            <w:r w:rsidRPr="004F735C">
              <w:rPr>
                <w:rFonts w:asciiTheme="majorBidi" w:hAnsiTheme="majorBidi" w:cstheme="majorBidi"/>
              </w:rPr>
              <w:t>+</w:t>
            </w:r>
          </w:p>
        </w:tc>
      </w:tr>
      <w:tr w:rsidR="00C033B5" w:rsidRPr="004F735C" w14:paraId="336C5668" w14:textId="77777777" w:rsidTr="004F735C">
        <w:trPr>
          <w:trHeight w:val="20"/>
        </w:trPr>
        <w:tc>
          <w:tcPr>
            <w:tcW w:w="0" w:type="auto"/>
            <w:tcBorders>
              <w:top w:val="nil"/>
              <w:bottom w:val="single" w:sz="4" w:space="0" w:color="000000"/>
            </w:tcBorders>
            <w:tcMar>
              <w:top w:w="0" w:type="dxa"/>
              <w:left w:w="115" w:type="dxa"/>
              <w:bottom w:w="0" w:type="dxa"/>
              <w:right w:w="115" w:type="dxa"/>
            </w:tcMar>
            <w:vAlign w:val="center"/>
            <w:hideMark/>
          </w:tcPr>
          <w:p w14:paraId="4DE7EA58"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Govtbond</w:t>
            </w:r>
            <w:proofErr w:type="spellEnd"/>
          </w:p>
        </w:tc>
        <w:tc>
          <w:tcPr>
            <w:tcW w:w="0" w:type="auto"/>
            <w:tcBorders>
              <w:top w:val="nil"/>
              <w:bottom w:val="single" w:sz="4" w:space="0" w:color="000000"/>
            </w:tcBorders>
            <w:tcMar>
              <w:top w:w="0" w:type="dxa"/>
              <w:left w:w="115" w:type="dxa"/>
              <w:bottom w:w="0" w:type="dxa"/>
              <w:right w:w="115" w:type="dxa"/>
            </w:tcMar>
            <w:vAlign w:val="center"/>
            <w:hideMark/>
          </w:tcPr>
          <w:p w14:paraId="55162069" w14:textId="77777777" w:rsidR="00C033B5" w:rsidRPr="004F735C" w:rsidRDefault="00C033B5" w:rsidP="00C033B5">
            <w:pPr>
              <w:rPr>
                <w:rFonts w:asciiTheme="majorBidi" w:hAnsiTheme="majorBidi" w:cstheme="majorBidi"/>
              </w:rPr>
            </w:pPr>
            <w:r w:rsidRPr="004F735C">
              <w:rPr>
                <w:rFonts w:asciiTheme="majorBidi" w:hAnsiTheme="majorBidi" w:cstheme="majorBidi"/>
              </w:rPr>
              <w:t>The long-term interest rates for each country (Monthly and seasonally adjusted)</w:t>
            </w:r>
          </w:p>
        </w:tc>
        <w:tc>
          <w:tcPr>
            <w:tcW w:w="0" w:type="auto"/>
            <w:tcBorders>
              <w:top w:val="nil"/>
              <w:bottom w:val="single" w:sz="4" w:space="0" w:color="000000"/>
            </w:tcBorders>
            <w:tcMar>
              <w:top w:w="0" w:type="dxa"/>
              <w:left w:w="115" w:type="dxa"/>
              <w:bottom w:w="0" w:type="dxa"/>
              <w:right w:w="115" w:type="dxa"/>
            </w:tcMar>
            <w:vAlign w:val="center"/>
            <w:hideMark/>
          </w:tcPr>
          <w:p w14:paraId="4CE6524E" w14:textId="77777777" w:rsidR="00C033B5" w:rsidRPr="004F735C" w:rsidRDefault="00C033B5" w:rsidP="00C033B5">
            <w:pPr>
              <w:rPr>
                <w:rFonts w:asciiTheme="majorBidi" w:hAnsiTheme="majorBidi" w:cstheme="majorBidi"/>
              </w:rPr>
            </w:pPr>
            <w:r w:rsidRPr="004F735C">
              <w:rPr>
                <w:rFonts w:asciiTheme="majorBidi" w:hAnsiTheme="majorBidi" w:cstheme="majorBidi"/>
              </w:rPr>
              <w:t>European Central Bank</w:t>
            </w:r>
          </w:p>
        </w:tc>
        <w:tc>
          <w:tcPr>
            <w:tcW w:w="0" w:type="auto"/>
            <w:tcBorders>
              <w:top w:val="nil"/>
              <w:bottom w:val="single" w:sz="4" w:space="0" w:color="000000"/>
            </w:tcBorders>
            <w:tcMar>
              <w:top w:w="0" w:type="dxa"/>
              <w:left w:w="115" w:type="dxa"/>
              <w:bottom w:w="0" w:type="dxa"/>
              <w:right w:w="115" w:type="dxa"/>
            </w:tcMar>
            <w:vAlign w:val="center"/>
            <w:hideMark/>
          </w:tcPr>
          <w:p w14:paraId="3AF06556" w14:textId="77777777" w:rsidR="00C033B5" w:rsidRPr="004F735C" w:rsidRDefault="00C033B5" w:rsidP="00C033B5">
            <w:pPr>
              <w:rPr>
                <w:rFonts w:asciiTheme="majorBidi" w:hAnsiTheme="majorBidi" w:cstheme="majorBidi"/>
              </w:rPr>
            </w:pPr>
            <w:r w:rsidRPr="004F735C">
              <w:rPr>
                <w:rFonts w:asciiTheme="majorBidi" w:hAnsiTheme="majorBidi" w:cstheme="majorBidi"/>
              </w:rPr>
              <w:t>+</w:t>
            </w:r>
          </w:p>
        </w:tc>
      </w:tr>
    </w:tbl>
    <w:p w14:paraId="5E3B962B" w14:textId="77777777" w:rsidR="00C033B5" w:rsidRDefault="00C033B5" w:rsidP="00C033B5"/>
    <w:p w14:paraId="0D954606" w14:textId="77777777" w:rsidR="00CC0525" w:rsidRDefault="00CC0525" w:rsidP="00D61F58">
      <w:pPr>
        <w:jc w:val="center"/>
        <w:rPr>
          <w:b/>
          <w:bCs/>
        </w:rPr>
      </w:pPr>
    </w:p>
    <w:p w14:paraId="0BB754D4" w14:textId="77777777" w:rsidR="00CC0525" w:rsidRDefault="00CC0525" w:rsidP="00D61F58">
      <w:pPr>
        <w:jc w:val="center"/>
        <w:rPr>
          <w:b/>
          <w:bCs/>
        </w:rPr>
      </w:pPr>
    </w:p>
    <w:p w14:paraId="43E9A5D0" w14:textId="32AC0136" w:rsidR="00D61F58" w:rsidRPr="00C033B5" w:rsidRDefault="00D61F58" w:rsidP="00D61F58">
      <w:pPr>
        <w:jc w:val="center"/>
      </w:pPr>
      <w:r w:rsidRPr="00D61F58">
        <w:rPr>
          <w:b/>
          <w:bCs/>
        </w:rPr>
        <w:t>Appendix Table A2</w:t>
      </w:r>
      <w:r w:rsidRPr="00C033B5">
        <w:t>: Mean differences test</w:t>
      </w:r>
    </w:p>
    <w:tbl>
      <w:tblPr>
        <w:tblW w:w="0" w:type="auto"/>
        <w:tblCellMar>
          <w:top w:w="15" w:type="dxa"/>
          <w:left w:w="15" w:type="dxa"/>
          <w:bottom w:w="15" w:type="dxa"/>
          <w:right w:w="15" w:type="dxa"/>
        </w:tblCellMar>
        <w:tblLook w:val="04A0" w:firstRow="1" w:lastRow="0" w:firstColumn="1" w:lastColumn="0" w:noHBand="0" w:noVBand="1"/>
      </w:tblPr>
      <w:tblGrid>
        <w:gridCol w:w="1433"/>
        <w:gridCol w:w="1864"/>
        <w:gridCol w:w="1053"/>
        <w:gridCol w:w="1863"/>
        <w:gridCol w:w="1053"/>
        <w:gridCol w:w="1760"/>
      </w:tblGrid>
      <w:tr w:rsidR="00C033B5" w:rsidRPr="004F735C" w14:paraId="7FBF0F84" w14:textId="77777777">
        <w:trPr>
          <w:trHeight w:val="20"/>
        </w:trPr>
        <w:tc>
          <w:tcPr>
            <w:tcW w:w="0" w:type="auto"/>
            <w:tcBorders>
              <w:top w:val="single" w:sz="4" w:space="0" w:color="000000"/>
            </w:tcBorders>
            <w:tcMar>
              <w:top w:w="0" w:type="dxa"/>
              <w:left w:w="115" w:type="dxa"/>
              <w:bottom w:w="0" w:type="dxa"/>
              <w:right w:w="115" w:type="dxa"/>
            </w:tcMar>
            <w:hideMark/>
          </w:tcPr>
          <w:p w14:paraId="2EFCC6EA"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lastRenderedPageBreak/>
              <w:t>Variables</w:t>
            </w:r>
          </w:p>
        </w:tc>
        <w:tc>
          <w:tcPr>
            <w:tcW w:w="0" w:type="auto"/>
            <w:tcBorders>
              <w:top w:val="single" w:sz="4" w:space="0" w:color="000000"/>
              <w:bottom w:val="single" w:sz="4" w:space="0" w:color="000000"/>
            </w:tcBorders>
            <w:tcMar>
              <w:top w:w="0" w:type="dxa"/>
              <w:left w:w="115" w:type="dxa"/>
              <w:bottom w:w="0" w:type="dxa"/>
              <w:right w:w="115" w:type="dxa"/>
            </w:tcMar>
            <w:hideMark/>
          </w:tcPr>
          <w:p w14:paraId="3267C9F0"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Observations</w:t>
            </w:r>
          </w:p>
        </w:tc>
        <w:tc>
          <w:tcPr>
            <w:tcW w:w="0" w:type="auto"/>
            <w:tcBorders>
              <w:top w:val="single" w:sz="4" w:space="0" w:color="000000"/>
              <w:bottom w:val="single" w:sz="4" w:space="0" w:color="000000"/>
            </w:tcBorders>
            <w:tcMar>
              <w:top w:w="0" w:type="dxa"/>
              <w:left w:w="115" w:type="dxa"/>
              <w:bottom w:w="0" w:type="dxa"/>
              <w:right w:w="115" w:type="dxa"/>
            </w:tcMar>
            <w:hideMark/>
          </w:tcPr>
          <w:p w14:paraId="52BAC83D"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Mean</w:t>
            </w:r>
          </w:p>
        </w:tc>
        <w:tc>
          <w:tcPr>
            <w:tcW w:w="0" w:type="auto"/>
            <w:tcBorders>
              <w:top w:val="single" w:sz="4" w:space="0" w:color="000000"/>
              <w:bottom w:val="single" w:sz="4" w:space="0" w:color="000000"/>
            </w:tcBorders>
            <w:tcMar>
              <w:top w:w="0" w:type="dxa"/>
              <w:left w:w="115" w:type="dxa"/>
              <w:bottom w:w="0" w:type="dxa"/>
              <w:right w:w="115" w:type="dxa"/>
            </w:tcMar>
            <w:hideMark/>
          </w:tcPr>
          <w:p w14:paraId="62A0B402"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Observations</w:t>
            </w:r>
          </w:p>
        </w:tc>
        <w:tc>
          <w:tcPr>
            <w:tcW w:w="0" w:type="auto"/>
            <w:tcBorders>
              <w:top w:val="single" w:sz="4" w:space="0" w:color="000000"/>
              <w:bottom w:val="single" w:sz="4" w:space="0" w:color="000000"/>
            </w:tcBorders>
            <w:tcMar>
              <w:top w:w="0" w:type="dxa"/>
              <w:left w:w="115" w:type="dxa"/>
              <w:bottom w:w="0" w:type="dxa"/>
              <w:right w:w="115" w:type="dxa"/>
            </w:tcMar>
            <w:hideMark/>
          </w:tcPr>
          <w:p w14:paraId="4A26A77D"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Mean</w:t>
            </w:r>
          </w:p>
        </w:tc>
        <w:tc>
          <w:tcPr>
            <w:tcW w:w="0" w:type="auto"/>
            <w:tcBorders>
              <w:top w:val="single" w:sz="4" w:space="0" w:color="000000"/>
            </w:tcBorders>
            <w:tcMar>
              <w:top w:w="0" w:type="dxa"/>
              <w:left w:w="115" w:type="dxa"/>
              <w:bottom w:w="0" w:type="dxa"/>
              <w:right w:w="115" w:type="dxa"/>
            </w:tcMar>
            <w:hideMark/>
          </w:tcPr>
          <w:p w14:paraId="47F43C6D"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Mean Difference</w:t>
            </w:r>
          </w:p>
        </w:tc>
      </w:tr>
      <w:tr w:rsidR="00C033B5" w:rsidRPr="004F735C" w14:paraId="7FAE54AF" w14:textId="77777777">
        <w:trPr>
          <w:trHeight w:val="20"/>
        </w:trPr>
        <w:tc>
          <w:tcPr>
            <w:tcW w:w="0" w:type="auto"/>
            <w:tcBorders>
              <w:bottom w:val="single" w:sz="4" w:space="0" w:color="000000"/>
            </w:tcBorders>
            <w:tcMar>
              <w:top w:w="0" w:type="dxa"/>
              <w:left w:w="115" w:type="dxa"/>
              <w:bottom w:w="0" w:type="dxa"/>
              <w:right w:w="115" w:type="dxa"/>
            </w:tcMar>
            <w:hideMark/>
          </w:tcPr>
          <w:p w14:paraId="5FC326B3" w14:textId="77777777" w:rsidR="00C033B5" w:rsidRPr="004F735C"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hideMark/>
          </w:tcPr>
          <w:p w14:paraId="5CB082A8"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Panel A</w:t>
            </w:r>
          </w:p>
        </w:tc>
        <w:tc>
          <w:tcPr>
            <w:tcW w:w="0" w:type="auto"/>
            <w:tcBorders>
              <w:top w:val="single" w:sz="4" w:space="0" w:color="000000"/>
              <w:bottom w:val="single" w:sz="4" w:space="0" w:color="000000"/>
            </w:tcBorders>
            <w:tcMar>
              <w:top w:w="0" w:type="dxa"/>
              <w:left w:w="115" w:type="dxa"/>
              <w:bottom w:w="0" w:type="dxa"/>
              <w:right w:w="115" w:type="dxa"/>
            </w:tcMar>
            <w:hideMark/>
          </w:tcPr>
          <w:p w14:paraId="7A915ADE" w14:textId="77777777" w:rsidR="00C033B5" w:rsidRPr="004F735C"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hideMark/>
          </w:tcPr>
          <w:p w14:paraId="3557EFCF"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Panel B</w:t>
            </w:r>
          </w:p>
        </w:tc>
        <w:tc>
          <w:tcPr>
            <w:tcW w:w="0" w:type="auto"/>
            <w:tcBorders>
              <w:top w:val="single" w:sz="4" w:space="0" w:color="000000"/>
              <w:bottom w:val="single" w:sz="4" w:space="0" w:color="000000"/>
            </w:tcBorders>
            <w:tcMar>
              <w:top w:w="0" w:type="dxa"/>
              <w:left w:w="115" w:type="dxa"/>
              <w:bottom w:w="0" w:type="dxa"/>
              <w:right w:w="115" w:type="dxa"/>
            </w:tcMar>
            <w:hideMark/>
          </w:tcPr>
          <w:p w14:paraId="0997A71A" w14:textId="77777777" w:rsidR="00C033B5" w:rsidRPr="004F735C" w:rsidRDefault="00C033B5" w:rsidP="00C033B5">
            <w:pPr>
              <w:rPr>
                <w:rFonts w:asciiTheme="majorBidi" w:hAnsiTheme="majorBidi" w:cstheme="majorBidi"/>
              </w:rPr>
            </w:pPr>
          </w:p>
        </w:tc>
        <w:tc>
          <w:tcPr>
            <w:tcW w:w="0" w:type="auto"/>
            <w:tcBorders>
              <w:bottom w:val="single" w:sz="4" w:space="0" w:color="000000"/>
            </w:tcBorders>
            <w:tcMar>
              <w:top w:w="0" w:type="dxa"/>
              <w:left w:w="115" w:type="dxa"/>
              <w:bottom w:w="0" w:type="dxa"/>
              <w:right w:w="115" w:type="dxa"/>
            </w:tcMar>
            <w:hideMark/>
          </w:tcPr>
          <w:p w14:paraId="19F24E30" w14:textId="77777777" w:rsidR="00C033B5" w:rsidRPr="004F735C" w:rsidRDefault="00C033B5" w:rsidP="00C033B5">
            <w:pPr>
              <w:rPr>
                <w:rFonts w:asciiTheme="majorBidi" w:hAnsiTheme="majorBidi" w:cstheme="majorBidi"/>
              </w:rPr>
            </w:pPr>
          </w:p>
        </w:tc>
      </w:tr>
      <w:tr w:rsidR="00C033B5" w:rsidRPr="004F735C" w14:paraId="7AE47C1B" w14:textId="77777777">
        <w:trPr>
          <w:trHeight w:val="20"/>
        </w:trPr>
        <w:tc>
          <w:tcPr>
            <w:tcW w:w="0" w:type="auto"/>
            <w:tcBorders>
              <w:top w:val="single" w:sz="4" w:space="0" w:color="000000"/>
            </w:tcBorders>
            <w:tcMar>
              <w:top w:w="0" w:type="dxa"/>
              <w:left w:w="115" w:type="dxa"/>
              <w:bottom w:w="0" w:type="dxa"/>
              <w:right w:w="115" w:type="dxa"/>
            </w:tcMar>
            <w:vAlign w:val="bottom"/>
            <w:hideMark/>
          </w:tcPr>
          <w:p w14:paraId="5DF3C831" w14:textId="77777777" w:rsidR="00C033B5" w:rsidRPr="004F735C" w:rsidRDefault="00C033B5" w:rsidP="00C033B5">
            <w:pPr>
              <w:rPr>
                <w:rFonts w:asciiTheme="majorBidi" w:hAnsiTheme="majorBidi" w:cstheme="majorBidi"/>
              </w:rPr>
            </w:pPr>
            <w:r w:rsidRPr="004F735C">
              <w:rPr>
                <w:rFonts w:asciiTheme="majorBidi" w:hAnsiTheme="majorBidi" w:cstheme="majorBidi"/>
              </w:rPr>
              <w:t>Interest</w:t>
            </w:r>
          </w:p>
        </w:tc>
        <w:tc>
          <w:tcPr>
            <w:tcW w:w="0" w:type="auto"/>
            <w:tcBorders>
              <w:top w:val="single" w:sz="4" w:space="0" w:color="000000"/>
            </w:tcBorders>
            <w:tcMar>
              <w:top w:w="0" w:type="dxa"/>
              <w:left w:w="115" w:type="dxa"/>
              <w:bottom w:w="0" w:type="dxa"/>
              <w:right w:w="115" w:type="dxa"/>
            </w:tcMar>
            <w:vAlign w:val="bottom"/>
            <w:hideMark/>
          </w:tcPr>
          <w:p w14:paraId="6C53DB23" w14:textId="77777777" w:rsidR="00C033B5" w:rsidRPr="004F735C" w:rsidRDefault="00C033B5" w:rsidP="00C033B5">
            <w:pPr>
              <w:rPr>
                <w:rFonts w:asciiTheme="majorBidi" w:hAnsiTheme="majorBidi" w:cstheme="majorBidi"/>
              </w:rPr>
            </w:pPr>
            <w:r w:rsidRPr="004F735C">
              <w:rPr>
                <w:rFonts w:asciiTheme="majorBidi" w:hAnsiTheme="majorBidi" w:cstheme="majorBidi"/>
              </w:rPr>
              <w:t>1,452,900</w:t>
            </w:r>
          </w:p>
        </w:tc>
        <w:tc>
          <w:tcPr>
            <w:tcW w:w="0" w:type="auto"/>
            <w:tcBorders>
              <w:top w:val="single" w:sz="4" w:space="0" w:color="000000"/>
            </w:tcBorders>
            <w:tcMar>
              <w:top w:w="0" w:type="dxa"/>
              <w:left w:w="115" w:type="dxa"/>
              <w:bottom w:w="0" w:type="dxa"/>
              <w:right w:w="115" w:type="dxa"/>
            </w:tcMar>
            <w:vAlign w:val="bottom"/>
            <w:hideMark/>
          </w:tcPr>
          <w:p w14:paraId="680AB7A9" w14:textId="77777777" w:rsidR="00C033B5" w:rsidRPr="004F735C" w:rsidRDefault="00C033B5" w:rsidP="00C033B5">
            <w:pPr>
              <w:rPr>
                <w:rFonts w:asciiTheme="majorBidi" w:hAnsiTheme="majorBidi" w:cstheme="majorBidi"/>
              </w:rPr>
            </w:pPr>
            <w:r w:rsidRPr="004F735C">
              <w:rPr>
                <w:rFonts w:asciiTheme="majorBidi" w:hAnsiTheme="majorBidi" w:cstheme="majorBidi"/>
              </w:rPr>
              <w:t>0.0919</w:t>
            </w:r>
          </w:p>
        </w:tc>
        <w:tc>
          <w:tcPr>
            <w:tcW w:w="0" w:type="auto"/>
            <w:tcBorders>
              <w:top w:val="single" w:sz="4" w:space="0" w:color="000000"/>
            </w:tcBorders>
            <w:tcMar>
              <w:top w:w="0" w:type="dxa"/>
              <w:left w:w="115" w:type="dxa"/>
              <w:bottom w:w="0" w:type="dxa"/>
              <w:right w:w="115" w:type="dxa"/>
            </w:tcMar>
            <w:vAlign w:val="bottom"/>
            <w:hideMark/>
          </w:tcPr>
          <w:p w14:paraId="7E34C899" w14:textId="77777777" w:rsidR="00C033B5" w:rsidRPr="004F735C" w:rsidRDefault="00C033B5" w:rsidP="00C033B5">
            <w:pPr>
              <w:rPr>
                <w:rFonts w:asciiTheme="majorBidi" w:hAnsiTheme="majorBidi" w:cstheme="majorBidi"/>
              </w:rPr>
            </w:pPr>
            <w:r w:rsidRPr="004F735C">
              <w:rPr>
                <w:rFonts w:asciiTheme="majorBidi" w:hAnsiTheme="majorBidi" w:cstheme="majorBidi"/>
              </w:rPr>
              <w:t>530,434</w:t>
            </w:r>
          </w:p>
        </w:tc>
        <w:tc>
          <w:tcPr>
            <w:tcW w:w="0" w:type="auto"/>
            <w:tcBorders>
              <w:top w:val="single" w:sz="4" w:space="0" w:color="000000"/>
            </w:tcBorders>
            <w:tcMar>
              <w:top w:w="0" w:type="dxa"/>
              <w:left w:w="115" w:type="dxa"/>
              <w:bottom w:w="0" w:type="dxa"/>
              <w:right w:w="115" w:type="dxa"/>
            </w:tcMar>
            <w:vAlign w:val="bottom"/>
            <w:hideMark/>
          </w:tcPr>
          <w:p w14:paraId="4A009F9A" w14:textId="77777777" w:rsidR="00C033B5" w:rsidRPr="004F735C" w:rsidRDefault="00C033B5" w:rsidP="00C033B5">
            <w:pPr>
              <w:rPr>
                <w:rFonts w:asciiTheme="majorBidi" w:hAnsiTheme="majorBidi" w:cstheme="majorBidi"/>
              </w:rPr>
            </w:pPr>
            <w:r w:rsidRPr="004F735C">
              <w:rPr>
                <w:rFonts w:asciiTheme="majorBidi" w:hAnsiTheme="majorBidi" w:cstheme="majorBidi"/>
              </w:rPr>
              <w:t>0.1257</w:t>
            </w:r>
          </w:p>
        </w:tc>
        <w:tc>
          <w:tcPr>
            <w:tcW w:w="0" w:type="auto"/>
            <w:tcBorders>
              <w:top w:val="single" w:sz="4" w:space="0" w:color="000000"/>
            </w:tcBorders>
            <w:tcMar>
              <w:top w:w="0" w:type="dxa"/>
              <w:left w:w="115" w:type="dxa"/>
              <w:bottom w:w="0" w:type="dxa"/>
              <w:right w:w="115" w:type="dxa"/>
            </w:tcMar>
            <w:vAlign w:val="bottom"/>
            <w:hideMark/>
          </w:tcPr>
          <w:p w14:paraId="14F7A0E7" w14:textId="77777777" w:rsidR="00C033B5" w:rsidRPr="004F735C" w:rsidRDefault="00C033B5" w:rsidP="00C033B5">
            <w:pPr>
              <w:rPr>
                <w:rFonts w:asciiTheme="majorBidi" w:hAnsiTheme="majorBidi" w:cstheme="majorBidi"/>
              </w:rPr>
            </w:pPr>
            <w:r w:rsidRPr="004F735C">
              <w:rPr>
                <w:rFonts w:asciiTheme="majorBidi" w:hAnsiTheme="majorBidi" w:cstheme="majorBidi"/>
              </w:rPr>
              <w:t>-0.0339***</w:t>
            </w:r>
          </w:p>
        </w:tc>
      </w:tr>
      <w:tr w:rsidR="00C033B5" w:rsidRPr="004F735C" w14:paraId="0353809B" w14:textId="77777777">
        <w:trPr>
          <w:trHeight w:val="20"/>
        </w:trPr>
        <w:tc>
          <w:tcPr>
            <w:tcW w:w="0" w:type="auto"/>
            <w:tcMar>
              <w:top w:w="0" w:type="dxa"/>
              <w:left w:w="115" w:type="dxa"/>
              <w:bottom w:w="0" w:type="dxa"/>
              <w:right w:w="115" w:type="dxa"/>
            </w:tcMar>
            <w:vAlign w:val="bottom"/>
            <w:hideMark/>
          </w:tcPr>
          <w:p w14:paraId="2A7A0EDF" w14:textId="77777777" w:rsidR="00C033B5" w:rsidRPr="004F735C" w:rsidRDefault="00C033B5" w:rsidP="00C033B5">
            <w:pPr>
              <w:rPr>
                <w:rFonts w:asciiTheme="majorBidi" w:hAnsiTheme="majorBidi" w:cstheme="majorBidi"/>
              </w:rPr>
            </w:pPr>
            <w:r w:rsidRPr="004F735C">
              <w:rPr>
                <w:rFonts w:asciiTheme="majorBidi" w:hAnsiTheme="majorBidi" w:cstheme="majorBidi"/>
              </w:rPr>
              <w:t>Default</w:t>
            </w:r>
          </w:p>
        </w:tc>
        <w:tc>
          <w:tcPr>
            <w:tcW w:w="0" w:type="auto"/>
            <w:tcMar>
              <w:top w:w="0" w:type="dxa"/>
              <w:left w:w="115" w:type="dxa"/>
              <w:bottom w:w="0" w:type="dxa"/>
              <w:right w:w="115" w:type="dxa"/>
            </w:tcMar>
            <w:vAlign w:val="bottom"/>
            <w:hideMark/>
          </w:tcPr>
          <w:p w14:paraId="27994C9E" w14:textId="77777777" w:rsidR="00C033B5" w:rsidRPr="004F735C" w:rsidRDefault="00C033B5" w:rsidP="00C033B5">
            <w:pPr>
              <w:rPr>
                <w:rFonts w:asciiTheme="majorBidi" w:hAnsiTheme="majorBidi" w:cstheme="majorBidi"/>
              </w:rPr>
            </w:pPr>
            <w:r w:rsidRPr="004F735C">
              <w:rPr>
                <w:rFonts w:asciiTheme="majorBidi" w:hAnsiTheme="majorBidi" w:cstheme="majorBidi"/>
              </w:rPr>
              <w:t>1,404,090</w:t>
            </w:r>
          </w:p>
        </w:tc>
        <w:tc>
          <w:tcPr>
            <w:tcW w:w="0" w:type="auto"/>
            <w:tcMar>
              <w:top w:w="0" w:type="dxa"/>
              <w:left w:w="115" w:type="dxa"/>
              <w:bottom w:w="0" w:type="dxa"/>
              <w:right w:w="115" w:type="dxa"/>
            </w:tcMar>
            <w:vAlign w:val="bottom"/>
            <w:hideMark/>
          </w:tcPr>
          <w:p w14:paraId="3F1D0770"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0.0009</w:t>
            </w:r>
          </w:p>
        </w:tc>
        <w:tc>
          <w:tcPr>
            <w:tcW w:w="0" w:type="auto"/>
            <w:tcMar>
              <w:top w:w="0" w:type="dxa"/>
              <w:left w:w="115" w:type="dxa"/>
              <w:bottom w:w="0" w:type="dxa"/>
              <w:right w:w="115" w:type="dxa"/>
            </w:tcMar>
            <w:vAlign w:val="bottom"/>
            <w:hideMark/>
          </w:tcPr>
          <w:p w14:paraId="57B33CD0" w14:textId="77777777" w:rsidR="00C033B5" w:rsidRPr="004F735C" w:rsidRDefault="00C033B5" w:rsidP="00C033B5">
            <w:pPr>
              <w:rPr>
                <w:rFonts w:asciiTheme="majorBidi" w:hAnsiTheme="majorBidi" w:cstheme="majorBidi"/>
              </w:rPr>
            </w:pPr>
            <w:r w:rsidRPr="004F735C">
              <w:rPr>
                <w:rFonts w:asciiTheme="majorBidi" w:hAnsiTheme="majorBidi" w:cstheme="majorBidi"/>
              </w:rPr>
              <w:t>213,088</w:t>
            </w:r>
          </w:p>
        </w:tc>
        <w:tc>
          <w:tcPr>
            <w:tcW w:w="0" w:type="auto"/>
            <w:tcMar>
              <w:top w:w="0" w:type="dxa"/>
              <w:left w:w="115" w:type="dxa"/>
              <w:bottom w:w="0" w:type="dxa"/>
              <w:right w:w="115" w:type="dxa"/>
            </w:tcMar>
            <w:vAlign w:val="bottom"/>
            <w:hideMark/>
          </w:tcPr>
          <w:p w14:paraId="1230CB56" w14:textId="77777777" w:rsidR="00C033B5" w:rsidRPr="004F735C" w:rsidRDefault="00C033B5" w:rsidP="00C033B5">
            <w:pPr>
              <w:rPr>
                <w:rFonts w:asciiTheme="majorBidi" w:hAnsiTheme="majorBidi" w:cstheme="majorBidi"/>
              </w:rPr>
            </w:pPr>
            <w:r w:rsidRPr="004F735C">
              <w:rPr>
                <w:rFonts w:asciiTheme="majorBidi" w:hAnsiTheme="majorBidi" w:cstheme="majorBidi"/>
              </w:rPr>
              <w:t>0.1897</w:t>
            </w:r>
          </w:p>
        </w:tc>
        <w:tc>
          <w:tcPr>
            <w:tcW w:w="0" w:type="auto"/>
            <w:tcMar>
              <w:top w:w="0" w:type="dxa"/>
              <w:left w:w="115" w:type="dxa"/>
              <w:bottom w:w="0" w:type="dxa"/>
              <w:right w:w="115" w:type="dxa"/>
            </w:tcMar>
            <w:vAlign w:val="bottom"/>
            <w:hideMark/>
          </w:tcPr>
          <w:p w14:paraId="74F55890" w14:textId="77777777" w:rsidR="00C033B5" w:rsidRPr="004F735C" w:rsidRDefault="00C033B5" w:rsidP="00C033B5">
            <w:pPr>
              <w:rPr>
                <w:rFonts w:asciiTheme="majorBidi" w:hAnsiTheme="majorBidi" w:cstheme="majorBidi"/>
              </w:rPr>
            </w:pPr>
            <w:r w:rsidRPr="004F735C">
              <w:rPr>
                <w:rFonts w:asciiTheme="majorBidi" w:hAnsiTheme="majorBidi" w:cstheme="majorBidi"/>
              </w:rPr>
              <w:t>-0.1888***</w:t>
            </w:r>
          </w:p>
        </w:tc>
      </w:tr>
      <w:tr w:rsidR="00C033B5" w:rsidRPr="004F735C" w14:paraId="224D4FBF" w14:textId="77777777">
        <w:trPr>
          <w:trHeight w:val="20"/>
        </w:trPr>
        <w:tc>
          <w:tcPr>
            <w:tcW w:w="0" w:type="auto"/>
            <w:tcBorders>
              <w:bottom w:val="single" w:sz="4" w:space="0" w:color="000000"/>
            </w:tcBorders>
            <w:tcMar>
              <w:top w:w="0" w:type="dxa"/>
              <w:left w:w="115" w:type="dxa"/>
              <w:bottom w:w="0" w:type="dxa"/>
              <w:right w:w="115" w:type="dxa"/>
            </w:tcMar>
            <w:vAlign w:val="bottom"/>
            <w:hideMark/>
          </w:tcPr>
          <w:p w14:paraId="35796A30"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Sevdef</w:t>
            </w:r>
            <w:proofErr w:type="spellEnd"/>
          </w:p>
        </w:tc>
        <w:tc>
          <w:tcPr>
            <w:tcW w:w="0" w:type="auto"/>
            <w:tcBorders>
              <w:bottom w:val="single" w:sz="4" w:space="0" w:color="000000"/>
            </w:tcBorders>
            <w:tcMar>
              <w:top w:w="0" w:type="dxa"/>
              <w:left w:w="115" w:type="dxa"/>
              <w:bottom w:w="0" w:type="dxa"/>
              <w:right w:w="115" w:type="dxa"/>
            </w:tcMar>
            <w:vAlign w:val="bottom"/>
            <w:hideMark/>
          </w:tcPr>
          <w:p w14:paraId="0DEB8FE8" w14:textId="77777777" w:rsidR="00C033B5" w:rsidRPr="004F735C" w:rsidRDefault="00C033B5" w:rsidP="00C033B5">
            <w:pPr>
              <w:rPr>
                <w:rFonts w:asciiTheme="majorBidi" w:hAnsiTheme="majorBidi" w:cstheme="majorBidi"/>
              </w:rPr>
            </w:pPr>
            <w:r w:rsidRPr="004F735C">
              <w:rPr>
                <w:rFonts w:asciiTheme="majorBidi" w:hAnsiTheme="majorBidi" w:cstheme="majorBidi"/>
              </w:rPr>
              <w:t>1,404,090</w:t>
            </w:r>
          </w:p>
        </w:tc>
        <w:tc>
          <w:tcPr>
            <w:tcW w:w="0" w:type="auto"/>
            <w:tcBorders>
              <w:bottom w:val="single" w:sz="4" w:space="0" w:color="000000"/>
            </w:tcBorders>
            <w:tcMar>
              <w:top w:w="0" w:type="dxa"/>
              <w:left w:w="115" w:type="dxa"/>
              <w:bottom w:w="0" w:type="dxa"/>
              <w:right w:w="115" w:type="dxa"/>
            </w:tcMar>
            <w:vAlign w:val="bottom"/>
            <w:hideMark/>
          </w:tcPr>
          <w:p w14:paraId="20FC60F2"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0.0007</w:t>
            </w:r>
          </w:p>
        </w:tc>
        <w:tc>
          <w:tcPr>
            <w:tcW w:w="0" w:type="auto"/>
            <w:tcBorders>
              <w:bottom w:val="single" w:sz="4" w:space="0" w:color="000000"/>
            </w:tcBorders>
            <w:tcMar>
              <w:top w:w="0" w:type="dxa"/>
              <w:left w:w="115" w:type="dxa"/>
              <w:bottom w:w="0" w:type="dxa"/>
              <w:right w:w="115" w:type="dxa"/>
            </w:tcMar>
            <w:vAlign w:val="bottom"/>
            <w:hideMark/>
          </w:tcPr>
          <w:p w14:paraId="0D1FD718" w14:textId="77777777" w:rsidR="00C033B5" w:rsidRPr="004F735C" w:rsidRDefault="00C033B5" w:rsidP="00C033B5">
            <w:pPr>
              <w:rPr>
                <w:rFonts w:asciiTheme="majorBidi" w:hAnsiTheme="majorBidi" w:cstheme="majorBidi"/>
              </w:rPr>
            </w:pPr>
            <w:r w:rsidRPr="004F735C">
              <w:rPr>
                <w:rFonts w:asciiTheme="majorBidi" w:hAnsiTheme="majorBidi" w:cstheme="majorBidi"/>
              </w:rPr>
              <w:t>213,088</w:t>
            </w:r>
          </w:p>
        </w:tc>
        <w:tc>
          <w:tcPr>
            <w:tcW w:w="0" w:type="auto"/>
            <w:tcBorders>
              <w:bottom w:val="single" w:sz="4" w:space="0" w:color="000000"/>
            </w:tcBorders>
            <w:tcMar>
              <w:top w:w="0" w:type="dxa"/>
              <w:left w:w="115" w:type="dxa"/>
              <w:bottom w:w="0" w:type="dxa"/>
              <w:right w:w="115" w:type="dxa"/>
            </w:tcMar>
            <w:vAlign w:val="bottom"/>
            <w:hideMark/>
          </w:tcPr>
          <w:p w14:paraId="198B6985" w14:textId="77777777" w:rsidR="00C033B5" w:rsidRPr="004F735C" w:rsidRDefault="00C033B5" w:rsidP="00C033B5">
            <w:pPr>
              <w:rPr>
                <w:rFonts w:asciiTheme="majorBidi" w:hAnsiTheme="majorBidi" w:cstheme="majorBidi"/>
              </w:rPr>
            </w:pPr>
            <w:r w:rsidRPr="004F735C">
              <w:rPr>
                <w:rFonts w:asciiTheme="majorBidi" w:hAnsiTheme="majorBidi" w:cstheme="majorBidi"/>
              </w:rPr>
              <w:t>0.1756</w:t>
            </w:r>
          </w:p>
        </w:tc>
        <w:tc>
          <w:tcPr>
            <w:tcW w:w="0" w:type="auto"/>
            <w:tcBorders>
              <w:bottom w:val="single" w:sz="4" w:space="0" w:color="000000"/>
            </w:tcBorders>
            <w:tcMar>
              <w:top w:w="0" w:type="dxa"/>
              <w:left w:w="115" w:type="dxa"/>
              <w:bottom w:w="0" w:type="dxa"/>
              <w:right w:w="115" w:type="dxa"/>
            </w:tcMar>
            <w:vAlign w:val="bottom"/>
            <w:hideMark/>
          </w:tcPr>
          <w:p w14:paraId="145BD6D4" w14:textId="77777777" w:rsidR="00C033B5" w:rsidRPr="004F735C" w:rsidRDefault="00C033B5" w:rsidP="00C033B5">
            <w:pPr>
              <w:rPr>
                <w:rFonts w:asciiTheme="majorBidi" w:hAnsiTheme="majorBidi" w:cstheme="majorBidi"/>
              </w:rPr>
            </w:pPr>
            <w:r w:rsidRPr="004F735C">
              <w:rPr>
                <w:rFonts w:asciiTheme="majorBidi" w:hAnsiTheme="majorBidi" w:cstheme="majorBidi"/>
              </w:rPr>
              <w:t>-0.1750***</w:t>
            </w:r>
          </w:p>
        </w:tc>
      </w:tr>
      <w:tr w:rsidR="00C033B5" w:rsidRPr="004F735C" w14:paraId="0E62C0F6" w14:textId="77777777">
        <w:trPr>
          <w:trHeight w:val="20"/>
        </w:trPr>
        <w:tc>
          <w:tcPr>
            <w:tcW w:w="0" w:type="auto"/>
            <w:gridSpan w:val="6"/>
            <w:tcBorders>
              <w:top w:val="single" w:sz="4" w:space="0" w:color="000000"/>
            </w:tcBorders>
            <w:tcMar>
              <w:top w:w="0" w:type="dxa"/>
              <w:left w:w="115" w:type="dxa"/>
              <w:bottom w:w="0" w:type="dxa"/>
              <w:right w:w="115" w:type="dxa"/>
            </w:tcMar>
            <w:vAlign w:val="bottom"/>
            <w:hideMark/>
          </w:tcPr>
          <w:p w14:paraId="0AF905DE" w14:textId="77777777" w:rsidR="00C033B5" w:rsidRPr="004F735C" w:rsidRDefault="00C033B5" w:rsidP="00C033B5">
            <w:pPr>
              <w:rPr>
                <w:rFonts w:asciiTheme="majorBidi" w:hAnsiTheme="majorBidi" w:cstheme="majorBidi"/>
              </w:rPr>
            </w:pPr>
            <w:r w:rsidRPr="004F735C">
              <w:rPr>
                <w:rFonts w:asciiTheme="majorBidi" w:hAnsiTheme="majorBidi" w:cstheme="majorBidi"/>
                <w:b/>
                <w:bCs/>
                <w:i/>
                <w:iCs/>
              </w:rPr>
              <w:t>Note</w:t>
            </w:r>
            <w:r w:rsidRPr="004F735C">
              <w:rPr>
                <w:rFonts w:asciiTheme="majorBidi" w:hAnsiTheme="majorBidi" w:cstheme="majorBidi"/>
                <w:i/>
                <w:iCs/>
              </w:rPr>
              <w:t>: The table reports the mean difference between two samples (Claims and Notes) in our study. Panel A and Panel B represents sample of Claims and Notes respectively. *, **, *** indicate significance at 10%, 5%, and 1% levels respectively.</w:t>
            </w:r>
          </w:p>
        </w:tc>
      </w:tr>
    </w:tbl>
    <w:p w14:paraId="4AC600EB" w14:textId="18E47608" w:rsidR="00C033B5" w:rsidRPr="00C033B5" w:rsidRDefault="00C033B5" w:rsidP="00C033B5">
      <w:r w:rsidRPr="00C033B5">
        <w:br/>
      </w:r>
    </w:p>
    <w:p w14:paraId="291E0320" w14:textId="77777777" w:rsidR="00C033B5" w:rsidRPr="00C033B5" w:rsidRDefault="00C033B5" w:rsidP="00D61F58">
      <w:pPr>
        <w:jc w:val="center"/>
      </w:pPr>
      <w:r w:rsidRPr="00D61F58">
        <w:rPr>
          <w:b/>
          <w:bCs/>
        </w:rPr>
        <w:t>Appendix Table A3</w:t>
      </w:r>
      <w:r w:rsidRPr="00C033B5">
        <w:t>: Summary statistics</w:t>
      </w:r>
    </w:p>
    <w:tbl>
      <w:tblPr>
        <w:tblW w:w="0" w:type="auto"/>
        <w:tblBorders>
          <w:top w:val="single" w:sz="4" w:space="0" w:color="000000"/>
          <w:bottom w:val="single" w:sz="4" w:space="0" w:color="000000"/>
          <w:insideH w:val="single" w:sz="4" w:space="0" w:color="auto"/>
        </w:tblBorders>
        <w:tblCellMar>
          <w:top w:w="15" w:type="dxa"/>
          <w:left w:w="15" w:type="dxa"/>
          <w:bottom w:w="15" w:type="dxa"/>
          <w:right w:w="15" w:type="dxa"/>
        </w:tblCellMar>
        <w:tblLook w:val="04A0" w:firstRow="1" w:lastRow="0" w:firstColumn="1" w:lastColumn="0" w:noHBand="0" w:noVBand="1"/>
      </w:tblPr>
      <w:tblGrid>
        <w:gridCol w:w="1146"/>
        <w:gridCol w:w="995"/>
        <w:gridCol w:w="996"/>
        <w:gridCol w:w="910"/>
        <w:gridCol w:w="1081"/>
        <w:gridCol w:w="996"/>
        <w:gridCol w:w="996"/>
        <w:gridCol w:w="910"/>
        <w:gridCol w:w="996"/>
      </w:tblGrid>
      <w:tr w:rsidR="00C033B5" w:rsidRPr="004F735C" w14:paraId="17B8EBC2" w14:textId="77777777" w:rsidTr="004F735C">
        <w:trPr>
          <w:trHeight w:val="20"/>
        </w:trPr>
        <w:tc>
          <w:tcPr>
            <w:tcW w:w="0" w:type="auto"/>
            <w:tcMar>
              <w:top w:w="0" w:type="dxa"/>
              <w:left w:w="115" w:type="dxa"/>
              <w:bottom w:w="0" w:type="dxa"/>
              <w:right w:w="115" w:type="dxa"/>
            </w:tcMar>
            <w:vAlign w:val="bottom"/>
            <w:hideMark/>
          </w:tcPr>
          <w:p w14:paraId="7F6AAE99"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bottom"/>
            <w:hideMark/>
          </w:tcPr>
          <w:p w14:paraId="3AB92AD4"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PANEL A</w:t>
            </w:r>
          </w:p>
        </w:tc>
        <w:tc>
          <w:tcPr>
            <w:tcW w:w="0" w:type="auto"/>
            <w:tcMar>
              <w:top w:w="0" w:type="dxa"/>
              <w:left w:w="115" w:type="dxa"/>
              <w:bottom w:w="0" w:type="dxa"/>
              <w:right w:w="115" w:type="dxa"/>
            </w:tcMar>
            <w:vAlign w:val="bottom"/>
            <w:hideMark/>
          </w:tcPr>
          <w:p w14:paraId="6CACDB9B"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bottom"/>
            <w:hideMark/>
          </w:tcPr>
          <w:p w14:paraId="3E71CC49"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bottom"/>
            <w:hideMark/>
          </w:tcPr>
          <w:p w14:paraId="2EB6D37A"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36DBC9AF"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PANEL B</w:t>
            </w:r>
          </w:p>
        </w:tc>
        <w:tc>
          <w:tcPr>
            <w:tcW w:w="0" w:type="auto"/>
            <w:tcMar>
              <w:top w:w="0" w:type="dxa"/>
              <w:left w:w="115" w:type="dxa"/>
              <w:bottom w:w="0" w:type="dxa"/>
              <w:right w:w="115" w:type="dxa"/>
            </w:tcMar>
            <w:hideMark/>
          </w:tcPr>
          <w:p w14:paraId="28D51AAA"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126CA84E"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6D8162D1" w14:textId="77777777" w:rsidR="00C033B5" w:rsidRPr="004F735C" w:rsidRDefault="00C033B5" w:rsidP="00C033B5">
            <w:pPr>
              <w:rPr>
                <w:rFonts w:asciiTheme="majorBidi" w:hAnsiTheme="majorBidi" w:cstheme="majorBidi"/>
              </w:rPr>
            </w:pPr>
          </w:p>
        </w:tc>
      </w:tr>
      <w:tr w:rsidR="00C033B5" w:rsidRPr="004F735C" w14:paraId="748F2AA9" w14:textId="77777777" w:rsidTr="004F735C">
        <w:trPr>
          <w:trHeight w:val="20"/>
        </w:trPr>
        <w:tc>
          <w:tcPr>
            <w:tcW w:w="0" w:type="auto"/>
            <w:tcMar>
              <w:top w:w="0" w:type="dxa"/>
              <w:left w:w="115" w:type="dxa"/>
              <w:bottom w:w="0" w:type="dxa"/>
              <w:right w:w="115" w:type="dxa"/>
            </w:tcMar>
            <w:vAlign w:val="bottom"/>
            <w:hideMark/>
          </w:tcPr>
          <w:p w14:paraId="2C392075"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Variable</w:t>
            </w:r>
          </w:p>
        </w:tc>
        <w:tc>
          <w:tcPr>
            <w:tcW w:w="0" w:type="auto"/>
            <w:tcMar>
              <w:top w:w="0" w:type="dxa"/>
              <w:left w:w="115" w:type="dxa"/>
              <w:bottom w:w="0" w:type="dxa"/>
              <w:right w:w="115" w:type="dxa"/>
            </w:tcMar>
            <w:vAlign w:val="bottom"/>
            <w:hideMark/>
          </w:tcPr>
          <w:p w14:paraId="269EFE13"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Mean</w:t>
            </w:r>
          </w:p>
        </w:tc>
        <w:tc>
          <w:tcPr>
            <w:tcW w:w="0" w:type="auto"/>
            <w:tcMar>
              <w:top w:w="0" w:type="dxa"/>
              <w:left w:w="115" w:type="dxa"/>
              <w:bottom w:w="0" w:type="dxa"/>
              <w:right w:w="115" w:type="dxa"/>
            </w:tcMar>
            <w:vAlign w:val="bottom"/>
            <w:hideMark/>
          </w:tcPr>
          <w:p w14:paraId="3C85E303"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b/>
                <w:bCs/>
              </w:rPr>
              <w:t>Std.Dev</w:t>
            </w:r>
            <w:proofErr w:type="spellEnd"/>
            <w:r w:rsidRPr="004F735C">
              <w:rPr>
                <w:rFonts w:asciiTheme="majorBidi" w:hAnsiTheme="majorBidi" w:cstheme="majorBidi"/>
                <w:b/>
                <w:bCs/>
              </w:rPr>
              <w:t>.</w:t>
            </w:r>
          </w:p>
        </w:tc>
        <w:tc>
          <w:tcPr>
            <w:tcW w:w="0" w:type="auto"/>
            <w:tcMar>
              <w:top w:w="0" w:type="dxa"/>
              <w:left w:w="115" w:type="dxa"/>
              <w:bottom w:w="0" w:type="dxa"/>
              <w:right w:w="115" w:type="dxa"/>
            </w:tcMar>
            <w:vAlign w:val="bottom"/>
            <w:hideMark/>
          </w:tcPr>
          <w:p w14:paraId="7762C832"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Min</w:t>
            </w:r>
          </w:p>
        </w:tc>
        <w:tc>
          <w:tcPr>
            <w:tcW w:w="0" w:type="auto"/>
            <w:tcMar>
              <w:top w:w="0" w:type="dxa"/>
              <w:left w:w="115" w:type="dxa"/>
              <w:bottom w:w="0" w:type="dxa"/>
              <w:right w:w="115" w:type="dxa"/>
            </w:tcMar>
            <w:vAlign w:val="bottom"/>
            <w:hideMark/>
          </w:tcPr>
          <w:p w14:paraId="23A72BC3"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Max</w:t>
            </w:r>
          </w:p>
        </w:tc>
        <w:tc>
          <w:tcPr>
            <w:tcW w:w="0" w:type="auto"/>
            <w:tcMar>
              <w:top w:w="0" w:type="dxa"/>
              <w:left w:w="115" w:type="dxa"/>
              <w:bottom w:w="0" w:type="dxa"/>
              <w:right w:w="115" w:type="dxa"/>
            </w:tcMar>
            <w:vAlign w:val="bottom"/>
            <w:hideMark/>
          </w:tcPr>
          <w:p w14:paraId="5F46AC95"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Mean</w:t>
            </w:r>
          </w:p>
        </w:tc>
        <w:tc>
          <w:tcPr>
            <w:tcW w:w="0" w:type="auto"/>
            <w:tcMar>
              <w:top w:w="0" w:type="dxa"/>
              <w:left w:w="115" w:type="dxa"/>
              <w:bottom w:w="0" w:type="dxa"/>
              <w:right w:w="115" w:type="dxa"/>
            </w:tcMar>
            <w:vAlign w:val="bottom"/>
            <w:hideMark/>
          </w:tcPr>
          <w:p w14:paraId="3557BAAE"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b/>
                <w:bCs/>
              </w:rPr>
              <w:t>Std.Dev</w:t>
            </w:r>
            <w:proofErr w:type="spellEnd"/>
            <w:r w:rsidRPr="004F735C">
              <w:rPr>
                <w:rFonts w:asciiTheme="majorBidi" w:hAnsiTheme="majorBidi" w:cstheme="majorBidi"/>
                <w:b/>
                <w:bCs/>
              </w:rPr>
              <w:t>.</w:t>
            </w:r>
          </w:p>
        </w:tc>
        <w:tc>
          <w:tcPr>
            <w:tcW w:w="0" w:type="auto"/>
            <w:tcMar>
              <w:top w:w="0" w:type="dxa"/>
              <w:left w:w="115" w:type="dxa"/>
              <w:bottom w:w="0" w:type="dxa"/>
              <w:right w:w="115" w:type="dxa"/>
            </w:tcMar>
            <w:vAlign w:val="bottom"/>
            <w:hideMark/>
          </w:tcPr>
          <w:p w14:paraId="01A163EE"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Min</w:t>
            </w:r>
          </w:p>
        </w:tc>
        <w:tc>
          <w:tcPr>
            <w:tcW w:w="0" w:type="auto"/>
            <w:tcMar>
              <w:top w:w="0" w:type="dxa"/>
              <w:left w:w="115" w:type="dxa"/>
              <w:bottom w:w="0" w:type="dxa"/>
              <w:right w:w="115" w:type="dxa"/>
            </w:tcMar>
            <w:vAlign w:val="bottom"/>
            <w:hideMark/>
          </w:tcPr>
          <w:p w14:paraId="27835636"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Max</w:t>
            </w:r>
          </w:p>
        </w:tc>
      </w:tr>
      <w:tr w:rsidR="00C033B5" w:rsidRPr="004F735C" w14:paraId="65851E4E" w14:textId="77777777" w:rsidTr="004F735C">
        <w:trPr>
          <w:trHeight w:val="20"/>
        </w:trPr>
        <w:tc>
          <w:tcPr>
            <w:tcW w:w="0" w:type="auto"/>
            <w:tcBorders>
              <w:bottom w:val="single" w:sz="4" w:space="0" w:color="auto"/>
            </w:tcBorders>
            <w:tcMar>
              <w:top w:w="0" w:type="dxa"/>
              <w:left w:w="115" w:type="dxa"/>
              <w:bottom w:w="0" w:type="dxa"/>
              <w:right w:w="115" w:type="dxa"/>
            </w:tcMar>
            <w:hideMark/>
          </w:tcPr>
          <w:p w14:paraId="336480F5"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PANEL A</w:t>
            </w:r>
          </w:p>
        </w:tc>
        <w:tc>
          <w:tcPr>
            <w:tcW w:w="0" w:type="auto"/>
            <w:tcBorders>
              <w:bottom w:val="single" w:sz="4" w:space="0" w:color="auto"/>
            </w:tcBorders>
            <w:tcMar>
              <w:top w:w="0" w:type="dxa"/>
              <w:left w:w="115" w:type="dxa"/>
              <w:bottom w:w="0" w:type="dxa"/>
              <w:right w:w="115" w:type="dxa"/>
            </w:tcMar>
            <w:hideMark/>
          </w:tcPr>
          <w:p w14:paraId="31B3F3EC" w14:textId="77777777" w:rsidR="00C033B5" w:rsidRPr="004F735C" w:rsidRDefault="00C033B5" w:rsidP="00C033B5">
            <w:pPr>
              <w:rPr>
                <w:rFonts w:asciiTheme="majorBidi" w:hAnsiTheme="majorBidi" w:cstheme="majorBidi"/>
              </w:rPr>
            </w:pPr>
          </w:p>
        </w:tc>
        <w:tc>
          <w:tcPr>
            <w:tcW w:w="0" w:type="auto"/>
            <w:tcBorders>
              <w:bottom w:val="single" w:sz="4" w:space="0" w:color="auto"/>
            </w:tcBorders>
            <w:tcMar>
              <w:top w:w="0" w:type="dxa"/>
              <w:left w:w="115" w:type="dxa"/>
              <w:bottom w:w="0" w:type="dxa"/>
              <w:right w:w="115" w:type="dxa"/>
            </w:tcMar>
            <w:hideMark/>
          </w:tcPr>
          <w:p w14:paraId="5FA1720F" w14:textId="77777777" w:rsidR="00C033B5" w:rsidRPr="004F735C" w:rsidRDefault="00C033B5" w:rsidP="00C033B5">
            <w:pPr>
              <w:rPr>
                <w:rFonts w:asciiTheme="majorBidi" w:hAnsiTheme="majorBidi" w:cstheme="majorBidi"/>
              </w:rPr>
            </w:pPr>
          </w:p>
        </w:tc>
        <w:tc>
          <w:tcPr>
            <w:tcW w:w="0" w:type="auto"/>
            <w:tcBorders>
              <w:bottom w:val="single" w:sz="4" w:space="0" w:color="auto"/>
            </w:tcBorders>
            <w:tcMar>
              <w:top w:w="0" w:type="dxa"/>
              <w:left w:w="115" w:type="dxa"/>
              <w:bottom w:w="0" w:type="dxa"/>
              <w:right w:w="115" w:type="dxa"/>
            </w:tcMar>
            <w:hideMark/>
          </w:tcPr>
          <w:p w14:paraId="4FA194AC" w14:textId="77777777" w:rsidR="00C033B5" w:rsidRPr="004F735C" w:rsidRDefault="00C033B5" w:rsidP="00C033B5">
            <w:pPr>
              <w:rPr>
                <w:rFonts w:asciiTheme="majorBidi" w:hAnsiTheme="majorBidi" w:cstheme="majorBidi"/>
              </w:rPr>
            </w:pPr>
          </w:p>
        </w:tc>
        <w:tc>
          <w:tcPr>
            <w:tcW w:w="0" w:type="auto"/>
            <w:tcBorders>
              <w:bottom w:val="single" w:sz="4" w:space="0" w:color="auto"/>
            </w:tcBorders>
            <w:tcMar>
              <w:top w:w="0" w:type="dxa"/>
              <w:left w:w="115" w:type="dxa"/>
              <w:bottom w:w="0" w:type="dxa"/>
              <w:right w:w="115" w:type="dxa"/>
            </w:tcMar>
            <w:hideMark/>
          </w:tcPr>
          <w:p w14:paraId="04D1618E" w14:textId="77777777" w:rsidR="00C033B5" w:rsidRPr="004F735C" w:rsidRDefault="00C033B5" w:rsidP="00C033B5">
            <w:pPr>
              <w:rPr>
                <w:rFonts w:asciiTheme="majorBidi" w:hAnsiTheme="majorBidi" w:cstheme="majorBidi"/>
              </w:rPr>
            </w:pPr>
          </w:p>
        </w:tc>
        <w:tc>
          <w:tcPr>
            <w:tcW w:w="0" w:type="auto"/>
            <w:tcBorders>
              <w:bottom w:val="single" w:sz="4" w:space="0" w:color="auto"/>
            </w:tcBorders>
            <w:tcMar>
              <w:top w:w="0" w:type="dxa"/>
              <w:left w:w="115" w:type="dxa"/>
              <w:bottom w:w="0" w:type="dxa"/>
              <w:right w:w="115" w:type="dxa"/>
            </w:tcMar>
            <w:hideMark/>
          </w:tcPr>
          <w:p w14:paraId="6F983A9B" w14:textId="77777777" w:rsidR="00C033B5" w:rsidRPr="004F735C" w:rsidRDefault="00C033B5" w:rsidP="00C033B5">
            <w:pPr>
              <w:rPr>
                <w:rFonts w:asciiTheme="majorBidi" w:hAnsiTheme="majorBidi" w:cstheme="majorBidi"/>
              </w:rPr>
            </w:pPr>
          </w:p>
        </w:tc>
        <w:tc>
          <w:tcPr>
            <w:tcW w:w="0" w:type="auto"/>
            <w:tcBorders>
              <w:bottom w:val="single" w:sz="4" w:space="0" w:color="auto"/>
            </w:tcBorders>
            <w:tcMar>
              <w:top w:w="0" w:type="dxa"/>
              <w:left w:w="115" w:type="dxa"/>
              <w:bottom w:w="0" w:type="dxa"/>
              <w:right w:w="115" w:type="dxa"/>
            </w:tcMar>
            <w:hideMark/>
          </w:tcPr>
          <w:p w14:paraId="3E0D4B16" w14:textId="77777777" w:rsidR="00C033B5" w:rsidRPr="004F735C" w:rsidRDefault="00C033B5" w:rsidP="00C033B5">
            <w:pPr>
              <w:rPr>
                <w:rFonts w:asciiTheme="majorBidi" w:hAnsiTheme="majorBidi" w:cstheme="majorBidi"/>
              </w:rPr>
            </w:pPr>
          </w:p>
        </w:tc>
        <w:tc>
          <w:tcPr>
            <w:tcW w:w="0" w:type="auto"/>
            <w:tcBorders>
              <w:bottom w:val="single" w:sz="4" w:space="0" w:color="auto"/>
            </w:tcBorders>
            <w:tcMar>
              <w:top w:w="0" w:type="dxa"/>
              <w:left w:w="115" w:type="dxa"/>
              <w:bottom w:w="0" w:type="dxa"/>
              <w:right w:w="115" w:type="dxa"/>
            </w:tcMar>
            <w:hideMark/>
          </w:tcPr>
          <w:p w14:paraId="1F0671B9" w14:textId="77777777" w:rsidR="00C033B5" w:rsidRPr="004F735C" w:rsidRDefault="00C033B5" w:rsidP="00C033B5">
            <w:pPr>
              <w:rPr>
                <w:rFonts w:asciiTheme="majorBidi" w:hAnsiTheme="majorBidi" w:cstheme="majorBidi"/>
              </w:rPr>
            </w:pPr>
          </w:p>
        </w:tc>
        <w:tc>
          <w:tcPr>
            <w:tcW w:w="0" w:type="auto"/>
            <w:tcBorders>
              <w:bottom w:val="single" w:sz="4" w:space="0" w:color="auto"/>
            </w:tcBorders>
            <w:tcMar>
              <w:top w:w="0" w:type="dxa"/>
              <w:left w:w="115" w:type="dxa"/>
              <w:bottom w:w="0" w:type="dxa"/>
              <w:right w:w="115" w:type="dxa"/>
            </w:tcMar>
            <w:hideMark/>
          </w:tcPr>
          <w:p w14:paraId="55457ACE" w14:textId="77777777" w:rsidR="00C033B5" w:rsidRPr="004F735C" w:rsidRDefault="00C033B5" w:rsidP="00C033B5">
            <w:pPr>
              <w:rPr>
                <w:rFonts w:asciiTheme="majorBidi" w:hAnsiTheme="majorBidi" w:cstheme="majorBidi"/>
              </w:rPr>
            </w:pPr>
          </w:p>
        </w:tc>
      </w:tr>
      <w:tr w:rsidR="00C033B5" w:rsidRPr="004F735C" w14:paraId="5FC57AB6" w14:textId="77777777" w:rsidTr="004F735C">
        <w:trPr>
          <w:trHeight w:val="20"/>
        </w:trPr>
        <w:tc>
          <w:tcPr>
            <w:tcW w:w="0" w:type="auto"/>
            <w:tcBorders>
              <w:top w:val="single" w:sz="4" w:space="0" w:color="auto"/>
              <w:bottom w:val="nil"/>
            </w:tcBorders>
            <w:tcMar>
              <w:top w:w="0" w:type="dxa"/>
              <w:left w:w="115" w:type="dxa"/>
              <w:bottom w:w="0" w:type="dxa"/>
              <w:right w:w="115" w:type="dxa"/>
            </w:tcMar>
            <w:hideMark/>
          </w:tcPr>
          <w:p w14:paraId="3EE87EA3" w14:textId="77777777" w:rsidR="00C033B5" w:rsidRPr="004F735C" w:rsidRDefault="00C033B5" w:rsidP="00C033B5">
            <w:pPr>
              <w:rPr>
                <w:rFonts w:asciiTheme="majorBidi" w:hAnsiTheme="majorBidi" w:cstheme="majorBidi"/>
              </w:rPr>
            </w:pPr>
            <w:r w:rsidRPr="004F735C">
              <w:rPr>
                <w:rFonts w:asciiTheme="majorBidi" w:hAnsiTheme="majorBidi" w:cstheme="majorBidi"/>
              </w:rPr>
              <w:t>Interest</w:t>
            </w:r>
          </w:p>
        </w:tc>
        <w:tc>
          <w:tcPr>
            <w:tcW w:w="0" w:type="auto"/>
            <w:tcBorders>
              <w:top w:val="single" w:sz="4" w:space="0" w:color="auto"/>
              <w:bottom w:val="nil"/>
            </w:tcBorders>
            <w:tcMar>
              <w:top w:w="0" w:type="dxa"/>
              <w:left w:w="115" w:type="dxa"/>
              <w:bottom w:w="0" w:type="dxa"/>
              <w:right w:w="115" w:type="dxa"/>
            </w:tcMar>
            <w:hideMark/>
          </w:tcPr>
          <w:p w14:paraId="784F070E" w14:textId="77777777" w:rsidR="00C033B5" w:rsidRPr="004F735C" w:rsidRDefault="00C033B5" w:rsidP="00C033B5">
            <w:pPr>
              <w:rPr>
                <w:rFonts w:asciiTheme="majorBidi" w:hAnsiTheme="majorBidi" w:cstheme="majorBidi"/>
              </w:rPr>
            </w:pPr>
            <w:r w:rsidRPr="004F735C">
              <w:rPr>
                <w:rFonts w:asciiTheme="majorBidi" w:hAnsiTheme="majorBidi" w:cstheme="majorBidi"/>
              </w:rPr>
              <w:t>0.0919</w:t>
            </w:r>
          </w:p>
        </w:tc>
        <w:tc>
          <w:tcPr>
            <w:tcW w:w="0" w:type="auto"/>
            <w:tcBorders>
              <w:top w:val="single" w:sz="4" w:space="0" w:color="auto"/>
              <w:bottom w:val="nil"/>
            </w:tcBorders>
            <w:tcMar>
              <w:top w:w="0" w:type="dxa"/>
              <w:left w:w="115" w:type="dxa"/>
              <w:bottom w:w="0" w:type="dxa"/>
              <w:right w:w="115" w:type="dxa"/>
            </w:tcMar>
            <w:hideMark/>
          </w:tcPr>
          <w:p w14:paraId="0ACEAE1C" w14:textId="77777777" w:rsidR="00C033B5" w:rsidRPr="004F735C" w:rsidRDefault="00C033B5" w:rsidP="00C033B5">
            <w:pPr>
              <w:rPr>
                <w:rFonts w:asciiTheme="majorBidi" w:hAnsiTheme="majorBidi" w:cstheme="majorBidi"/>
              </w:rPr>
            </w:pPr>
            <w:r w:rsidRPr="004F735C">
              <w:rPr>
                <w:rFonts w:asciiTheme="majorBidi" w:hAnsiTheme="majorBidi" w:cstheme="majorBidi"/>
              </w:rPr>
              <w:t>0.0205</w:t>
            </w:r>
          </w:p>
        </w:tc>
        <w:tc>
          <w:tcPr>
            <w:tcW w:w="0" w:type="auto"/>
            <w:tcBorders>
              <w:top w:val="single" w:sz="4" w:space="0" w:color="auto"/>
              <w:bottom w:val="nil"/>
            </w:tcBorders>
            <w:tcMar>
              <w:top w:w="0" w:type="dxa"/>
              <w:left w:w="115" w:type="dxa"/>
              <w:bottom w:w="0" w:type="dxa"/>
              <w:right w:w="115" w:type="dxa"/>
            </w:tcMar>
            <w:hideMark/>
          </w:tcPr>
          <w:p w14:paraId="35FA0BC4" w14:textId="77777777" w:rsidR="00C033B5" w:rsidRPr="004F735C" w:rsidRDefault="00C033B5" w:rsidP="00C033B5">
            <w:pPr>
              <w:rPr>
                <w:rFonts w:asciiTheme="majorBidi" w:hAnsiTheme="majorBidi" w:cstheme="majorBidi"/>
              </w:rPr>
            </w:pPr>
            <w:r w:rsidRPr="004F735C">
              <w:rPr>
                <w:rFonts w:asciiTheme="majorBidi" w:hAnsiTheme="majorBidi" w:cstheme="majorBidi"/>
              </w:rPr>
              <w:t>0.055</w:t>
            </w:r>
          </w:p>
        </w:tc>
        <w:tc>
          <w:tcPr>
            <w:tcW w:w="0" w:type="auto"/>
            <w:tcBorders>
              <w:top w:val="single" w:sz="4" w:space="0" w:color="auto"/>
              <w:bottom w:val="nil"/>
            </w:tcBorders>
            <w:tcMar>
              <w:top w:w="0" w:type="dxa"/>
              <w:left w:w="115" w:type="dxa"/>
              <w:bottom w:w="0" w:type="dxa"/>
              <w:right w:w="115" w:type="dxa"/>
            </w:tcMar>
            <w:hideMark/>
          </w:tcPr>
          <w:p w14:paraId="54A21C65" w14:textId="77777777" w:rsidR="00C033B5" w:rsidRPr="004F735C" w:rsidRDefault="00C033B5" w:rsidP="00C033B5">
            <w:pPr>
              <w:rPr>
                <w:rFonts w:asciiTheme="majorBidi" w:hAnsiTheme="majorBidi" w:cstheme="majorBidi"/>
              </w:rPr>
            </w:pPr>
            <w:r w:rsidRPr="004F735C">
              <w:rPr>
                <w:rFonts w:asciiTheme="majorBidi" w:hAnsiTheme="majorBidi" w:cstheme="majorBidi"/>
              </w:rPr>
              <w:t>0.166</w:t>
            </w:r>
          </w:p>
        </w:tc>
        <w:tc>
          <w:tcPr>
            <w:tcW w:w="0" w:type="auto"/>
            <w:tcBorders>
              <w:top w:val="single" w:sz="4" w:space="0" w:color="auto"/>
              <w:bottom w:val="nil"/>
            </w:tcBorders>
            <w:tcMar>
              <w:top w:w="0" w:type="dxa"/>
              <w:left w:w="115" w:type="dxa"/>
              <w:bottom w:w="0" w:type="dxa"/>
              <w:right w:w="115" w:type="dxa"/>
            </w:tcMar>
            <w:hideMark/>
          </w:tcPr>
          <w:p w14:paraId="6A281F63" w14:textId="77777777" w:rsidR="00C033B5" w:rsidRPr="004F735C" w:rsidRDefault="00C033B5" w:rsidP="00C033B5">
            <w:pPr>
              <w:rPr>
                <w:rFonts w:asciiTheme="majorBidi" w:hAnsiTheme="majorBidi" w:cstheme="majorBidi"/>
              </w:rPr>
            </w:pPr>
            <w:r w:rsidRPr="004F735C">
              <w:rPr>
                <w:rFonts w:asciiTheme="majorBidi" w:hAnsiTheme="majorBidi" w:cstheme="majorBidi"/>
              </w:rPr>
              <w:t>0.1272</w:t>
            </w:r>
          </w:p>
        </w:tc>
        <w:tc>
          <w:tcPr>
            <w:tcW w:w="0" w:type="auto"/>
            <w:tcBorders>
              <w:top w:val="single" w:sz="4" w:space="0" w:color="auto"/>
              <w:bottom w:val="nil"/>
            </w:tcBorders>
            <w:tcMar>
              <w:top w:w="0" w:type="dxa"/>
              <w:left w:w="115" w:type="dxa"/>
              <w:bottom w:w="0" w:type="dxa"/>
              <w:right w:w="115" w:type="dxa"/>
            </w:tcMar>
            <w:hideMark/>
          </w:tcPr>
          <w:p w14:paraId="20490ADC" w14:textId="77777777" w:rsidR="00C033B5" w:rsidRPr="004F735C" w:rsidRDefault="00C033B5" w:rsidP="00C033B5">
            <w:pPr>
              <w:rPr>
                <w:rFonts w:asciiTheme="majorBidi" w:hAnsiTheme="majorBidi" w:cstheme="majorBidi"/>
              </w:rPr>
            </w:pPr>
            <w:r w:rsidRPr="004F735C">
              <w:rPr>
                <w:rFonts w:asciiTheme="majorBidi" w:hAnsiTheme="majorBidi" w:cstheme="majorBidi"/>
              </w:rPr>
              <w:t>0.0205</w:t>
            </w:r>
          </w:p>
        </w:tc>
        <w:tc>
          <w:tcPr>
            <w:tcW w:w="0" w:type="auto"/>
            <w:tcBorders>
              <w:top w:val="single" w:sz="4" w:space="0" w:color="auto"/>
              <w:bottom w:val="nil"/>
            </w:tcBorders>
            <w:tcMar>
              <w:top w:w="0" w:type="dxa"/>
              <w:left w:w="115" w:type="dxa"/>
              <w:bottom w:w="0" w:type="dxa"/>
              <w:right w:w="115" w:type="dxa"/>
            </w:tcMar>
            <w:hideMark/>
          </w:tcPr>
          <w:p w14:paraId="2D3250FF" w14:textId="77777777" w:rsidR="00C033B5" w:rsidRPr="004F735C" w:rsidRDefault="00C033B5" w:rsidP="00C033B5">
            <w:pPr>
              <w:rPr>
                <w:rFonts w:asciiTheme="majorBidi" w:hAnsiTheme="majorBidi" w:cstheme="majorBidi"/>
              </w:rPr>
            </w:pPr>
            <w:r w:rsidRPr="004F735C">
              <w:rPr>
                <w:rFonts w:asciiTheme="majorBidi" w:hAnsiTheme="majorBidi" w:cstheme="majorBidi"/>
              </w:rPr>
              <w:t>0.055</w:t>
            </w:r>
          </w:p>
        </w:tc>
        <w:tc>
          <w:tcPr>
            <w:tcW w:w="0" w:type="auto"/>
            <w:tcBorders>
              <w:top w:val="single" w:sz="4" w:space="0" w:color="auto"/>
              <w:bottom w:val="nil"/>
            </w:tcBorders>
            <w:tcMar>
              <w:top w:w="0" w:type="dxa"/>
              <w:left w:w="115" w:type="dxa"/>
              <w:bottom w:w="0" w:type="dxa"/>
              <w:right w:w="115" w:type="dxa"/>
            </w:tcMar>
            <w:hideMark/>
          </w:tcPr>
          <w:p w14:paraId="7E5A0D84" w14:textId="77777777" w:rsidR="00C033B5" w:rsidRPr="004F735C" w:rsidRDefault="00C033B5" w:rsidP="00C033B5">
            <w:pPr>
              <w:rPr>
                <w:rFonts w:asciiTheme="majorBidi" w:hAnsiTheme="majorBidi" w:cstheme="majorBidi"/>
              </w:rPr>
            </w:pPr>
            <w:r w:rsidRPr="004F735C">
              <w:rPr>
                <w:rFonts w:asciiTheme="majorBidi" w:hAnsiTheme="majorBidi" w:cstheme="majorBidi"/>
              </w:rPr>
              <w:t>0.186</w:t>
            </w:r>
          </w:p>
        </w:tc>
      </w:tr>
      <w:tr w:rsidR="00C033B5" w:rsidRPr="004F735C" w14:paraId="59B1C237" w14:textId="77777777" w:rsidTr="004F735C">
        <w:trPr>
          <w:trHeight w:val="20"/>
        </w:trPr>
        <w:tc>
          <w:tcPr>
            <w:tcW w:w="0" w:type="auto"/>
            <w:tcBorders>
              <w:top w:val="nil"/>
              <w:bottom w:val="nil"/>
            </w:tcBorders>
            <w:tcMar>
              <w:top w:w="0" w:type="dxa"/>
              <w:left w:w="115" w:type="dxa"/>
              <w:bottom w:w="0" w:type="dxa"/>
              <w:right w:w="115" w:type="dxa"/>
            </w:tcMar>
            <w:hideMark/>
          </w:tcPr>
          <w:p w14:paraId="36017867" w14:textId="77777777" w:rsidR="00C033B5" w:rsidRPr="004F735C" w:rsidRDefault="00C033B5" w:rsidP="00C033B5">
            <w:pPr>
              <w:rPr>
                <w:rFonts w:asciiTheme="majorBidi" w:hAnsiTheme="majorBidi" w:cstheme="majorBidi"/>
              </w:rPr>
            </w:pPr>
            <w:r w:rsidRPr="004F735C">
              <w:rPr>
                <w:rFonts w:asciiTheme="majorBidi" w:hAnsiTheme="majorBidi" w:cstheme="majorBidi"/>
              </w:rPr>
              <w:t>Default</w:t>
            </w:r>
          </w:p>
        </w:tc>
        <w:tc>
          <w:tcPr>
            <w:tcW w:w="0" w:type="auto"/>
            <w:tcBorders>
              <w:top w:val="nil"/>
              <w:bottom w:val="nil"/>
            </w:tcBorders>
            <w:tcMar>
              <w:top w:w="0" w:type="dxa"/>
              <w:left w:w="115" w:type="dxa"/>
              <w:bottom w:w="0" w:type="dxa"/>
              <w:right w:w="115" w:type="dxa"/>
            </w:tcMar>
            <w:hideMark/>
          </w:tcPr>
          <w:p w14:paraId="7174CA8D"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0.0009</w:t>
            </w:r>
          </w:p>
        </w:tc>
        <w:tc>
          <w:tcPr>
            <w:tcW w:w="0" w:type="auto"/>
            <w:tcBorders>
              <w:top w:val="nil"/>
              <w:bottom w:val="nil"/>
            </w:tcBorders>
            <w:tcMar>
              <w:top w:w="0" w:type="dxa"/>
              <w:left w:w="115" w:type="dxa"/>
              <w:bottom w:w="0" w:type="dxa"/>
              <w:right w:w="115" w:type="dxa"/>
            </w:tcMar>
            <w:hideMark/>
          </w:tcPr>
          <w:p w14:paraId="288B79D6" w14:textId="77777777" w:rsidR="00C033B5" w:rsidRPr="004F735C" w:rsidRDefault="00C033B5" w:rsidP="00C033B5">
            <w:pPr>
              <w:rPr>
                <w:rFonts w:asciiTheme="majorBidi" w:hAnsiTheme="majorBidi" w:cstheme="majorBidi"/>
              </w:rPr>
            </w:pPr>
            <w:r w:rsidRPr="004F735C">
              <w:rPr>
                <w:rFonts w:asciiTheme="majorBidi" w:hAnsiTheme="majorBidi" w:cstheme="majorBidi"/>
              </w:rPr>
              <w:t>0.0300</w:t>
            </w:r>
          </w:p>
        </w:tc>
        <w:tc>
          <w:tcPr>
            <w:tcW w:w="0" w:type="auto"/>
            <w:tcBorders>
              <w:top w:val="nil"/>
              <w:bottom w:val="nil"/>
            </w:tcBorders>
            <w:tcMar>
              <w:top w:w="0" w:type="dxa"/>
              <w:left w:w="115" w:type="dxa"/>
              <w:bottom w:w="0" w:type="dxa"/>
              <w:right w:w="115" w:type="dxa"/>
            </w:tcMar>
            <w:hideMark/>
          </w:tcPr>
          <w:p w14:paraId="09CDCEE7" w14:textId="77777777" w:rsidR="00C033B5" w:rsidRPr="004F735C" w:rsidRDefault="00C033B5" w:rsidP="00C033B5">
            <w:pPr>
              <w:rPr>
                <w:rFonts w:asciiTheme="majorBidi" w:hAnsiTheme="majorBidi" w:cstheme="majorBidi"/>
              </w:rPr>
            </w:pPr>
            <w:r w:rsidRPr="004F735C">
              <w:rPr>
                <w:rFonts w:asciiTheme="majorBidi" w:hAnsiTheme="majorBidi" w:cstheme="majorBidi"/>
              </w:rPr>
              <w:t>0</w:t>
            </w:r>
          </w:p>
        </w:tc>
        <w:tc>
          <w:tcPr>
            <w:tcW w:w="0" w:type="auto"/>
            <w:tcBorders>
              <w:top w:val="nil"/>
              <w:bottom w:val="nil"/>
            </w:tcBorders>
            <w:tcMar>
              <w:top w:w="0" w:type="dxa"/>
              <w:left w:w="115" w:type="dxa"/>
              <w:bottom w:w="0" w:type="dxa"/>
              <w:right w:w="115" w:type="dxa"/>
            </w:tcMar>
            <w:hideMark/>
          </w:tcPr>
          <w:p w14:paraId="37872453"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568944AA" w14:textId="77777777" w:rsidR="00C033B5" w:rsidRPr="004F735C" w:rsidRDefault="00C033B5" w:rsidP="00C033B5">
            <w:pPr>
              <w:rPr>
                <w:rFonts w:asciiTheme="majorBidi" w:hAnsiTheme="majorBidi" w:cstheme="majorBidi"/>
              </w:rPr>
            </w:pPr>
            <w:r w:rsidRPr="004F735C">
              <w:rPr>
                <w:rFonts w:asciiTheme="majorBidi" w:hAnsiTheme="majorBidi" w:cstheme="majorBidi"/>
              </w:rPr>
              <w:t>0.0738</w:t>
            </w:r>
          </w:p>
        </w:tc>
        <w:tc>
          <w:tcPr>
            <w:tcW w:w="0" w:type="auto"/>
            <w:tcBorders>
              <w:top w:val="nil"/>
              <w:bottom w:val="nil"/>
            </w:tcBorders>
            <w:tcMar>
              <w:top w:w="0" w:type="dxa"/>
              <w:left w:w="115" w:type="dxa"/>
              <w:bottom w:w="0" w:type="dxa"/>
              <w:right w:w="115" w:type="dxa"/>
            </w:tcMar>
            <w:hideMark/>
          </w:tcPr>
          <w:p w14:paraId="6B1C16A8" w14:textId="77777777" w:rsidR="00C033B5" w:rsidRPr="004F735C" w:rsidRDefault="00C033B5" w:rsidP="00C033B5">
            <w:pPr>
              <w:rPr>
                <w:rFonts w:asciiTheme="majorBidi" w:hAnsiTheme="majorBidi" w:cstheme="majorBidi"/>
              </w:rPr>
            </w:pPr>
            <w:r w:rsidRPr="004F735C">
              <w:rPr>
                <w:rFonts w:asciiTheme="majorBidi" w:hAnsiTheme="majorBidi" w:cstheme="majorBidi"/>
              </w:rPr>
              <w:t>0.2615</w:t>
            </w:r>
          </w:p>
        </w:tc>
        <w:tc>
          <w:tcPr>
            <w:tcW w:w="0" w:type="auto"/>
            <w:tcBorders>
              <w:top w:val="nil"/>
              <w:bottom w:val="nil"/>
            </w:tcBorders>
            <w:tcMar>
              <w:top w:w="0" w:type="dxa"/>
              <w:left w:w="115" w:type="dxa"/>
              <w:bottom w:w="0" w:type="dxa"/>
              <w:right w:w="115" w:type="dxa"/>
            </w:tcMar>
            <w:hideMark/>
          </w:tcPr>
          <w:p w14:paraId="2F9E1043" w14:textId="77777777" w:rsidR="00C033B5" w:rsidRPr="004F735C" w:rsidRDefault="00C033B5" w:rsidP="00C033B5">
            <w:pPr>
              <w:rPr>
                <w:rFonts w:asciiTheme="majorBidi" w:hAnsiTheme="majorBidi" w:cstheme="majorBidi"/>
              </w:rPr>
            </w:pPr>
            <w:r w:rsidRPr="004F735C">
              <w:rPr>
                <w:rFonts w:asciiTheme="majorBidi" w:hAnsiTheme="majorBidi" w:cstheme="majorBidi"/>
              </w:rPr>
              <w:t>0</w:t>
            </w:r>
          </w:p>
        </w:tc>
        <w:tc>
          <w:tcPr>
            <w:tcW w:w="0" w:type="auto"/>
            <w:tcBorders>
              <w:top w:val="nil"/>
              <w:bottom w:val="nil"/>
            </w:tcBorders>
            <w:tcMar>
              <w:top w:w="0" w:type="dxa"/>
              <w:left w:w="115" w:type="dxa"/>
              <w:bottom w:w="0" w:type="dxa"/>
              <w:right w:w="115" w:type="dxa"/>
            </w:tcMar>
            <w:hideMark/>
          </w:tcPr>
          <w:p w14:paraId="5DE29D19"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r>
      <w:tr w:rsidR="00C033B5" w:rsidRPr="004F735C" w14:paraId="5E3F9557" w14:textId="77777777" w:rsidTr="004F735C">
        <w:trPr>
          <w:trHeight w:val="20"/>
        </w:trPr>
        <w:tc>
          <w:tcPr>
            <w:tcW w:w="0" w:type="auto"/>
            <w:tcBorders>
              <w:top w:val="nil"/>
              <w:bottom w:val="nil"/>
            </w:tcBorders>
            <w:tcMar>
              <w:top w:w="0" w:type="dxa"/>
              <w:left w:w="115" w:type="dxa"/>
              <w:bottom w:w="0" w:type="dxa"/>
              <w:right w:w="115" w:type="dxa"/>
            </w:tcMar>
            <w:hideMark/>
          </w:tcPr>
          <w:p w14:paraId="137494AB" w14:textId="77777777" w:rsidR="00C033B5" w:rsidRPr="004F735C" w:rsidRDefault="00C033B5" w:rsidP="00C033B5">
            <w:pPr>
              <w:rPr>
                <w:rFonts w:asciiTheme="majorBidi" w:hAnsiTheme="majorBidi" w:cstheme="majorBidi"/>
              </w:rPr>
            </w:pPr>
            <w:r w:rsidRPr="004F735C">
              <w:rPr>
                <w:rFonts w:asciiTheme="majorBidi" w:hAnsiTheme="majorBidi" w:cstheme="majorBidi"/>
              </w:rPr>
              <w:t>SEVDEF</w:t>
            </w:r>
          </w:p>
        </w:tc>
        <w:tc>
          <w:tcPr>
            <w:tcW w:w="0" w:type="auto"/>
            <w:tcBorders>
              <w:top w:val="nil"/>
              <w:bottom w:val="nil"/>
            </w:tcBorders>
            <w:tcMar>
              <w:top w:w="0" w:type="dxa"/>
              <w:left w:w="115" w:type="dxa"/>
              <w:bottom w:w="0" w:type="dxa"/>
              <w:right w:w="115" w:type="dxa"/>
            </w:tcMar>
            <w:hideMark/>
          </w:tcPr>
          <w:p w14:paraId="7A78320B" w14:textId="77777777" w:rsidR="00C033B5" w:rsidRPr="004F735C" w:rsidRDefault="00C033B5" w:rsidP="00C033B5">
            <w:pPr>
              <w:rPr>
                <w:rFonts w:asciiTheme="majorBidi" w:hAnsiTheme="majorBidi" w:cstheme="majorBidi"/>
              </w:rPr>
            </w:pPr>
            <w:r w:rsidRPr="004F735C">
              <w:rPr>
                <w:rFonts w:asciiTheme="majorBidi" w:hAnsiTheme="majorBidi" w:cstheme="majorBidi"/>
              </w:rPr>
              <w:t>0.0165</w:t>
            </w:r>
          </w:p>
        </w:tc>
        <w:tc>
          <w:tcPr>
            <w:tcW w:w="0" w:type="auto"/>
            <w:tcBorders>
              <w:top w:val="nil"/>
              <w:bottom w:val="nil"/>
            </w:tcBorders>
            <w:tcMar>
              <w:top w:w="0" w:type="dxa"/>
              <w:left w:w="115" w:type="dxa"/>
              <w:bottom w:w="0" w:type="dxa"/>
              <w:right w:w="115" w:type="dxa"/>
            </w:tcMar>
            <w:hideMark/>
          </w:tcPr>
          <w:p w14:paraId="7024CC99" w14:textId="77777777" w:rsidR="00C033B5" w:rsidRPr="004F735C" w:rsidRDefault="00C033B5" w:rsidP="00C033B5">
            <w:pPr>
              <w:rPr>
                <w:rFonts w:asciiTheme="majorBidi" w:hAnsiTheme="majorBidi" w:cstheme="majorBidi"/>
              </w:rPr>
            </w:pPr>
            <w:r w:rsidRPr="004F735C">
              <w:rPr>
                <w:rFonts w:asciiTheme="majorBidi" w:hAnsiTheme="majorBidi" w:cstheme="majorBidi"/>
              </w:rPr>
              <w:t>0.0984</w:t>
            </w:r>
          </w:p>
        </w:tc>
        <w:tc>
          <w:tcPr>
            <w:tcW w:w="0" w:type="auto"/>
            <w:tcBorders>
              <w:top w:val="nil"/>
              <w:bottom w:val="nil"/>
            </w:tcBorders>
            <w:tcMar>
              <w:top w:w="0" w:type="dxa"/>
              <w:left w:w="115" w:type="dxa"/>
              <w:bottom w:w="0" w:type="dxa"/>
              <w:right w:w="115" w:type="dxa"/>
            </w:tcMar>
            <w:hideMark/>
          </w:tcPr>
          <w:p w14:paraId="4ECA0C7B" w14:textId="77777777" w:rsidR="00C033B5" w:rsidRPr="004F735C" w:rsidRDefault="00C033B5" w:rsidP="00C033B5">
            <w:pPr>
              <w:rPr>
                <w:rFonts w:asciiTheme="majorBidi" w:hAnsiTheme="majorBidi" w:cstheme="majorBidi"/>
              </w:rPr>
            </w:pPr>
            <w:r w:rsidRPr="004F735C">
              <w:rPr>
                <w:rFonts w:asciiTheme="majorBidi" w:hAnsiTheme="majorBidi" w:cstheme="majorBidi"/>
              </w:rPr>
              <w:t>0</w:t>
            </w:r>
          </w:p>
        </w:tc>
        <w:tc>
          <w:tcPr>
            <w:tcW w:w="0" w:type="auto"/>
            <w:tcBorders>
              <w:top w:val="nil"/>
              <w:bottom w:val="nil"/>
            </w:tcBorders>
            <w:tcMar>
              <w:top w:w="0" w:type="dxa"/>
              <w:left w:w="115" w:type="dxa"/>
              <w:bottom w:w="0" w:type="dxa"/>
              <w:right w:w="115" w:type="dxa"/>
            </w:tcMar>
            <w:hideMark/>
          </w:tcPr>
          <w:p w14:paraId="384DB11D"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179064A1" w14:textId="77777777" w:rsidR="00C033B5" w:rsidRPr="004F735C" w:rsidRDefault="00C033B5" w:rsidP="00C033B5">
            <w:pPr>
              <w:rPr>
                <w:rFonts w:asciiTheme="majorBidi" w:hAnsiTheme="majorBidi" w:cstheme="majorBidi"/>
              </w:rPr>
            </w:pPr>
            <w:r w:rsidRPr="004F735C">
              <w:rPr>
                <w:rFonts w:asciiTheme="majorBidi" w:hAnsiTheme="majorBidi" w:cstheme="majorBidi"/>
              </w:rPr>
              <w:t>0.5896</w:t>
            </w:r>
          </w:p>
        </w:tc>
        <w:tc>
          <w:tcPr>
            <w:tcW w:w="0" w:type="auto"/>
            <w:tcBorders>
              <w:top w:val="nil"/>
              <w:bottom w:val="nil"/>
            </w:tcBorders>
            <w:tcMar>
              <w:top w:w="0" w:type="dxa"/>
              <w:left w:w="115" w:type="dxa"/>
              <w:bottom w:w="0" w:type="dxa"/>
              <w:right w:w="115" w:type="dxa"/>
            </w:tcMar>
            <w:hideMark/>
          </w:tcPr>
          <w:p w14:paraId="197125B8" w14:textId="77777777" w:rsidR="00C033B5" w:rsidRPr="004F735C" w:rsidRDefault="00C033B5" w:rsidP="00C033B5">
            <w:pPr>
              <w:rPr>
                <w:rFonts w:asciiTheme="majorBidi" w:hAnsiTheme="majorBidi" w:cstheme="majorBidi"/>
              </w:rPr>
            </w:pPr>
            <w:r w:rsidRPr="004F735C">
              <w:rPr>
                <w:rFonts w:asciiTheme="majorBidi" w:hAnsiTheme="majorBidi" w:cstheme="majorBidi"/>
              </w:rPr>
              <w:t>0.4582</w:t>
            </w:r>
          </w:p>
        </w:tc>
        <w:tc>
          <w:tcPr>
            <w:tcW w:w="0" w:type="auto"/>
            <w:tcBorders>
              <w:top w:val="nil"/>
              <w:bottom w:val="nil"/>
            </w:tcBorders>
            <w:tcMar>
              <w:top w:w="0" w:type="dxa"/>
              <w:left w:w="115" w:type="dxa"/>
              <w:bottom w:w="0" w:type="dxa"/>
              <w:right w:w="115" w:type="dxa"/>
            </w:tcMar>
            <w:hideMark/>
          </w:tcPr>
          <w:p w14:paraId="24C0C449" w14:textId="77777777" w:rsidR="00C033B5" w:rsidRPr="004F735C" w:rsidRDefault="00C033B5" w:rsidP="00C033B5">
            <w:pPr>
              <w:rPr>
                <w:rFonts w:asciiTheme="majorBidi" w:hAnsiTheme="majorBidi" w:cstheme="majorBidi"/>
              </w:rPr>
            </w:pPr>
            <w:r w:rsidRPr="004F735C">
              <w:rPr>
                <w:rFonts w:asciiTheme="majorBidi" w:hAnsiTheme="majorBidi" w:cstheme="majorBidi"/>
              </w:rPr>
              <w:t>0</w:t>
            </w:r>
          </w:p>
        </w:tc>
        <w:tc>
          <w:tcPr>
            <w:tcW w:w="0" w:type="auto"/>
            <w:tcBorders>
              <w:top w:val="nil"/>
              <w:bottom w:val="nil"/>
            </w:tcBorders>
            <w:tcMar>
              <w:top w:w="0" w:type="dxa"/>
              <w:left w:w="115" w:type="dxa"/>
              <w:bottom w:w="0" w:type="dxa"/>
              <w:right w:w="115" w:type="dxa"/>
            </w:tcMar>
            <w:hideMark/>
          </w:tcPr>
          <w:p w14:paraId="1236E017"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r>
      <w:tr w:rsidR="00C033B5" w:rsidRPr="004F735C" w14:paraId="3CB75679" w14:textId="77777777" w:rsidTr="004F735C">
        <w:trPr>
          <w:trHeight w:val="20"/>
        </w:trPr>
        <w:tc>
          <w:tcPr>
            <w:tcW w:w="0" w:type="auto"/>
            <w:tcBorders>
              <w:top w:val="nil"/>
              <w:bottom w:val="nil"/>
            </w:tcBorders>
            <w:tcMar>
              <w:top w:w="0" w:type="dxa"/>
              <w:left w:w="115" w:type="dxa"/>
              <w:bottom w:w="0" w:type="dxa"/>
              <w:right w:w="115" w:type="dxa"/>
            </w:tcMar>
            <w:hideMark/>
          </w:tcPr>
          <w:p w14:paraId="48511348" w14:textId="77777777" w:rsidR="00C033B5" w:rsidRPr="004F735C" w:rsidRDefault="00C033B5" w:rsidP="00C033B5">
            <w:pPr>
              <w:rPr>
                <w:rFonts w:asciiTheme="majorBidi" w:hAnsiTheme="majorBidi" w:cstheme="majorBidi"/>
              </w:rPr>
            </w:pPr>
            <w:r w:rsidRPr="004F735C">
              <w:rPr>
                <w:rFonts w:asciiTheme="majorBidi" w:hAnsiTheme="majorBidi" w:cstheme="majorBidi"/>
              </w:rPr>
              <w:t>SITG</w:t>
            </w:r>
          </w:p>
        </w:tc>
        <w:tc>
          <w:tcPr>
            <w:tcW w:w="0" w:type="auto"/>
            <w:tcBorders>
              <w:top w:val="nil"/>
              <w:bottom w:val="nil"/>
            </w:tcBorders>
            <w:tcMar>
              <w:top w:w="0" w:type="dxa"/>
              <w:left w:w="115" w:type="dxa"/>
              <w:bottom w:w="0" w:type="dxa"/>
              <w:right w:w="115" w:type="dxa"/>
            </w:tcMar>
            <w:hideMark/>
          </w:tcPr>
          <w:p w14:paraId="695D817A" w14:textId="77777777" w:rsidR="00C033B5" w:rsidRPr="004F735C" w:rsidRDefault="00C033B5" w:rsidP="00C033B5">
            <w:pPr>
              <w:rPr>
                <w:rFonts w:asciiTheme="majorBidi" w:hAnsiTheme="majorBidi" w:cstheme="majorBidi"/>
              </w:rPr>
            </w:pPr>
            <w:r w:rsidRPr="004F735C">
              <w:rPr>
                <w:rFonts w:asciiTheme="majorBidi" w:hAnsiTheme="majorBidi" w:cstheme="majorBidi"/>
              </w:rPr>
              <w:t>0.0699</w:t>
            </w:r>
          </w:p>
        </w:tc>
        <w:tc>
          <w:tcPr>
            <w:tcW w:w="0" w:type="auto"/>
            <w:tcBorders>
              <w:top w:val="nil"/>
              <w:bottom w:val="nil"/>
            </w:tcBorders>
            <w:tcMar>
              <w:top w:w="0" w:type="dxa"/>
              <w:left w:w="115" w:type="dxa"/>
              <w:bottom w:w="0" w:type="dxa"/>
              <w:right w:w="115" w:type="dxa"/>
            </w:tcMar>
            <w:hideMark/>
          </w:tcPr>
          <w:p w14:paraId="433D1ABC" w14:textId="77777777" w:rsidR="00C033B5" w:rsidRPr="004F735C" w:rsidRDefault="00C033B5" w:rsidP="00C033B5">
            <w:pPr>
              <w:rPr>
                <w:rFonts w:asciiTheme="majorBidi" w:hAnsiTheme="majorBidi" w:cstheme="majorBidi"/>
              </w:rPr>
            </w:pPr>
            <w:r w:rsidRPr="004F735C">
              <w:rPr>
                <w:rFonts w:asciiTheme="majorBidi" w:hAnsiTheme="majorBidi" w:cstheme="majorBidi"/>
              </w:rPr>
              <w:t>0.0242</w:t>
            </w:r>
          </w:p>
        </w:tc>
        <w:tc>
          <w:tcPr>
            <w:tcW w:w="0" w:type="auto"/>
            <w:tcBorders>
              <w:top w:val="nil"/>
              <w:bottom w:val="nil"/>
            </w:tcBorders>
            <w:tcMar>
              <w:top w:w="0" w:type="dxa"/>
              <w:left w:w="115" w:type="dxa"/>
              <w:bottom w:w="0" w:type="dxa"/>
              <w:right w:w="115" w:type="dxa"/>
            </w:tcMar>
            <w:hideMark/>
          </w:tcPr>
          <w:p w14:paraId="1A3769FA" w14:textId="77777777" w:rsidR="00C033B5" w:rsidRPr="004F735C" w:rsidRDefault="00C033B5" w:rsidP="00C033B5">
            <w:pPr>
              <w:rPr>
                <w:rFonts w:asciiTheme="majorBidi" w:hAnsiTheme="majorBidi" w:cstheme="majorBidi"/>
              </w:rPr>
            </w:pPr>
            <w:r w:rsidRPr="004F735C">
              <w:rPr>
                <w:rFonts w:asciiTheme="majorBidi" w:hAnsiTheme="majorBidi" w:cstheme="majorBidi"/>
              </w:rPr>
              <w:t>0.02</w:t>
            </w:r>
          </w:p>
        </w:tc>
        <w:tc>
          <w:tcPr>
            <w:tcW w:w="0" w:type="auto"/>
            <w:tcBorders>
              <w:top w:val="nil"/>
              <w:bottom w:val="nil"/>
            </w:tcBorders>
            <w:tcMar>
              <w:top w:w="0" w:type="dxa"/>
              <w:left w:w="115" w:type="dxa"/>
              <w:bottom w:w="0" w:type="dxa"/>
              <w:right w:w="115" w:type="dxa"/>
            </w:tcMar>
            <w:hideMark/>
          </w:tcPr>
          <w:p w14:paraId="5AE960D4" w14:textId="77777777" w:rsidR="00C033B5" w:rsidRPr="004F735C" w:rsidRDefault="00C033B5" w:rsidP="00C033B5">
            <w:pPr>
              <w:rPr>
                <w:rFonts w:asciiTheme="majorBidi" w:hAnsiTheme="majorBidi" w:cstheme="majorBidi"/>
              </w:rPr>
            </w:pPr>
            <w:r w:rsidRPr="004F735C">
              <w:rPr>
                <w:rFonts w:asciiTheme="majorBidi" w:hAnsiTheme="majorBidi" w:cstheme="majorBidi"/>
              </w:rPr>
              <w:t>0.1</w:t>
            </w:r>
          </w:p>
        </w:tc>
        <w:tc>
          <w:tcPr>
            <w:tcW w:w="0" w:type="auto"/>
            <w:tcBorders>
              <w:top w:val="nil"/>
              <w:bottom w:val="nil"/>
            </w:tcBorders>
            <w:tcMar>
              <w:top w:w="0" w:type="dxa"/>
              <w:left w:w="115" w:type="dxa"/>
              <w:bottom w:w="0" w:type="dxa"/>
              <w:right w:w="115" w:type="dxa"/>
            </w:tcMar>
            <w:hideMark/>
          </w:tcPr>
          <w:p w14:paraId="46348A05" w14:textId="77777777" w:rsidR="00C033B5" w:rsidRPr="004F735C" w:rsidRDefault="00C033B5" w:rsidP="00C033B5">
            <w:pPr>
              <w:rPr>
                <w:rFonts w:asciiTheme="majorBidi" w:hAnsiTheme="majorBidi" w:cstheme="majorBidi"/>
              </w:rPr>
            </w:pPr>
            <w:r w:rsidRPr="004F735C">
              <w:rPr>
                <w:rFonts w:asciiTheme="majorBidi" w:hAnsiTheme="majorBidi" w:cstheme="majorBidi"/>
              </w:rPr>
              <w:t>0.0637</w:t>
            </w:r>
          </w:p>
        </w:tc>
        <w:tc>
          <w:tcPr>
            <w:tcW w:w="0" w:type="auto"/>
            <w:tcBorders>
              <w:top w:val="nil"/>
              <w:bottom w:val="nil"/>
            </w:tcBorders>
            <w:tcMar>
              <w:top w:w="0" w:type="dxa"/>
              <w:left w:w="115" w:type="dxa"/>
              <w:bottom w:w="0" w:type="dxa"/>
              <w:right w:w="115" w:type="dxa"/>
            </w:tcMar>
            <w:hideMark/>
          </w:tcPr>
          <w:p w14:paraId="689FB5F5" w14:textId="77777777" w:rsidR="00C033B5" w:rsidRPr="004F735C" w:rsidRDefault="00C033B5" w:rsidP="00C033B5">
            <w:pPr>
              <w:rPr>
                <w:rFonts w:asciiTheme="majorBidi" w:hAnsiTheme="majorBidi" w:cstheme="majorBidi"/>
              </w:rPr>
            </w:pPr>
            <w:r w:rsidRPr="004F735C">
              <w:rPr>
                <w:rFonts w:asciiTheme="majorBidi" w:hAnsiTheme="majorBidi" w:cstheme="majorBidi"/>
              </w:rPr>
              <w:t>0.0234</w:t>
            </w:r>
          </w:p>
        </w:tc>
        <w:tc>
          <w:tcPr>
            <w:tcW w:w="0" w:type="auto"/>
            <w:tcBorders>
              <w:top w:val="nil"/>
              <w:bottom w:val="nil"/>
            </w:tcBorders>
            <w:tcMar>
              <w:top w:w="0" w:type="dxa"/>
              <w:left w:w="115" w:type="dxa"/>
              <w:bottom w:w="0" w:type="dxa"/>
              <w:right w:w="115" w:type="dxa"/>
            </w:tcMar>
            <w:hideMark/>
          </w:tcPr>
          <w:p w14:paraId="52147788" w14:textId="77777777" w:rsidR="00C033B5" w:rsidRPr="004F735C" w:rsidRDefault="00C033B5" w:rsidP="00C033B5">
            <w:pPr>
              <w:rPr>
                <w:rFonts w:asciiTheme="majorBidi" w:hAnsiTheme="majorBidi" w:cstheme="majorBidi"/>
              </w:rPr>
            </w:pPr>
            <w:r w:rsidRPr="004F735C">
              <w:rPr>
                <w:rFonts w:asciiTheme="majorBidi" w:hAnsiTheme="majorBidi" w:cstheme="majorBidi"/>
              </w:rPr>
              <w:t>0.02</w:t>
            </w:r>
          </w:p>
        </w:tc>
        <w:tc>
          <w:tcPr>
            <w:tcW w:w="0" w:type="auto"/>
            <w:tcBorders>
              <w:top w:val="nil"/>
              <w:bottom w:val="nil"/>
            </w:tcBorders>
            <w:tcMar>
              <w:top w:w="0" w:type="dxa"/>
              <w:left w:w="115" w:type="dxa"/>
              <w:bottom w:w="0" w:type="dxa"/>
              <w:right w:w="115" w:type="dxa"/>
            </w:tcMar>
            <w:hideMark/>
          </w:tcPr>
          <w:p w14:paraId="763A7C16" w14:textId="77777777" w:rsidR="00C033B5" w:rsidRPr="004F735C" w:rsidRDefault="00C033B5" w:rsidP="00C033B5">
            <w:pPr>
              <w:rPr>
                <w:rFonts w:asciiTheme="majorBidi" w:hAnsiTheme="majorBidi" w:cstheme="majorBidi"/>
              </w:rPr>
            </w:pPr>
            <w:r w:rsidRPr="004F735C">
              <w:rPr>
                <w:rFonts w:asciiTheme="majorBidi" w:hAnsiTheme="majorBidi" w:cstheme="majorBidi"/>
              </w:rPr>
              <w:t>0.15</w:t>
            </w:r>
          </w:p>
        </w:tc>
      </w:tr>
      <w:tr w:rsidR="00C033B5" w:rsidRPr="004F735C" w14:paraId="6B324DE2" w14:textId="77777777" w:rsidTr="004F735C">
        <w:trPr>
          <w:trHeight w:val="20"/>
        </w:trPr>
        <w:tc>
          <w:tcPr>
            <w:tcW w:w="0" w:type="auto"/>
            <w:tcBorders>
              <w:top w:val="nil"/>
              <w:bottom w:val="nil"/>
            </w:tcBorders>
            <w:tcMar>
              <w:top w:w="0" w:type="dxa"/>
              <w:left w:w="115" w:type="dxa"/>
              <w:bottom w:w="0" w:type="dxa"/>
              <w:right w:w="115" w:type="dxa"/>
            </w:tcMar>
            <w:hideMark/>
          </w:tcPr>
          <w:p w14:paraId="607D2ACF" w14:textId="77777777" w:rsidR="00C033B5" w:rsidRPr="004F735C" w:rsidRDefault="00C033B5" w:rsidP="00C033B5">
            <w:pPr>
              <w:rPr>
                <w:rFonts w:asciiTheme="majorBidi" w:hAnsiTheme="majorBidi" w:cstheme="majorBidi"/>
              </w:rPr>
            </w:pPr>
            <w:r w:rsidRPr="004F735C">
              <w:rPr>
                <w:rFonts w:asciiTheme="majorBidi" w:hAnsiTheme="majorBidi" w:cstheme="majorBidi"/>
              </w:rPr>
              <w:t>Term</w:t>
            </w:r>
          </w:p>
        </w:tc>
        <w:tc>
          <w:tcPr>
            <w:tcW w:w="0" w:type="auto"/>
            <w:tcBorders>
              <w:top w:val="nil"/>
              <w:bottom w:val="nil"/>
            </w:tcBorders>
            <w:tcMar>
              <w:top w:w="0" w:type="dxa"/>
              <w:left w:w="115" w:type="dxa"/>
              <w:bottom w:w="0" w:type="dxa"/>
              <w:right w:w="115" w:type="dxa"/>
            </w:tcMar>
            <w:hideMark/>
          </w:tcPr>
          <w:p w14:paraId="3CE032A6" w14:textId="77777777" w:rsidR="00C033B5" w:rsidRPr="004F735C" w:rsidRDefault="00C033B5" w:rsidP="00C033B5">
            <w:pPr>
              <w:rPr>
                <w:rFonts w:asciiTheme="majorBidi" w:hAnsiTheme="majorBidi" w:cstheme="majorBidi"/>
              </w:rPr>
            </w:pPr>
            <w:r w:rsidRPr="004F735C">
              <w:rPr>
                <w:rFonts w:asciiTheme="majorBidi" w:hAnsiTheme="majorBidi" w:cstheme="majorBidi"/>
              </w:rPr>
              <w:t>7.4758</w:t>
            </w:r>
          </w:p>
        </w:tc>
        <w:tc>
          <w:tcPr>
            <w:tcW w:w="0" w:type="auto"/>
            <w:tcBorders>
              <w:top w:val="nil"/>
              <w:bottom w:val="nil"/>
            </w:tcBorders>
            <w:tcMar>
              <w:top w:w="0" w:type="dxa"/>
              <w:left w:w="115" w:type="dxa"/>
              <w:bottom w:w="0" w:type="dxa"/>
              <w:right w:w="115" w:type="dxa"/>
            </w:tcMar>
            <w:hideMark/>
          </w:tcPr>
          <w:p w14:paraId="0003CFEB" w14:textId="77777777" w:rsidR="00C033B5" w:rsidRPr="004F735C" w:rsidRDefault="00C033B5" w:rsidP="00C033B5">
            <w:pPr>
              <w:rPr>
                <w:rFonts w:asciiTheme="majorBidi" w:hAnsiTheme="majorBidi" w:cstheme="majorBidi"/>
              </w:rPr>
            </w:pPr>
            <w:r w:rsidRPr="004F735C">
              <w:rPr>
                <w:rFonts w:asciiTheme="majorBidi" w:hAnsiTheme="majorBidi" w:cstheme="majorBidi"/>
              </w:rPr>
              <w:t>16.2921</w:t>
            </w:r>
          </w:p>
        </w:tc>
        <w:tc>
          <w:tcPr>
            <w:tcW w:w="0" w:type="auto"/>
            <w:tcBorders>
              <w:top w:val="nil"/>
              <w:bottom w:val="nil"/>
            </w:tcBorders>
            <w:tcMar>
              <w:top w:w="0" w:type="dxa"/>
              <w:left w:w="115" w:type="dxa"/>
              <w:bottom w:w="0" w:type="dxa"/>
              <w:right w:w="115" w:type="dxa"/>
            </w:tcMar>
            <w:hideMark/>
          </w:tcPr>
          <w:p w14:paraId="2D4C1408"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5AA95072" w14:textId="77777777" w:rsidR="00C033B5" w:rsidRPr="004F735C" w:rsidRDefault="00C033B5" w:rsidP="00C033B5">
            <w:pPr>
              <w:rPr>
                <w:rFonts w:asciiTheme="majorBidi" w:hAnsiTheme="majorBidi" w:cstheme="majorBidi"/>
              </w:rPr>
            </w:pPr>
            <w:r w:rsidRPr="004F735C">
              <w:rPr>
                <w:rFonts w:asciiTheme="majorBidi" w:hAnsiTheme="majorBidi" w:cstheme="majorBidi"/>
              </w:rPr>
              <w:t>240</w:t>
            </w:r>
          </w:p>
        </w:tc>
        <w:tc>
          <w:tcPr>
            <w:tcW w:w="0" w:type="auto"/>
            <w:tcBorders>
              <w:top w:val="nil"/>
              <w:bottom w:val="nil"/>
            </w:tcBorders>
            <w:tcMar>
              <w:top w:w="0" w:type="dxa"/>
              <w:left w:w="115" w:type="dxa"/>
              <w:bottom w:w="0" w:type="dxa"/>
              <w:right w:w="115" w:type="dxa"/>
            </w:tcMar>
            <w:hideMark/>
          </w:tcPr>
          <w:p w14:paraId="2C800F67" w14:textId="77777777" w:rsidR="00C033B5" w:rsidRPr="004F735C" w:rsidRDefault="00C033B5" w:rsidP="00C033B5">
            <w:pPr>
              <w:rPr>
                <w:rFonts w:asciiTheme="majorBidi" w:hAnsiTheme="majorBidi" w:cstheme="majorBidi"/>
              </w:rPr>
            </w:pPr>
            <w:r w:rsidRPr="004F735C">
              <w:rPr>
                <w:rFonts w:asciiTheme="majorBidi" w:hAnsiTheme="majorBidi" w:cstheme="majorBidi"/>
              </w:rPr>
              <w:t>9.1404</w:t>
            </w:r>
          </w:p>
        </w:tc>
        <w:tc>
          <w:tcPr>
            <w:tcW w:w="0" w:type="auto"/>
            <w:tcBorders>
              <w:top w:val="nil"/>
              <w:bottom w:val="nil"/>
            </w:tcBorders>
            <w:tcMar>
              <w:top w:w="0" w:type="dxa"/>
              <w:left w:w="115" w:type="dxa"/>
              <w:bottom w:w="0" w:type="dxa"/>
              <w:right w:w="115" w:type="dxa"/>
            </w:tcMar>
            <w:hideMark/>
          </w:tcPr>
          <w:p w14:paraId="47DBA674" w14:textId="77777777" w:rsidR="00C033B5" w:rsidRPr="004F735C" w:rsidRDefault="00C033B5" w:rsidP="00C033B5">
            <w:pPr>
              <w:rPr>
                <w:rFonts w:asciiTheme="majorBidi" w:hAnsiTheme="majorBidi" w:cstheme="majorBidi"/>
              </w:rPr>
            </w:pPr>
            <w:r w:rsidRPr="004F735C">
              <w:rPr>
                <w:rFonts w:asciiTheme="majorBidi" w:hAnsiTheme="majorBidi" w:cstheme="majorBidi"/>
              </w:rPr>
              <w:t>18.7459</w:t>
            </w:r>
          </w:p>
        </w:tc>
        <w:tc>
          <w:tcPr>
            <w:tcW w:w="0" w:type="auto"/>
            <w:tcBorders>
              <w:top w:val="nil"/>
              <w:bottom w:val="nil"/>
            </w:tcBorders>
            <w:tcMar>
              <w:top w:w="0" w:type="dxa"/>
              <w:left w:w="115" w:type="dxa"/>
              <w:bottom w:w="0" w:type="dxa"/>
              <w:right w:w="115" w:type="dxa"/>
            </w:tcMar>
            <w:hideMark/>
          </w:tcPr>
          <w:p w14:paraId="508D8748"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608BB882" w14:textId="77777777" w:rsidR="00C033B5" w:rsidRPr="004F735C" w:rsidRDefault="00C033B5" w:rsidP="00C033B5">
            <w:pPr>
              <w:rPr>
                <w:rFonts w:asciiTheme="majorBidi" w:hAnsiTheme="majorBidi" w:cstheme="majorBidi"/>
              </w:rPr>
            </w:pPr>
            <w:r w:rsidRPr="004F735C">
              <w:rPr>
                <w:rFonts w:asciiTheme="majorBidi" w:hAnsiTheme="majorBidi" w:cstheme="majorBidi"/>
              </w:rPr>
              <w:t>238</w:t>
            </w:r>
          </w:p>
        </w:tc>
      </w:tr>
      <w:tr w:rsidR="00C033B5" w:rsidRPr="004F735C" w14:paraId="4C7E0648" w14:textId="77777777" w:rsidTr="004F735C">
        <w:trPr>
          <w:trHeight w:val="20"/>
        </w:trPr>
        <w:tc>
          <w:tcPr>
            <w:tcW w:w="0" w:type="auto"/>
            <w:tcBorders>
              <w:top w:val="nil"/>
              <w:bottom w:val="nil"/>
            </w:tcBorders>
            <w:tcMar>
              <w:top w:w="0" w:type="dxa"/>
              <w:left w:w="115" w:type="dxa"/>
              <w:bottom w:w="0" w:type="dxa"/>
              <w:right w:w="115" w:type="dxa"/>
            </w:tcMar>
            <w:hideMark/>
          </w:tcPr>
          <w:p w14:paraId="03E2BE35" w14:textId="77777777" w:rsidR="00C033B5" w:rsidRPr="004F735C" w:rsidRDefault="00C033B5" w:rsidP="00C033B5">
            <w:pPr>
              <w:rPr>
                <w:rFonts w:asciiTheme="majorBidi" w:hAnsiTheme="majorBidi" w:cstheme="majorBidi"/>
              </w:rPr>
            </w:pPr>
            <w:r w:rsidRPr="004F735C">
              <w:rPr>
                <w:rFonts w:asciiTheme="majorBidi" w:hAnsiTheme="majorBidi" w:cstheme="majorBidi"/>
              </w:rPr>
              <w:t>Amount</w:t>
            </w:r>
          </w:p>
        </w:tc>
        <w:tc>
          <w:tcPr>
            <w:tcW w:w="0" w:type="auto"/>
            <w:tcBorders>
              <w:top w:val="nil"/>
              <w:bottom w:val="nil"/>
            </w:tcBorders>
            <w:tcMar>
              <w:top w:w="0" w:type="dxa"/>
              <w:left w:w="115" w:type="dxa"/>
              <w:bottom w:w="0" w:type="dxa"/>
              <w:right w:w="115" w:type="dxa"/>
            </w:tcMar>
            <w:hideMark/>
          </w:tcPr>
          <w:p w14:paraId="2CA7A855" w14:textId="77777777" w:rsidR="00C033B5" w:rsidRPr="004F735C" w:rsidRDefault="00C033B5" w:rsidP="00C033B5">
            <w:pPr>
              <w:rPr>
                <w:rFonts w:asciiTheme="majorBidi" w:hAnsiTheme="majorBidi" w:cstheme="majorBidi"/>
              </w:rPr>
            </w:pPr>
            <w:r w:rsidRPr="004F735C">
              <w:rPr>
                <w:rFonts w:asciiTheme="majorBidi" w:hAnsiTheme="majorBidi" w:cstheme="majorBidi"/>
              </w:rPr>
              <w:t>748.3907</w:t>
            </w:r>
          </w:p>
        </w:tc>
        <w:tc>
          <w:tcPr>
            <w:tcW w:w="0" w:type="auto"/>
            <w:tcBorders>
              <w:top w:val="nil"/>
              <w:bottom w:val="nil"/>
            </w:tcBorders>
            <w:tcMar>
              <w:top w:w="0" w:type="dxa"/>
              <w:left w:w="115" w:type="dxa"/>
              <w:bottom w:w="0" w:type="dxa"/>
              <w:right w:w="115" w:type="dxa"/>
            </w:tcMar>
            <w:hideMark/>
          </w:tcPr>
          <w:p w14:paraId="36F19DBF" w14:textId="77777777" w:rsidR="00C033B5" w:rsidRPr="004F735C" w:rsidRDefault="00C033B5" w:rsidP="00C033B5">
            <w:pPr>
              <w:rPr>
                <w:rFonts w:asciiTheme="majorBidi" w:hAnsiTheme="majorBidi" w:cstheme="majorBidi"/>
              </w:rPr>
            </w:pPr>
            <w:r w:rsidRPr="004F735C">
              <w:rPr>
                <w:rFonts w:asciiTheme="majorBidi" w:hAnsiTheme="majorBidi" w:cstheme="majorBidi"/>
              </w:rPr>
              <w:t>1289.4490</w:t>
            </w:r>
          </w:p>
        </w:tc>
        <w:tc>
          <w:tcPr>
            <w:tcW w:w="0" w:type="auto"/>
            <w:tcBorders>
              <w:top w:val="nil"/>
              <w:bottom w:val="nil"/>
            </w:tcBorders>
            <w:tcMar>
              <w:top w:w="0" w:type="dxa"/>
              <w:left w:w="115" w:type="dxa"/>
              <w:bottom w:w="0" w:type="dxa"/>
              <w:right w:w="115" w:type="dxa"/>
            </w:tcMar>
            <w:hideMark/>
          </w:tcPr>
          <w:p w14:paraId="6E3D6C32" w14:textId="77777777" w:rsidR="00C033B5" w:rsidRPr="004F735C" w:rsidRDefault="00C033B5" w:rsidP="00C033B5">
            <w:pPr>
              <w:rPr>
                <w:rFonts w:asciiTheme="majorBidi" w:hAnsiTheme="majorBidi" w:cstheme="majorBidi"/>
              </w:rPr>
            </w:pPr>
            <w:r w:rsidRPr="004F735C">
              <w:rPr>
                <w:rFonts w:asciiTheme="majorBidi" w:hAnsiTheme="majorBidi" w:cstheme="majorBidi"/>
              </w:rPr>
              <w:t>12.05</w:t>
            </w:r>
          </w:p>
        </w:tc>
        <w:tc>
          <w:tcPr>
            <w:tcW w:w="0" w:type="auto"/>
            <w:tcBorders>
              <w:top w:val="nil"/>
              <w:bottom w:val="nil"/>
            </w:tcBorders>
            <w:tcMar>
              <w:top w:w="0" w:type="dxa"/>
              <w:left w:w="115" w:type="dxa"/>
              <w:bottom w:w="0" w:type="dxa"/>
              <w:right w:w="115" w:type="dxa"/>
            </w:tcMar>
            <w:hideMark/>
          </w:tcPr>
          <w:p w14:paraId="456CA2C4" w14:textId="77777777" w:rsidR="00C033B5" w:rsidRPr="004F735C" w:rsidRDefault="00C033B5" w:rsidP="00C033B5">
            <w:pPr>
              <w:rPr>
                <w:rFonts w:asciiTheme="majorBidi" w:hAnsiTheme="majorBidi" w:cstheme="majorBidi"/>
              </w:rPr>
            </w:pPr>
            <w:r w:rsidRPr="004F735C">
              <w:rPr>
                <w:rFonts w:asciiTheme="majorBidi" w:hAnsiTheme="majorBidi" w:cstheme="majorBidi"/>
              </w:rPr>
              <w:t>399737.6</w:t>
            </w:r>
          </w:p>
        </w:tc>
        <w:tc>
          <w:tcPr>
            <w:tcW w:w="0" w:type="auto"/>
            <w:tcBorders>
              <w:top w:val="nil"/>
              <w:bottom w:val="nil"/>
            </w:tcBorders>
            <w:tcMar>
              <w:top w:w="0" w:type="dxa"/>
              <w:left w:w="115" w:type="dxa"/>
              <w:bottom w:w="0" w:type="dxa"/>
              <w:right w:w="115" w:type="dxa"/>
            </w:tcMar>
            <w:hideMark/>
          </w:tcPr>
          <w:p w14:paraId="73AD028E" w14:textId="77777777" w:rsidR="00C033B5" w:rsidRPr="004F735C" w:rsidRDefault="00C033B5" w:rsidP="00C033B5">
            <w:pPr>
              <w:rPr>
                <w:rFonts w:asciiTheme="majorBidi" w:hAnsiTheme="majorBidi" w:cstheme="majorBidi"/>
              </w:rPr>
            </w:pPr>
            <w:r w:rsidRPr="004F735C">
              <w:rPr>
                <w:rFonts w:asciiTheme="majorBidi" w:hAnsiTheme="majorBidi" w:cstheme="majorBidi"/>
              </w:rPr>
              <w:t>701.7888</w:t>
            </w:r>
          </w:p>
        </w:tc>
        <w:tc>
          <w:tcPr>
            <w:tcW w:w="0" w:type="auto"/>
            <w:tcBorders>
              <w:top w:val="nil"/>
              <w:bottom w:val="nil"/>
            </w:tcBorders>
            <w:tcMar>
              <w:top w:w="0" w:type="dxa"/>
              <w:left w:w="115" w:type="dxa"/>
              <w:bottom w:w="0" w:type="dxa"/>
              <w:right w:w="115" w:type="dxa"/>
            </w:tcMar>
            <w:hideMark/>
          </w:tcPr>
          <w:p w14:paraId="4F47FB1E" w14:textId="77777777" w:rsidR="00C033B5" w:rsidRPr="004F735C" w:rsidRDefault="00C033B5" w:rsidP="00C033B5">
            <w:pPr>
              <w:rPr>
                <w:rFonts w:asciiTheme="majorBidi" w:hAnsiTheme="majorBidi" w:cstheme="majorBidi"/>
              </w:rPr>
            </w:pPr>
            <w:r w:rsidRPr="004F735C">
              <w:rPr>
                <w:rFonts w:asciiTheme="majorBidi" w:hAnsiTheme="majorBidi" w:cstheme="majorBidi"/>
              </w:rPr>
              <w:t>1261.0160</w:t>
            </w:r>
          </w:p>
        </w:tc>
        <w:tc>
          <w:tcPr>
            <w:tcW w:w="0" w:type="auto"/>
            <w:tcBorders>
              <w:top w:val="nil"/>
              <w:bottom w:val="nil"/>
            </w:tcBorders>
            <w:tcMar>
              <w:top w:w="0" w:type="dxa"/>
              <w:left w:w="115" w:type="dxa"/>
              <w:bottom w:w="0" w:type="dxa"/>
              <w:right w:w="115" w:type="dxa"/>
            </w:tcMar>
            <w:hideMark/>
          </w:tcPr>
          <w:p w14:paraId="17799FB8" w14:textId="77777777" w:rsidR="00C033B5" w:rsidRPr="004F735C" w:rsidRDefault="00C033B5" w:rsidP="00C033B5">
            <w:pPr>
              <w:rPr>
                <w:rFonts w:asciiTheme="majorBidi" w:hAnsiTheme="majorBidi" w:cstheme="majorBidi"/>
              </w:rPr>
            </w:pPr>
            <w:r w:rsidRPr="004F735C">
              <w:rPr>
                <w:rFonts w:asciiTheme="majorBidi" w:hAnsiTheme="majorBidi" w:cstheme="majorBidi"/>
              </w:rPr>
              <w:t>25.18</w:t>
            </w:r>
          </w:p>
        </w:tc>
        <w:tc>
          <w:tcPr>
            <w:tcW w:w="0" w:type="auto"/>
            <w:tcBorders>
              <w:top w:val="nil"/>
              <w:bottom w:val="nil"/>
            </w:tcBorders>
            <w:tcMar>
              <w:top w:w="0" w:type="dxa"/>
              <w:left w:w="115" w:type="dxa"/>
              <w:bottom w:w="0" w:type="dxa"/>
              <w:right w:w="115" w:type="dxa"/>
            </w:tcMar>
            <w:hideMark/>
          </w:tcPr>
          <w:p w14:paraId="2FF105F3" w14:textId="77777777" w:rsidR="00C033B5" w:rsidRPr="004F735C" w:rsidRDefault="00C033B5" w:rsidP="00C033B5">
            <w:pPr>
              <w:rPr>
                <w:rFonts w:asciiTheme="majorBidi" w:hAnsiTheme="majorBidi" w:cstheme="majorBidi"/>
              </w:rPr>
            </w:pPr>
            <w:r w:rsidRPr="004F735C">
              <w:rPr>
                <w:rFonts w:asciiTheme="majorBidi" w:hAnsiTheme="majorBidi" w:cstheme="majorBidi"/>
              </w:rPr>
              <w:t>55172.25</w:t>
            </w:r>
          </w:p>
        </w:tc>
      </w:tr>
      <w:tr w:rsidR="00C033B5" w:rsidRPr="004F735C" w14:paraId="147E96EE" w14:textId="77777777" w:rsidTr="004F735C">
        <w:trPr>
          <w:trHeight w:val="20"/>
        </w:trPr>
        <w:tc>
          <w:tcPr>
            <w:tcW w:w="0" w:type="auto"/>
            <w:tcBorders>
              <w:top w:val="nil"/>
              <w:bottom w:val="nil"/>
            </w:tcBorders>
            <w:tcMar>
              <w:top w:w="0" w:type="dxa"/>
              <w:left w:w="115" w:type="dxa"/>
              <w:bottom w:w="0" w:type="dxa"/>
              <w:right w:w="115" w:type="dxa"/>
            </w:tcMar>
            <w:hideMark/>
          </w:tcPr>
          <w:p w14:paraId="19C3CB2E"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Riskscore</w:t>
            </w:r>
            <w:proofErr w:type="spellEnd"/>
          </w:p>
        </w:tc>
        <w:tc>
          <w:tcPr>
            <w:tcW w:w="0" w:type="auto"/>
            <w:tcBorders>
              <w:top w:val="nil"/>
              <w:bottom w:val="nil"/>
            </w:tcBorders>
            <w:tcMar>
              <w:top w:w="0" w:type="dxa"/>
              <w:left w:w="115" w:type="dxa"/>
              <w:bottom w:w="0" w:type="dxa"/>
              <w:right w:w="115" w:type="dxa"/>
            </w:tcMar>
            <w:hideMark/>
          </w:tcPr>
          <w:p w14:paraId="07566115" w14:textId="77777777" w:rsidR="00C033B5" w:rsidRPr="004F735C" w:rsidRDefault="00C033B5" w:rsidP="00C033B5">
            <w:pPr>
              <w:rPr>
                <w:rFonts w:asciiTheme="majorBidi" w:hAnsiTheme="majorBidi" w:cstheme="majorBidi"/>
              </w:rPr>
            </w:pPr>
            <w:r w:rsidRPr="004F735C">
              <w:rPr>
                <w:rFonts w:asciiTheme="majorBidi" w:hAnsiTheme="majorBidi" w:cstheme="majorBidi"/>
              </w:rPr>
              <w:t>6.7469</w:t>
            </w:r>
          </w:p>
        </w:tc>
        <w:tc>
          <w:tcPr>
            <w:tcW w:w="0" w:type="auto"/>
            <w:tcBorders>
              <w:top w:val="nil"/>
              <w:bottom w:val="nil"/>
            </w:tcBorders>
            <w:tcMar>
              <w:top w:w="0" w:type="dxa"/>
              <w:left w:w="115" w:type="dxa"/>
              <w:bottom w:w="0" w:type="dxa"/>
              <w:right w:w="115" w:type="dxa"/>
            </w:tcMar>
            <w:hideMark/>
          </w:tcPr>
          <w:p w14:paraId="17D70D0B" w14:textId="77777777" w:rsidR="00C033B5" w:rsidRPr="004F735C" w:rsidRDefault="00C033B5" w:rsidP="00C033B5">
            <w:pPr>
              <w:rPr>
                <w:rFonts w:asciiTheme="majorBidi" w:hAnsiTheme="majorBidi" w:cstheme="majorBidi"/>
              </w:rPr>
            </w:pPr>
            <w:r w:rsidRPr="004F735C">
              <w:rPr>
                <w:rFonts w:asciiTheme="majorBidi" w:hAnsiTheme="majorBidi" w:cstheme="majorBidi"/>
              </w:rPr>
              <w:t>0.8016</w:t>
            </w:r>
          </w:p>
        </w:tc>
        <w:tc>
          <w:tcPr>
            <w:tcW w:w="0" w:type="auto"/>
            <w:tcBorders>
              <w:top w:val="nil"/>
              <w:bottom w:val="nil"/>
            </w:tcBorders>
            <w:tcMar>
              <w:top w:w="0" w:type="dxa"/>
              <w:left w:w="115" w:type="dxa"/>
              <w:bottom w:w="0" w:type="dxa"/>
              <w:right w:w="115" w:type="dxa"/>
            </w:tcMar>
            <w:hideMark/>
          </w:tcPr>
          <w:p w14:paraId="301C0B21" w14:textId="77777777" w:rsidR="00C033B5" w:rsidRPr="004F735C" w:rsidRDefault="00C033B5" w:rsidP="00C033B5">
            <w:pPr>
              <w:rPr>
                <w:rFonts w:asciiTheme="majorBidi" w:hAnsiTheme="majorBidi" w:cstheme="majorBidi"/>
              </w:rPr>
            </w:pPr>
            <w:r w:rsidRPr="004F735C">
              <w:rPr>
                <w:rFonts w:asciiTheme="majorBidi" w:hAnsiTheme="majorBidi" w:cstheme="majorBidi"/>
              </w:rPr>
              <w:t>5</w:t>
            </w:r>
          </w:p>
        </w:tc>
        <w:tc>
          <w:tcPr>
            <w:tcW w:w="0" w:type="auto"/>
            <w:tcBorders>
              <w:top w:val="nil"/>
              <w:bottom w:val="nil"/>
            </w:tcBorders>
            <w:tcMar>
              <w:top w:w="0" w:type="dxa"/>
              <w:left w:w="115" w:type="dxa"/>
              <w:bottom w:w="0" w:type="dxa"/>
              <w:right w:w="115" w:type="dxa"/>
            </w:tcMar>
            <w:hideMark/>
          </w:tcPr>
          <w:p w14:paraId="3EE3CA4E" w14:textId="77777777" w:rsidR="00C033B5" w:rsidRPr="004F735C" w:rsidRDefault="00C033B5" w:rsidP="00C033B5">
            <w:pPr>
              <w:rPr>
                <w:rFonts w:asciiTheme="majorBidi" w:hAnsiTheme="majorBidi" w:cstheme="majorBidi"/>
              </w:rPr>
            </w:pPr>
            <w:r w:rsidRPr="004F735C">
              <w:rPr>
                <w:rFonts w:asciiTheme="majorBidi" w:hAnsiTheme="majorBidi" w:cstheme="majorBidi"/>
              </w:rPr>
              <w:t>8</w:t>
            </w:r>
          </w:p>
        </w:tc>
        <w:tc>
          <w:tcPr>
            <w:tcW w:w="0" w:type="auto"/>
            <w:tcBorders>
              <w:top w:val="nil"/>
              <w:bottom w:val="nil"/>
            </w:tcBorders>
            <w:tcMar>
              <w:top w:w="0" w:type="dxa"/>
              <w:left w:w="115" w:type="dxa"/>
              <w:bottom w:w="0" w:type="dxa"/>
              <w:right w:w="115" w:type="dxa"/>
            </w:tcMar>
            <w:hideMark/>
          </w:tcPr>
          <w:p w14:paraId="43D4D998" w14:textId="77777777" w:rsidR="00C033B5" w:rsidRPr="004F735C" w:rsidRDefault="00C033B5" w:rsidP="00C033B5">
            <w:pPr>
              <w:rPr>
                <w:rFonts w:asciiTheme="majorBidi" w:hAnsiTheme="majorBidi" w:cstheme="majorBidi"/>
              </w:rPr>
            </w:pPr>
            <w:r w:rsidRPr="004F735C">
              <w:rPr>
                <w:rFonts w:asciiTheme="majorBidi" w:hAnsiTheme="majorBidi" w:cstheme="majorBidi"/>
              </w:rPr>
              <w:t>6.9217</w:t>
            </w:r>
          </w:p>
        </w:tc>
        <w:tc>
          <w:tcPr>
            <w:tcW w:w="0" w:type="auto"/>
            <w:tcBorders>
              <w:top w:val="nil"/>
              <w:bottom w:val="nil"/>
            </w:tcBorders>
            <w:tcMar>
              <w:top w:w="0" w:type="dxa"/>
              <w:left w:w="115" w:type="dxa"/>
              <w:bottom w:w="0" w:type="dxa"/>
              <w:right w:w="115" w:type="dxa"/>
            </w:tcMar>
            <w:hideMark/>
          </w:tcPr>
          <w:p w14:paraId="57AC6C17" w14:textId="77777777" w:rsidR="00C033B5" w:rsidRPr="004F735C" w:rsidRDefault="00C033B5" w:rsidP="00C033B5">
            <w:pPr>
              <w:rPr>
                <w:rFonts w:asciiTheme="majorBidi" w:hAnsiTheme="majorBidi" w:cstheme="majorBidi"/>
              </w:rPr>
            </w:pPr>
            <w:r w:rsidRPr="004F735C">
              <w:rPr>
                <w:rFonts w:asciiTheme="majorBidi" w:hAnsiTheme="majorBidi" w:cstheme="majorBidi"/>
              </w:rPr>
              <w:t>0.7648</w:t>
            </w:r>
          </w:p>
        </w:tc>
        <w:tc>
          <w:tcPr>
            <w:tcW w:w="0" w:type="auto"/>
            <w:tcBorders>
              <w:top w:val="nil"/>
              <w:bottom w:val="nil"/>
            </w:tcBorders>
            <w:tcMar>
              <w:top w:w="0" w:type="dxa"/>
              <w:left w:w="115" w:type="dxa"/>
              <w:bottom w:w="0" w:type="dxa"/>
              <w:right w:w="115" w:type="dxa"/>
            </w:tcMar>
            <w:hideMark/>
          </w:tcPr>
          <w:p w14:paraId="0CBBA053" w14:textId="77777777" w:rsidR="00C033B5" w:rsidRPr="004F735C" w:rsidRDefault="00C033B5" w:rsidP="00C033B5">
            <w:pPr>
              <w:rPr>
                <w:rFonts w:asciiTheme="majorBidi" w:hAnsiTheme="majorBidi" w:cstheme="majorBidi"/>
              </w:rPr>
            </w:pPr>
            <w:r w:rsidRPr="004F735C">
              <w:rPr>
                <w:rFonts w:asciiTheme="majorBidi" w:hAnsiTheme="majorBidi" w:cstheme="majorBidi"/>
              </w:rPr>
              <w:t>5.5</w:t>
            </w:r>
          </w:p>
        </w:tc>
        <w:tc>
          <w:tcPr>
            <w:tcW w:w="0" w:type="auto"/>
            <w:tcBorders>
              <w:top w:val="nil"/>
              <w:bottom w:val="nil"/>
            </w:tcBorders>
            <w:tcMar>
              <w:top w:w="0" w:type="dxa"/>
              <w:left w:w="115" w:type="dxa"/>
              <w:bottom w:w="0" w:type="dxa"/>
              <w:right w:w="115" w:type="dxa"/>
            </w:tcMar>
            <w:hideMark/>
          </w:tcPr>
          <w:p w14:paraId="15024E32" w14:textId="77777777" w:rsidR="00C033B5" w:rsidRPr="004F735C" w:rsidRDefault="00C033B5" w:rsidP="00C033B5">
            <w:pPr>
              <w:rPr>
                <w:rFonts w:asciiTheme="majorBidi" w:hAnsiTheme="majorBidi" w:cstheme="majorBidi"/>
              </w:rPr>
            </w:pPr>
            <w:r w:rsidRPr="004F735C">
              <w:rPr>
                <w:rFonts w:asciiTheme="majorBidi" w:hAnsiTheme="majorBidi" w:cstheme="majorBidi"/>
              </w:rPr>
              <w:t>9</w:t>
            </w:r>
          </w:p>
        </w:tc>
      </w:tr>
      <w:tr w:rsidR="00C033B5" w:rsidRPr="004F735C" w14:paraId="6197663A" w14:textId="77777777" w:rsidTr="004F735C">
        <w:trPr>
          <w:trHeight w:val="20"/>
        </w:trPr>
        <w:tc>
          <w:tcPr>
            <w:tcW w:w="0" w:type="auto"/>
            <w:tcBorders>
              <w:top w:val="nil"/>
              <w:bottom w:val="nil"/>
            </w:tcBorders>
            <w:tcMar>
              <w:top w:w="0" w:type="dxa"/>
              <w:left w:w="115" w:type="dxa"/>
              <w:bottom w:w="0" w:type="dxa"/>
              <w:right w:w="115" w:type="dxa"/>
            </w:tcMar>
            <w:hideMark/>
          </w:tcPr>
          <w:p w14:paraId="5770D5DE" w14:textId="77777777" w:rsidR="00C033B5" w:rsidRPr="004F735C" w:rsidRDefault="00C033B5" w:rsidP="00C033B5">
            <w:pPr>
              <w:rPr>
                <w:rFonts w:asciiTheme="majorBidi" w:hAnsiTheme="majorBidi" w:cstheme="majorBidi"/>
              </w:rPr>
            </w:pPr>
            <w:r w:rsidRPr="004F735C">
              <w:rPr>
                <w:rFonts w:asciiTheme="majorBidi" w:hAnsiTheme="majorBidi" w:cstheme="majorBidi"/>
              </w:rPr>
              <w:t>Collateral</w:t>
            </w:r>
          </w:p>
        </w:tc>
        <w:tc>
          <w:tcPr>
            <w:tcW w:w="0" w:type="auto"/>
            <w:tcBorders>
              <w:top w:val="nil"/>
              <w:bottom w:val="nil"/>
            </w:tcBorders>
            <w:tcMar>
              <w:top w:w="0" w:type="dxa"/>
              <w:left w:w="115" w:type="dxa"/>
              <w:bottom w:w="0" w:type="dxa"/>
              <w:right w:w="115" w:type="dxa"/>
            </w:tcMar>
            <w:hideMark/>
          </w:tcPr>
          <w:p w14:paraId="1EC98256" w14:textId="77777777" w:rsidR="00C033B5" w:rsidRPr="004F735C" w:rsidRDefault="00C033B5" w:rsidP="00C033B5">
            <w:pPr>
              <w:rPr>
                <w:rFonts w:asciiTheme="majorBidi" w:hAnsiTheme="majorBidi" w:cstheme="majorBidi"/>
              </w:rPr>
            </w:pPr>
            <w:r w:rsidRPr="004F735C">
              <w:rPr>
                <w:rFonts w:asciiTheme="majorBidi" w:hAnsiTheme="majorBidi" w:cstheme="majorBidi"/>
              </w:rPr>
              <w:t>0.1010</w:t>
            </w:r>
          </w:p>
        </w:tc>
        <w:tc>
          <w:tcPr>
            <w:tcW w:w="0" w:type="auto"/>
            <w:tcBorders>
              <w:top w:val="nil"/>
              <w:bottom w:val="nil"/>
            </w:tcBorders>
            <w:tcMar>
              <w:top w:w="0" w:type="dxa"/>
              <w:left w:w="115" w:type="dxa"/>
              <w:bottom w:w="0" w:type="dxa"/>
              <w:right w:w="115" w:type="dxa"/>
            </w:tcMar>
            <w:hideMark/>
          </w:tcPr>
          <w:p w14:paraId="3399EB2B" w14:textId="77777777" w:rsidR="00C033B5" w:rsidRPr="004F735C" w:rsidRDefault="00C033B5" w:rsidP="00C033B5">
            <w:pPr>
              <w:rPr>
                <w:rFonts w:asciiTheme="majorBidi" w:hAnsiTheme="majorBidi" w:cstheme="majorBidi"/>
              </w:rPr>
            </w:pPr>
            <w:r w:rsidRPr="004F735C">
              <w:rPr>
                <w:rFonts w:asciiTheme="majorBidi" w:hAnsiTheme="majorBidi" w:cstheme="majorBidi"/>
              </w:rPr>
              <w:t>0.3013</w:t>
            </w:r>
          </w:p>
        </w:tc>
        <w:tc>
          <w:tcPr>
            <w:tcW w:w="0" w:type="auto"/>
            <w:tcBorders>
              <w:top w:val="nil"/>
              <w:bottom w:val="nil"/>
            </w:tcBorders>
            <w:tcMar>
              <w:top w:w="0" w:type="dxa"/>
              <w:left w:w="115" w:type="dxa"/>
              <w:bottom w:w="0" w:type="dxa"/>
              <w:right w:w="115" w:type="dxa"/>
            </w:tcMar>
            <w:hideMark/>
          </w:tcPr>
          <w:p w14:paraId="32DFA6DD" w14:textId="77777777" w:rsidR="00C033B5" w:rsidRPr="004F735C" w:rsidRDefault="00C033B5" w:rsidP="00C033B5">
            <w:pPr>
              <w:rPr>
                <w:rFonts w:asciiTheme="majorBidi" w:hAnsiTheme="majorBidi" w:cstheme="majorBidi"/>
              </w:rPr>
            </w:pPr>
            <w:r w:rsidRPr="004F735C">
              <w:rPr>
                <w:rFonts w:asciiTheme="majorBidi" w:hAnsiTheme="majorBidi" w:cstheme="majorBidi"/>
              </w:rPr>
              <w:t>0</w:t>
            </w:r>
          </w:p>
        </w:tc>
        <w:tc>
          <w:tcPr>
            <w:tcW w:w="0" w:type="auto"/>
            <w:tcBorders>
              <w:top w:val="nil"/>
              <w:bottom w:val="nil"/>
            </w:tcBorders>
            <w:tcMar>
              <w:top w:w="0" w:type="dxa"/>
              <w:left w:w="115" w:type="dxa"/>
              <w:bottom w:w="0" w:type="dxa"/>
              <w:right w:w="115" w:type="dxa"/>
            </w:tcMar>
            <w:hideMark/>
          </w:tcPr>
          <w:p w14:paraId="491148BF"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3720A6C5" w14:textId="77777777" w:rsidR="00C033B5" w:rsidRPr="004F735C" w:rsidRDefault="00C033B5" w:rsidP="00C033B5">
            <w:pPr>
              <w:rPr>
                <w:rFonts w:asciiTheme="majorBidi" w:hAnsiTheme="majorBidi" w:cstheme="majorBidi"/>
              </w:rPr>
            </w:pPr>
            <w:r w:rsidRPr="004F735C">
              <w:rPr>
                <w:rFonts w:asciiTheme="majorBidi" w:hAnsiTheme="majorBidi" w:cstheme="majorBidi"/>
              </w:rPr>
              <w:t>0.1628</w:t>
            </w:r>
          </w:p>
        </w:tc>
        <w:tc>
          <w:tcPr>
            <w:tcW w:w="0" w:type="auto"/>
            <w:tcBorders>
              <w:top w:val="nil"/>
              <w:bottom w:val="nil"/>
            </w:tcBorders>
            <w:tcMar>
              <w:top w:w="0" w:type="dxa"/>
              <w:left w:w="115" w:type="dxa"/>
              <w:bottom w:w="0" w:type="dxa"/>
              <w:right w:w="115" w:type="dxa"/>
            </w:tcMar>
            <w:hideMark/>
          </w:tcPr>
          <w:p w14:paraId="7AAAB62B" w14:textId="77777777" w:rsidR="00C033B5" w:rsidRPr="004F735C" w:rsidRDefault="00C033B5" w:rsidP="00C033B5">
            <w:pPr>
              <w:rPr>
                <w:rFonts w:asciiTheme="majorBidi" w:hAnsiTheme="majorBidi" w:cstheme="majorBidi"/>
              </w:rPr>
            </w:pPr>
            <w:r w:rsidRPr="004F735C">
              <w:rPr>
                <w:rFonts w:asciiTheme="majorBidi" w:hAnsiTheme="majorBidi" w:cstheme="majorBidi"/>
              </w:rPr>
              <w:t>0.3692</w:t>
            </w:r>
          </w:p>
        </w:tc>
        <w:tc>
          <w:tcPr>
            <w:tcW w:w="0" w:type="auto"/>
            <w:tcBorders>
              <w:top w:val="nil"/>
              <w:bottom w:val="nil"/>
            </w:tcBorders>
            <w:tcMar>
              <w:top w:w="0" w:type="dxa"/>
              <w:left w:w="115" w:type="dxa"/>
              <w:bottom w:w="0" w:type="dxa"/>
              <w:right w:w="115" w:type="dxa"/>
            </w:tcMar>
            <w:hideMark/>
          </w:tcPr>
          <w:p w14:paraId="021B9153" w14:textId="77777777" w:rsidR="00C033B5" w:rsidRPr="004F735C" w:rsidRDefault="00C033B5" w:rsidP="00C033B5">
            <w:pPr>
              <w:rPr>
                <w:rFonts w:asciiTheme="majorBidi" w:hAnsiTheme="majorBidi" w:cstheme="majorBidi"/>
              </w:rPr>
            </w:pPr>
            <w:r w:rsidRPr="004F735C">
              <w:rPr>
                <w:rFonts w:asciiTheme="majorBidi" w:hAnsiTheme="majorBidi" w:cstheme="majorBidi"/>
              </w:rPr>
              <w:t>0</w:t>
            </w:r>
          </w:p>
        </w:tc>
        <w:tc>
          <w:tcPr>
            <w:tcW w:w="0" w:type="auto"/>
            <w:tcBorders>
              <w:top w:val="nil"/>
              <w:bottom w:val="nil"/>
            </w:tcBorders>
            <w:tcMar>
              <w:top w:w="0" w:type="dxa"/>
              <w:left w:w="115" w:type="dxa"/>
              <w:bottom w:w="0" w:type="dxa"/>
              <w:right w:w="115" w:type="dxa"/>
            </w:tcMar>
            <w:hideMark/>
          </w:tcPr>
          <w:p w14:paraId="76A2E0CF"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r>
      <w:tr w:rsidR="00C033B5" w:rsidRPr="004F735C" w14:paraId="496C53F2" w14:textId="77777777" w:rsidTr="004F735C">
        <w:trPr>
          <w:trHeight w:val="20"/>
        </w:trPr>
        <w:tc>
          <w:tcPr>
            <w:tcW w:w="0" w:type="auto"/>
            <w:tcBorders>
              <w:top w:val="nil"/>
              <w:bottom w:val="nil"/>
            </w:tcBorders>
            <w:tcMar>
              <w:top w:w="0" w:type="dxa"/>
              <w:left w:w="115" w:type="dxa"/>
              <w:bottom w:w="0" w:type="dxa"/>
              <w:right w:w="115" w:type="dxa"/>
            </w:tcMar>
            <w:hideMark/>
          </w:tcPr>
          <w:p w14:paraId="0839A7C0"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Extsched</w:t>
            </w:r>
            <w:proofErr w:type="spellEnd"/>
          </w:p>
        </w:tc>
        <w:tc>
          <w:tcPr>
            <w:tcW w:w="0" w:type="auto"/>
            <w:tcBorders>
              <w:top w:val="nil"/>
              <w:bottom w:val="nil"/>
            </w:tcBorders>
            <w:tcMar>
              <w:top w:w="0" w:type="dxa"/>
              <w:left w:w="115" w:type="dxa"/>
              <w:bottom w:w="0" w:type="dxa"/>
              <w:right w:w="115" w:type="dxa"/>
            </w:tcMar>
            <w:hideMark/>
          </w:tcPr>
          <w:p w14:paraId="26E51AB6" w14:textId="77777777" w:rsidR="00C033B5" w:rsidRPr="004F735C" w:rsidRDefault="00C033B5" w:rsidP="00C033B5">
            <w:pPr>
              <w:rPr>
                <w:rFonts w:asciiTheme="majorBidi" w:hAnsiTheme="majorBidi" w:cstheme="majorBidi"/>
              </w:rPr>
            </w:pPr>
            <w:r w:rsidRPr="004F735C">
              <w:rPr>
                <w:rFonts w:asciiTheme="majorBidi" w:hAnsiTheme="majorBidi" w:cstheme="majorBidi"/>
              </w:rPr>
              <w:t>0.7893</w:t>
            </w:r>
          </w:p>
        </w:tc>
        <w:tc>
          <w:tcPr>
            <w:tcW w:w="0" w:type="auto"/>
            <w:tcBorders>
              <w:top w:val="nil"/>
              <w:bottom w:val="nil"/>
            </w:tcBorders>
            <w:tcMar>
              <w:top w:w="0" w:type="dxa"/>
              <w:left w:w="115" w:type="dxa"/>
              <w:bottom w:w="0" w:type="dxa"/>
              <w:right w:w="115" w:type="dxa"/>
            </w:tcMar>
            <w:hideMark/>
          </w:tcPr>
          <w:p w14:paraId="3E3E872B" w14:textId="77777777" w:rsidR="00C033B5" w:rsidRPr="004F735C" w:rsidRDefault="00C033B5" w:rsidP="00C033B5">
            <w:pPr>
              <w:rPr>
                <w:rFonts w:asciiTheme="majorBidi" w:hAnsiTheme="majorBidi" w:cstheme="majorBidi"/>
              </w:rPr>
            </w:pPr>
            <w:r w:rsidRPr="004F735C">
              <w:rPr>
                <w:rFonts w:asciiTheme="majorBidi" w:hAnsiTheme="majorBidi" w:cstheme="majorBidi"/>
              </w:rPr>
              <w:t>0.4078</w:t>
            </w:r>
          </w:p>
        </w:tc>
        <w:tc>
          <w:tcPr>
            <w:tcW w:w="0" w:type="auto"/>
            <w:tcBorders>
              <w:top w:val="nil"/>
              <w:bottom w:val="nil"/>
            </w:tcBorders>
            <w:tcMar>
              <w:top w:w="0" w:type="dxa"/>
              <w:left w:w="115" w:type="dxa"/>
              <w:bottom w:w="0" w:type="dxa"/>
              <w:right w:w="115" w:type="dxa"/>
            </w:tcMar>
            <w:hideMark/>
          </w:tcPr>
          <w:p w14:paraId="7FD4484C" w14:textId="77777777" w:rsidR="00C033B5" w:rsidRPr="004F735C" w:rsidRDefault="00C033B5" w:rsidP="00C033B5">
            <w:pPr>
              <w:rPr>
                <w:rFonts w:asciiTheme="majorBidi" w:hAnsiTheme="majorBidi" w:cstheme="majorBidi"/>
              </w:rPr>
            </w:pPr>
            <w:r w:rsidRPr="004F735C">
              <w:rPr>
                <w:rFonts w:asciiTheme="majorBidi" w:hAnsiTheme="majorBidi" w:cstheme="majorBidi"/>
              </w:rPr>
              <w:t>0</w:t>
            </w:r>
          </w:p>
        </w:tc>
        <w:tc>
          <w:tcPr>
            <w:tcW w:w="0" w:type="auto"/>
            <w:tcBorders>
              <w:top w:val="nil"/>
              <w:bottom w:val="nil"/>
            </w:tcBorders>
            <w:tcMar>
              <w:top w:w="0" w:type="dxa"/>
              <w:left w:w="115" w:type="dxa"/>
              <w:bottom w:w="0" w:type="dxa"/>
              <w:right w:w="115" w:type="dxa"/>
            </w:tcMar>
            <w:hideMark/>
          </w:tcPr>
          <w:p w14:paraId="0DE676FC"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5D6F6043" w14:textId="77777777" w:rsidR="00C033B5" w:rsidRPr="004F735C" w:rsidRDefault="00C033B5" w:rsidP="00C033B5">
            <w:pPr>
              <w:rPr>
                <w:rFonts w:asciiTheme="majorBidi" w:hAnsiTheme="majorBidi" w:cstheme="majorBidi"/>
              </w:rPr>
            </w:pPr>
            <w:r w:rsidRPr="004F735C">
              <w:rPr>
                <w:rFonts w:asciiTheme="majorBidi" w:hAnsiTheme="majorBidi" w:cstheme="majorBidi"/>
              </w:rPr>
              <w:t>0.7257</w:t>
            </w:r>
          </w:p>
        </w:tc>
        <w:tc>
          <w:tcPr>
            <w:tcW w:w="0" w:type="auto"/>
            <w:tcBorders>
              <w:top w:val="nil"/>
              <w:bottom w:val="nil"/>
            </w:tcBorders>
            <w:tcMar>
              <w:top w:w="0" w:type="dxa"/>
              <w:left w:w="115" w:type="dxa"/>
              <w:bottom w:w="0" w:type="dxa"/>
              <w:right w:w="115" w:type="dxa"/>
            </w:tcMar>
            <w:hideMark/>
          </w:tcPr>
          <w:p w14:paraId="14CCC575" w14:textId="77777777" w:rsidR="00C033B5" w:rsidRPr="004F735C" w:rsidRDefault="00C033B5" w:rsidP="00C033B5">
            <w:pPr>
              <w:rPr>
                <w:rFonts w:asciiTheme="majorBidi" w:hAnsiTheme="majorBidi" w:cstheme="majorBidi"/>
              </w:rPr>
            </w:pPr>
            <w:r w:rsidRPr="004F735C">
              <w:rPr>
                <w:rFonts w:asciiTheme="majorBidi" w:hAnsiTheme="majorBidi" w:cstheme="majorBidi"/>
              </w:rPr>
              <w:t>0.4462</w:t>
            </w:r>
          </w:p>
        </w:tc>
        <w:tc>
          <w:tcPr>
            <w:tcW w:w="0" w:type="auto"/>
            <w:tcBorders>
              <w:top w:val="nil"/>
              <w:bottom w:val="nil"/>
            </w:tcBorders>
            <w:tcMar>
              <w:top w:w="0" w:type="dxa"/>
              <w:left w:w="115" w:type="dxa"/>
              <w:bottom w:w="0" w:type="dxa"/>
              <w:right w:w="115" w:type="dxa"/>
            </w:tcMar>
            <w:hideMark/>
          </w:tcPr>
          <w:p w14:paraId="0EBFC830" w14:textId="77777777" w:rsidR="00C033B5" w:rsidRPr="004F735C" w:rsidRDefault="00C033B5" w:rsidP="00C033B5">
            <w:pPr>
              <w:rPr>
                <w:rFonts w:asciiTheme="majorBidi" w:hAnsiTheme="majorBidi" w:cstheme="majorBidi"/>
              </w:rPr>
            </w:pPr>
            <w:r w:rsidRPr="004F735C">
              <w:rPr>
                <w:rFonts w:asciiTheme="majorBidi" w:hAnsiTheme="majorBidi" w:cstheme="majorBidi"/>
              </w:rPr>
              <w:t>0</w:t>
            </w:r>
          </w:p>
        </w:tc>
        <w:tc>
          <w:tcPr>
            <w:tcW w:w="0" w:type="auto"/>
            <w:tcBorders>
              <w:top w:val="nil"/>
              <w:bottom w:val="nil"/>
            </w:tcBorders>
            <w:tcMar>
              <w:top w:w="0" w:type="dxa"/>
              <w:left w:w="115" w:type="dxa"/>
              <w:bottom w:w="0" w:type="dxa"/>
              <w:right w:w="115" w:type="dxa"/>
            </w:tcMar>
            <w:hideMark/>
          </w:tcPr>
          <w:p w14:paraId="6E6F9321"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r>
      <w:tr w:rsidR="00C033B5" w:rsidRPr="004F735C" w14:paraId="3AA6D8FB" w14:textId="77777777" w:rsidTr="004F735C">
        <w:trPr>
          <w:trHeight w:val="20"/>
        </w:trPr>
        <w:tc>
          <w:tcPr>
            <w:tcW w:w="0" w:type="auto"/>
            <w:tcBorders>
              <w:top w:val="nil"/>
              <w:bottom w:val="nil"/>
            </w:tcBorders>
            <w:tcMar>
              <w:top w:w="0" w:type="dxa"/>
              <w:left w:w="115" w:type="dxa"/>
              <w:bottom w:w="0" w:type="dxa"/>
              <w:right w:w="115" w:type="dxa"/>
            </w:tcMar>
            <w:hideMark/>
          </w:tcPr>
          <w:p w14:paraId="5BDD4799" w14:textId="77777777" w:rsidR="00C033B5" w:rsidRPr="004F735C" w:rsidRDefault="00C033B5" w:rsidP="00C033B5">
            <w:pPr>
              <w:rPr>
                <w:rFonts w:asciiTheme="majorBidi" w:hAnsiTheme="majorBidi" w:cstheme="majorBidi"/>
              </w:rPr>
            </w:pPr>
            <w:r w:rsidRPr="004F735C">
              <w:rPr>
                <w:rFonts w:asciiTheme="majorBidi" w:hAnsiTheme="majorBidi" w:cstheme="majorBidi"/>
              </w:rPr>
              <w:t>Age</w:t>
            </w:r>
          </w:p>
        </w:tc>
        <w:tc>
          <w:tcPr>
            <w:tcW w:w="0" w:type="auto"/>
            <w:tcBorders>
              <w:top w:val="nil"/>
              <w:bottom w:val="nil"/>
            </w:tcBorders>
            <w:tcMar>
              <w:top w:w="0" w:type="dxa"/>
              <w:left w:w="115" w:type="dxa"/>
              <w:bottom w:w="0" w:type="dxa"/>
              <w:right w:w="115" w:type="dxa"/>
            </w:tcMar>
            <w:hideMark/>
          </w:tcPr>
          <w:p w14:paraId="5310ACDF" w14:textId="77777777" w:rsidR="00C033B5" w:rsidRPr="004F735C" w:rsidRDefault="00C033B5" w:rsidP="00C033B5">
            <w:pPr>
              <w:rPr>
                <w:rFonts w:asciiTheme="majorBidi" w:hAnsiTheme="majorBidi" w:cstheme="majorBidi"/>
              </w:rPr>
            </w:pPr>
            <w:r w:rsidRPr="004F735C">
              <w:rPr>
                <w:rFonts w:asciiTheme="majorBidi" w:hAnsiTheme="majorBidi" w:cstheme="majorBidi"/>
              </w:rPr>
              <w:t>8.5314</w:t>
            </w:r>
          </w:p>
        </w:tc>
        <w:tc>
          <w:tcPr>
            <w:tcW w:w="0" w:type="auto"/>
            <w:tcBorders>
              <w:top w:val="nil"/>
              <w:bottom w:val="nil"/>
            </w:tcBorders>
            <w:tcMar>
              <w:top w:w="0" w:type="dxa"/>
              <w:left w:w="115" w:type="dxa"/>
              <w:bottom w:w="0" w:type="dxa"/>
              <w:right w:w="115" w:type="dxa"/>
            </w:tcMar>
            <w:hideMark/>
          </w:tcPr>
          <w:p w14:paraId="41C4BD41" w14:textId="77777777" w:rsidR="00C033B5" w:rsidRPr="004F735C" w:rsidRDefault="00C033B5" w:rsidP="00C033B5">
            <w:pPr>
              <w:rPr>
                <w:rFonts w:asciiTheme="majorBidi" w:hAnsiTheme="majorBidi" w:cstheme="majorBidi"/>
              </w:rPr>
            </w:pPr>
            <w:r w:rsidRPr="004F735C">
              <w:rPr>
                <w:rFonts w:asciiTheme="majorBidi" w:hAnsiTheme="majorBidi" w:cstheme="majorBidi"/>
              </w:rPr>
              <w:t>4.4884</w:t>
            </w:r>
          </w:p>
        </w:tc>
        <w:tc>
          <w:tcPr>
            <w:tcW w:w="0" w:type="auto"/>
            <w:tcBorders>
              <w:top w:val="nil"/>
              <w:bottom w:val="nil"/>
            </w:tcBorders>
            <w:tcMar>
              <w:top w:w="0" w:type="dxa"/>
              <w:left w:w="115" w:type="dxa"/>
              <w:bottom w:w="0" w:type="dxa"/>
              <w:right w:w="115" w:type="dxa"/>
            </w:tcMar>
            <w:hideMark/>
          </w:tcPr>
          <w:p w14:paraId="339D4313" w14:textId="77777777" w:rsidR="00C033B5" w:rsidRPr="004F735C" w:rsidRDefault="00C033B5" w:rsidP="00C033B5">
            <w:pPr>
              <w:rPr>
                <w:rFonts w:asciiTheme="majorBidi" w:hAnsiTheme="majorBidi" w:cstheme="majorBidi"/>
              </w:rPr>
            </w:pPr>
            <w:r w:rsidRPr="004F735C">
              <w:rPr>
                <w:rFonts w:asciiTheme="majorBidi" w:hAnsiTheme="majorBidi" w:cstheme="majorBidi"/>
              </w:rPr>
              <w:t>4</w:t>
            </w:r>
          </w:p>
        </w:tc>
        <w:tc>
          <w:tcPr>
            <w:tcW w:w="0" w:type="auto"/>
            <w:tcBorders>
              <w:top w:val="nil"/>
              <w:bottom w:val="nil"/>
            </w:tcBorders>
            <w:tcMar>
              <w:top w:w="0" w:type="dxa"/>
              <w:left w:w="115" w:type="dxa"/>
              <w:bottom w:w="0" w:type="dxa"/>
              <w:right w:w="115" w:type="dxa"/>
            </w:tcMar>
            <w:hideMark/>
          </w:tcPr>
          <w:p w14:paraId="33230F4A" w14:textId="77777777" w:rsidR="00C033B5" w:rsidRPr="004F735C" w:rsidRDefault="00C033B5" w:rsidP="00C033B5">
            <w:pPr>
              <w:rPr>
                <w:rFonts w:asciiTheme="majorBidi" w:hAnsiTheme="majorBidi" w:cstheme="majorBidi"/>
              </w:rPr>
            </w:pPr>
            <w:r w:rsidRPr="004F735C">
              <w:rPr>
                <w:rFonts w:asciiTheme="majorBidi" w:hAnsiTheme="majorBidi" w:cstheme="majorBidi"/>
              </w:rPr>
              <w:t>22</w:t>
            </w:r>
          </w:p>
        </w:tc>
        <w:tc>
          <w:tcPr>
            <w:tcW w:w="0" w:type="auto"/>
            <w:tcBorders>
              <w:top w:val="nil"/>
              <w:bottom w:val="nil"/>
            </w:tcBorders>
            <w:tcMar>
              <w:top w:w="0" w:type="dxa"/>
              <w:left w:w="115" w:type="dxa"/>
              <w:bottom w:w="0" w:type="dxa"/>
              <w:right w:w="115" w:type="dxa"/>
            </w:tcMar>
            <w:hideMark/>
          </w:tcPr>
          <w:p w14:paraId="630E4620" w14:textId="77777777" w:rsidR="00C033B5" w:rsidRPr="004F735C" w:rsidRDefault="00C033B5" w:rsidP="00C033B5">
            <w:pPr>
              <w:rPr>
                <w:rFonts w:asciiTheme="majorBidi" w:hAnsiTheme="majorBidi" w:cstheme="majorBidi"/>
              </w:rPr>
            </w:pPr>
            <w:r w:rsidRPr="004F735C">
              <w:rPr>
                <w:rFonts w:asciiTheme="majorBidi" w:hAnsiTheme="majorBidi" w:cstheme="majorBidi"/>
              </w:rPr>
              <w:t>9.1695</w:t>
            </w:r>
          </w:p>
        </w:tc>
        <w:tc>
          <w:tcPr>
            <w:tcW w:w="0" w:type="auto"/>
            <w:tcBorders>
              <w:top w:val="nil"/>
              <w:bottom w:val="nil"/>
            </w:tcBorders>
            <w:tcMar>
              <w:top w:w="0" w:type="dxa"/>
              <w:left w:w="115" w:type="dxa"/>
              <w:bottom w:w="0" w:type="dxa"/>
              <w:right w:w="115" w:type="dxa"/>
            </w:tcMar>
            <w:hideMark/>
          </w:tcPr>
          <w:p w14:paraId="35A514F7" w14:textId="77777777" w:rsidR="00C033B5" w:rsidRPr="004F735C" w:rsidRDefault="00C033B5" w:rsidP="00C033B5">
            <w:pPr>
              <w:rPr>
                <w:rFonts w:asciiTheme="majorBidi" w:hAnsiTheme="majorBidi" w:cstheme="majorBidi"/>
              </w:rPr>
            </w:pPr>
            <w:r w:rsidRPr="004F735C">
              <w:rPr>
                <w:rFonts w:asciiTheme="majorBidi" w:hAnsiTheme="majorBidi" w:cstheme="majorBidi"/>
              </w:rPr>
              <w:t>5.0388</w:t>
            </w:r>
          </w:p>
        </w:tc>
        <w:tc>
          <w:tcPr>
            <w:tcW w:w="0" w:type="auto"/>
            <w:tcBorders>
              <w:top w:val="nil"/>
              <w:bottom w:val="nil"/>
            </w:tcBorders>
            <w:tcMar>
              <w:top w:w="0" w:type="dxa"/>
              <w:left w:w="115" w:type="dxa"/>
              <w:bottom w:w="0" w:type="dxa"/>
              <w:right w:w="115" w:type="dxa"/>
            </w:tcMar>
            <w:hideMark/>
          </w:tcPr>
          <w:p w14:paraId="19220B52"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4A18F61F" w14:textId="77777777" w:rsidR="00C033B5" w:rsidRPr="004F735C" w:rsidRDefault="00C033B5" w:rsidP="00C033B5">
            <w:pPr>
              <w:rPr>
                <w:rFonts w:asciiTheme="majorBidi" w:hAnsiTheme="majorBidi" w:cstheme="majorBidi"/>
              </w:rPr>
            </w:pPr>
            <w:r w:rsidRPr="004F735C">
              <w:rPr>
                <w:rFonts w:asciiTheme="majorBidi" w:hAnsiTheme="majorBidi" w:cstheme="majorBidi"/>
              </w:rPr>
              <w:t>22</w:t>
            </w:r>
          </w:p>
        </w:tc>
      </w:tr>
      <w:tr w:rsidR="00C033B5" w:rsidRPr="004F735C" w14:paraId="405B892A" w14:textId="77777777" w:rsidTr="004F735C">
        <w:trPr>
          <w:trHeight w:val="20"/>
        </w:trPr>
        <w:tc>
          <w:tcPr>
            <w:tcW w:w="0" w:type="auto"/>
            <w:tcBorders>
              <w:top w:val="nil"/>
              <w:bottom w:val="nil"/>
            </w:tcBorders>
            <w:tcMar>
              <w:top w:w="0" w:type="dxa"/>
              <w:left w:w="115" w:type="dxa"/>
              <w:bottom w:w="0" w:type="dxa"/>
              <w:right w:w="115" w:type="dxa"/>
            </w:tcMar>
            <w:hideMark/>
          </w:tcPr>
          <w:p w14:paraId="2DDEE73B"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Loanport</w:t>
            </w:r>
            <w:proofErr w:type="spellEnd"/>
          </w:p>
        </w:tc>
        <w:tc>
          <w:tcPr>
            <w:tcW w:w="0" w:type="auto"/>
            <w:tcBorders>
              <w:top w:val="nil"/>
              <w:bottom w:val="nil"/>
            </w:tcBorders>
            <w:tcMar>
              <w:top w:w="0" w:type="dxa"/>
              <w:left w:w="115" w:type="dxa"/>
              <w:bottom w:w="0" w:type="dxa"/>
              <w:right w:w="115" w:type="dxa"/>
            </w:tcMar>
            <w:hideMark/>
          </w:tcPr>
          <w:p w14:paraId="5B59984D" w14:textId="77777777" w:rsidR="00C033B5" w:rsidRPr="004F735C" w:rsidRDefault="00C033B5" w:rsidP="00C033B5">
            <w:pPr>
              <w:rPr>
                <w:rFonts w:asciiTheme="majorBidi" w:hAnsiTheme="majorBidi" w:cstheme="majorBidi"/>
              </w:rPr>
            </w:pPr>
            <w:r w:rsidRPr="004F735C">
              <w:rPr>
                <w:rFonts w:asciiTheme="majorBidi" w:hAnsiTheme="majorBidi" w:cstheme="majorBidi"/>
              </w:rPr>
              <w:t>28,900,000</w:t>
            </w:r>
          </w:p>
        </w:tc>
        <w:tc>
          <w:tcPr>
            <w:tcW w:w="0" w:type="auto"/>
            <w:tcBorders>
              <w:top w:val="nil"/>
              <w:bottom w:val="nil"/>
            </w:tcBorders>
            <w:tcMar>
              <w:top w:w="0" w:type="dxa"/>
              <w:left w:w="115" w:type="dxa"/>
              <w:bottom w:w="0" w:type="dxa"/>
              <w:right w:w="115" w:type="dxa"/>
            </w:tcMar>
            <w:hideMark/>
          </w:tcPr>
          <w:p w14:paraId="1734A1F5" w14:textId="77777777" w:rsidR="00C033B5" w:rsidRPr="004F735C" w:rsidRDefault="00C033B5" w:rsidP="00C033B5">
            <w:pPr>
              <w:rPr>
                <w:rFonts w:asciiTheme="majorBidi" w:hAnsiTheme="majorBidi" w:cstheme="majorBidi"/>
              </w:rPr>
            </w:pPr>
            <w:r w:rsidRPr="004F735C">
              <w:rPr>
                <w:rFonts w:asciiTheme="majorBidi" w:hAnsiTheme="majorBidi" w:cstheme="majorBidi"/>
              </w:rPr>
              <w:t>36,400,000</w:t>
            </w:r>
          </w:p>
        </w:tc>
        <w:tc>
          <w:tcPr>
            <w:tcW w:w="0" w:type="auto"/>
            <w:tcBorders>
              <w:top w:val="nil"/>
              <w:bottom w:val="nil"/>
            </w:tcBorders>
            <w:tcMar>
              <w:top w:w="0" w:type="dxa"/>
              <w:left w:w="115" w:type="dxa"/>
              <w:bottom w:w="0" w:type="dxa"/>
              <w:right w:w="115" w:type="dxa"/>
            </w:tcMar>
            <w:hideMark/>
          </w:tcPr>
          <w:p w14:paraId="593601A1" w14:textId="77777777" w:rsidR="00C033B5" w:rsidRPr="004F735C" w:rsidRDefault="00C033B5" w:rsidP="00C033B5">
            <w:pPr>
              <w:rPr>
                <w:rFonts w:asciiTheme="majorBidi" w:hAnsiTheme="majorBidi" w:cstheme="majorBidi"/>
              </w:rPr>
            </w:pPr>
            <w:r w:rsidRPr="004F735C">
              <w:rPr>
                <w:rFonts w:asciiTheme="majorBidi" w:hAnsiTheme="majorBidi" w:cstheme="majorBidi"/>
              </w:rPr>
              <w:t>2,500,000</w:t>
            </w:r>
          </w:p>
        </w:tc>
        <w:tc>
          <w:tcPr>
            <w:tcW w:w="0" w:type="auto"/>
            <w:tcBorders>
              <w:top w:val="nil"/>
              <w:bottom w:val="nil"/>
            </w:tcBorders>
            <w:tcMar>
              <w:top w:w="0" w:type="dxa"/>
              <w:left w:w="115" w:type="dxa"/>
              <w:bottom w:w="0" w:type="dxa"/>
              <w:right w:w="115" w:type="dxa"/>
            </w:tcMar>
            <w:hideMark/>
          </w:tcPr>
          <w:p w14:paraId="07E95E39" w14:textId="77777777" w:rsidR="00C033B5" w:rsidRPr="004F735C" w:rsidRDefault="00C033B5" w:rsidP="00C033B5">
            <w:pPr>
              <w:rPr>
                <w:rFonts w:asciiTheme="majorBidi" w:hAnsiTheme="majorBidi" w:cstheme="majorBidi"/>
              </w:rPr>
            </w:pPr>
            <w:r w:rsidRPr="004F735C">
              <w:rPr>
                <w:rFonts w:asciiTheme="majorBidi" w:hAnsiTheme="majorBidi" w:cstheme="majorBidi"/>
              </w:rPr>
              <w:t>235,000,000</w:t>
            </w:r>
          </w:p>
        </w:tc>
        <w:tc>
          <w:tcPr>
            <w:tcW w:w="0" w:type="auto"/>
            <w:tcBorders>
              <w:top w:val="nil"/>
              <w:bottom w:val="nil"/>
            </w:tcBorders>
            <w:tcMar>
              <w:top w:w="0" w:type="dxa"/>
              <w:left w:w="115" w:type="dxa"/>
              <w:bottom w:w="0" w:type="dxa"/>
              <w:right w:w="115" w:type="dxa"/>
            </w:tcMar>
            <w:hideMark/>
          </w:tcPr>
          <w:p w14:paraId="1ED0774B" w14:textId="77777777" w:rsidR="00C033B5" w:rsidRPr="004F735C" w:rsidRDefault="00C033B5" w:rsidP="00C033B5">
            <w:pPr>
              <w:rPr>
                <w:rFonts w:asciiTheme="majorBidi" w:hAnsiTheme="majorBidi" w:cstheme="majorBidi"/>
              </w:rPr>
            </w:pPr>
            <w:r w:rsidRPr="004F735C">
              <w:rPr>
                <w:rFonts w:asciiTheme="majorBidi" w:hAnsiTheme="majorBidi" w:cstheme="majorBidi"/>
              </w:rPr>
              <w:t>28,700,000</w:t>
            </w:r>
          </w:p>
        </w:tc>
        <w:tc>
          <w:tcPr>
            <w:tcW w:w="0" w:type="auto"/>
            <w:tcBorders>
              <w:top w:val="nil"/>
              <w:bottom w:val="nil"/>
            </w:tcBorders>
            <w:tcMar>
              <w:top w:w="0" w:type="dxa"/>
              <w:left w:w="115" w:type="dxa"/>
              <w:bottom w:w="0" w:type="dxa"/>
              <w:right w:w="115" w:type="dxa"/>
            </w:tcMar>
            <w:hideMark/>
          </w:tcPr>
          <w:p w14:paraId="3E7D2FC5" w14:textId="77777777" w:rsidR="00C033B5" w:rsidRPr="004F735C" w:rsidRDefault="00C033B5" w:rsidP="00C033B5">
            <w:pPr>
              <w:rPr>
                <w:rFonts w:asciiTheme="majorBidi" w:hAnsiTheme="majorBidi" w:cstheme="majorBidi"/>
              </w:rPr>
            </w:pPr>
            <w:r w:rsidRPr="004F735C">
              <w:rPr>
                <w:rFonts w:asciiTheme="majorBidi" w:hAnsiTheme="majorBidi" w:cstheme="majorBidi"/>
              </w:rPr>
              <w:t>16,700,000</w:t>
            </w:r>
          </w:p>
        </w:tc>
        <w:tc>
          <w:tcPr>
            <w:tcW w:w="0" w:type="auto"/>
            <w:tcBorders>
              <w:top w:val="nil"/>
              <w:bottom w:val="nil"/>
            </w:tcBorders>
            <w:tcMar>
              <w:top w:w="0" w:type="dxa"/>
              <w:left w:w="115" w:type="dxa"/>
              <w:bottom w:w="0" w:type="dxa"/>
              <w:right w:w="115" w:type="dxa"/>
            </w:tcMar>
            <w:hideMark/>
          </w:tcPr>
          <w:p w14:paraId="639E62E5" w14:textId="77777777" w:rsidR="00C033B5" w:rsidRPr="004F735C" w:rsidRDefault="00C033B5" w:rsidP="00C033B5">
            <w:pPr>
              <w:rPr>
                <w:rFonts w:asciiTheme="majorBidi" w:hAnsiTheme="majorBidi" w:cstheme="majorBidi"/>
              </w:rPr>
            </w:pPr>
            <w:r w:rsidRPr="004F735C">
              <w:rPr>
                <w:rFonts w:asciiTheme="majorBidi" w:hAnsiTheme="majorBidi" w:cstheme="majorBidi"/>
              </w:rPr>
              <w:t>2,300,000</w:t>
            </w:r>
          </w:p>
        </w:tc>
        <w:tc>
          <w:tcPr>
            <w:tcW w:w="0" w:type="auto"/>
            <w:tcBorders>
              <w:top w:val="nil"/>
              <w:bottom w:val="nil"/>
            </w:tcBorders>
            <w:tcMar>
              <w:top w:w="0" w:type="dxa"/>
              <w:left w:w="115" w:type="dxa"/>
              <w:bottom w:w="0" w:type="dxa"/>
              <w:right w:w="115" w:type="dxa"/>
            </w:tcMar>
            <w:hideMark/>
          </w:tcPr>
          <w:p w14:paraId="4E44CC39" w14:textId="77777777" w:rsidR="00C033B5" w:rsidRPr="004F735C" w:rsidRDefault="00C033B5" w:rsidP="00C033B5">
            <w:pPr>
              <w:rPr>
                <w:rFonts w:asciiTheme="majorBidi" w:hAnsiTheme="majorBidi" w:cstheme="majorBidi"/>
              </w:rPr>
            </w:pPr>
            <w:r w:rsidRPr="004F735C">
              <w:rPr>
                <w:rFonts w:asciiTheme="majorBidi" w:hAnsiTheme="majorBidi" w:cstheme="majorBidi"/>
              </w:rPr>
              <w:t>80,700,000</w:t>
            </w:r>
          </w:p>
        </w:tc>
      </w:tr>
      <w:tr w:rsidR="00C033B5" w:rsidRPr="004F735C" w14:paraId="2701BB56" w14:textId="77777777" w:rsidTr="004F735C">
        <w:trPr>
          <w:trHeight w:val="20"/>
        </w:trPr>
        <w:tc>
          <w:tcPr>
            <w:tcW w:w="0" w:type="auto"/>
            <w:tcBorders>
              <w:top w:val="nil"/>
              <w:bottom w:val="nil"/>
            </w:tcBorders>
            <w:tcMar>
              <w:top w:w="0" w:type="dxa"/>
              <w:left w:w="115" w:type="dxa"/>
              <w:bottom w:w="0" w:type="dxa"/>
              <w:right w:w="115" w:type="dxa"/>
            </w:tcMar>
            <w:hideMark/>
          </w:tcPr>
          <w:p w14:paraId="12A9DDA9"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Unemplymt</w:t>
            </w:r>
            <w:proofErr w:type="spellEnd"/>
          </w:p>
        </w:tc>
        <w:tc>
          <w:tcPr>
            <w:tcW w:w="0" w:type="auto"/>
            <w:tcBorders>
              <w:top w:val="nil"/>
              <w:bottom w:val="nil"/>
            </w:tcBorders>
            <w:tcMar>
              <w:top w:w="0" w:type="dxa"/>
              <w:left w:w="115" w:type="dxa"/>
              <w:bottom w:w="0" w:type="dxa"/>
              <w:right w:w="115" w:type="dxa"/>
            </w:tcMar>
            <w:hideMark/>
          </w:tcPr>
          <w:p w14:paraId="19A9683A" w14:textId="77777777" w:rsidR="00C033B5" w:rsidRPr="004F735C" w:rsidRDefault="00C033B5" w:rsidP="00C033B5">
            <w:pPr>
              <w:rPr>
                <w:rFonts w:asciiTheme="majorBidi" w:hAnsiTheme="majorBidi" w:cstheme="majorBidi"/>
              </w:rPr>
            </w:pPr>
            <w:r w:rsidRPr="004F735C">
              <w:rPr>
                <w:rFonts w:asciiTheme="majorBidi" w:hAnsiTheme="majorBidi" w:cstheme="majorBidi"/>
              </w:rPr>
              <w:t>0.0875</w:t>
            </w:r>
          </w:p>
        </w:tc>
        <w:tc>
          <w:tcPr>
            <w:tcW w:w="0" w:type="auto"/>
            <w:tcBorders>
              <w:top w:val="nil"/>
              <w:bottom w:val="nil"/>
            </w:tcBorders>
            <w:tcMar>
              <w:top w:w="0" w:type="dxa"/>
              <w:left w:w="115" w:type="dxa"/>
              <w:bottom w:w="0" w:type="dxa"/>
              <w:right w:w="115" w:type="dxa"/>
            </w:tcMar>
            <w:hideMark/>
          </w:tcPr>
          <w:p w14:paraId="131025A8" w14:textId="77777777" w:rsidR="00C033B5" w:rsidRPr="004F735C" w:rsidRDefault="00C033B5" w:rsidP="00C033B5">
            <w:pPr>
              <w:rPr>
                <w:rFonts w:asciiTheme="majorBidi" w:hAnsiTheme="majorBidi" w:cstheme="majorBidi"/>
              </w:rPr>
            </w:pPr>
            <w:r w:rsidRPr="004F735C">
              <w:rPr>
                <w:rFonts w:asciiTheme="majorBidi" w:hAnsiTheme="majorBidi" w:cstheme="majorBidi"/>
              </w:rPr>
              <w:t>0.0482</w:t>
            </w:r>
          </w:p>
        </w:tc>
        <w:tc>
          <w:tcPr>
            <w:tcW w:w="0" w:type="auto"/>
            <w:tcBorders>
              <w:top w:val="nil"/>
              <w:bottom w:val="nil"/>
            </w:tcBorders>
            <w:tcMar>
              <w:top w:w="0" w:type="dxa"/>
              <w:left w:w="115" w:type="dxa"/>
              <w:bottom w:w="0" w:type="dxa"/>
              <w:right w:w="115" w:type="dxa"/>
            </w:tcMar>
            <w:hideMark/>
          </w:tcPr>
          <w:p w14:paraId="6D81546D" w14:textId="77777777" w:rsidR="00C033B5" w:rsidRPr="004F735C" w:rsidRDefault="00C033B5" w:rsidP="00C033B5">
            <w:pPr>
              <w:rPr>
                <w:rFonts w:asciiTheme="majorBidi" w:hAnsiTheme="majorBidi" w:cstheme="majorBidi"/>
              </w:rPr>
            </w:pPr>
            <w:r w:rsidRPr="004F735C">
              <w:rPr>
                <w:rFonts w:asciiTheme="majorBidi" w:hAnsiTheme="majorBidi" w:cstheme="majorBidi"/>
              </w:rPr>
              <w:t>0.0290</w:t>
            </w:r>
          </w:p>
        </w:tc>
        <w:tc>
          <w:tcPr>
            <w:tcW w:w="0" w:type="auto"/>
            <w:tcBorders>
              <w:top w:val="nil"/>
              <w:bottom w:val="nil"/>
            </w:tcBorders>
            <w:tcMar>
              <w:top w:w="0" w:type="dxa"/>
              <w:left w:w="115" w:type="dxa"/>
              <w:bottom w:w="0" w:type="dxa"/>
              <w:right w:w="115" w:type="dxa"/>
            </w:tcMar>
            <w:hideMark/>
          </w:tcPr>
          <w:p w14:paraId="1590D4DC" w14:textId="77777777" w:rsidR="00C033B5" w:rsidRPr="004F735C" w:rsidRDefault="00C033B5" w:rsidP="00C033B5">
            <w:pPr>
              <w:rPr>
                <w:rFonts w:asciiTheme="majorBidi" w:hAnsiTheme="majorBidi" w:cstheme="majorBidi"/>
              </w:rPr>
            </w:pPr>
            <w:r w:rsidRPr="004F735C">
              <w:rPr>
                <w:rFonts w:asciiTheme="majorBidi" w:hAnsiTheme="majorBidi" w:cstheme="majorBidi"/>
              </w:rPr>
              <w:t>0.1580</w:t>
            </w:r>
          </w:p>
        </w:tc>
        <w:tc>
          <w:tcPr>
            <w:tcW w:w="0" w:type="auto"/>
            <w:tcBorders>
              <w:top w:val="nil"/>
              <w:bottom w:val="nil"/>
            </w:tcBorders>
            <w:tcMar>
              <w:top w:w="0" w:type="dxa"/>
              <w:left w:w="115" w:type="dxa"/>
              <w:bottom w:w="0" w:type="dxa"/>
              <w:right w:w="115" w:type="dxa"/>
            </w:tcMar>
            <w:hideMark/>
          </w:tcPr>
          <w:p w14:paraId="7042A7C1" w14:textId="77777777" w:rsidR="00C033B5" w:rsidRPr="004F735C" w:rsidRDefault="00C033B5" w:rsidP="00C033B5">
            <w:pPr>
              <w:rPr>
                <w:rFonts w:asciiTheme="majorBidi" w:hAnsiTheme="majorBidi" w:cstheme="majorBidi"/>
              </w:rPr>
            </w:pPr>
            <w:r w:rsidRPr="004F735C">
              <w:rPr>
                <w:rFonts w:asciiTheme="majorBidi" w:hAnsiTheme="majorBidi" w:cstheme="majorBidi"/>
              </w:rPr>
              <w:t>0.0896</w:t>
            </w:r>
          </w:p>
        </w:tc>
        <w:tc>
          <w:tcPr>
            <w:tcW w:w="0" w:type="auto"/>
            <w:tcBorders>
              <w:top w:val="nil"/>
              <w:bottom w:val="nil"/>
            </w:tcBorders>
            <w:tcMar>
              <w:top w:w="0" w:type="dxa"/>
              <w:left w:w="115" w:type="dxa"/>
              <w:bottom w:w="0" w:type="dxa"/>
              <w:right w:w="115" w:type="dxa"/>
            </w:tcMar>
            <w:hideMark/>
          </w:tcPr>
          <w:p w14:paraId="482A7AEB" w14:textId="77777777" w:rsidR="00C033B5" w:rsidRPr="004F735C" w:rsidRDefault="00C033B5" w:rsidP="00C033B5">
            <w:pPr>
              <w:rPr>
                <w:rFonts w:asciiTheme="majorBidi" w:hAnsiTheme="majorBidi" w:cstheme="majorBidi"/>
              </w:rPr>
            </w:pPr>
            <w:r w:rsidRPr="004F735C">
              <w:rPr>
                <w:rFonts w:asciiTheme="majorBidi" w:hAnsiTheme="majorBidi" w:cstheme="majorBidi"/>
              </w:rPr>
              <w:t>0.0402</w:t>
            </w:r>
          </w:p>
        </w:tc>
        <w:tc>
          <w:tcPr>
            <w:tcW w:w="0" w:type="auto"/>
            <w:tcBorders>
              <w:top w:val="nil"/>
              <w:bottom w:val="nil"/>
            </w:tcBorders>
            <w:tcMar>
              <w:top w:w="0" w:type="dxa"/>
              <w:left w:w="115" w:type="dxa"/>
              <w:bottom w:w="0" w:type="dxa"/>
              <w:right w:w="115" w:type="dxa"/>
            </w:tcMar>
            <w:hideMark/>
          </w:tcPr>
          <w:p w14:paraId="20BA611D" w14:textId="77777777" w:rsidR="00C033B5" w:rsidRPr="004F735C" w:rsidRDefault="00C033B5" w:rsidP="00C033B5">
            <w:pPr>
              <w:rPr>
                <w:rFonts w:asciiTheme="majorBidi" w:hAnsiTheme="majorBidi" w:cstheme="majorBidi"/>
              </w:rPr>
            </w:pPr>
            <w:r w:rsidRPr="004F735C">
              <w:rPr>
                <w:rFonts w:asciiTheme="majorBidi" w:hAnsiTheme="majorBidi" w:cstheme="majorBidi"/>
              </w:rPr>
              <w:t>0.026</w:t>
            </w:r>
          </w:p>
        </w:tc>
        <w:tc>
          <w:tcPr>
            <w:tcW w:w="0" w:type="auto"/>
            <w:tcBorders>
              <w:top w:val="nil"/>
              <w:bottom w:val="nil"/>
            </w:tcBorders>
            <w:tcMar>
              <w:top w:w="0" w:type="dxa"/>
              <w:left w:w="115" w:type="dxa"/>
              <w:bottom w:w="0" w:type="dxa"/>
              <w:right w:w="115" w:type="dxa"/>
            </w:tcMar>
            <w:hideMark/>
          </w:tcPr>
          <w:p w14:paraId="292C63E9" w14:textId="77777777" w:rsidR="00C033B5" w:rsidRPr="004F735C" w:rsidRDefault="00C033B5" w:rsidP="00C033B5">
            <w:pPr>
              <w:rPr>
                <w:rFonts w:asciiTheme="majorBidi" w:hAnsiTheme="majorBidi" w:cstheme="majorBidi"/>
              </w:rPr>
            </w:pPr>
            <w:r w:rsidRPr="004F735C">
              <w:rPr>
                <w:rFonts w:asciiTheme="majorBidi" w:hAnsiTheme="majorBidi" w:cstheme="majorBidi"/>
              </w:rPr>
              <w:t>0.1302</w:t>
            </w:r>
          </w:p>
        </w:tc>
      </w:tr>
      <w:tr w:rsidR="00C033B5" w:rsidRPr="004F735C" w14:paraId="288932AF" w14:textId="77777777" w:rsidTr="004F735C">
        <w:trPr>
          <w:trHeight w:val="20"/>
        </w:trPr>
        <w:tc>
          <w:tcPr>
            <w:tcW w:w="0" w:type="auto"/>
            <w:tcBorders>
              <w:top w:val="nil"/>
              <w:bottom w:val="single" w:sz="4" w:space="0" w:color="auto"/>
            </w:tcBorders>
            <w:tcMar>
              <w:top w:w="0" w:type="dxa"/>
              <w:left w:w="115" w:type="dxa"/>
              <w:bottom w:w="0" w:type="dxa"/>
              <w:right w:w="115" w:type="dxa"/>
            </w:tcMar>
            <w:hideMark/>
          </w:tcPr>
          <w:p w14:paraId="087C95FB"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Govtbond</w:t>
            </w:r>
            <w:proofErr w:type="spellEnd"/>
          </w:p>
        </w:tc>
        <w:tc>
          <w:tcPr>
            <w:tcW w:w="0" w:type="auto"/>
            <w:tcBorders>
              <w:top w:val="nil"/>
              <w:bottom w:val="single" w:sz="4" w:space="0" w:color="auto"/>
            </w:tcBorders>
            <w:tcMar>
              <w:top w:w="0" w:type="dxa"/>
              <w:left w:w="115" w:type="dxa"/>
              <w:bottom w:w="0" w:type="dxa"/>
              <w:right w:w="115" w:type="dxa"/>
            </w:tcMar>
            <w:hideMark/>
          </w:tcPr>
          <w:p w14:paraId="2E927974" w14:textId="77777777" w:rsidR="00C033B5" w:rsidRPr="004F735C" w:rsidRDefault="00C033B5" w:rsidP="00C033B5">
            <w:pPr>
              <w:rPr>
                <w:rFonts w:asciiTheme="majorBidi" w:hAnsiTheme="majorBidi" w:cstheme="majorBidi"/>
              </w:rPr>
            </w:pPr>
            <w:r w:rsidRPr="004F735C">
              <w:rPr>
                <w:rFonts w:asciiTheme="majorBidi" w:hAnsiTheme="majorBidi" w:cstheme="majorBidi"/>
              </w:rPr>
              <w:t>0.0081</w:t>
            </w:r>
          </w:p>
        </w:tc>
        <w:tc>
          <w:tcPr>
            <w:tcW w:w="0" w:type="auto"/>
            <w:tcBorders>
              <w:top w:val="nil"/>
              <w:bottom w:val="single" w:sz="4" w:space="0" w:color="auto"/>
            </w:tcBorders>
            <w:tcMar>
              <w:top w:w="0" w:type="dxa"/>
              <w:left w:w="115" w:type="dxa"/>
              <w:bottom w:w="0" w:type="dxa"/>
              <w:right w:w="115" w:type="dxa"/>
            </w:tcMar>
            <w:hideMark/>
          </w:tcPr>
          <w:p w14:paraId="444A249E" w14:textId="77777777" w:rsidR="00C033B5" w:rsidRPr="004F735C" w:rsidRDefault="00C033B5" w:rsidP="00C033B5">
            <w:pPr>
              <w:rPr>
                <w:rFonts w:asciiTheme="majorBidi" w:hAnsiTheme="majorBidi" w:cstheme="majorBidi"/>
              </w:rPr>
            </w:pPr>
            <w:r w:rsidRPr="004F735C">
              <w:rPr>
                <w:rFonts w:asciiTheme="majorBidi" w:hAnsiTheme="majorBidi" w:cstheme="majorBidi"/>
              </w:rPr>
              <w:t>0.0099</w:t>
            </w:r>
          </w:p>
        </w:tc>
        <w:tc>
          <w:tcPr>
            <w:tcW w:w="0" w:type="auto"/>
            <w:tcBorders>
              <w:top w:val="nil"/>
              <w:bottom w:val="single" w:sz="4" w:space="0" w:color="auto"/>
            </w:tcBorders>
            <w:tcMar>
              <w:top w:w="0" w:type="dxa"/>
              <w:left w:w="115" w:type="dxa"/>
              <w:bottom w:w="0" w:type="dxa"/>
              <w:right w:w="115" w:type="dxa"/>
            </w:tcMar>
            <w:hideMark/>
          </w:tcPr>
          <w:p w14:paraId="6B6B9431" w14:textId="77777777" w:rsidR="00C033B5" w:rsidRPr="004F735C" w:rsidRDefault="00C033B5" w:rsidP="00C033B5">
            <w:pPr>
              <w:rPr>
                <w:rFonts w:asciiTheme="majorBidi" w:hAnsiTheme="majorBidi" w:cstheme="majorBidi"/>
              </w:rPr>
            </w:pPr>
            <w:r w:rsidRPr="004F735C">
              <w:rPr>
                <w:rFonts w:asciiTheme="majorBidi" w:hAnsiTheme="majorBidi" w:cstheme="majorBidi"/>
              </w:rPr>
              <w:t>-0.0038</w:t>
            </w:r>
          </w:p>
        </w:tc>
        <w:tc>
          <w:tcPr>
            <w:tcW w:w="0" w:type="auto"/>
            <w:tcBorders>
              <w:top w:val="nil"/>
              <w:bottom w:val="single" w:sz="4" w:space="0" w:color="auto"/>
            </w:tcBorders>
            <w:tcMar>
              <w:top w:w="0" w:type="dxa"/>
              <w:left w:w="115" w:type="dxa"/>
              <w:bottom w:w="0" w:type="dxa"/>
              <w:right w:w="115" w:type="dxa"/>
            </w:tcMar>
            <w:hideMark/>
          </w:tcPr>
          <w:p w14:paraId="192110FE" w14:textId="77777777" w:rsidR="00C033B5" w:rsidRPr="004F735C" w:rsidRDefault="00C033B5" w:rsidP="00C033B5">
            <w:pPr>
              <w:rPr>
                <w:rFonts w:asciiTheme="majorBidi" w:hAnsiTheme="majorBidi" w:cstheme="majorBidi"/>
              </w:rPr>
            </w:pPr>
            <w:r w:rsidRPr="004F735C">
              <w:rPr>
                <w:rFonts w:asciiTheme="majorBidi" w:hAnsiTheme="majorBidi" w:cstheme="majorBidi"/>
              </w:rPr>
              <w:t>0.0537</w:t>
            </w:r>
          </w:p>
        </w:tc>
        <w:tc>
          <w:tcPr>
            <w:tcW w:w="0" w:type="auto"/>
            <w:tcBorders>
              <w:top w:val="nil"/>
              <w:bottom w:val="single" w:sz="4" w:space="0" w:color="auto"/>
            </w:tcBorders>
            <w:tcMar>
              <w:top w:w="0" w:type="dxa"/>
              <w:left w:w="115" w:type="dxa"/>
              <w:bottom w:w="0" w:type="dxa"/>
              <w:right w:w="115" w:type="dxa"/>
            </w:tcMar>
            <w:hideMark/>
          </w:tcPr>
          <w:p w14:paraId="2495970C" w14:textId="77777777" w:rsidR="00C033B5" w:rsidRPr="004F735C" w:rsidRDefault="00C033B5" w:rsidP="00C033B5">
            <w:pPr>
              <w:rPr>
                <w:rFonts w:asciiTheme="majorBidi" w:hAnsiTheme="majorBidi" w:cstheme="majorBidi"/>
              </w:rPr>
            </w:pPr>
            <w:r w:rsidRPr="004F735C">
              <w:rPr>
                <w:rFonts w:asciiTheme="majorBidi" w:hAnsiTheme="majorBidi" w:cstheme="majorBidi"/>
              </w:rPr>
              <w:t>0.0327163</w:t>
            </w:r>
          </w:p>
        </w:tc>
        <w:tc>
          <w:tcPr>
            <w:tcW w:w="0" w:type="auto"/>
            <w:tcBorders>
              <w:top w:val="nil"/>
              <w:bottom w:val="single" w:sz="4" w:space="0" w:color="auto"/>
            </w:tcBorders>
            <w:tcMar>
              <w:top w:w="0" w:type="dxa"/>
              <w:left w:w="115" w:type="dxa"/>
              <w:bottom w:w="0" w:type="dxa"/>
              <w:right w:w="115" w:type="dxa"/>
            </w:tcMar>
            <w:hideMark/>
          </w:tcPr>
          <w:p w14:paraId="19D078BC" w14:textId="77777777" w:rsidR="00C033B5" w:rsidRPr="004F735C" w:rsidRDefault="00C033B5" w:rsidP="00C033B5">
            <w:pPr>
              <w:rPr>
                <w:rFonts w:asciiTheme="majorBidi" w:hAnsiTheme="majorBidi" w:cstheme="majorBidi"/>
              </w:rPr>
            </w:pPr>
            <w:r w:rsidRPr="004F735C">
              <w:rPr>
                <w:rFonts w:asciiTheme="majorBidi" w:hAnsiTheme="majorBidi" w:cstheme="majorBidi"/>
              </w:rPr>
              <w:t>0.0185224</w:t>
            </w:r>
          </w:p>
        </w:tc>
        <w:tc>
          <w:tcPr>
            <w:tcW w:w="0" w:type="auto"/>
            <w:tcBorders>
              <w:top w:val="nil"/>
              <w:bottom w:val="single" w:sz="4" w:space="0" w:color="auto"/>
            </w:tcBorders>
            <w:tcMar>
              <w:top w:w="0" w:type="dxa"/>
              <w:left w:w="115" w:type="dxa"/>
              <w:bottom w:w="0" w:type="dxa"/>
              <w:right w:w="115" w:type="dxa"/>
            </w:tcMar>
            <w:hideMark/>
          </w:tcPr>
          <w:p w14:paraId="6DB481CF"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0.00031</w:t>
            </w:r>
          </w:p>
        </w:tc>
        <w:tc>
          <w:tcPr>
            <w:tcW w:w="0" w:type="auto"/>
            <w:tcBorders>
              <w:top w:val="nil"/>
              <w:bottom w:val="single" w:sz="4" w:space="0" w:color="auto"/>
            </w:tcBorders>
            <w:tcMar>
              <w:top w:w="0" w:type="dxa"/>
              <w:left w:w="115" w:type="dxa"/>
              <w:bottom w:w="0" w:type="dxa"/>
              <w:right w:w="115" w:type="dxa"/>
            </w:tcMar>
            <w:hideMark/>
          </w:tcPr>
          <w:p w14:paraId="40E4E746" w14:textId="77777777" w:rsidR="00C033B5" w:rsidRPr="004F735C" w:rsidRDefault="00C033B5" w:rsidP="00C033B5">
            <w:pPr>
              <w:rPr>
                <w:rFonts w:asciiTheme="majorBidi" w:hAnsiTheme="majorBidi" w:cstheme="majorBidi"/>
              </w:rPr>
            </w:pPr>
            <w:r w:rsidRPr="004F735C">
              <w:rPr>
                <w:rFonts w:asciiTheme="majorBidi" w:hAnsiTheme="majorBidi" w:cstheme="majorBidi"/>
              </w:rPr>
              <w:t>0.0926</w:t>
            </w:r>
          </w:p>
        </w:tc>
      </w:tr>
      <w:tr w:rsidR="00C033B5" w:rsidRPr="004F735C" w14:paraId="29A4A5CD" w14:textId="77777777" w:rsidTr="004F735C">
        <w:trPr>
          <w:trHeight w:val="20"/>
        </w:trPr>
        <w:tc>
          <w:tcPr>
            <w:tcW w:w="0" w:type="auto"/>
            <w:tcBorders>
              <w:top w:val="single" w:sz="4" w:space="0" w:color="auto"/>
            </w:tcBorders>
            <w:tcMar>
              <w:top w:w="0" w:type="dxa"/>
              <w:left w:w="115" w:type="dxa"/>
              <w:bottom w:w="0" w:type="dxa"/>
              <w:right w:w="115" w:type="dxa"/>
            </w:tcMar>
            <w:hideMark/>
          </w:tcPr>
          <w:p w14:paraId="326A3DA4"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lastRenderedPageBreak/>
              <w:t>Number of observations</w:t>
            </w:r>
          </w:p>
        </w:tc>
        <w:tc>
          <w:tcPr>
            <w:tcW w:w="0" w:type="auto"/>
            <w:tcBorders>
              <w:top w:val="single" w:sz="4" w:space="0" w:color="auto"/>
            </w:tcBorders>
            <w:tcMar>
              <w:top w:w="0" w:type="dxa"/>
              <w:left w:w="115" w:type="dxa"/>
              <w:bottom w:w="0" w:type="dxa"/>
              <w:right w:w="115" w:type="dxa"/>
            </w:tcMar>
            <w:hideMark/>
          </w:tcPr>
          <w:p w14:paraId="30CB7CCB"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1,452,900</w:t>
            </w:r>
          </w:p>
        </w:tc>
        <w:tc>
          <w:tcPr>
            <w:tcW w:w="0" w:type="auto"/>
            <w:tcBorders>
              <w:top w:val="single" w:sz="4" w:space="0" w:color="auto"/>
            </w:tcBorders>
            <w:tcMar>
              <w:top w:w="0" w:type="dxa"/>
              <w:left w:w="115" w:type="dxa"/>
              <w:bottom w:w="0" w:type="dxa"/>
              <w:right w:w="115" w:type="dxa"/>
            </w:tcMar>
            <w:hideMark/>
          </w:tcPr>
          <w:p w14:paraId="097F44C7" w14:textId="77777777" w:rsidR="00C033B5" w:rsidRPr="004F735C" w:rsidRDefault="00C033B5" w:rsidP="00C033B5">
            <w:pPr>
              <w:rPr>
                <w:rFonts w:asciiTheme="majorBidi" w:hAnsiTheme="majorBidi" w:cstheme="majorBidi"/>
              </w:rPr>
            </w:pPr>
          </w:p>
        </w:tc>
        <w:tc>
          <w:tcPr>
            <w:tcW w:w="0" w:type="auto"/>
            <w:tcBorders>
              <w:top w:val="single" w:sz="4" w:space="0" w:color="auto"/>
            </w:tcBorders>
            <w:tcMar>
              <w:top w:w="0" w:type="dxa"/>
              <w:left w:w="115" w:type="dxa"/>
              <w:bottom w:w="0" w:type="dxa"/>
              <w:right w:w="115" w:type="dxa"/>
            </w:tcMar>
            <w:hideMark/>
          </w:tcPr>
          <w:p w14:paraId="727E2F47" w14:textId="77777777" w:rsidR="00C033B5" w:rsidRPr="004F735C" w:rsidRDefault="00C033B5" w:rsidP="00C033B5">
            <w:pPr>
              <w:rPr>
                <w:rFonts w:asciiTheme="majorBidi" w:hAnsiTheme="majorBidi" w:cstheme="majorBidi"/>
              </w:rPr>
            </w:pPr>
          </w:p>
        </w:tc>
        <w:tc>
          <w:tcPr>
            <w:tcW w:w="0" w:type="auto"/>
            <w:tcBorders>
              <w:top w:val="single" w:sz="4" w:space="0" w:color="auto"/>
            </w:tcBorders>
            <w:tcMar>
              <w:top w:w="0" w:type="dxa"/>
              <w:left w:w="115" w:type="dxa"/>
              <w:bottom w:w="0" w:type="dxa"/>
              <w:right w:w="115" w:type="dxa"/>
            </w:tcMar>
            <w:hideMark/>
          </w:tcPr>
          <w:p w14:paraId="6DE89E57" w14:textId="77777777" w:rsidR="00C033B5" w:rsidRPr="004F735C" w:rsidRDefault="00C033B5" w:rsidP="00C033B5">
            <w:pPr>
              <w:rPr>
                <w:rFonts w:asciiTheme="majorBidi" w:hAnsiTheme="majorBidi" w:cstheme="majorBidi"/>
              </w:rPr>
            </w:pPr>
          </w:p>
        </w:tc>
        <w:tc>
          <w:tcPr>
            <w:tcW w:w="0" w:type="auto"/>
            <w:tcBorders>
              <w:top w:val="single" w:sz="4" w:space="0" w:color="auto"/>
            </w:tcBorders>
            <w:tcMar>
              <w:top w:w="0" w:type="dxa"/>
              <w:left w:w="115" w:type="dxa"/>
              <w:bottom w:w="0" w:type="dxa"/>
              <w:right w:w="115" w:type="dxa"/>
            </w:tcMar>
            <w:hideMark/>
          </w:tcPr>
          <w:p w14:paraId="100F7103"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530,434</w:t>
            </w:r>
          </w:p>
        </w:tc>
        <w:tc>
          <w:tcPr>
            <w:tcW w:w="0" w:type="auto"/>
            <w:tcBorders>
              <w:top w:val="single" w:sz="4" w:space="0" w:color="auto"/>
            </w:tcBorders>
            <w:tcMar>
              <w:top w:w="0" w:type="dxa"/>
              <w:left w:w="115" w:type="dxa"/>
              <w:bottom w:w="0" w:type="dxa"/>
              <w:right w:w="115" w:type="dxa"/>
            </w:tcMar>
            <w:hideMark/>
          </w:tcPr>
          <w:p w14:paraId="3B6F27E1" w14:textId="77777777" w:rsidR="00C033B5" w:rsidRPr="004F735C" w:rsidRDefault="00C033B5" w:rsidP="00C033B5">
            <w:pPr>
              <w:rPr>
                <w:rFonts w:asciiTheme="majorBidi" w:hAnsiTheme="majorBidi" w:cstheme="majorBidi"/>
              </w:rPr>
            </w:pPr>
          </w:p>
        </w:tc>
        <w:tc>
          <w:tcPr>
            <w:tcW w:w="0" w:type="auto"/>
            <w:tcBorders>
              <w:top w:val="single" w:sz="4" w:space="0" w:color="auto"/>
            </w:tcBorders>
            <w:tcMar>
              <w:top w:w="0" w:type="dxa"/>
              <w:left w:w="115" w:type="dxa"/>
              <w:bottom w:w="0" w:type="dxa"/>
              <w:right w:w="115" w:type="dxa"/>
            </w:tcMar>
            <w:hideMark/>
          </w:tcPr>
          <w:p w14:paraId="3259A786" w14:textId="77777777" w:rsidR="00C033B5" w:rsidRPr="004F735C" w:rsidRDefault="00C033B5" w:rsidP="00C033B5">
            <w:pPr>
              <w:rPr>
                <w:rFonts w:asciiTheme="majorBidi" w:hAnsiTheme="majorBidi" w:cstheme="majorBidi"/>
              </w:rPr>
            </w:pPr>
          </w:p>
        </w:tc>
        <w:tc>
          <w:tcPr>
            <w:tcW w:w="0" w:type="auto"/>
            <w:tcBorders>
              <w:top w:val="single" w:sz="4" w:space="0" w:color="auto"/>
            </w:tcBorders>
            <w:tcMar>
              <w:top w:w="0" w:type="dxa"/>
              <w:left w:w="115" w:type="dxa"/>
              <w:bottom w:w="0" w:type="dxa"/>
              <w:right w:w="115" w:type="dxa"/>
            </w:tcMar>
            <w:hideMark/>
          </w:tcPr>
          <w:p w14:paraId="347C8FC7" w14:textId="77777777" w:rsidR="00C033B5" w:rsidRPr="004F735C" w:rsidRDefault="00C033B5" w:rsidP="00C033B5">
            <w:pPr>
              <w:rPr>
                <w:rFonts w:asciiTheme="majorBidi" w:hAnsiTheme="majorBidi" w:cstheme="majorBidi"/>
              </w:rPr>
            </w:pPr>
          </w:p>
        </w:tc>
      </w:tr>
    </w:tbl>
    <w:p w14:paraId="2C798184" w14:textId="737EB6C4" w:rsidR="00C033B5" w:rsidRPr="00C033B5" w:rsidRDefault="00C033B5" w:rsidP="00C033B5">
      <w:r w:rsidRPr="00C033B5">
        <w:br/>
      </w:r>
    </w:p>
    <w:p w14:paraId="4C6A68D6" w14:textId="77777777" w:rsidR="00C033B5" w:rsidRPr="00C033B5" w:rsidRDefault="00C033B5" w:rsidP="004F735C">
      <w:pPr>
        <w:jc w:val="center"/>
      </w:pPr>
      <w:r w:rsidRPr="004F735C">
        <w:rPr>
          <w:b/>
          <w:bCs/>
        </w:rPr>
        <w:t>Appendix Table A4</w:t>
      </w:r>
      <w:r w:rsidRPr="00C033B5">
        <w:t>: Correlation Matrix</w:t>
      </w:r>
    </w:p>
    <w:tbl>
      <w:tblPr>
        <w:tblW w:w="0" w:type="auto"/>
        <w:tblBorders>
          <w:top w:val="single" w:sz="4" w:space="0" w:color="000000"/>
          <w:bottom w:val="single" w:sz="4" w:space="0" w:color="000000"/>
          <w:insideH w:val="single" w:sz="4" w:space="0" w:color="auto"/>
        </w:tblBorders>
        <w:tblCellMar>
          <w:top w:w="15" w:type="dxa"/>
          <w:left w:w="15" w:type="dxa"/>
          <w:bottom w:w="15" w:type="dxa"/>
          <w:right w:w="15" w:type="dxa"/>
        </w:tblCellMar>
        <w:tblLook w:val="04A0" w:firstRow="1" w:lastRow="0" w:firstColumn="1" w:lastColumn="0" w:noHBand="0" w:noVBand="1"/>
      </w:tblPr>
      <w:tblGrid>
        <w:gridCol w:w="783"/>
        <w:gridCol w:w="578"/>
        <w:gridCol w:w="578"/>
        <w:gridCol w:w="668"/>
        <w:gridCol w:w="549"/>
        <w:gridCol w:w="549"/>
        <w:gridCol w:w="610"/>
        <w:gridCol w:w="687"/>
        <w:gridCol w:w="687"/>
        <w:gridCol w:w="655"/>
        <w:gridCol w:w="549"/>
        <w:gridCol w:w="655"/>
        <w:gridCol w:w="784"/>
        <w:gridCol w:w="694"/>
      </w:tblGrid>
      <w:tr w:rsidR="00C033B5" w:rsidRPr="004F735C" w14:paraId="7FDEBA36" w14:textId="77777777" w:rsidTr="004F735C">
        <w:trPr>
          <w:trHeight w:val="20"/>
        </w:trPr>
        <w:tc>
          <w:tcPr>
            <w:tcW w:w="0" w:type="auto"/>
            <w:tcMar>
              <w:top w:w="0" w:type="dxa"/>
              <w:left w:w="115" w:type="dxa"/>
              <w:bottom w:w="0" w:type="dxa"/>
              <w:right w:w="115" w:type="dxa"/>
            </w:tcMar>
            <w:hideMark/>
          </w:tcPr>
          <w:p w14:paraId="2944C950"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EEBC74C" w14:textId="77777777" w:rsidR="00C033B5" w:rsidRPr="004F735C" w:rsidRDefault="00C033B5" w:rsidP="00C033B5">
            <w:pPr>
              <w:rPr>
                <w:rFonts w:asciiTheme="majorBidi" w:hAnsiTheme="majorBidi" w:cstheme="majorBidi"/>
              </w:rPr>
            </w:pPr>
            <w:r w:rsidRPr="004F735C">
              <w:rPr>
                <w:rFonts w:asciiTheme="majorBidi" w:hAnsiTheme="majorBidi" w:cstheme="majorBidi"/>
              </w:rPr>
              <w:t>Interest</w:t>
            </w:r>
          </w:p>
        </w:tc>
        <w:tc>
          <w:tcPr>
            <w:tcW w:w="0" w:type="auto"/>
            <w:tcMar>
              <w:top w:w="0" w:type="dxa"/>
              <w:left w:w="115" w:type="dxa"/>
              <w:bottom w:w="0" w:type="dxa"/>
              <w:right w:w="115" w:type="dxa"/>
            </w:tcMar>
            <w:hideMark/>
          </w:tcPr>
          <w:p w14:paraId="46498228" w14:textId="77777777" w:rsidR="00C033B5" w:rsidRPr="004F735C" w:rsidRDefault="00C033B5" w:rsidP="00C033B5">
            <w:pPr>
              <w:rPr>
                <w:rFonts w:asciiTheme="majorBidi" w:hAnsiTheme="majorBidi" w:cstheme="majorBidi"/>
              </w:rPr>
            </w:pPr>
            <w:r w:rsidRPr="004F735C">
              <w:rPr>
                <w:rFonts w:asciiTheme="majorBidi" w:hAnsiTheme="majorBidi" w:cstheme="majorBidi"/>
              </w:rPr>
              <w:t>Default</w:t>
            </w:r>
          </w:p>
        </w:tc>
        <w:tc>
          <w:tcPr>
            <w:tcW w:w="0" w:type="auto"/>
            <w:tcMar>
              <w:top w:w="0" w:type="dxa"/>
              <w:left w:w="115" w:type="dxa"/>
              <w:bottom w:w="0" w:type="dxa"/>
              <w:right w:w="115" w:type="dxa"/>
            </w:tcMar>
            <w:hideMark/>
          </w:tcPr>
          <w:p w14:paraId="0D130051" w14:textId="77777777" w:rsidR="00C033B5" w:rsidRPr="004F735C" w:rsidRDefault="00C033B5" w:rsidP="00C033B5">
            <w:pPr>
              <w:rPr>
                <w:rFonts w:asciiTheme="majorBidi" w:hAnsiTheme="majorBidi" w:cstheme="majorBidi"/>
              </w:rPr>
            </w:pPr>
            <w:r w:rsidRPr="004F735C">
              <w:rPr>
                <w:rFonts w:asciiTheme="majorBidi" w:hAnsiTheme="majorBidi" w:cstheme="majorBidi"/>
              </w:rPr>
              <w:t>SEVDEF</w:t>
            </w:r>
          </w:p>
        </w:tc>
        <w:tc>
          <w:tcPr>
            <w:tcW w:w="0" w:type="auto"/>
            <w:tcMar>
              <w:top w:w="0" w:type="dxa"/>
              <w:left w:w="115" w:type="dxa"/>
              <w:bottom w:w="0" w:type="dxa"/>
              <w:right w:w="115" w:type="dxa"/>
            </w:tcMar>
            <w:hideMark/>
          </w:tcPr>
          <w:p w14:paraId="2CFFD75A" w14:textId="77777777" w:rsidR="00C033B5" w:rsidRPr="004F735C" w:rsidRDefault="00C033B5" w:rsidP="00C033B5">
            <w:pPr>
              <w:rPr>
                <w:rFonts w:asciiTheme="majorBidi" w:hAnsiTheme="majorBidi" w:cstheme="majorBidi"/>
              </w:rPr>
            </w:pPr>
            <w:r w:rsidRPr="004F735C">
              <w:rPr>
                <w:rFonts w:asciiTheme="majorBidi" w:hAnsiTheme="majorBidi" w:cstheme="majorBidi"/>
              </w:rPr>
              <w:t>SITG</w:t>
            </w:r>
          </w:p>
        </w:tc>
        <w:tc>
          <w:tcPr>
            <w:tcW w:w="0" w:type="auto"/>
            <w:tcMar>
              <w:top w:w="0" w:type="dxa"/>
              <w:left w:w="115" w:type="dxa"/>
              <w:bottom w:w="0" w:type="dxa"/>
              <w:right w:w="115" w:type="dxa"/>
            </w:tcMar>
            <w:hideMark/>
          </w:tcPr>
          <w:p w14:paraId="6DF56CD0" w14:textId="77777777" w:rsidR="00C033B5" w:rsidRPr="004F735C" w:rsidRDefault="00C033B5" w:rsidP="00C033B5">
            <w:pPr>
              <w:rPr>
                <w:rFonts w:asciiTheme="majorBidi" w:hAnsiTheme="majorBidi" w:cstheme="majorBidi"/>
              </w:rPr>
            </w:pPr>
            <w:r w:rsidRPr="004F735C">
              <w:rPr>
                <w:rFonts w:asciiTheme="majorBidi" w:hAnsiTheme="majorBidi" w:cstheme="majorBidi"/>
              </w:rPr>
              <w:t>Term</w:t>
            </w:r>
          </w:p>
        </w:tc>
        <w:tc>
          <w:tcPr>
            <w:tcW w:w="0" w:type="auto"/>
            <w:tcMar>
              <w:top w:w="0" w:type="dxa"/>
              <w:left w:w="115" w:type="dxa"/>
              <w:bottom w:w="0" w:type="dxa"/>
              <w:right w:w="115" w:type="dxa"/>
            </w:tcMar>
            <w:hideMark/>
          </w:tcPr>
          <w:p w14:paraId="7B5C4E96" w14:textId="77777777" w:rsidR="00C033B5" w:rsidRPr="004F735C" w:rsidRDefault="00C033B5" w:rsidP="00C033B5">
            <w:pPr>
              <w:rPr>
                <w:rFonts w:asciiTheme="majorBidi" w:hAnsiTheme="majorBidi" w:cstheme="majorBidi"/>
              </w:rPr>
            </w:pPr>
            <w:r w:rsidRPr="004F735C">
              <w:rPr>
                <w:rFonts w:asciiTheme="majorBidi" w:hAnsiTheme="majorBidi" w:cstheme="majorBidi"/>
              </w:rPr>
              <w:t>Amount</w:t>
            </w:r>
          </w:p>
        </w:tc>
        <w:tc>
          <w:tcPr>
            <w:tcW w:w="0" w:type="auto"/>
            <w:tcMar>
              <w:top w:w="0" w:type="dxa"/>
              <w:left w:w="115" w:type="dxa"/>
              <w:bottom w:w="0" w:type="dxa"/>
              <w:right w:w="115" w:type="dxa"/>
            </w:tcMar>
            <w:hideMark/>
          </w:tcPr>
          <w:p w14:paraId="1F3FC768"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Riskscore</w:t>
            </w:r>
            <w:proofErr w:type="spellEnd"/>
          </w:p>
        </w:tc>
        <w:tc>
          <w:tcPr>
            <w:tcW w:w="0" w:type="auto"/>
            <w:tcMar>
              <w:top w:w="0" w:type="dxa"/>
              <w:left w:w="115" w:type="dxa"/>
              <w:bottom w:w="0" w:type="dxa"/>
              <w:right w:w="115" w:type="dxa"/>
            </w:tcMar>
            <w:hideMark/>
          </w:tcPr>
          <w:p w14:paraId="6CD19E72" w14:textId="77777777" w:rsidR="00C033B5" w:rsidRPr="004F735C" w:rsidRDefault="00C033B5" w:rsidP="00C033B5">
            <w:pPr>
              <w:rPr>
                <w:rFonts w:asciiTheme="majorBidi" w:hAnsiTheme="majorBidi" w:cstheme="majorBidi"/>
              </w:rPr>
            </w:pPr>
            <w:r w:rsidRPr="004F735C">
              <w:rPr>
                <w:rFonts w:asciiTheme="majorBidi" w:hAnsiTheme="majorBidi" w:cstheme="majorBidi"/>
              </w:rPr>
              <w:t>Collateral</w:t>
            </w:r>
          </w:p>
        </w:tc>
        <w:tc>
          <w:tcPr>
            <w:tcW w:w="0" w:type="auto"/>
            <w:tcMar>
              <w:top w:w="0" w:type="dxa"/>
              <w:left w:w="115" w:type="dxa"/>
              <w:bottom w:w="0" w:type="dxa"/>
              <w:right w:w="115" w:type="dxa"/>
            </w:tcMar>
            <w:hideMark/>
          </w:tcPr>
          <w:p w14:paraId="40B8680F"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Extsched</w:t>
            </w:r>
            <w:proofErr w:type="spellEnd"/>
          </w:p>
        </w:tc>
        <w:tc>
          <w:tcPr>
            <w:tcW w:w="0" w:type="auto"/>
            <w:tcMar>
              <w:top w:w="0" w:type="dxa"/>
              <w:left w:w="115" w:type="dxa"/>
              <w:bottom w:w="0" w:type="dxa"/>
              <w:right w:w="115" w:type="dxa"/>
            </w:tcMar>
            <w:hideMark/>
          </w:tcPr>
          <w:p w14:paraId="7D7CEFF9" w14:textId="77777777" w:rsidR="00C033B5" w:rsidRPr="004F735C" w:rsidRDefault="00C033B5" w:rsidP="00C033B5">
            <w:pPr>
              <w:rPr>
                <w:rFonts w:asciiTheme="majorBidi" w:hAnsiTheme="majorBidi" w:cstheme="majorBidi"/>
              </w:rPr>
            </w:pPr>
            <w:r w:rsidRPr="004F735C">
              <w:rPr>
                <w:rFonts w:asciiTheme="majorBidi" w:hAnsiTheme="majorBidi" w:cstheme="majorBidi"/>
              </w:rPr>
              <w:t>Age</w:t>
            </w:r>
          </w:p>
        </w:tc>
        <w:tc>
          <w:tcPr>
            <w:tcW w:w="0" w:type="auto"/>
            <w:tcMar>
              <w:top w:w="0" w:type="dxa"/>
              <w:left w:w="115" w:type="dxa"/>
              <w:bottom w:w="0" w:type="dxa"/>
              <w:right w:w="115" w:type="dxa"/>
            </w:tcMar>
            <w:hideMark/>
          </w:tcPr>
          <w:p w14:paraId="3D0F0C35"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Loanport</w:t>
            </w:r>
            <w:proofErr w:type="spellEnd"/>
          </w:p>
        </w:tc>
        <w:tc>
          <w:tcPr>
            <w:tcW w:w="0" w:type="auto"/>
            <w:tcMar>
              <w:top w:w="0" w:type="dxa"/>
              <w:left w:w="115" w:type="dxa"/>
              <w:bottom w:w="0" w:type="dxa"/>
              <w:right w:w="115" w:type="dxa"/>
            </w:tcMar>
            <w:hideMark/>
          </w:tcPr>
          <w:p w14:paraId="055424B3"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Unemplymt</w:t>
            </w:r>
            <w:proofErr w:type="spellEnd"/>
          </w:p>
        </w:tc>
        <w:tc>
          <w:tcPr>
            <w:tcW w:w="0" w:type="auto"/>
            <w:tcMar>
              <w:top w:w="0" w:type="dxa"/>
              <w:left w:w="115" w:type="dxa"/>
              <w:bottom w:w="0" w:type="dxa"/>
              <w:right w:w="115" w:type="dxa"/>
            </w:tcMar>
            <w:hideMark/>
          </w:tcPr>
          <w:p w14:paraId="08109988"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Govtbond</w:t>
            </w:r>
            <w:proofErr w:type="spellEnd"/>
          </w:p>
        </w:tc>
      </w:tr>
      <w:tr w:rsidR="00C033B5" w:rsidRPr="004F735C" w14:paraId="2C3CF6BE" w14:textId="77777777" w:rsidTr="004F735C">
        <w:trPr>
          <w:trHeight w:val="20"/>
        </w:trPr>
        <w:tc>
          <w:tcPr>
            <w:tcW w:w="0" w:type="auto"/>
            <w:tcBorders>
              <w:bottom w:val="single" w:sz="4" w:space="0" w:color="auto"/>
            </w:tcBorders>
            <w:tcMar>
              <w:top w:w="0" w:type="dxa"/>
              <w:left w:w="115" w:type="dxa"/>
              <w:bottom w:w="0" w:type="dxa"/>
              <w:right w:w="115" w:type="dxa"/>
            </w:tcMar>
            <w:hideMark/>
          </w:tcPr>
          <w:p w14:paraId="1E9AB895"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PANEL A</w:t>
            </w:r>
          </w:p>
        </w:tc>
        <w:tc>
          <w:tcPr>
            <w:tcW w:w="0" w:type="auto"/>
            <w:tcBorders>
              <w:bottom w:val="single" w:sz="4" w:space="0" w:color="auto"/>
            </w:tcBorders>
            <w:tcMar>
              <w:top w:w="0" w:type="dxa"/>
              <w:left w:w="115" w:type="dxa"/>
              <w:bottom w:w="0" w:type="dxa"/>
              <w:right w:w="115" w:type="dxa"/>
            </w:tcMar>
            <w:hideMark/>
          </w:tcPr>
          <w:p w14:paraId="30A7F57C" w14:textId="77777777" w:rsidR="00C033B5" w:rsidRPr="004F735C" w:rsidRDefault="00C033B5" w:rsidP="00C033B5">
            <w:pPr>
              <w:rPr>
                <w:rFonts w:asciiTheme="majorBidi" w:hAnsiTheme="majorBidi" w:cstheme="majorBidi"/>
              </w:rPr>
            </w:pPr>
          </w:p>
        </w:tc>
        <w:tc>
          <w:tcPr>
            <w:tcW w:w="0" w:type="auto"/>
            <w:tcBorders>
              <w:bottom w:val="single" w:sz="4" w:space="0" w:color="auto"/>
            </w:tcBorders>
            <w:tcMar>
              <w:top w:w="0" w:type="dxa"/>
              <w:left w:w="115" w:type="dxa"/>
              <w:bottom w:w="0" w:type="dxa"/>
              <w:right w:w="115" w:type="dxa"/>
            </w:tcMar>
            <w:hideMark/>
          </w:tcPr>
          <w:p w14:paraId="36816938" w14:textId="77777777" w:rsidR="00C033B5" w:rsidRPr="004F735C" w:rsidRDefault="00C033B5" w:rsidP="00C033B5">
            <w:pPr>
              <w:rPr>
                <w:rFonts w:asciiTheme="majorBidi" w:hAnsiTheme="majorBidi" w:cstheme="majorBidi"/>
              </w:rPr>
            </w:pPr>
          </w:p>
        </w:tc>
        <w:tc>
          <w:tcPr>
            <w:tcW w:w="0" w:type="auto"/>
            <w:tcBorders>
              <w:bottom w:val="single" w:sz="4" w:space="0" w:color="auto"/>
            </w:tcBorders>
            <w:tcMar>
              <w:top w:w="0" w:type="dxa"/>
              <w:left w:w="115" w:type="dxa"/>
              <w:bottom w:w="0" w:type="dxa"/>
              <w:right w:w="115" w:type="dxa"/>
            </w:tcMar>
            <w:hideMark/>
          </w:tcPr>
          <w:p w14:paraId="1DAE54A6" w14:textId="77777777" w:rsidR="00C033B5" w:rsidRPr="004F735C" w:rsidRDefault="00C033B5" w:rsidP="00C033B5">
            <w:pPr>
              <w:rPr>
                <w:rFonts w:asciiTheme="majorBidi" w:hAnsiTheme="majorBidi" w:cstheme="majorBidi"/>
              </w:rPr>
            </w:pPr>
          </w:p>
        </w:tc>
        <w:tc>
          <w:tcPr>
            <w:tcW w:w="0" w:type="auto"/>
            <w:tcBorders>
              <w:bottom w:val="single" w:sz="4" w:space="0" w:color="auto"/>
            </w:tcBorders>
            <w:tcMar>
              <w:top w:w="0" w:type="dxa"/>
              <w:left w:w="115" w:type="dxa"/>
              <w:bottom w:w="0" w:type="dxa"/>
              <w:right w:w="115" w:type="dxa"/>
            </w:tcMar>
            <w:hideMark/>
          </w:tcPr>
          <w:p w14:paraId="43F22CD6" w14:textId="77777777" w:rsidR="00C033B5" w:rsidRPr="004F735C" w:rsidRDefault="00C033B5" w:rsidP="00C033B5">
            <w:pPr>
              <w:rPr>
                <w:rFonts w:asciiTheme="majorBidi" w:hAnsiTheme="majorBidi" w:cstheme="majorBidi"/>
              </w:rPr>
            </w:pPr>
          </w:p>
        </w:tc>
        <w:tc>
          <w:tcPr>
            <w:tcW w:w="0" w:type="auto"/>
            <w:tcBorders>
              <w:bottom w:val="single" w:sz="4" w:space="0" w:color="auto"/>
            </w:tcBorders>
            <w:tcMar>
              <w:top w:w="0" w:type="dxa"/>
              <w:left w:w="115" w:type="dxa"/>
              <w:bottom w:w="0" w:type="dxa"/>
              <w:right w:w="115" w:type="dxa"/>
            </w:tcMar>
            <w:hideMark/>
          </w:tcPr>
          <w:p w14:paraId="3CAEE0FD" w14:textId="77777777" w:rsidR="00C033B5" w:rsidRPr="004F735C" w:rsidRDefault="00C033B5" w:rsidP="00C033B5">
            <w:pPr>
              <w:rPr>
                <w:rFonts w:asciiTheme="majorBidi" w:hAnsiTheme="majorBidi" w:cstheme="majorBidi"/>
              </w:rPr>
            </w:pPr>
          </w:p>
        </w:tc>
        <w:tc>
          <w:tcPr>
            <w:tcW w:w="0" w:type="auto"/>
            <w:tcBorders>
              <w:bottom w:val="single" w:sz="4" w:space="0" w:color="auto"/>
            </w:tcBorders>
            <w:tcMar>
              <w:top w:w="0" w:type="dxa"/>
              <w:left w:w="115" w:type="dxa"/>
              <w:bottom w:w="0" w:type="dxa"/>
              <w:right w:w="115" w:type="dxa"/>
            </w:tcMar>
            <w:hideMark/>
          </w:tcPr>
          <w:p w14:paraId="1BFA1C2F" w14:textId="77777777" w:rsidR="00C033B5" w:rsidRPr="004F735C" w:rsidRDefault="00C033B5" w:rsidP="00C033B5">
            <w:pPr>
              <w:rPr>
                <w:rFonts w:asciiTheme="majorBidi" w:hAnsiTheme="majorBidi" w:cstheme="majorBidi"/>
              </w:rPr>
            </w:pPr>
          </w:p>
        </w:tc>
        <w:tc>
          <w:tcPr>
            <w:tcW w:w="0" w:type="auto"/>
            <w:tcBorders>
              <w:bottom w:val="single" w:sz="4" w:space="0" w:color="auto"/>
            </w:tcBorders>
            <w:tcMar>
              <w:top w:w="0" w:type="dxa"/>
              <w:left w:w="115" w:type="dxa"/>
              <w:bottom w:w="0" w:type="dxa"/>
              <w:right w:w="115" w:type="dxa"/>
            </w:tcMar>
            <w:hideMark/>
          </w:tcPr>
          <w:p w14:paraId="6517FB7B" w14:textId="77777777" w:rsidR="00C033B5" w:rsidRPr="004F735C" w:rsidRDefault="00C033B5" w:rsidP="00C033B5">
            <w:pPr>
              <w:rPr>
                <w:rFonts w:asciiTheme="majorBidi" w:hAnsiTheme="majorBidi" w:cstheme="majorBidi"/>
              </w:rPr>
            </w:pPr>
          </w:p>
        </w:tc>
        <w:tc>
          <w:tcPr>
            <w:tcW w:w="0" w:type="auto"/>
            <w:tcBorders>
              <w:bottom w:val="single" w:sz="4" w:space="0" w:color="auto"/>
            </w:tcBorders>
            <w:tcMar>
              <w:top w:w="0" w:type="dxa"/>
              <w:left w:w="115" w:type="dxa"/>
              <w:bottom w:w="0" w:type="dxa"/>
              <w:right w:w="115" w:type="dxa"/>
            </w:tcMar>
            <w:hideMark/>
          </w:tcPr>
          <w:p w14:paraId="641797AA" w14:textId="77777777" w:rsidR="00C033B5" w:rsidRPr="004F735C" w:rsidRDefault="00C033B5" w:rsidP="00C033B5">
            <w:pPr>
              <w:rPr>
                <w:rFonts w:asciiTheme="majorBidi" w:hAnsiTheme="majorBidi" w:cstheme="majorBidi"/>
              </w:rPr>
            </w:pPr>
          </w:p>
        </w:tc>
        <w:tc>
          <w:tcPr>
            <w:tcW w:w="0" w:type="auto"/>
            <w:tcBorders>
              <w:bottom w:val="single" w:sz="4" w:space="0" w:color="auto"/>
            </w:tcBorders>
            <w:tcMar>
              <w:top w:w="0" w:type="dxa"/>
              <w:left w:w="115" w:type="dxa"/>
              <w:bottom w:w="0" w:type="dxa"/>
              <w:right w:w="115" w:type="dxa"/>
            </w:tcMar>
            <w:hideMark/>
          </w:tcPr>
          <w:p w14:paraId="782249DE" w14:textId="77777777" w:rsidR="00C033B5" w:rsidRPr="004F735C" w:rsidRDefault="00C033B5" w:rsidP="00C033B5">
            <w:pPr>
              <w:rPr>
                <w:rFonts w:asciiTheme="majorBidi" w:hAnsiTheme="majorBidi" w:cstheme="majorBidi"/>
              </w:rPr>
            </w:pPr>
          </w:p>
        </w:tc>
        <w:tc>
          <w:tcPr>
            <w:tcW w:w="0" w:type="auto"/>
            <w:tcBorders>
              <w:bottom w:val="single" w:sz="4" w:space="0" w:color="auto"/>
            </w:tcBorders>
            <w:tcMar>
              <w:top w:w="0" w:type="dxa"/>
              <w:left w:w="115" w:type="dxa"/>
              <w:bottom w:w="0" w:type="dxa"/>
              <w:right w:w="115" w:type="dxa"/>
            </w:tcMar>
            <w:hideMark/>
          </w:tcPr>
          <w:p w14:paraId="5678C62E" w14:textId="77777777" w:rsidR="00C033B5" w:rsidRPr="004F735C" w:rsidRDefault="00C033B5" w:rsidP="00C033B5">
            <w:pPr>
              <w:rPr>
                <w:rFonts w:asciiTheme="majorBidi" w:hAnsiTheme="majorBidi" w:cstheme="majorBidi"/>
              </w:rPr>
            </w:pPr>
          </w:p>
        </w:tc>
        <w:tc>
          <w:tcPr>
            <w:tcW w:w="0" w:type="auto"/>
            <w:tcBorders>
              <w:bottom w:val="single" w:sz="4" w:space="0" w:color="auto"/>
            </w:tcBorders>
            <w:tcMar>
              <w:top w:w="0" w:type="dxa"/>
              <w:left w:w="115" w:type="dxa"/>
              <w:bottom w:w="0" w:type="dxa"/>
              <w:right w:w="115" w:type="dxa"/>
            </w:tcMar>
            <w:hideMark/>
          </w:tcPr>
          <w:p w14:paraId="7257A85A" w14:textId="77777777" w:rsidR="00C033B5" w:rsidRPr="004F735C" w:rsidRDefault="00C033B5" w:rsidP="00C033B5">
            <w:pPr>
              <w:rPr>
                <w:rFonts w:asciiTheme="majorBidi" w:hAnsiTheme="majorBidi" w:cstheme="majorBidi"/>
              </w:rPr>
            </w:pPr>
          </w:p>
        </w:tc>
        <w:tc>
          <w:tcPr>
            <w:tcW w:w="0" w:type="auto"/>
            <w:tcBorders>
              <w:bottom w:val="single" w:sz="4" w:space="0" w:color="auto"/>
            </w:tcBorders>
            <w:tcMar>
              <w:top w:w="0" w:type="dxa"/>
              <w:left w:w="115" w:type="dxa"/>
              <w:bottom w:w="0" w:type="dxa"/>
              <w:right w:w="115" w:type="dxa"/>
            </w:tcMar>
            <w:hideMark/>
          </w:tcPr>
          <w:p w14:paraId="27E27623" w14:textId="77777777" w:rsidR="00C033B5" w:rsidRPr="004F735C" w:rsidRDefault="00C033B5" w:rsidP="00C033B5">
            <w:pPr>
              <w:rPr>
                <w:rFonts w:asciiTheme="majorBidi" w:hAnsiTheme="majorBidi" w:cstheme="majorBidi"/>
              </w:rPr>
            </w:pPr>
          </w:p>
        </w:tc>
        <w:tc>
          <w:tcPr>
            <w:tcW w:w="0" w:type="auto"/>
            <w:tcBorders>
              <w:bottom w:val="single" w:sz="4" w:space="0" w:color="auto"/>
            </w:tcBorders>
            <w:tcMar>
              <w:top w:w="0" w:type="dxa"/>
              <w:left w:w="115" w:type="dxa"/>
              <w:bottom w:w="0" w:type="dxa"/>
              <w:right w:w="115" w:type="dxa"/>
            </w:tcMar>
            <w:hideMark/>
          </w:tcPr>
          <w:p w14:paraId="35DAF6DB" w14:textId="77777777" w:rsidR="00C033B5" w:rsidRPr="004F735C" w:rsidRDefault="00C033B5" w:rsidP="00C033B5">
            <w:pPr>
              <w:rPr>
                <w:rFonts w:asciiTheme="majorBidi" w:hAnsiTheme="majorBidi" w:cstheme="majorBidi"/>
              </w:rPr>
            </w:pPr>
          </w:p>
        </w:tc>
      </w:tr>
      <w:tr w:rsidR="00C033B5" w:rsidRPr="004F735C" w14:paraId="1E30F26D" w14:textId="77777777" w:rsidTr="004F735C">
        <w:trPr>
          <w:trHeight w:val="20"/>
        </w:trPr>
        <w:tc>
          <w:tcPr>
            <w:tcW w:w="0" w:type="auto"/>
            <w:tcBorders>
              <w:top w:val="single" w:sz="4" w:space="0" w:color="auto"/>
              <w:bottom w:val="nil"/>
            </w:tcBorders>
            <w:tcMar>
              <w:top w:w="0" w:type="dxa"/>
              <w:left w:w="115" w:type="dxa"/>
              <w:bottom w:w="0" w:type="dxa"/>
              <w:right w:w="115" w:type="dxa"/>
            </w:tcMar>
            <w:hideMark/>
          </w:tcPr>
          <w:p w14:paraId="39D29FEE" w14:textId="77777777" w:rsidR="00C033B5" w:rsidRPr="004F735C" w:rsidRDefault="00C033B5" w:rsidP="00C033B5">
            <w:pPr>
              <w:rPr>
                <w:rFonts w:asciiTheme="majorBidi" w:hAnsiTheme="majorBidi" w:cstheme="majorBidi"/>
              </w:rPr>
            </w:pPr>
            <w:r w:rsidRPr="004F735C">
              <w:rPr>
                <w:rFonts w:asciiTheme="majorBidi" w:hAnsiTheme="majorBidi" w:cstheme="majorBidi"/>
              </w:rPr>
              <w:t>Interest</w:t>
            </w:r>
          </w:p>
        </w:tc>
        <w:tc>
          <w:tcPr>
            <w:tcW w:w="0" w:type="auto"/>
            <w:tcBorders>
              <w:top w:val="single" w:sz="4" w:space="0" w:color="auto"/>
              <w:bottom w:val="nil"/>
            </w:tcBorders>
            <w:tcMar>
              <w:top w:w="0" w:type="dxa"/>
              <w:left w:w="115" w:type="dxa"/>
              <w:bottom w:w="0" w:type="dxa"/>
              <w:right w:w="115" w:type="dxa"/>
            </w:tcMar>
            <w:hideMark/>
          </w:tcPr>
          <w:p w14:paraId="604E3D2F"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single" w:sz="4" w:space="0" w:color="auto"/>
              <w:bottom w:val="nil"/>
            </w:tcBorders>
            <w:tcMar>
              <w:top w:w="0" w:type="dxa"/>
              <w:left w:w="115" w:type="dxa"/>
              <w:bottom w:w="0" w:type="dxa"/>
              <w:right w:w="115" w:type="dxa"/>
            </w:tcMar>
            <w:hideMark/>
          </w:tcPr>
          <w:p w14:paraId="348E181B" w14:textId="77777777" w:rsidR="00C033B5" w:rsidRPr="004F735C" w:rsidRDefault="00C033B5" w:rsidP="00C033B5">
            <w:pPr>
              <w:rPr>
                <w:rFonts w:asciiTheme="majorBidi" w:hAnsiTheme="majorBidi" w:cstheme="majorBidi"/>
              </w:rPr>
            </w:pPr>
          </w:p>
        </w:tc>
        <w:tc>
          <w:tcPr>
            <w:tcW w:w="0" w:type="auto"/>
            <w:tcBorders>
              <w:top w:val="single" w:sz="4" w:space="0" w:color="auto"/>
              <w:bottom w:val="nil"/>
            </w:tcBorders>
            <w:tcMar>
              <w:top w:w="0" w:type="dxa"/>
              <w:left w:w="115" w:type="dxa"/>
              <w:bottom w:w="0" w:type="dxa"/>
              <w:right w:w="115" w:type="dxa"/>
            </w:tcMar>
            <w:hideMark/>
          </w:tcPr>
          <w:p w14:paraId="4A3F8A17" w14:textId="77777777" w:rsidR="00C033B5" w:rsidRPr="004F735C" w:rsidRDefault="00C033B5" w:rsidP="00C033B5">
            <w:pPr>
              <w:rPr>
                <w:rFonts w:asciiTheme="majorBidi" w:hAnsiTheme="majorBidi" w:cstheme="majorBidi"/>
              </w:rPr>
            </w:pPr>
          </w:p>
        </w:tc>
        <w:tc>
          <w:tcPr>
            <w:tcW w:w="0" w:type="auto"/>
            <w:tcBorders>
              <w:top w:val="single" w:sz="4" w:space="0" w:color="auto"/>
              <w:bottom w:val="nil"/>
            </w:tcBorders>
            <w:tcMar>
              <w:top w:w="0" w:type="dxa"/>
              <w:left w:w="115" w:type="dxa"/>
              <w:bottom w:w="0" w:type="dxa"/>
              <w:right w:w="115" w:type="dxa"/>
            </w:tcMar>
            <w:hideMark/>
          </w:tcPr>
          <w:p w14:paraId="02A17CBC" w14:textId="77777777" w:rsidR="00C033B5" w:rsidRPr="004F735C" w:rsidRDefault="00C033B5" w:rsidP="00C033B5">
            <w:pPr>
              <w:rPr>
                <w:rFonts w:asciiTheme="majorBidi" w:hAnsiTheme="majorBidi" w:cstheme="majorBidi"/>
              </w:rPr>
            </w:pPr>
          </w:p>
        </w:tc>
        <w:tc>
          <w:tcPr>
            <w:tcW w:w="0" w:type="auto"/>
            <w:tcBorders>
              <w:top w:val="single" w:sz="4" w:space="0" w:color="auto"/>
              <w:bottom w:val="nil"/>
            </w:tcBorders>
            <w:tcMar>
              <w:top w:w="0" w:type="dxa"/>
              <w:left w:w="115" w:type="dxa"/>
              <w:bottom w:w="0" w:type="dxa"/>
              <w:right w:w="115" w:type="dxa"/>
            </w:tcMar>
            <w:hideMark/>
          </w:tcPr>
          <w:p w14:paraId="083AECC0" w14:textId="77777777" w:rsidR="00C033B5" w:rsidRPr="004F735C" w:rsidRDefault="00C033B5" w:rsidP="00C033B5">
            <w:pPr>
              <w:rPr>
                <w:rFonts w:asciiTheme="majorBidi" w:hAnsiTheme="majorBidi" w:cstheme="majorBidi"/>
              </w:rPr>
            </w:pPr>
          </w:p>
        </w:tc>
        <w:tc>
          <w:tcPr>
            <w:tcW w:w="0" w:type="auto"/>
            <w:tcBorders>
              <w:top w:val="single" w:sz="4" w:space="0" w:color="auto"/>
              <w:bottom w:val="nil"/>
            </w:tcBorders>
            <w:tcMar>
              <w:top w:w="0" w:type="dxa"/>
              <w:left w:w="115" w:type="dxa"/>
              <w:bottom w:w="0" w:type="dxa"/>
              <w:right w:w="115" w:type="dxa"/>
            </w:tcMar>
            <w:hideMark/>
          </w:tcPr>
          <w:p w14:paraId="57993AEC" w14:textId="77777777" w:rsidR="00C033B5" w:rsidRPr="004F735C" w:rsidRDefault="00C033B5" w:rsidP="00C033B5">
            <w:pPr>
              <w:rPr>
                <w:rFonts w:asciiTheme="majorBidi" w:hAnsiTheme="majorBidi" w:cstheme="majorBidi"/>
              </w:rPr>
            </w:pPr>
          </w:p>
        </w:tc>
        <w:tc>
          <w:tcPr>
            <w:tcW w:w="0" w:type="auto"/>
            <w:tcBorders>
              <w:top w:val="single" w:sz="4" w:space="0" w:color="auto"/>
              <w:bottom w:val="nil"/>
            </w:tcBorders>
            <w:tcMar>
              <w:top w:w="0" w:type="dxa"/>
              <w:left w:w="115" w:type="dxa"/>
              <w:bottom w:w="0" w:type="dxa"/>
              <w:right w:w="115" w:type="dxa"/>
            </w:tcMar>
            <w:hideMark/>
          </w:tcPr>
          <w:p w14:paraId="2C7650E9" w14:textId="77777777" w:rsidR="00C033B5" w:rsidRPr="004F735C" w:rsidRDefault="00C033B5" w:rsidP="00C033B5">
            <w:pPr>
              <w:rPr>
                <w:rFonts w:asciiTheme="majorBidi" w:hAnsiTheme="majorBidi" w:cstheme="majorBidi"/>
              </w:rPr>
            </w:pPr>
          </w:p>
        </w:tc>
        <w:tc>
          <w:tcPr>
            <w:tcW w:w="0" w:type="auto"/>
            <w:tcBorders>
              <w:top w:val="single" w:sz="4" w:space="0" w:color="auto"/>
              <w:bottom w:val="nil"/>
            </w:tcBorders>
            <w:tcMar>
              <w:top w:w="0" w:type="dxa"/>
              <w:left w:w="115" w:type="dxa"/>
              <w:bottom w:w="0" w:type="dxa"/>
              <w:right w:w="115" w:type="dxa"/>
            </w:tcMar>
            <w:hideMark/>
          </w:tcPr>
          <w:p w14:paraId="520AB563" w14:textId="77777777" w:rsidR="00C033B5" w:rsidRPr="004F735C" w:rsidRDefault="00C033B5" w:rsidP="00C033B5">
            <w:pPr>
              <w:rPr>
                <w:rFonts w:asciiTheme="majorBidi" w:hAnsiTheme="majorBidi" w:cstheme="majorBidi"/>
              </w:rPr>
            </w:pPr>
          </w:p>
        </w:tc>
        <w:tc>
          <w:tcPr>
            <w:tcW w:w="0" w:type="auto"/>
            <w:tcBorders>
              <w:top w:val="single" w:sz="4" w:space="0" w:color="auto"/>
              <w:bottom w:val="nil"/>
            </w:tcBorders>
            <w:tcMar>
              <w:top w:w="0" w:type="dxa"/>
              <w:left w:w="115" w:type="dxa"/>
              <w:bottom w:w="0" w:type="dxa"/>
              <w:right w:w="115" w:type="dxa"/>
            </w:tcMar>
            <w:hideMark/>
          </w:tcPr>
          <w:p w14:paraId="7FDD8063" w14:textId="77777777" w:rsidR="00C033B5" w:rsidRPr="004F735C" w:rsidRDefault="00C033B5" w:rsidP="00C033B5">
            <w:pPr>
              <w:rPr>
                <w:rFonts w:asciiTheme="majorBidi" w:hAnsiTheme="majorBidi" w:cstheme="majorBidi"/>
              </w:rPr>
            </w:pPr>
          </w:p>
        </w:tc>
        <w:tc>
          <w:tcPr>
            <w:tcW w:w="0" w:type="auto"/>
            <w:tcBorders>
              <w:top w:val="single" w:sz="4" w:space="0" w:color="auto"/>
              <w:bottom w:val="nil"/>
            </w:tcBorders>
            <w:tcMar>
              <w:top w:w="0" w:type="dxa"/>
              <w:left w:w="115" w:type="dxa"/>
              <w:bottom w:w="0" w:type="dxa"/>
              <w:right w:w="115" w:type="dxa"/>
            </w:tcMar>
            <w:hideMark/>
          </w:tcPr>
          <w:p w14:paraId="6F93459B" w14:textId="77777777" w:rsidR="00C033B5" w:rsidRPr="004F735C" w:rsidRDefault="00C033B5" w:rsidP="00C033B5">
            <w:pPr>
              <w:rPr>
                <w:rFonts w:asciiTheme="majorBidi" w:hAnsiTheme="majorBidi" w:cstheme="majorBidi"/>
              </w:rPr>
            </w:pPr>
          </w:p>
        </w:tc>
        <w:tc>
          <w:tcPr>
            <w:tcW w:w="0" w:type="auto"/>
            <w:tcBorders>
              <w:top w:val="single" w:sz="4" w:space="0" w:color="auto"/>
              <w:bottom w:val="nil"/>
            </w:tcBorders>
            <w:tcMar>
              <w:top w:w="0" w:type="dxa"/>
              <w:left w:w="115" w:type="dxa"/>
              <w:bottom w:w="0" w:type="dxa"/>
              <w:right w:w="115" w:type="dxa"/>
            </w:tcMar>
            <w:hideMark/>
          </w:tcPr>
          <w:p w14:paraId="7FE23E05" w14:textId="77777777" w:rsidR="00C033B5" w:rsidRPr="004F735C" w:rsidRDefault="00C033B5" w:rsidP="00C033B5">
            <w:pPr>
              <w:rPr>
                <w:rFonts w:asciiTheme="majorBidi" w:hAnsiTheme="majorBidi" w:cstheme="majorBidi"/>
              </w:rPr>
            </w:pPr>
          </w:p>
        </w:tc>
        <w:tc>
          <w:tcPr>
            <w:tcW w:w="0" w:type="auto"/>
            <w:tcBorders>
              <w:top w:val="single" w:sz="4" w:space="0" w:color="auto"/>
              <w:bottom w:val="nil"/>
            </w:tcBorders>
            <w:tcMar>
              <w:top w:w="0" w:type="dxa"/>
              <w:left w:w="115" w:type="dxa"/>
              <w:bottom w:w="0" w:type="dxa"/>
              <w:right w:w="115" w:type="dxa"/>
            </w:tcMar>
            <w:hideMark/>
          </w:tcPr>
          <w:p w14:paraId="2572499E" w14:textId="77777777" w:rsidR="00C033B5" w:rsidRPr="004F735C" w:rsidRDefault="00C033B5" w:rsidP="00C033B5">
            <w:pPr>
              <w:rPr>
                <w:rFonts w:asciiTheme="majorBidi" w:hAnsiTheme="majorBidi" w:cstheme="majorBidi"/>
              </w:rPr>
            </w:pPr>
          </w:p>
        </w:tc>
        <w:tc>
          <w:tcPr>
            <w:tcW w:w="0" w:type="auto"/>
            <w:tcBorders>
              <w:top w:val="single" w:sz="4" w:space="0" w:color="auto"/>
              <w:bottom w:val="nil"/>
            </w:tcBorders>
            <w:tcMar>
              <w:top w:w="0" w:type="dxa"/>
              <w:left w:w="115" w:type="dxa"/>
              <w:bottom w:w="0" w:type="dxa"/>
              <w:right w:w="115" w:type="dxa"/>
            </w:tcMar>
            <w:hideMark/>
          </w:tcPr>
          <w:p w14:paraId="2C7EF95B" w14:textId="77777777" w:rsidR="00C033B5" w:rsidRPr="004F735C" w:rsidRDefault="00C033B5" w:rsidP="00C033B5">
            <w:pPr>
              <w:rPr>
                <w:rFonts w:asciiTheme="majorBidi" w:hAnsiTheme="majorBidi" w:cstheme="majorBidi"/>
              </w:rPr>
            </w:pPr>
          </w:p>
        </w:tc>
      </w:tr>
      <w:tr w:rsidR="00C033B5" w:rsidRPr="004F735C" w14:paraId="70897388" w14:textId="77777777" w:rsidTr="004F735C">
        <w:trPr>
          <w:trHeight w:val="20"/>
        </w:trPr>
        <w:tc>
          <w:tcPr>
            <w:tcW w:w="0" w:type="auto"/>
            <w:tcBorders>
              <w:top w:val="nil"/>
              <w:bottom w:val="nil"/>
            </w:tcBorders>
            <w:tcMar>
              <w:top w:w="0" w:type="dxa"/>
              <w:left w:w="115" w:type="dxa"/>
              <w:bottom w:w="0" w:type="dxa"/>
              <w:right w:w="115" w:type="dxa"/>
            </w:tcMar>
            <w:hideMark/>
          </w:tcPr>
          <w:p w14:paraId="56D0F552" w14:textId="77777777" w:rsidR="00C033B5" w:rsidRPr="004F735C" w:rsidRDefault="00C033B5" w:rsidP="00C033B5">
            <w:pPr>
              <w:rPr>
                <w:rFonts w:asciiTheme="majorBidi" w:hAnsiTheme="majorBidi" w:cstheme="majorBidi"/>
              </w:rPr>
            </w:pPr>
            <w:r w:rsidRPr="004F735C">
              <w:rPr>
                <w:rFonts w:asciiTheme="majorBidi" w:hAnsiTheme="majorBidi" w:cstheme="majorBidi"/>
              </w:rPr>
              <w:t>Default</w:t>
            </w:r>
          </w:p>
        </w:tc>
        <w:tc>
          <w:tcPr>
            <w:tcW w:w="0" w:type="auto"/>
            <w:tcBorders>
              <w:top w:val="nil"/>
              <w:bottom w:val="nil"/>
            </w:tcBorders>
            <w:tcMar>
              <w:top w:w="0" w:type="dxa"/>
              <w:left w:w="115" w:type="dxa"/>
              <w:bottom w:w="0" w:type="dxa"/>
              <w:right w:w="115" w:type="dxa"/>
            </w:tcMar>
            <w:hideMark/>
          </w:tcPr>
          <w:p w14:paraId="29602DB2" w14:textId="77777777" w:rsidR="00C033B5" w:rsidRPr="004F735C" w:rsidRDefault="00C033B5" w:rsidP="00C033B5">
            <w:pPr>
              <w:rPr>
                <w:rFonts w:asciiTheme="majorBidi" w:hAnsiTheme="majorBidi" w:cstheme="majorBidi"/>
              </w:rPr>
            </w:pPr>
            <w:r w:rsidRPr="004F735C">
              <w:rPr>
                <w:rFonts w:asciiTheme="majorBidi" w:hAnsiTheme="majorBidi" w:cstheme="majorBidi"/>
              </w:rPr>
              <w:t>-0.018*</w:t>
            </w:r>
          </w:p>
        </w:tc>
        <w:tc>
          <w:tcPr>
            <w:tcW w:w="0" w:type="auto"/>
            <w:tcBorders>
              <w:top w:val="nil"/>
              <w:bottom w:val="nil"/>
            </w:tcBorders>
            <w:tcMar>
              <w:top w:w="0" w:type="dxa"/>
              <w:left w:w="115" w:type="dxa"/>
              <w:bottom w:w="0" w:type="dxa"/>
              <w:right w:w="115" w:type="dxa"/>
            </w:tcMar>
            <w:hideMark/>
          </w:tcPr>
          <w:p w14:paraId="69C5D682"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65C3390D"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0D70A348"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3534C8CA"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4507B9BC"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546D3EA8"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7E09994E"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514B4337"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4F5E74D0"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75B4359D"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1D79B103"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608885FF" w14:textId="77777777" w:rsidR="00C033B5" w:rsidRPr="004F735C" w:rsidRDefault="00C033B5" w:rsidP="00C033B5">
            <w:pPr>
              <w:rPr>
                <w:rFonts w:asciiTheme="majorBidi" w:hAnsiTheme="majorBidi" w:cstheme="majorBidi"/>
              </w:rPr>
            </w:pPr>
          </w:p>
        </w:tc>
      </w:tr>
      <w:tr w:rsidR="00C033B5" w:rsidRPr="004F735C" w14:paraId="3220A470" w14:textId="77777777" w:rsidTr="004F735C">
        <w:trPr>
          <w:trHeight w:val="20"/>
        </w:trPr>
        <w:tc>
          <w:tcPr>
            <w:tcW w:w="0" w:type="auto"/>
            <w:tcBorders>
              <w:top w:val="nil"/>
              <w:bottom w:val="nil"/>
            </w:tcBorders>
            <w:tcMar>
              <w:top w:w="0" w:type="dxa"/>
              <w:left w:w="115" w:type="dxa"/>
              <w:bottom w:w="0" w:type="dxa"/>
              <w:right w:w="115" w:type="dxa"/>
            </w:tcMar>
            <w:hideMark/>
          </w:tcPr>
          <w:p w14:paraId="642217D3" w14:textId="77777777" w:rsidR="00C033B5" w:rsidRPr="004F735C" w:rsidRDefault="00C033B5" w:rsidP="00C033B5">
            <w:pPr>
              <w:rPr>
                <w:rFonts w:asciiTheme="majorBidi" w:hAnsiTheme="majorBidi" w:cstheme="majorBidi"/>
              </w:rPr>
            </w:pPr>
            <w:r w:rsidRPr="004F735C">
              <w:rPr>
                <w:rFonts w:asciiTheme="majorBidi" w:hAnsiTheme="majorBidi" w:cstheme="majorBidi"/>
              </w:rPr>
              <w:t>SEVDEF</w:t>
            </w:r>
          </w:p>
        </w:tc>
        <w:tc>
          <w:tcPr>
            <w:tcW w:w="0" w:type="auto"/>
            <w:tcBorders>
              <w:top w:val="nil"/>
              <w:bottom w:val="nil"/>
            </w:tcBorders>
            <w:tcMar>
              <w:top w:w="0" w:type="dxa"/>
              <w:left w:w="115" w:type="dxa"/>
              <w:bottom w:w="0" w:type="dxa"/>
              <w:right w:w="115" w:type="dxa"/>
            </w:tcMar>
            <w:hideMark/>
          </w:tcPr>
          <w:p w14:paraId="0AF8D764" w14:textId="77777777" w:rsidR="00C033B5" w:rsidRPr="004F735C" w:rsidRDefault="00C033B5" w:rsidP="00C033B5">
            <w:pPr>
              <w:rPr>
                <w:rFonts w:asciiTheme="majorBidi" w:hAnsiTheme="majorBidi" w:cstheme="majorBidi"/>
              </w:rPr>
            </w:pPr>
            <w:r w:rsidRPr="004F735C">
              <w:rPr>
                <w:rFonts w:asciiTheme="majorBidi" w:hAnsiTheme="majorBidi" w:cstheme="majorBidi"/>
              </w:rPr>
              <w:t>-0.118*</w:t>
            </w:r>
          </w:p>
        </w:tc>
        <w:tc>
          <w:tcPr>
            <w:tcW w:w="0" w:type="auto"/>
            <w:tcBorders>
              <w:top w:val="nil"/>
              <w:bottom w:val="nil"/>
            </w:tcBorders>
            <w:tcMar>
              <w:top w:w="0" w:type="dxa"/>
              <w:left w:w="115" w:type="dxa"/>
              <w:bottom w:w="0" w:type="dxa"/>
              <w:right w:w="115" w:type="dxa"/>
            </w:tcMar>
            <w:hideMark/>
          </w:tcPr>
          <w:p w14:paraId="076BD3B9" w14:textId="77777777" w:rsidR="00C033B5" w:rsidRPr="004F735C" w:rsidRDefault="00C033B5" w:rsidP="00C033B5">
            <w:pPr>
              <w:rPr>
                <w:rFonts w:asciiTheme="majorBidi" w:hAnsiTheme="majorBidi" w:cstheme="majorBidi"/>
              </w:rPr>
            </w:pPr>
            <w:r w:rsidRPr="004F735C">
              <w:rPr>
                <w:rFonts w:asciiTheme="majorBidi" w:hAnsiTheme="majorBidi" w:cstheme="majorBidi"/>
              </w:rPr>
              <w:t>0.209*</w:t>
            </w:r>
          </w:p>
        </w:tc>
        <w:tc>
          <w:tcPr>
            <w:tcW w:w="0" w:type="auto"/>
            <w:tcBorders>
              <w:top w:val="nil"/>
              <w:bottom w:val="nil"/>
            </w:tcBorders>
            <w:tcMar>
              <w:top w:w="0" w:type="dxa"/>
              <w:left w:w="115" w:type="dxa"/>
              <w:bottom w:w="0" w:type="dxa"/>
              <w:right w:w="115" w:type="dxa"/>
            </w:tcMar>
            <w:hideMark/>
          </w:tcPr>
          <w:p w14:paraId="4EA6231E"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569E179B"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09FC69C2"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3371DFCA"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32A31795"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35CC88BE"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02A6C428"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52BFF1EB"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28B0B7D7"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1E897A11"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1B1C922E" w14:textId="77777777" w:rsidR="00C033B5" w:rsidRPr="004F735C" w:rsidRDefault="00C033B5" w:rsidP="00C033B5">
            <w:pPr>
              <w:rPr>
                <w:rFonts w:asciiTheme="majorBidi" w:hAnsiTheme="majorBidi" w:cstheme="majorBidi"/>
              </w:rPr>
            </w:pPr>
          </w:p>
        </w:tc>
      </w:tr>
      <w:tr w:rsidR="00C033B5" w:rsidRPr="004F735C" w14:paraId="468C12F0" w14:textId="77777777" w:rsidTr="004F735C">
        <w:trPr>
          <w:trHeight w:val="20"/>
        </w:trPr>
        <w:tc>
          <w:tcPr>
            <w:tcW w:w="0" w:type="auto"/>
            <w:tcBorders>
              <w:top w:val="nil"/>
              <w:bottom w:val="nil"/>
            </w:tcBorders>
            <w:tcMar>
              <w:top w:w="0" w:type="dxa"/>
              <w:left w:w="115" w:type="dxa"/>
              <w:bottom w:w="0" w:type="dxa"/>
              <w:right w:w="115" w:type="dxa"/>
            </w:tcMar>
            <w:hideMark/>
          </w:tcPr>
          <w:p w14:paraId="2951193B" w14:textId="77777777" w:rsidR="00C033B5" w:rsidRPr="004F735C" w:rsidRDefault="00C033B5" w:rsidP="00C033B5">
            <w:pPr>
              <w:rPr>
                <w:rFonts w:asciiTheme="majorBidi" w:hAnsiTheme="majorBidi" w:cstheme="majorBidi"/>
              </w:rPr>
            </w:pPr>
            <w:r w:rsidRPr="004F735C">
              <w:rPr>
                <w:rFonts w:asciiTheme="majorBidi" w:hAnsiTheme="majorBidi" w:cstheme="majorBidi"/>
              </w:rPr>
              <w:t>SITG</w:t>
            </w:r>
          </w:p>
        </w:tc>
        <w:tc>
          <w:tcPr>
            <w:tcW w:w="0" w:type="auto"/>
            <w:tcBorders>
              <w:top w:val="nil"/>
              <w:bottom w:val="nil"/>
            </w:tcBorders>
            <w:tcMar>
              <w:top w:w="0" w:type="dxa"/>
              <w:left w:w="115" w:type="dxa"/>
              <w:bottom w:w="0" w:type="dxa"/>
              <w:right w:w="115" w:type="dxa"/>
            </w:tcMar>
            <w:hideMark/>
          </w:tcPr>
          <w:p w14:paraId="2741BD48" w14:textId="77777777" w:rsidR="00C033B5" w:rsidRPr="004F735C" w:rsidRDefault="00C033B5" w:rsidP="00C033B5">
            <w:pPr>
              <w:rPr>
                <w:rFonts w:asciiTheme="majorBidi" w:hAnsiTheme="majorBidi" w:cstheme="majorBidi"/>
              </w:rPr>
            </w:pPr>
            <w:r w:rsidRPr="004F735C">
              <w:rPr>
                <w:rFonts w:asciiTheme="majorBidi" w:hAnsiTheme="majorBidi" w:cstheme="majorBidi"/>
              </w:rPr>
              <w:t>0.114*</w:t>
            </w:r>
          </w:p>
        </w:tc>
        <w:tc>
          <w:tcPr>
            <w:tcW w:w="0" w:type="auto"/>
            <w:tcBorders>
              <w:top w:val="nil"/>
              <w:bottom w:val="nil"/>
            </w:tcBorders>
            <w:tcMar>
              <w:top w:w="0" w:type="dxa"/>
              <w:left w:w="115" w:type="dxa"/>
              <w:bottom w:w="0" w:type="dxa"/>
              <w:right w:w="115" w:type="dxa"/>
            </w:tcMar>
            <w:hideMark/>
          </w:tcPr>
          <w:p w14:paraId="20074C9F" w14:textId="77777777" w:rsidR="00C033B5" w:rsidRPr="004F735C" w:rsidRDefault="00C033B5" w:rsidP="00C033B5">
            <w:pPr>
              <w:rPr>
                <w:rFonts w:asciiTheme="majorBidi" w:hAnsiTheme="majorBidi" w:cstheme="majorBidi"/>
              </w:rPr>
            </w:pPr>
            <w:r w:rsidRPr="004F735C">
              <w:rPr>
                <w:rFonts w:asciiTheme="majorBidi" w:hAnsiTheme="majorBidi" w:cstheme="majorBidi"/>
              </w:rPr>
              <w:t>0.024*</w:t>
            </w:r>
          </w:p>
        </w:tc>
        <w:tc>
          <w:tcPr>
            <w:tcW w:w="0" w:type="auto"/>
            <w:tcBorders>
              <w:top w:val="nil"/>
              <w:bottom w:val="nil"/>
            </w:tcBorders>
            <w:tcMar>
              <w:top w:w="0" w:type="dxa"/>
              <w:left w:w="115" w:type="dxa"/>
              <w:bottom w:w="0" w:type="dxa"/>
              <w:right w:w="115" w:type="dxa"/>
            </w:tcMar>
            <w:hideMark/>
          </w:tcPr>
          <w:p w14:paraId="531344F4" w14:textId="77777777" w:rsidR="00C033B5" w:rsidRPr="004F735C" w:rsidRDefault="00C033B5" w:rsidP="00C033B5">
            <w:pPr>
              <w:rPr>
                <w:rFonts w:asciiTheme="majorBidi" w:hAnsiTheme="majorBidi" w:cstheme="majorBidi"/>
              </w:rPr>
            </w:pPr>
            <w:r w:rsidRPr="004F735C">
              <w:rPr>
                <w:rFonts w:asciiTheme="majorBidi" w:hAnsiTheme="majorBidi" w:cstheme="majorBidi"/>
              </w:rPr>
              <w:t>-0.068*</w:t>
            </w:r>
          </w:p>
        </w:tc>
        <w:tc>
          <w:tcPr>
            <w:tcW w:w="0" w:type="auto"/>
            <w:tcBorders>
              <w:top w:val="nil"/>
              <w:bottom w:val="nil"/>
            </w:tcBorders>
            <w:tcMar>
              <w:top w:w="0" w:type="dxa"/>
              <w:left w:w="115" w:type="dxa"/>
              <w:bottom w:w="0" w:type="dxa"/>
              <w:right w:w="115" w:type="dxa"/>
            </w:tcMar>
            <w:hideMark/>
          </w:tcPr>
          <w:p w14:paraId="254932A3"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04286392"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1C808F0A"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0AFC328D"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082BFC61"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1A7DCEB6"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676FDBCE"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495056CF"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2A1F2F66"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096A1AA0" w14:textId="77777777" w:rsidR="00C033B5" w:rsidRPr="004F735C" w:rsidRDefault="00C033B5" w:rsidP="00C033B5">
            <w:pPr>
              <w:rPr>
                <w:rFonts w:asciiTheme="majorBidi" w:hAnsiTheme="majorBidi" w:cstheme="majorBidi"/>
              </w:rPr>
            </w:pPr>
          </w:p>
        </w:tc>
      </w:tr>
      <w:tr w:rsidR="00C033B5" w:rsidRPr="004F735C" w14:paraId="710B73F0" w14:textId="77777777" w:rsidTr="004F735C">
        <w:trPr>
          <w:trHeight w:val="20"/>
        </w:trPr>
        <w:tc>
          <w:tcPr>
            <w:tcW w:w="0" w:type="auto"/>
            <w:tcBorders>
              <w:top w:val="nil"/>
              <w:bottom w:val="nil"/>
            </w:tcBorders>
            <w:tcMar>
              <w:top w:w="0" w:type="dxa"/>
              <w:left w:w="115" w:type="dxa"/>
              <w:bottom w:w="0" w:type="dxa"/>
              <w:right w:w="115" w:type="dxa"/>
            </w:tcMar>
            <w:hideMark/>
          </w:tcPr>
          <w:p w14:paraId="06BF5E7A" w14:textId="77777777" w:rsidR="00C033B5" w:rsidRPr="004F735C" w:rsidRDefault="00C033B5" w:rsidP="00C033B5">
            <w:pPr>
              <w:rPr>
                <w:rFonts w:asciiTheme="majorBidi" w:hAnsiTheme="majorBidi" w:cstheme="majorBidi"/>
              </w:rPr>
            </w:pPr>
            <w:r w:rsidRPr="004F735C">
              <w:rPr>
                <w:rFonts w:asciiTheme="majorBidi" w:hAnsiTheme="majorBidi" w:cstheme="majorBidi"/>
              </w:rPr>
              <w:t>Term</w:t>
            </w:r>
          </w:p>
        </w:tc>
        <w:tc>
          <w:tcPr>
            <w:tcW w:w="0" w:type="auto"/>
            <w:tcBorders>
              <w:top w:val="nil"/>
              <w:bottom w:val="nil"/>
            </w:tcBorders>
            <w:tcMar>
              <w:top w:w="0" w:type="dxa"/>
              <w:left w:w="115" w:type="dxa"/>
              <w:bottom w:w="0" w:type="dxa"/>
              <w:right w:w="115" w:type="dxa"/>
            </w:tcMar>
            <w:hideMark/>
          </w:tcPr>
          <w:p w14:paraId="76982743" w14:textId="77777777" w:rsidR="00C033B5" w:rsidRPr="004F735C" w:rsidRDefault="00C033B5" w:rsidP="00C033B5">
            <w:pPr>
              <w:rPr>
                <w:rFonts w:asciiTheme="majorBidi" w:hAnsiTheme="majorBidi" w:cstheme="majorBidi"/>
              </w:rPr>
            </w:pPr>
            <w:r w:rsidRPr="004F735C">
              <w:rPr>
                <w:rFonts w:asciiTheme="majorBidi" w:hAnsiTheme="majorBidi" w:cstheme="majorBidi"/>
              </w:rPr>
              <w:t>-0.143*</w:t>
            </w:r>
          </w:p>
        </w:tc>
        <w:tc>
          <w:tcPr>
            <w:tcW w:w="0" w:type="auto"/>
            <w:tcBorders>
              <w:top w:val="nil"/>
              <w:bottom w:val="nil"/>
            </w:tcBorders>
            <w:tcMar>
              <w:top w:w="0" w:type="dxa"/>
              <w:left w:w="115" w:type="dxa"/>
              <w:bottom w:w="0" w:type="dxa"/>
              <w:right w:w="115" w:type="dxa"/>
            </w:tcMar>
            <w:hideMark/>
          </w:tcPr>
          <w:p w14:paraId="46273757" w14:textId="77777777" w:rsidR="00C033B5" w:rsidRPr="004F735C" w:rsidRDefault="00C033B5" w:rsidP="00C033B5">
            <w:pPr>
              <w:rPr>
                <w:rFonts w:asciiTheme="majorBidi" w:hAnsiTheme="majorBidi" w:cstheme="majorBidi"/>
              </w:rPr>
            </w:pPr>
            <w:r w:rsidRPr="004F735C">
              <w:rPr>
                <w:rFonts w:asciiTheme="majorBidi" w:hAnsiTheme="majorBidi" w:cstheme="majorBidi"/>
              </w:rPr>
              <w:t>0.026*</w:t>
            </w:r>
          </w:p>
        </w:tc>
        <w:tc>
          <w:tcPr>
            <w:tcW w:w="0" w:type="auto"/>
            <w:tcBorders>
              <w:top w:val="nil"/>
              <w:bottom w:val="nil"/>
            </w:tcBorders>
            <w:tcMar>
              <w:top w:w="0" w:type="dxa"/>
              <w:left w:w="115" w:type="dxa"/>
              <w:bottom w:w="0" w:type="dxa"/>
              <w:right w:w="115" w:type="dxa"/>
            </w:tcMar>
            <w:hideMark/>
          </w:tcPr>
          <w:p w14:paraId="6982E423" w14:textId="77777777" w:rsidR="00C033B5" w:rsidRPr="004F735C" w:rsidRDefault="00C033B5" w:rsidP="00C033B5">
            <w:pPr>
              <w:rPr>
                <w:rFonts w:asciiTheme="majorBidi" w:hAnsiTheme="majorBidi" w:cstheme="majorBidi"/>
              </w:rPr>
            </w:pPr>
            <w:r w:rsidRPr="004F735C">
              <w:rPr>
                <w:rFonts w:asciiTheme="majorBidi" w:hAnsiTheme="majorBidi" w:cstheme="majorBidi"/>
              </w:rPr>
              <w:t>0.463*</w:t>
            </w:r>
          </w:p>
        </w:tc>
        <w:tc>
          <w:tcPr>
            <w:tcW w:w="0" w:type="auto"/>
            <w:tcBorders>
              <w:top w:val="nil"/>
              <w:bottom w:val="nil"/>
            </w:tcBorders>
            <w:tcMar>
              <w:top w:w="0" w:type="dxa"/>
              <w:left w:w="115" w:type="dxa"/>
              <w:bottom w:w="0" w:type="dxa"/>
              <w:right w:w="115" w:type="dxa"/>
            </w:tcMar>
            <w:hideMark/>
          </w:tcPr>
          <w:p w14:paraId="5D770341" w14:textId="77777777" w:rsidR="00C033B5" w:rsidRPr="004F735C" w:rsidRDefault="00C033B5" w:rsidP="00C033B5">
            <w:pPr>
              <w:rPr>
                <w:rFonts w:asciiTheme="majorBidi" w:hAnsiTheme="majorBidi" w:cstheme="majorBidi"/>
              </w:rPr>
            </w:pPr>
            <w:r w:rsidRPr="004F735C">
              <w:rPr>
                <w:rFonts w:asciiTheme="majorBidi" w:hAnsiTheme="majorBidi" w:cstheme="majorBidi"/>
              </w:rPr>
              <w:t>-0.128*</w:t>
            </w:r>
          </w:p>
        </w:tc>
        <w:tc>
          <w:tcPr>
            <w:tcW w:w="0" w:type="auto"/>
            <w:tcBorders>
              <w:top w:val="nil"/>
              <w:bottom w:val="nil"/>
            </w:tcBorders>
            <w:tcMar>
              <w:top w:w="0" w:type="dxa"/>
              <w:left w:w="115" w:type="dxa"/>
              <w:bottom w:w="0" w:type="dxa"/>
              <w:right w:w="115" w:type="dxa"/>
            </w:tcMar>
            <w:hideMark/>
          </w:tcPr>
          <w:p w14:paraId="39C4CE13"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4E22733D"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1AABB7D0"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48B7796F"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41BA6D1E"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27F8F0EA"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143F12C2"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52BF5678"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11652A10" w14:textId="77777777" w:rsidR="00C033B5" w:rsidRPr="004F735C" w:rsidRDefault="00C033B5" w:rsidP="00C033B5">
            <w:pPr>
              <w:rPr>
                <w:rFonts w:asciiTheme="majorBidi" w:hAnsiTheme="majorBidi" w:cstheme="majorBidi"/>
              </w:rPr>
            </w:pPr>
          </w:p>
        </w:tc>
      </w:tr>
      <w:tr w:rsidR="00C033B5" w:rsidRPr="004F735C" w14:paraId="03F1FBB8" w14:textId="77777777" w:rsidTr="004F735C">
        <w:trPr>
          <w:trHeight w:val="20"/>
        </w:trPr>
        <w:tc>
          <w:tcPr>
            <w:tcW w:w="0" w:type="auto"/>
            <w:tcBorders>
              <w:top w:val="nil"/>
              <w:bottom w:val="nil"/>
            </w:tcBorders>
            <w:tcMar>
              <w:top w:w="0" w:type="dxa"/>
              <w:left w:w="115" w:type="dxa"/>
              <w:bottom w:w="0" w:type="dxa"/>
              <w:right w:w="115" w:type="dxa"/>
            </w:tcMar>
            <w:hideMark/>
          </w:tcPr>
          <w:p w14:paraId="5F6BAD01" w14:textId="77777777" w:rsidR="00C033B5" w:rsidRPr="004F735C" w:rsidRDefault="00C033B5" w:rsidP="00C033B5">
            <w:pPr>
              <w:rPr>
                <w:rFonts w:asciiTheme="majorBidi" w:hAnsiTheme="majorBidi" w:cstheme="majorBidi"/>
              </w:rPr>
            </w:pPr>
            <w:r w:rsidRPr="004F735C">
              <w:rPr>
                <w:rFonts w:asciiTheme="majorBidi" w:hAnsiTheme="majorBidi" w:cstheme="majorBidi"/>
              </w:rPr>
              <w:t>Amount</w:t>
            </w:r>
          </w:p>
        </w:tc>
        <w:tc>
          <w:tcPr>
            <w:tcW w:w="0" w:type="auto"/>
            <w:tcBorders>
              <w:top w:val="nil"/>
              <w:bottom w:val="nil"/>
            </w:tcBorders>
            <w:tcMar>
              <w:top w:w="0" w:type="dxa"/>
              <w:left w:w="115" w:type="dxa"/>
              <w:bottom w:w="0" w:type="dxa"/>
              <w:right w:w="115" w:type="dxa"/>
            </w:tcMar>
            <w:hideMark/>
          </w:tcPr>
          <w:p w14:paraId="40D8F214" w14:textId="77777777" w:rsidR="00C033B5" w:rsidRPr="004F735C" w:rsidRDefault="00C033B5" w:rsidP="00C033B5">
            <w:pPr>
              <w:rPr>
                <w:rFonts w:asciiTheme="majorBidi" w:hAnsiTheme="majorBidi" w:cstheme="majorBidi"/>
              </w:rPr>
            </w:pPr>
            <w:r w:rsidRPr="004F735C">
              <w:rPr>
                <w:rFonts w:asciiTheme="majorBidi" w:hAnsiTheme="majorBidi" w:cstheme="majorBidi"/>
              </w:rPr>
              <w:t>0.113*</w:t>
            </w:r>
          </w:p>
        </w:tc>
        <w:tc>
          <w:tcPr>
            <w:tcW w:w="0" w:type="auto"/>
            <w:tcBorders>
              <w:top w:val="nil"/>
              <w:bottom w:val="nil"/>
            </w:tcBorders>
            <w:tcMar>
              <w:top w:w="0" w:type="dxa"/>
              <w:left w:w="115" w:type="dxa"/>
              <w:bottom w:w="0" w:type="dxa"/>
              <w:right w:w="115" w:type="dxa"/>
            </w:tcMar>
            <w:hideMark/>
          </w:tcPr>
          <w:p w14:paraId="5DCBC6A0" w14:textId="77777777" w:rsidR="00C033B5" w:rsidRPr="004F735C" w:rsidRDefault="00C033B5" w:rsidP="00C033B5">
            <w:pPr>
              <w:rPr>
                <w:rFonts w:asciiTheme="majorBidi" w:hAnsiTheme="majorBidi" w:cstheme="majorBidi"/>
              </w:rPr>
            </w:pPr>
            <w:r w:rsidRPr="004F735C">
              <w:rPr>
                <w:rFonts w:asciiTheme="majorBidi" w:hAnsiTheme="majorBidi" w:cstheme="majorBidi"/>
              </w:rPr>
              <w:t>0.043*</w:t>
            </w:r>
          </w:p>
        </w:tc>
        <w:tc>
          <w:tcPr>
            <w:tcW w:w="0" w:type="auto"/>
            <w:tcBorders>
              <w:top w:val="nil"/>
              <w:bottom w:val="nil"/>
            </w:tcBorders>
            <w:tcMar>
              <w:top w:w="0" w:type="dxa"/>
              <w:left w:w="115" w:type="dxa"/>
              <w:bottom w:w="0" w:type="dxa"/>
              <w:right w:w="115" w:type="dxa"/>
            </w:tcMar>
            <w:hideMark/>
          </w:tcPr>
          <w:p w14:paraId="6D8FCE66" w14:textId="77777777" w:rsidR="00C033B5" w:rsidRPr="004F735C" w:rsidRDefault="00C033B5" w:rsidP="00C033B5">
            <w:pPr>
              <w:rPr>
                <w:rFonts w:asciiTheme="majorBidi" w:hAnsiTheme="majorBidi" w:cstheme="majorBidi"/>
              </w:rPr>
            </w:pPr>
            <w:r w:rsidRPr="004F735C">
              <w:rPr>
                <w:rFonts w:asciiTheme="majorBidi" w:hAnsiTheme="majorBidi" w:cstheme="majorBidi"/>
              </w:rPr>
              <w:t>0.120*</w:t>
            </w:r>
          </w:p>
        </w:tc>
        <w:tc>
          <w:tcPr>
            <w:tcW w:w="0" w:type="auto"/>
            <w:tcBorders>
              <w:top w:val="nil"/>
              <w:bottom w:val="nil"/>
            </w:tcBorders>
            <w:tcMar>
              <w:top w:w="0" w:type="dxa"/>
              <w:left w:w="115" w:type="dxa"/>
              <w:bottom w:w="0" w:type="dxa"/>
              <w:right w:w="115" w:type="dxa"/>
            </w:tcMar>
            <w:hideMark/>
          </w:tcPr>
          <w:p w14:paraId="40EE1CEF" w14:textId="77777777" w:rsidR="00C033B5" w:rsidRPr="004F735C" w:rsidRDefault="00C033B5" w:rsidP="00C033B5">
            <w:pPr>
              <w:rPr>
                <w:rFonts w:asciiTheme="majorBidi" w:hAnsiTheme="majorBidi" w:cstheme="majorBidi"/>
              </w:rPr>
            </w:pPr>
            <w:r w:rsidRPr="004F735C">
              <w:rPr>
                <w:rFonts w:asciiTheme="majorBidi" w:hAnsiTheme="majorBidi" w:cstheme="majorBidi"/>
              </w:rPr>
              <w:t>0.068*</w:t>
            </w:r>
          </w:p>
        </w:tc>
        <w:tc>
          <w:tcPr>
            <w:tcW w:w="0" w:type="auto"/>
            <w:tcBorders>
              <w:top w:val="nil"/>
              <w:bottom w:val="nil"/>
            </w:tcBorders>
            <w:tcMar>
              <w:top w:w="0" w:type="dxa"/>
              <w:left w:w="115" w:type="dxa"/>
              <w:bottom w:w="0" w:type="dxa"/>
              <w:right w:w="115" w:type="dxa"/>
            </w:tcMar>
            <w:hideMark/>
          </w:tcPr>
          <w:p w14:paraId="09D8DCA9" w14:textId="77777777" w:rsidR="00C033B5" w:rsidRPr="004F735C" w:rsidRDefault="00C033B5" w:rsidP="00C033B5">
            <w:pPr>
              <w:rPr>
                <w:rFonts w:asciiTheme="majorBidi" w:hAnsiTheme="majorBidi" w:cstheme="majorBidi"/>
              </w:rPr>
            </w:pPr>
            <w:r w:rsidRPr="004F735C">
              <w:rPr>
                <w:rFonts w:asciiTheme="majorBidi" w:hAnsiTheme="majorBidi" w:cstheme="majorBidi"/>
              </w:rPr>
              <w:t>0.143*</w:t>
            </w:r>
          </w:p>
        </w:tc>
        <w:tc>
          <w:tcPr>
            <w:tcW w:w="0" w:type="auto"/>
            <w:tcBorders>
              <w:top w:val="nil"/>
              <w:bottom w:val="nil"/>
            </w:tcBorders>
            <w:tcMar>
              <w:top w:w="0" w:type="dxa"/>
              <w:left w:w="115" w:type="dxa"/>
              <w:bottom w:w="0" w:type="dxa"/>
              <w:right w:w="115" w:type="dxa"/>
            </w:tcMar>
            <w:hideMark/>
          </w:tcPr>
          <w:p w14:paraId="5F95FF15"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1867B19B"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5D154D24"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153D4302"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6A4070E7"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45382B34"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16DE4934"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68AB052A" w14:textId="77777777" w:rsidR="00C033B5" w:rsidRPr="004F735C" w:rsidRDefault="00C033B5" w:rsidP="00C033B5">
            <w:pPr>
              <w:rPr>
                <w:rFonts w:asciiTheme="majorBidi" w:hAnsiTheme="majorBidi" w:cstheme="majorBidi"/>
              </w:rPr>
            </w:pPr>
          </w:p>
        </w:tc>
      </w:tr>
      <w:tr w:rsidR="00C033B5" w:rsidRPr="004F735C" w14:paraId="606F3F5E" w14:textId="77777777" w:rsidTr="004F735C">
        <w:trPr>
          <w:trHeight w:val="20"/>
        </w:trPr>
        <w:tc>
          <w:tcPr>
            <w:tcW w:w="0" w:type="auto"/>
            <w:tcBorders>
              <w:top w:val="nil"/>
              <w:bottom w:val="nil"/>
            </w:tcBorders>
            <w:tcMar>
              <w:top w:w="0" w:type="dxa"/>
              <w:left w:w="115" w:type="dxa"/>
              <w:bottom w:w="0" w:type="dxa"/>
              <w:right w:w="115" w:type="dxa"/>
            </w:tcMar>
            <w:hideMark/>
          </w:tcPr>
          <w:p w14:paraId="7552850D"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Riskscore</w:t>
            </w:r>
            <w:proofErr w:type="spellEnd"/>
          </w:p>
        </w:tc>
        <w:tc>
          <w:tcPr>
            <w:tcW w:w="0" w:type="auto"/>
            <w:tcBorders>
              <w:top w:val="nil"/>
              <w:bottom w:val="nil"/>
            </w:tcBorders>
            <w:tcMar>
              <w:top w:w="0" w:type="dxa"/>
              <w:left w:w="115" w:type="dxa"/>
              <w:bottom w:w="0" w:type="dxa"/>
              <w:right w:w="115" w:type="dxa"/>
            </w:tcMar>
            <w:hideMark/>
          </w:tcPr>
          <w:p w14:paraId="79C7414D" w14:textId="77777777" w:rsidR="00C033B5" w:rsidRPr="004F735C" w:rsidRDefault="00C033B5" w:rsidP="00C033B5">
            <w:pPr>
              <w:rPr>
                <w:rFonts w:asciiTheme="majorBidi" w:hAnsiTheme="majorBidi" w:cstheme="majorBidi"/>
              </w:rPr>
            </w:pPr>
            <w:r w:rsidRPr="004F735C">
              <w:rPr>
                <w:rFonts w:asciiTheme="majorBidi" w:hAnsiTheme="majorBidi" w:cstheme="majorBidi"/>
              </w:rPr>
              <w:t>-0.417*</w:t>
            </w:r>
          </w:p>
        </w:tc>
        <w:tc>
          <w:tcPr>
            <w:tcW w:w="0" w:type="auto"/>
            <w:tcBorders>
              <w:top w:val="nil"/>
              <w:bottom w:val="nil"/>
            </w:tcBorders>
            <w:tcMar>
              <w:top w:w="0" w:type="dxa"/>
              <w:left w:w="115" w:type="dxa"/>
              <w:bottom w:w="0" w:type="dxa"/>
              <w:right w:w="115" w:type="dxa"/>
            </w:tcMar>
            <w:hideMark/>
          </w:tcPr>
          <w:p w14:paraId="6C21114B" w14:textId="77777777" w:rsidR="00C033B5" w:rsidRPr="004F735C" w:rsidRDefault="00C033B5" w:rsidP="00C033B5">
            <w:pPr>
              <w:rPr>
                <w:rFonts w:asciiTheme="majorBidi" w:hAnsiTheme="majorBidi" w:cstheme="majorBidi"/>
              </w:rPr>
            </w:pPr>
            <w:r w:rsidRPr="004F735C">
              <w:rPr>
                <w:rFonts w:asciiTheme="majorBidi" w:hAnsiTheme="majorBidi" w:cstheme="majorBidi"/>
              </w:rPr>
              <w:t>0.024*</w:t>
            </w:r>
          </w:p>
        </w:tc>
        <w:tc>
          <w:tcPr>
            <w:tcW w:w="0" w:type="auto"/>
            <w:tcBorders>
              <w:top w:val="nil"/>
              <w:bottom w:val="nil"/>
            </w:tcBorders>
            <w:tcMar>
              <w:top w:w="0" w:type="dxa"/>
              <w:left w:w="115" w:type="dxa"/>
              <w:bottom w:w="0" w:type="dxa"/>
              <w:right w:w="115" w:type="dxa"/>
            </w:tcMar>
            <w:hideMark/>
          </w:tcPr>
          <w:p w14:paraId="4BA160DB" w14:textId="77777777" w:rsidR="00C033B5" w:rsidRPr="004F735C" w:rsidRDefault="00C033B5" w:rsidP="00C033B5">
            <w:pPr>
              <w:rPr>
                <w:rFonts w:asciiTheme="majorBidi" w:hAnsiTheme="majorBidi" w:cstheme="majorBidi"/>
              </w:rPr>
            </w:pPr>
            <w:r w:rsidRPr="004F735C">
              <w:rPr>
                <w:rFonts w:asciiTheme="majorBidi" w:hAnsiTheme="majorBidi" w:cstheme="majorBidi"/>
              </w:rPr>
              <w:t>0.092*</w:t>
            </w:r>
          </w:p>
        </w:tc>
        <w:tc>
          <w:tcPr>
            <w:tcW w:w="0" w:type="auto"/>
            <w:tcBorders>
              <w:top w:val="nil"/>
              <w:bottom w:val="nil"/>
            </w:tcBorders>
            <w:tcMar>
              <w:top w:w="0" w:type="dxa"/>
              <w:left w:w="115" w:type="dxa"/>
              <w:bottom w:w="0" w:type="dxa"/>
              <w:right w:w="115" w:type="dxa"/>
            </w:tcMar>
            <w:hideMark/>
          </w:tcPr>
          <w:p w14:paraId="090DA015" w14:textId="77777777" w:rsidR="00C033B5" w:rsidRPr="004F735C" w:rsidRDefault="00C033B5" w:rsidP="00C033B5">
            <w:pPr>
              <w:rPr>
                <w:rFonts w:asciiTheme="majorBidi" w:hAnsiTheme="majorBidi" w:cstheme="majorBidi"/>
              </w:rPr>
            </w:pPr>
            <w:r w:rsidRPr="004F735C">
              <w:rPr>
                <w:rFonts w:asciiTheme="majorBidi" w:hAnsiTheme="majorBidi" w:cstheme="majorBidi"/>
              </w:rPr>
              <w:t>0.215*</w:t>
            </w:r>
          </w:p>
        </w:tc>
        <w:tc>
          <w:tcPr>
            <w:tcW w:w="0" w:type="auto"/>
            <w:tcBorders>
              <w:top w:val="nil"/>
              <w:bottom w:val="nil"/>
            </w:tcBorders>
            <w:tcMar>
              <w:top w:w="0" w:type="dxa"/>
              <w:left w:w="115" w:type="dxa"/>
              <w:bottom w:w="0" w:type="dxa"/>
              <w:right w:w="115" w:type="dxa"/>
            </w:tcMar>
            <w:hideMark/>
          </w:tcPr>
          <w:p w14:paraId="6AC2F608" w14:textId="77777777" w:rsidR="00C033B5" w:rsidRPr="004F735C" w:rsidRDefault="00C033B5" w:rsidP="00C033B5">
            <w:pPr>
              <w:rPr>
                <w:rFonts w:asciiTheme="majorBidi" w:hAnsiTheme="majorBidi" w:cstheme="majorBidi"/>
              </w:rPr>
            </w:pPr>
            <w:r w:rsidRPr="004F735C">
              <w:rPr>
                <w:rFonts w:asciiTheme="majorBidi" w:hAnsiTheme="majorBidi" w:cstheme="majorBidi"/>
              </w:rPr>
              <w:t>0.292*</w:t>
            </w:r>
          </w:p>
        </w:tc>
        <w:tc>
          <w:tcPr>
            <w:tcW w:w="0" w:type="auto"/>
            <w:tcBorders>
              <w:top w:val="nil"/>
              <w:bottom w:val="nil"/>
            </w:tcBorders>
            <w:tcMar>
              <w:top w:w="0" w:type="dxa"/>
              <w:left w:w="115" w:type="dxa"/>
              <w:bottom w:w="0" w:type="dxa"/>
              <w:right w:w="115" w:type="dxa"/>
            </w:tcMar>
            <w:hideMark/>
          </w:tcPr>
          <w:p w14:paraId="546577C8" w14:textId="77777777" w:rsidR="00C033B5" w:rsidRPr="004F735C" w:rsidRDefault="00C033B5" w:rsidP="00C033B5">
            <w:pPr>
              <w:rPr>
                <w:rFonts w:asciiTheme="majorBidi" w:hAnsiTheme="majorBidi" w:cstheme="majorBidi"/>
              </w:rPr>
            </w:pPr>
            <w:r w:rsidRPr="004F735C">
              <w:rPr>
                <w:rFonts w:asciiTheme="majorBidi" w:hAnsiTheme="majorBidi" w:cstheme="majorBidi"/>
              </w:rPr>
              <w:t>0.081*</w:t>
            </w:r>
          </w:p>
        </w:tc>
        <w:tc>
          <w:tcPr>
            <w:tcW w:w="0" w:type="auto"/>
            <w:tcBorders>
              <w:top w:val="nil"/>
              <w:bottom w:val="nil"/>
            </w:tcBorders>
            <w:tcMar>
              <w:top w:w="0" w:type="dxa"/>
              <w:left w:w="115" w:type="dxa"/>
              <w:bottom w:w="0" w:type="dxa"/>
              <w:right w:w="115" w:type="dxa"/>
            </w:tcMar>
            <w:hideMark/>
          </w:tcPr>
          <w:p w14:paraId="53B11C8E"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4CA158D0"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64D90C9C"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75C5AFD5"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3BF7858D"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21CB3FC7"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0D5A68B2" w14:textId="77777777" w:rsidR="00C033B5" w:rsidRPr="004F735C" w:rsidRDefault="00C033B5" w:rsidP="00C033B5">
            <w:pPr>
              <w:rPr>
                <w:rFonts w:asciiTheme="majorBidi" w:hAnsiTheme="majorBidi" w:cstheme="majorBidi"/>
              </w:rPr>
            </w:pPr>
          </w:p>
        </w:tc>
      </w:tr>
      <w:tr w:rsidR="00C033B5" w:rsidRPr="004F735C" w14:paraId="33E645D1" w14:textId="77777777" w:rsidTr="004F735C">
        <w:trPr>
          <w:trHeight w:val="20"/>
        </w:trPr>
        <w:tc>
          <w:tcPr>
            <w:tcW w:w="0" w:type="auto"/>
            <w:tcBorders>
              <w:top w:val="nil"/>
              <w:bottom w:val="nil"/>
            </w:tcBorders>
            <w:tcMar>
              <w:top w:w="0" w:type="dxa"/>
              <w:left w:w="115" w:type="dxa"/>
              <w:bottom w:w="0" w:type="dxa"/>
              <w:right w:w="115" w:type="dxa"/>
            </w:tcMar>
            <w:hideMark/>
          </w:tcPr>
          <w:p w14:paraId="26DED6A9" w14:textId="77777777" w:rsidR="00C033B5" w:rsidRPr="004F735C" w:rsidRDefault="00C033B5" w:rsidP="00C033B5">
            <w:pPr>
              <w:rPr>
                <w:rFonts w:asciiTheme="majorBidi" w:hAnsiTheme="majorBidi" w:cstheme="majorBidi"/>
              </w:rPr>
            </w:pPr>
            <w:r w:rsidRPr="004F735C">
              <w:rPr>
                <w:rFonts w:asciiTheme="majorBidi" w:hAnsiTheme="majorBidi" w:cstheme="majorBidi"/>
              </w:rPr>
              <w:t>Collateral</w:t>
            </w:r>
          </w:p>
        </w:tc>
        <w:tc>
          <w:tcPr>
            <w:tcW w:w="0" w:type="auto"/>
            <w:tcBorders>
              <w:top w:val="nil"/>
              <w:bottom w:val="nil"/>
            </w:tcBorders>
            <w:tcMar>
              <w:top w:w="0" w:type="dxa"/>
              <w:left w:w="115" w:type="dxa"/>
              <w:bottom w:w="0" w:type="dxa"/>
              <w:right w:w="115" w:type="dxa"/>
            </w:tcMar>
            <w:hideMark/>
          </w:tcPr>
          <w:p w14:paraId="4DDDDF3F" w14:textId="77777777" w:rsidR="00C033B5" w:rsidRPr="004F735C" w:rsidRDefault="00C033B5" w:rsidP="00C033B5">
            <w:pPr>
              <w:rPr>
                <w:rFonts w:asciiTheme="majorBidi" w:hAnsiTheme="majorBidi" w:cstheme="majorBidi"/>
              </w:rPr>
            </w:pPr>
            <w:r w:rsidRPr="004F735C">
              <w:rPr>
                <w:rFonts w:asciiTheme="majorBidi" w:hAnsiTheme="majorBidi" w:cstheme="majorBidi"/>
              </w:rPr>
              <w:t>-0.364*</w:t>
            </w:r>
          </w:p>
        </w:tc>
        <w:tc>
          <w:tcPr>
            <w:tcW w:w="0" w:type="auto"/>
            <w:tcBorders>
              <w:top w:val="nil"/>
              <w:bottom w:val="nil"/>
            </w:tcBorders>
            <w:tcMar>
              <w:top w:w="0" w:type="dxa"/>
              <w:left w:w="115" w:type="dxa"/>
              <w:bottom w:w="0" w:type="dxa"/>
              <w:right w:w="115" w:type="dxa"/>
            </w:tcMar>
            <w:hideMark/>
          </w:tcPr>
          <w:p w14:paraId="53CA4329" w14:textId="77777777" w:rsidR="00C033B5" w:rsidRPr="004F735C" w:rsidRDefault="00C033B5" w:rsidP="00C033B5">
            <w:pPr>
              <w:rPr>
                <w:rFonts w:asciiTheme="majorBidi" w:hAnsiTheme="majorBidi" w:cstheme="majorBidi"/>
              </w:rPr>
            </w:pPr>
            <w:r w:rsidRPr="004F735C">
              <w:rPr>
                <w:rFonts w:asciiTheme="majorBidi" w:hAnsiTheme="majorBidi" w:cstheme="majorBidi"/>
              </w:rPr>
              <w:t>0.026*</w:t>
            </w:r>
          </w:p>
        </w:tc>
        <w:tc>
          <w:tcPr>
            <w:tcW w:w="0" w:type="auto"/>
            <w:tcBorders>
              <w:top w:val="nil"/>
              <w:bottom w:val="nil"/>
            </w:tcBorders>
            <w:tcMar>
              <w:top w:w="0" w:type="dxa"/>
              <w:left w:w="115" w:type="dxa"/>
              <w:bottom w:w="0" w:type="dxa"/>
              <w:right w:w="115" w:type="dxa"/>
            </w:tcMar>
            <w:hideMark/>
          </w:tcPr>
          <w:p w14:paraId="117F5C7B" w14:textId="77777777" w:rsidR="00C033B5" w:rsidRPr="004F735C" w:rsidRDefault="00C033B5" w:rsidP="00C033B5">
            <w:pPr>
              <w:rPr>
                <w:rFonts w:asciiTheme="majorBidi" w:hAnsiTheme="majorBidi" w:cstheme="majorBidi"/>
              </w:rPr>
            </w:pPr>
            <w:r w:rsidRPr="004F735C">
              <w:rPr>
                <w:rFonts w:asciiTheme="majorBidi" w:hAnsiTheme="majorBidi" w:cstheme="majorBidi"/>
              </w:rPr>
              <w:t>-0.016*</w:t>
            </w:r>
          </w:p>
        </w:tc>
        <w:tc>
          <w:tcPr>
            <w:tcW w:w="0" w:type="auto"/>
            <w:tcBorders>
              <w:top w:val="nil"/>
              <w:bottom w:val="nil"/>
            </w:tcBorders>
            <w:tcMar>
              <w:top w:w="0" w:type="dxa"/>
              <w:left w:w="115" w:type="dxa"/>
              <w:bottom w:w="0" w:type="dxa"/>
              <w:right w:w="115" w:type="dxa"/>
            </w:tcMar>
            <w:hideMark/>
          </w:tcPr>
          <w:p w14:paraId="5E0B9354" w14:textId="77777777" w:rsidR="00C033B5" w:rsidRPr="004F735C" w:rsidRDefault="00C033B5" w:rsidP="00C033B5">
            <w:pPr>
              <w:rPr>
                <w:rFonts w:asciiTheme="majorBidi" w:hAnsiTheme="majorBidi" w:cstheme="majorBidi"/>
              </w:rPr>
            </w:pPr>
            <w:r w:rsidRPr="004F735C">
              <w:rPr>
                <w:rFonts w:asciiTheme="majorBidi" w:hAnsiTheme="majorBidi" w:cstheme="majorBidi"/>
              </w:rPr>
              <w:t>-0.218*</w:t>
            </w:r>
          </w:p>
        </w:tc>
        <w:tc>
          <w:tcPr>
            <w:tcW w:w="0" w:type="auto"/>
            <w:tcBorders>
              <w:top w:val="nil"/>
              <w:bottom w:val="nil"/>
            </w:tcBorders>
            <w:tcMar>
              <w:top w:w="0" w:type="dxa"/>
              <w:left w:w="115" w:type="dxa"/>
              <w:bottom w:w="0" w:type="dxa"/>
              <w:right w:w="115" w:type="dxa"/>
            </w:tcMar>
            <w:hideMark/>
          </w:tcPr>
          <w:p w14:paraId="7D1FE3A4" w14:textId="77777777" w:rsidR="00C033B5" w:rsidRPr="004F735C" w:rsidRDefault="00C033B5" w:rsidP="00C033B5">
            <w:pPr>
              <w:rPr>
                <w:rFonts w:asciiTheme="majorBidi" w:hAnsiTheme="majorBidi" w:cstheme="majorBidi"/>
              </w:rPr>
            </w:pPr>
            <w:r w:rsidRPr="004F735C">
              <w:rPr>
                <w:rFonts w:asciiTheme="majorBidi" w:hAnsiTheme="majorBidi" w:cstheme="majorBidi"/>
              </w:rPr>
              <w:t>-0.077*</w:t>
            </w:r>
          </w:p>
        </w:tc>
        <w:tc>
          <w:tcPr>
            <w:tcW w:w="0" w:type="auto"/>
            <w:tcBorders>
              <w:top w:val="nil"/>
              <w:bottom w:val="nil"/>
            </w:tcBorders>
            <w:tcMar>
              <w:top w:w="0" w:type="dxa"/>
              <w:left w:w="115" w:type="dxa"/>
              <w:bottom w:w="0" w:type="dxa"/>
              <w:right w:w="115" w:type="dxa"/>
            </w:tcMar>
            <w:hideMark/>
          </w:tcPr>
          <w:p w14:paraId="4B6CFA85" w14:textId="77777777" w:rsidR="00C033B5" w:rsidRPr="004F735C" w:rsidRDefault="00C033B5" w:rsidP="00C033B5">
            <w:pPr>
              <w:rPr>
                <w:rFonts w:asciiTheme="majorBidi" w:hAnsiTheme="majorBidi" w:cstheme="majorBidi"/>
              </w:rPr>
            </w:pPr>
            <w:r w:rsidRPr="004F735C">
              <w:rPr>
                <w:rFonts w:asciiTheme="majorBidi" w:hAnsiTheme="majorBidi" w:cstheme="majorBidi"/>
              </w:rPr>
              <w:t>0.030*</w:t>
            </w:r>
          </w:p>
        </w:tc>
        <w:tc>
          <w:tcPr>
            <w:tcW w:w="0" w:type="auto"/>
            <w:tcBorders>
              <w:top w:val="nil"/>
              <w:bottom w:val="nil"/>
            </w:tcBorders>
            <w:tcMar>
              <w:top w:w="0" w:type="dxa"/>
              <w:left w:w="115" w:type="dxa"/>
              <w:bottom w:w="0" w:type="dxa"/>
              <w:right w:w="115" w:type="dxa"/>
            </w:tcMar>
            <w:hideMark/>
          </w:tcPr>
          <w:p w14:paraId="2ED3A88B" w14:textId="77777777" w:rsidR="00C033B5" w:rsidRPr="004F735C" w:rsidRDefault="00C033B5" w:rsidP="00C033B5">
            <w:pPr>
              <w:rPr>
                <w:rFonts w:asciiTheme="majorBidi" w:hAnsiTheme="majorBidi" w:cstheme="majorBidi"/>
              </w:rPr>
            </w:pPr>
            <w:r w:rsidRPr="004F735C">
              <w:rPr>
                <w:rFonts w:asciiTheme="majorBidi" w:hAnsiTheme="majorBidi" w:cstheme="majorBidi"/>
              </w:rPr>
              <w:t>0.523*</w:t>
            </w:r>
          </w:p>
        </w:tc>
        <w:tc>
          <w:tcPr>
            <w:tcW w:w="0" w:type="auto"/>
            <w:tcBorders>
              <w:top w:val="nil"/>
              <w:bottom w:val="nil"/>
            </w:tcBorders>
            <w:tcMar>
              <w:top w:w="0" w:type="dxa"/>
              <w:left w:w="115" w:type="dxa"/>
              <w:bottom w:w="0" w:type="dxa"/>
              <w:right w:w="115" w:type="dxa"/>
            </w:tcMar>
            <w:hideMark/>
          </w:tcPr>
          <w:p w14:paraId="08F5A960"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536F8949"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78F2A54F"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0FBCC834"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58593A25"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721893AD" w14:textId="77777777" w:rsidR="00C033B5" w:rsidRPr="004F735C" w:rsidRDefault="00C033B5" w:rsidP="00C033B5">
            <w:pPr>
              <w:rPr>
                <w:rFonts w:asciiTheme="majorBidi" w:hAnsiTheme="majorBidi" w:cstheme="majorBidi"/>
              </w:rPr>
            </w:pPr>
          </w:p>
        </w:tc>
      </w:tr>
      <w:tr w:rsidR="00C033B5" w:rsidRPr="004F735C" w14:paraId="77411F2A" w14:textId="77777777" w:rsidTr="004F735C">
        <w:trPr>
          <w:trHeight w:val="20"/>
        </w:trPr>
        <w:tc>
          <w:tcPr>
            <w:tcW w:w="0" w:type="auto"/>
            <w:tcBorders>
              <w:top w:val="nil"/>
              <w:bottom w:val="nil"/>
            </w:tcBorders>
            <w:tcMar>
              <w:top w:w="0" w:type="dxa"/>
              <w:left w:w="115" w:type="dxa"/>
              <w:bottom w:w="0" w:type="dxa"/>
              <w:right w:w="115" w:type="dxa"/>
            </w:tcMar>
            <w:hideMark/>
          </w:tcPr>
          <w:p w14:paraId="2411210B"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Extsched</w:t>
            </w:r>
            <w:proofErr w:type="spellEnd"/>
          </w:p>
        </w:tc>
        <w:tc>
          <w:tcPr>
            <w:tcW w:w="0" w:type="auto"/>
            <w:tcBorders>
              <w:top w:val="nil"/>
              <w:bottom w:val="nil"/>
            </w:tcBorders>
            <w:tcMar>
              <w:top w:w="0" w:type="dxa"/>
              <w:left w:w="115" w:type="dxa"/>
              <w:bottom w:w="0" w:type="dxa"/>
              <w:right w:w="115" w:type="dxa"/>
            </w:tcMar>
            <w:hideMark/>
          </w:tcPr>
          <w:p w14:paraId="402D6CBA" w14:textId="77777777" w:rsidR="00C033B5" w:rsidRPr="004F735C" w:rsidRDefault="00C033B5" w:rsidP="00C033B5">
            <w:pPr>
              <w:rPr>
                <w:rFonts w:asciiTheme="majorBidi" w:hAnsiTheme="majorBidi" w:cstheme="majorBidi"/>
              </w:rPr>
            </w:pPr>
            <w:r w:rsidRPr="004F735C">
              <w:rPr>
                <w:rFonts w:asciiTheme="majorBidi" w:hAnsiTheme="majorBidi" w:cstheme="majorBidi"/>
              </w:rPr>
              <w:t>0.015*</w:t>
            </w:r>
          </w:p>
        </w:tc>
        <w:tc>
          <w:tcPr>
            <w:tcW w:w="0" w:type="auto"/>
            <w:tcBorders>
              <w:top w:val="nil"/>
              <w:bottom w:val="nil"/>
            </w:tcBorders>
            <w:tcMar>
              <w:top w:w="0" w:type="dxa"/>
              <w:left w:w="115" w:type="dxa"/>
              <w:bottom w:w="0" w:type="dxa"/>
              <w:right w:w="115" w:type="dxa"/>
            </w:tcMar>
            <w:hideMark/>
          </w:tcPr>
          <w:p w14:paraId="29B0EB39" w14:textId="77777777" w:rsidR="00C033B5" w:rsidRPr="004F735C" w:rsidRDefault="00C033B5" w:rsidP="00C033B5">
            <w:pPr>
              <w:rPr>
                <w:rFonts w:asciiTheme="majorBidi" w:hAnsiTheme="majorBidi" w:cstheme="majorBidi"/>
              </w:rPr>
            </w:pPr>
            <w:r w:rsidRPr="004F735C">
              <w:rPr>
                <w:rFonts w:asciiTheme="majorBidi" w:hAnsiTheme="majorBidi" w:cstheme="majorBidi"/>
              </w:rPr>
              <w:t>0.010*</w:t>
            </w:r>
          </w:p>
        </w:tc>
        <w:tc>
          <w:tcPr>
            <w:tcW w:w="0" w:type="auto"/>
            <w:tcBorders>
              <w:top w:val="nil"/>
              <w:bottom w:val="nil"/>
            </w:tcBorders>
            <w:tcMar>
              <w:top w:w="0" w:type="dxa"/>
              <w:left w:w="115" w:type="dxa"/>
              <w:bottom w:w="0" w:type="dxa"/>
              <w:right w:w="115" w:type="dxa"/>
            </w:tcMar>
            <w:hideMark/>
          </w:tcPr>
          <w:p w14:paraId="033CA069" w14:textId="77777777" w:rsidR="00C033B5" w:rsidRPr="004F735C" w:rsidRDefault="00C033B5" w:rsidP="00C033B5">
            <w:pPr>
              <w:rPr>
                <w:rFonts w:asciiTheme="majorBidi" w:hAnsiTheme="majorBidi" w:cstheme="majorBidi"/>
              </w:rPr>
            </w:pPr>
            <w:r w:rsidRPr="004F735C">
              <w:rPr>
                <w:rFonts w:asciiTheme="majorBidi" w:hAnsiTheme="majorBidi" w:cstheme="majorBidi"/>
              </w:rPr>
              <w:t>-0.082*</w:t>
            </w:r>
          </w:p>
        </w:tc>
        <w:tc>
          <w:tcPr>
            <w:tcW w:w="0" w:type="auto"/>
            <w:tcBorders>
              <w:top w:val="nil"/>
              <w:bottom w:val="nil"/>
            </w:tcBorders>
            <w:tcMar>
              <w:top w:w="0" w:type="dxa"/>
              <w:left w:w="115" w:type="dxa"/>
              <w:bottom w:w="0" w:type="dxa"/>
              <w:right w:w="115" w:type="dxa"/>
            </w:tcMar>
            <w:hideMark/>
          </w:tcPr>
          <w:p w14:paraId="47E2802F" w14:textId="77777777" w:rsidR="00C033B5" w:rsidRPr="004F735C" w:rsidRDefault="00C033B5" w:rsidP="00C033B5">
            <w:pPr>
              <w:rPr>
                <w:rFonts w:asciiTheme="majorBidi" w:hAnsiTheme="majorBidi" w:cstheme="majorBidi"/>
              </w:rPr>
            </w:pPr>
            <w:r w:rsidRPr="004F735C">
              <w:rPr>
                <w:rFonts w:asciiTheme="majorBidi" w:hAnsiTheme="majorBidi" w:cstheme="majorBidi"/>
              </w:rPr>
              <w:t>0.012*</w:t>
            </w:r>
          </w:p>
        </w:tc>
        <w:tc>
          <w:tcPr>
            <w:tcW w:w="0" w:type="auto"/>
            <w:tcBorders>
              <w:top w:val="nil"/>
              <w:bottom w:val="nil"/>
            </w:tcBorders>
            <w:tcMar>
              <w:top w:w="0" w:type="dxa"/>
              <w:left w:w="115" w:type="dxa"/>
              <w:bottom w:w="0" w:type="dxa"/>
              <w:right w:w="115" w:type="dxa"/>
            </w:tcMar>
            <w:hideMark/>
          </w:tcPr>
          <w:p w14:paraId="575C7313" w14:textId="77777777" w:rsidR="00C033B5" w:rsidRPr="004F735C" w:rsidRDefault="00C033B5" w:rsidP="00C033B5">
            <w:pPr>
              <w:rPr>
                <w:rFonts w:asciiTheme="majorBidi" w:hAnsiTheme="majorBidi" w:cstheme="majorBidi"/>
              </w:rPr>
            </w:pPr>
            <w:r w:rsidRPr="004F735C">
              <w:rPr>
                <w:rFonts w:asciiTheme="majorBidi" w:hAnsiTheme="majorBidi" w:cstheme="majorBidi"/>
              </w:rPr>
              <w:t>-0.188*</w:t>
            </w:r>
          </w:p>
        </w:tc>
        <w:tc>
          <w:tcPr>
            <w:tcW w:w="0" w:type="auto"/>
            <w:tcBorders>
              <w:top w:val="nil"/>
              <w:bottom w:val="nil"/>
            </w:tcBorders>
            <w:tcMar>
              <w:top w:w="0" w:type="dxa"/>
              <w:left w:w="115" w:type="dxa"/>
              <w:bottom w:w="0" w:type="dxa"/>
              <w:right w:w="115" w:type="dxa"/>
            </w:tcMar>
            <w:hideMark/>
          </w:tcPr>
          <w:p w14:paraId="10B7953E" w14:textId="77777777" w:rsidR="00C033B5" w:rsidRPr="004F735C" w:rsidRDefault="00C033B5" w:rsidP="00C033B5">
            <w:pPr>
              <w:rPr>
                <w:rFonts w:asciiTheme="majorBidi" w:hAnsiTheme="majorBidi" w:cstheme="majorBidi"/>
              </w:rPr>
            </w:pPr>
            <w:r w:rsidRPr="004F735C">
              <w:rPr>
                <w:rFonts w:asciiTheme="majorBidi" w:hAnsiTheme="majorBidi" w:cstheme="majorBidi"/>
              </w:rPr>
              <w:t>-0.005*</w:t>
            </w:r>
          </w:p>
        </w:tc>
        <w:tc>
          <w:tcPr>
            <w:tcW w:w="0" w:type="auto"/>
            <w:tcBorders>
              <w:top w:val="nil"/>
              <w:bottom w:val="nil"/>
            </w:tcBorders>
            <w:tcMar>
              <w:top w:w="0" w:type="dxa"/>
              <w:left w:w="115" w:type="dxa"/>
              <w:bottom w:w="0" w:type="dxa"/>
              <w:right w:w="115" w:type="dxa"/>
            </w:tcMar>
            <w:hideMark/>
          </w:tcPr>
          <w:p w14:paraId="6DE5303B" w14:textId="77777777" w:rsidR="00C033B5" w:rsidRPr="004F735C" w:rsidRDefault="00C033B5" w:rsidP="00C033B5">
            <w:pPr>
              <w:rPr>
                <w:rFonts w:asciiTheme="majorBidi" w:hAnsiTheme="majorBidi" w:cstheme="majorBidi"/>
              </w:rPr>
            </w:pPr>
            <w:r w:rsidRPr="004F735C">
              <w:rPr>
                <w:rFonts w:asciiTheme="majorBidi" w:hAnsiTheme="majorBidi" w:cstheme="majorBidi"/>
              </w:rPr>
              <w:t>0.289*</w:t>
            </w:r>
          </w:p>
        </w:tc>
        <w:tc>
          <w:tcPr>
            <w:tcW w:w="0" w:type="auto"/>
            <w:tcBorders>
              <w:top w:val="nil"/>
              <w:bottom w:val="nil"/>
            </w:tcBorders>
            <w:tcMar>
              <w:top w:w="0" w:type="dxa"/>
              <w:left w:w="115" w:type="dxa"/>
              <w:bottom w:w="0" w:type="dxa"/>
              <w:right w:w="115" w:type="dxa"/>
            </w:tcMar>
            <w:hideMark/>
          </w:tcPr>
          <w:p w14:paraId="0C7836EE" w14:textId="77777777" w:rsidR="00C033B5" w:rsidRPr="004F735C" w:rsidRDefault="00C033B5" w:rsidP="00C033B5">
            <w:pPr>
              <w:rPr>
                <w:rFonts w:asciiTheme="majorBidi" w:hAnsiTheme="majorBidi" w:cstheme="majorBidi"/>
              </w:rPr>
            </w:pPr>
            <w:r w:rsidRPr="004F735C">
              <w:rPr>
                <w:rFonts w:asciiTheme="majorBidi" w:hAnsiTheme="majorBidi" w:cstheme="majorBidi"/>
              </w:rPr>
              <w:t>0.173*</w:t>
            </w:r>
          </w:p>
        </w:tc>
        <w:tc>
          <w:tcPr>
            <w:tcW w:w="0" w:type="auto"/>
            <w:tcBorders>
              <w:top w:val="nil"/>
              <w:bottom w:val="nil"/>
            </w:tcBorders>
            <w:tcMar>
              <w:top w:w="0" w:type="dxa"/>
              <w:left w:w="115" w:type="dxa"/>
              <w:bottom w:w="0" w:type="dxa"/>
              <w:right w:w="115" w:type="dxa"/>
            </w:tcMar>
            <w:hideMark/>
          </w:tcPr>
          <w:p w14:paraId="7AE006B9"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7F6EE53C"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5C5D1CB7"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7B23844D"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1C97666D" w14:textId="77777777" w:rsidR="00C033B5" w:rsidRPr="004F735C" w:rsidRDefault="00C033B5" w:rsidP="00C033B5">
            <w:pPr>
              <w:rPr>
                <w:rFonts w:asciiTheme="majorBidi" w:hAnsiTheme="majorBidi" w:cstheme="majorBidi"/>
              </w:rPr>
            </w:pPr>
          </w:p>
        </w:tc>
      </w:tr>
      <w:tr w:rsidR="00C033B5" w:rsidRPr="004F735C" w14:paraId="7747A123" w14:textId="77777777" w:rsidTr="004F735C">
        <w:trPr>
          <w:trHeight w:val="20"/>
        </w:trPr>
        <w:tc>
          <w:tcPr>
            <w:tcW w:w="0" w:type="auto"/>
            <w:tcBorders>
              <w:top w:val="nil"/>
              <w:bottom w:val="nil"/>
            </w:tcBorders>
            <w:tcMar>
              <w:top w:w="0" w:type="dxa"/>
              <w:left w:w="115" w:type="dxa"/>
              <w:bottom w:w="0" w:type="dxa"/>
              <w:right w:w="115" w:type="dxa"/>
            </w:tcMar>
            <w:hideMark/>
          </w:tcPr>
          <w:p w14:paraId="1855779C" w14:textId="77777777" w:rsidR="00C033B5" w:rsidRPr="004F735C" w:rsidRDefault="00C033B5" w:rsidP="00C033B5">
            <w:pPr>
              <w:rPr>
                <w:rFonts w:asciiTheme="majorBidi" w:hAnsiTheme="majorBidi" w:cstheme="majorBidi"/>
              </w:rPr>
            </w:pPr>
            <w:r w:rsidRPr="004F735C">
              <w:rPr>
                <w:rFonts w:asciiTheme="majorBidi" w:hAnsiTheme="majorBidi" w:cstheme="majorBidi"/>
              </w:rPr>
              <w:lastRenderedPageBreak/>
              <w:t>Age</w:t>
            </w:r>
          </w:p>
        </w:tc>
        <w:tc>
          <w:tcPr>
            <w:tcW w:w="0" w:type="auto"/>
            <w:tcBorders>
              <w:top w:val="nil"/>
              <w:bottom w:val="nil"/>
            </w:tcBorders>
            <w:tcMar>
              <w:top w:w="0" w:type="dxa"/>
              <w:left w:w="115" w:type="dxa"/>
              <w:bottom w:w="0" w:type="dxa"/>
              <w:right w:w="115" w:type="dxa"/>
            </w:tcMar>
            <w:hideMark/>
          </w:tcPr>
          <w:p w14:paraId="21DA5E23" w14:textId="77777777" w:rsidR="00C033B5" w:rsidRPr="004F735C" w:rsidRDefault="00C033B5" w:rsidP="00C033B5">
            <w:pPr>
              <w:rPr>
                <w:rFonts w:asciiTheme="majorBidi" w:hAnsiTheme="majorBidi" w:cstheme="majorBidi"/>
              </w:rPr>
            </w:pPr>
            <w:r w:rsidRPr="004F735C">
              <w:rPr>
                <w:rFonts w:asciiTheme="majorBidi" w:hAnsiTheme="majorBidi" w:cstheme="majorBidi"/>
              </w:rPr>
              <w:t>-0.357*</w:t>
            </w:r>
          </w:p>
        </w:tc>
        <w:tc>
          <w:tcPr>
            <w:tcW w:w="0" w:type="auto"/>
            <w:tcBorders>
              <w:top w:val="nil"/>
              <w:bottom w:val="nil"/>
            </w:tcBorders>
            <w:tcMar>
              <w:top w:w="0" w:type="dxa"/>
              <w:left w:w="115" w:type="dxa"/>
              <w:bottom w:w="0" w:type="dxa"/>
              <w:right w:w="115" w:type="dxa"/>
            </w:tcMar>
            <w:hideMark/>
          </w:tcPr>
          <w:p w14:paraId="515A1C9C" w14:textId="77777777" w:rsidR="00C033B5" w:rsidRPr="004F735C" w:rsidRDefault="00C033B5" w:rsidP="00C033B5">
            <w:pPr>
              <w:rPr>
                <w:rFonts w:asciiTheme="majorBidi" w:hAnsiTheme="majorBidi" w:cstheme="majorBidi"/>
              </w:rPr>
            </w:pPr>
            <w:r w:rsidRPr="004F735C">
              <w:rPr>
                <w:rFonts w:asciiTheme="majorBidi" w:hAnsiTheme="majorBidi" w:cstheme="majorBidi"/>
              </w:rPr>
              <w:t>0.011*</w:t>
            </w:r>
          </w:p>
        </w:tc>
        <w:tc>
          <w:tcPr>
            <w:tcW w:w="0" w:type="auto"/>
            <w:tcBorders>
              <w:top w:val="nil"/>
              <w:bottom w:val="nil"/>
            </w:tcBorders>
            <w:tcMar>
              <w:top w:w="0" w:type="dxa"/>
              <w:left w:w="115" w:type="dxa"/>
              <w:bottom w:w="0" w:type="dxa"/>
              <w:right w:w="115" w:type="dxa"/>
            </w:tcMar>
            <w:hideMark/>
          </w:tcPr>
          <w:p w14:paraId="090879D9" w14:textId="77777777" w:rsidR="00C033B5" w:rsidRPr="004F735C" w:rsidRDefault="00C033B5" w:rsidP="00C033B5">
            <w:pPr>
              <w:rPr>
                <w:rFonts w:asciiTheme="majorBidi" w:hAnsiTheme="majorBidi" w:cstheme="majorBidi"/>
              </w:rPr>
            </w:pPr>
            <w:r w:rsidRPr="004F735C">
              <w:rPr>
                <w:rFonts w:asciiTheme="majorBidi" w:hAnsiTheme="majorBidi" w:cstheme="majorBidi"/>
              </w:rPr>
              <w:t>0.286*</w:t>
            </w:r>
          </w:p>
        </w:tc>
        <w:tc>
          <w:tcPr>
            <w:tcW w:w="0" w:type="auto"/>
            <w:tcBorders>
              <w:top w:val="nil"/>
              <w:bottom w:val="nil"/>
            </w:tcBorders>
            <w:tcMar>
              <w:top w:w="0" w:type="dxa"/>
              <w:left w:w="115" w:type="dxa"/>
              <w:bottom w:w="0" w:type="dxa"/>
              <w:right w:w="115" w:type="dxa"/>
            </w:tcMar>
            <w:hideMark/>
          </w:tcPr>
          <w:p w14:paraId="25371FE6" w14:textId="77777777" w:rsidR="00C033B5" w:rsidRPr="004F735C" w:rsidRDefault="00C033B5" w:rsidP="00C033B5">
            <w:pPr>
              <w:rPr>
                <w:rFonts w:asciiTheme="majorBidi" w:hAnsiTheme="majorBidi" w:cstheme="majorBidi"/>
              </w:rPr>
            </w:pPr>
            <w:r w:rsidRPr="004F735C">
              <w:rPr>
                <w:rFonts w:asciiTheme="majorBidi" w:hAnsiTheme="majorBidi" w:cstheme="majorBidi"/>
              </w:rPr>
              <w:t>-0.517*</w:t>
            </w:r>
          </w:p>
        </w:tc>
        <w:tc>
          <w:tcPr>
            <w:tcW w:w="0" w:type="auto"/>
            <w:tcBorders>
              <w:top w:val="nil"/>
              <w:bottom w:val="nil"/>
            </w:tcBorders>
            <w:tcMar>
              <w:top w:w="0" w:type="dxa"/>
              <w:left w:w="115" w:type="dxa"/>
              <w:bottom w:w="0" w:type="dxa"/>
              <w:right w:w="115" w:type="dxa"/>
            </w:tcMar>
            <w:hideMark/>
          </w:tcPr>
          <w:p w14:paraId="4ECF7885" w14:textId="77777777" w:rsidR="00C033B5" w:rsidRPr="004F735C" w:rsidRDefault="00C033B5" w:rsidP="00C033B5">
            <w:pPr>
              <w:rPr>
                <w:rFonts w:asciiTheme="majorBidi" w:hAnsiTheme="majorBidi" w:cstheme="majorBidi"/>
              </w:rPr>
            </w:pPr>
            <w:r w:rsidRPr="004F735C">
              <w:rPr>
                <w:rFonts w:asciiTheme="majorBidi" w:hAnsiTheme="majorBidi" w:cstheme="majorBidi"/>
              </w:rPr>
              <w:t>0.603*</w:t>
            </w:r>
          </w:p>
        </w:tc>
        <w:tc>
          <w:tcPr>
            <w:tcW w:w="0" w:type="auto"/>
            <w:tcBorders>
              <w:top w:val="nil"/>
              <w:bottom w:val="nil"/>
            </w:tcBorders>
            <w:tcMar>
              <w:top w:w="0" w:type="dxa"/>
              <w:left w:w="115" w:type="dxa"/>
              <w:bottom w:w="0" w:type="dxa"/>
              <w:right w:w="115" w:type="dxa"/>
            </w:tcMar>
            <w:hideMark/>
          </w:tcPr>
          <w:p w14:paraId="084F687A" w14:textId="77777777" w:rsidR="00C033B5" w:rsidRPr="004F735C" w:rsidRDefault="00C033B5" w:rsidP="00C033B5">
            <w:pPr>
              <w:rPr>
                <w:rFonts w:asciiTheme="majorBidi" w:hAnsiTheme="majorBidi" w:cstheme="majorBidi"/>
              </w:rPr>
            </w:pPr>
            <w:r w:rsidRPr="004F735C">
              <w:rPr>
                <w:rFonts w:asciiTheme="majorBidi" w:hAnsiTheme="majorBidi" w:cstheme="majorBidi"/>
              </w:rPr>
              <w:t>-0.017*</w:t>
            </w:r>
          </w:p>
        </w:tc>
        <w:tc>
          <w:tcPr>
            <w:tcW w:w="0" w:type="auto"/>
            <w:tcBorders>
              <w:top w:val="nil"/>
              <w:bottom w:val="nil"/>
            </w:tcBorders>
            <w:tcMar>
              <w:top w:w="0" w:type="dxa"/>
              <w:left w:w="115" w:type="dxa"/>
              <w:bottom w:w="0" w:type="dxa"/>
              <w:right w:w="115" w:type="dxa"/>
            </w:tcMar>
            <w:hideMark/>
          </w:tcPr>
          <w:p w14:paraId="6967C1D9" w14:textId="77777777" w:rsidR="00C033B5" w:rsidRPr="004F735C" w:rsidRDefault="00C033B5" w:rsidP="00C033B5">
            <w:pPr>
              <w:rPr>
                <w:rFonts w:asciiTheme="majorBidi" w:hAnsiTheme="majorBidi" w:cstheme="majorBidi"/>
              </w:rPr>
            </w:pPr>
            <w:r w:rsidRPr="004F735C">
              <w:rPr>
                <w:rFonts w:asciiTheme="majorBidi" w:hAnsiTheme="majorBidi" w:cstheme="majorBidi"/>
              </w:rPr>
              <w:t>0.254*</w:t>
            </w:r>
          </w:p>
        </w:tc>
        <w:tc>
          <w:tcPr>
            <w:tcW w:w="0" w:type="auto"/>
            <w:tcBorders>
              <w:top w:val="nil"/>
              <w:bottom w:val="nil"/>
            </w:tcBorders>
            <w:tcMar>
              <w:top w:w="0" w:type="dxa"/>
              <w:left w:w="115" w:type="dxa"/>
              <w:bottom w:w="0" w:type="dxa"/>
              <w:right w:w="115" w:type="dxa"/>
            </w:tcMar>
            <w:hideMark/>
          </w:tcPr>
          <w:p w14:paraId="4C847E25" w14:textId="77777777" w:rsidR="00C033B5" w:rsidRPr="004F735C" w:rsidRDefault="00C033B5" w:rsidP="00C033B5">
            <w:pPr>
              <w:rPr>
                <w:rFonts w:asciiTheme="majorBidi" w:hAnsiTheme="majorBidi" w:cstheme="majorBidi"/>
              </w:rPr>
            </w:pPr>
            <w:r w:rsidRPr="004F735C">
              <w:rPr>
                <w:rFonts w:asciiTheme="majorBidi" w:hAnsiTheme="majorBidi" w:cstheme="majorBidi"/>
              </w:rPr>
              <w:t>0.293*</w:t>
            </w:r>
          </w:p>
        </w:tc>
        <w:tc>
          <w:tcPr>
            <w:tcW w:w="0" w:type="auto"/>
            <w:tcBorders>
              <w:top w:val="nil"/>
              <w:bottom w:val="nil"/>
            </w:tcBorders>
            <w:tcMar>
              <w:top w:w="0" w:type="dxa"/>
              <w:left w:w="115" w:type="dxa"/>
              <w:bottom w:w="0" w:type="dxa"/>
              <w:right w:w="115" w:type="dxa"/>
            </w:tcMar>
            <w:hideMark/>
          </w:tcPr>
          <w:p w14:paraId="11E822E4" w14:textId="77777777" w:rsidR="00C033B5" w:rsidRPr="004F735C" w:rsidRDefault="00C033B5" w:rsidP="00C033B5">
            <w:pPr>
              <w:rPr>
                <w:rFonts w:asciiTheme="majorBidi" w:hAnsiTheme="majorBidi" w:cstheme="majorBidi"/>
              </w:rPr>
            </w:pPr>
            <w:r w:rsidRPr="004F735C">
              <w:rPr>
                <w:rFonts w:asciiTheme="majorBidi" w:hAnsiTheme="majorBidi" w:cstheme="majorBidi"/>
              </w:rPr>
              <w:t>-0.376*</w:t>
            </w:r>
          </w:p>
        </w:tc>
        <w:tc>
          <w:tcPr>
            <w:tcW w:w="0" w:type="auto"/>
            <w:tcBorders>
              <w:top w:val="nil"/>
              <w:bottom w:val="nil"/>
            </w:tcBorders>
            <w:tcMar>
              <w:top w:w="0" w:type="dxa"/>
              <w:left w:w="115" w:type="dxa"/>
              <w:bottom w:w="0" w:type="dxa"/>
              <w:right w:w="115" w:type="dxa"/>
            </w:tcMar>
            <w:hideMark/>
          </w:tcPr>
          <w:p w14:paraId="118F4951"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40FC5CA7"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2C7B3D4C"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0EEB6328" w14:textId="77777777" w:rsidR="00C033B5" w:rsidRPr="004F735C" w:rsidRDefault="00C033B5" w:rsidP="00C033B5">
            <w:pPr>
              <w:rPr>
                <w:rFonts w:asciiTheme="majorBidi" w:hAnsiTheme="majorBidi" w:cstheme="majorBidi"/>
              </w:rPr>
            </w:pPr>
          </w:p>
        </w:tc>
      </w:tr>
      <w:tr w:rsidR="00C033B5" w:rsidRPr="004F735C" w14:paraId="48E6D8AF" w14:textId="77777777" w:rsidTr="004F735C">
        <w:trPr>
          <w:trHeight w:val="20"/>
        </w:trPr>
        <w:tc>
          <w:tcPr>
            <w:tcW w:w="0" w:type="auto"/>
            <w:tcBorders>
              <w:top w:val="nil"/>
              <w:bottom w:val="nil"/>
            </w:tcBorders>
            <w:tcMar>
              <w:top w:w="0" w:type="dxa"/>
              <w:left w:w="115" w:type="dxa"/>
              <w:bottom w:w="0" w:type="dxa"/>
              <w:right w:w="115" w:type="dxa"/>
            </w:tcMar>
            <w:hideMark/>
          </w:tcPr>
          <w:p w14:paraId="11FDB0FB"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Loanport</w:t>
            </w:r>
            <w:proofErr w:type="spellEnd"/>
          </w:p>
        </w:tc>
        <w:tc>
          <w:tcPr>
            <w:tcW w:w="0" w:type="auto"/>
            <w:tcBorders>
              <w:top w:val="nil"/>
              <w:bottom w:val="nil"/>
            </w:tcBorders>
            <w:tcMar>
              <w:top w:w="0" w:type="dxa"/>
              <w:left w:w="115" w:type="dxa"/>
              <w:bottom w:w="0" w:type="dxa"/>
              <w:right w:w="115" w:type="dxa"/>
            </w:tcMar>
            <w:hideMark/>
          </w:tcPr>
          <w:p w14:paraId="4C7B4B00" w14:textId="77777777" w:rsidR="00C033B5" w:rsidRPr="004F735C" w:rsidRDefault="00C033B5" w:rsidP="00C033B5">
            <w:pPr>
              <w:rPr>
                <w:rFonts w:asciiTheme="majorBidi" w:hAnsiTheme="majorBidi" w:cstheme="majorBidi"/>
              </w:rPr>
            </w:pPr>
            <w:r w:rsidRPr="004F735C">
              <w:rPr>
                <w:rFonts w:asciiTheme="majorBidi" w:hAnsiTheme="majorBidi" w:cstheme="majorBidi"/>
              </w:rPr>
              <w:t>-0.093*</w:t>
            </w:r>
          </w:p>
        </w:tc>
        <w:tc>
          <w:tcPr>
            <w:tcW w:w="0" w:type="auto"/>
            <w:tcBorders>
              <w:top w:val="nil"/>
              <w:bottom w:val="nil"/>
            </w:tcBorders>
            <w:tcMar>
              <w:top w:w="0" w:type="dxa"/>
              <w:left w:w="115" w:type="dxa"/>
              <w:bottom w:w="0" w:type="dxa"/>
              <w:right w:w="115" w:type="dxa"/>
            </w:tcMar>
            <w:hideMark/>
          </w:tcPr>
          <w:p w14:paraId="30F91338" w14:textId="77777777" w:rsidR="00C033B5" w:rsidRPr="004F735C" w:rsidRDefault="00C033B5" w:rsidP="00C033B5">
            <w:pPr>
              <w:rPr>
                <w:rFonts w:asciiTheme="majorBidi" w:hAnsiTheme="majorBidi" w:cstheme="majorBidi"/>
              </w:rPr>
            </w:pPr>
            <w:r w:rsidRPr="004F735C">
              <w:rPr>
                <w:rFonts w:asciiTheme="majorBidi" w:hAnsiTheme="majorBidi" w:cstheme="majorBidi"/>
              </w:rPr>
              <w:t>0.068*</w:t>
            </w:r>
          </w:p>
        </w:tc>
        <w:tc>
          <w:tcPr>
            <w:tcW w:w="0" w:type="auto"/>
            <w:tcBorders>
              <w:top w:val="nil"/>
              <w:bottom w:val="nil"/>
            </w:tcBorders>
            <w:tcMar>
              <w:top w:w="0" w:type="dxa"/>
              <w:left w:w="115" w:type="dxa"/>
              <w:bottom w:w="0" w:type="dxa"/>
              <w:right w:w="115" w:type="dxa"/>
            </w:tcMar>
            <w:hideMark/>
          </w:tcPr>
          <w:p w14:paraId="5E632B7A" w14:textId="77777777" w:rsidR="00C033B5" w:rsidRPr="004F735C" w:rsidRDefault="00C033B5" w:rsidP="00C033B5">
            <w:pPr>
              <w:rPr>
                <w:rFonts w:asciiTheme="majorBidi" w:hAnsiTheme="majorBidi" w:cstheme="majorBidi"/>
              </w:rPr>
            </w:pPr>
            <w:r w:rsidRPr="004F735C">
              <w:rPr>
                <w:rFonts w:asciiTheme="majorBidi" w:hAnsiTheme="majorBidi" w:cstheme="majorBidi"/>
              </w:rPr>
              <w:t>0.249*</w:t>
            </w:r>
          </w:p>
        </w:tc>
        <w:tc>
          <w:tcPr>
            <w:tcW w:w="0" w:type="auto"/>
            <w:tcBorders>
              <w:top w:val="nil"/>
              <w:bottom w:val="nil"/>
            </w:tcBorders>
            <w:tcMar>
              <w:top w:w="0" w:type="dxa"/>
              <w:left w:w="115" w:type="dxa"/>
              <w:bottom w:w="0" w:type="dxa"/>
              <w:right w:w="115" w:type="dxa"/>
            </w:tcMar>
            <w:hideMark/>
          </w:tcPr>
          <w:p w14:paraId="1D87C2E3" w14:textId="77777777" w:rsidR="00C033B5" w:rsidRPr="004F735C" w:rsidRDefault="00C033B5" w:rsidP="00C033B5">
            <w:pPr>
              <w:rPr>
                <w:rFonts w:asciiTheme="majorBidi" w:hAnsiTheme="majorBidi" w:cstheme="majorBidi"/>
              </w:rPr>
            </w:pPr>
            <w:r w:rsidRPr="004F735C">
              <w:rPr>
                <w:rFonts w:asciiTheme="majorBidi" w:hAnsiTheme="majorBidi" w:cstheme="majorBidi"/>
              </w:rPr>
              <w:t>-0.316*</w:t>
            </w:r>
          </w:p>
        </w:tc>
        <w:tc>
          <w:tcPr>
            <w:tcW w:w="0" w:type="auto"/>
            <w:tcBorders>
              <w:top w:val="nil"/>
              <w:bottom w:val="nil"/>
            </w:tcBorders>
            <w:tcMar>
              <w:top w:w="0" w:type="dxa"/>
              <w:left w:w="115" w:type="dxa"/>
              <w:bottom w:w="0" w:type="dxa"/>
              <w:right w:w="115" w:type="dxa"/>
            </w:tcMar>
            <w:hideMark/>
          </w:tcPr>
          <w:p w14:paraId="7C4C3097" w14:textId="77777777" w:rsidR="00C033B5" w:rsidRPr="004F735C" w:rsidRDefault="00C033B5" w:rsidP="00C033B5">
            <w:pPr>
              <w:rPr>
                <w:rFonts w:asciiTheme="majorBidi" w:hAnsiTheme="majorBidi" w:cstheme="majorBidi"/>
              </w:rPr>
            </w:pPr>
            <w:r w:rsidRPr="004F735C">
              <w:rPr>
                <w:rFonts w:asciiTheme="majorBidi" w:hAnsiTheme="majorBidi" w:cstheme="majorBidi"/>
              </w:rPr>
              <w:t>0.431*</w:t>
            </w:r>
          </w:p>
        </w:tc>
        <w:tc>
          <w:tcPr>
            <w:tcW w:w="0" w:type="auto"/>
            <w:tcBorders>
              <w:top w:val="nil"/>
              <w:bottom w:val="nil"/>
            </w:tcBorders>
            <w:tcMar>
              <w:top w:w="0" w:type="dxa"/>
              <w:left w:w="115" w:type="dxa"/>
              <w:bottom w:w="0" w:type="dxa"/>
              <w:right w:w="115" w:type="dxa"/>
            </w:tcMar>
            <w:hideMark/>
          </w:tcPr>
          <w:p w14:paraId="11F0FE8E" w14:textId="77777777" w:rsidR="00C033B5" w:rsidRPr="004F735C" w:rsidRDefault="00C033B5" w:rsidP="00C033B5">
            <w:pPr>
              <w:rPr>
                <w:rFonts w:asciiTheme="majorBidi" w:hAnsiTheme="majorBidi" w:cstheme="majorBidi"/>
              </w:rPr>
            </w:pPr>
            <w:r w:rsidRPr="004F735C">
              <w:rPr>
                <w:rFonts w:asciiTheme="majorBidi" w:hAnsiTheme="majorBidi" w:cstheme="majorBidi"/>
              </w:rPr>
              <w:t>0.186*</w:t>
            </w:r>
          </w:p>
        </w:tc>
        <w:tc>
          <w:tcPr>
            <w:tcW w:w="0" w:type="auto"/>
            <w:tcBorders>
              <w:top w:val="nil"/>
              <w:bottom w:val="nil"/>
            </w:tcBorders>
            <w:tcMar>
              <w:top w:w="0" w:type="dxa"/>
              <w:left w:w="115" w:type="dxa"/>
              <w:bottom w:w="0" w:type="dxa"/>
              <w:right w:w="115" w:type="dxa"/>
            </w:tcMar>
            <w:hideMark/>
          </w:tcPr>
          <w:p w14:paraId="65623E10" w14:textId="77777777" w:rsidR="00C033B5" w:rsidRPr="004F735C" w:rsidRDefault="00C033B5" w:rsidP="00C033B5">
            <w:pPr>
              <w:rPr>
                <w:rFonts w:asciiTheme="majorBidi" w:hAnsiTheme="majorBidi" w:cstheme="majorBidi"/>
              </w:rPr>
            </w:pPr>
            <w:r w:rsidRPr="004F735C">
              <w:rPr>
                <w:rFonts w:asciiTheme="majorBidi" w:hAnsiTheme="majorBidi" w:cstheme="majorBidi"/>
              </w:rPr>
              <w:t>0.115*</w:t>
            </w:r>
          </w:p>
        </w:tc>
        <w:tc>
          <w:tcPr>
            <w:tcW w:w="0" w:type="auto"/>
            <w:tcBorders>
              <w:top w:val="nil"/>
              <w:bottom w:val="nil"/>
            </w:tcBorders>
            <w:tcMar>
              <w:top w:w="0" w:type="dxa"/>
              <w:left w:w="115" w:type="dxa"/>
              <w:bottom w:w="0" w:type="dxa"/>
              <w:right w:w="115" w:type="dxa"/>
            </w:tcMar>
            <w:hideMark/>
          </w:tcPr>
          <w:p w14:paraId="04F3D9A9" w14:textId="77777777" w:rsidR="00C033B5" w:rsidRPr="004F735C" w:rsidRDefault="00C033B5" w:rsidP="00C033B5">
            <w:pPr>
              <w:rPr>
                <w:rFonts w:asciiTheme="majorBidi" w:hAnsiTheme="majorBidi" w:cstheme="majorBidi"/>
              </w:rPr>
            </w:pPr>
            <w:r w:rsidRPr="004F735C">
              <w:rPr>
                <w:rFonts w:asciiTheme="majorBidi" w:hAnsiTheme="majorBidi" w:cstheme="majorBidi"/>
              </w:rPr>
              <w:t>0.264*</w:t>
            </w:r>
          </w:p>
        </w:tc>
        <w:tc>
          <w:tcPr>
            <w:tcW w:w="0" w:type="auto"/>
            <w:tcBorders>
              <w:top w:val="nil"/>
              <w:bottom w:val="nil"/>
            </w:tcBorders>
            <w:tcMar>
              <w:top w:w="0" w:type="dxa"/>
              <w:left w:w="115" w:type="dxa"/>
              <w:bottom w:w="0" w:type="dxa"/>
              <w:right w:w="115" w:type="dxa"/>
            </w:tcMar>
            <w:hideMark/>
          </w:tcPr>
          <w:p w14:paraId="19F1E6D0" w14:textId="77777777" w:rsidR="00C033B5" w:rsidRPr="004F735C" w:rsidRDefault="00C033B5" w:rsidP="00C033B5">
            <w:pPr>
              <w:rPr>
                <w:rFonts w:asciiTheme="majorBidi" w:hAnsiTheme="majorBidi" w:cstheme="majorBidi"/>
              </w:rPr>
            </w:pPr>
            <w:r w:rsidRPr="004F735C">
              <w:rPr>
                <w:rFonts w:asciiTheme="majorBidi" w:hAnsiTheme="majorBidi" w:cstheme="majorBidi"/>
              </w:rPr>
              <w:t>0.020*</w:t>
            </w:r>
          </w:p>
        </w:tc>
        <w:tc>
          <w:tcPr>
            <w:tcW w:w="0" w:type="auto"/>
            <w:tcBorders>
              <w:top w:val="nil"/>
              <w:bottom w:val="nil"/>
            </w:tcBorders>
            <w:tcMar>
              <w:top w:w="0" w:type="dxa"/>
              <w:left w:w="115" w:type="dxa"/>
              <w:bottom w:w="0" w:type="dxa"/>
              <w:right w:w="115" w:type="dxa"/>
            </w:tcMar>
            <w:hideMark/>
          </w:tcPr>
          <w:p w14:paraId="703078CD" w14:textId="77777777" w:rsidR="00C033B5" w:rsidRPr="004F735C" w:rsidRDefault="00C033B5" w:rsidP="00C033B5">
            <w:pPr>
              <w:rPr>
                <w:rFonts w:asciiTheme="majorBidi" w:hAnsiTheme="majorBidi" w:cstheme="majorBidi"/>
              </w:rPr>
            </w:pPr>
            <w:r w:rsidRPr="004F735C">
              <w:rPr>
                <w:rFonts w:asciiTheme="majorBidi" w:hAnsiTheme="majorBidi" w:cstheme="majorBidi"/>
              </w:rPr>
              <w:t>0.484*</w:t>
            </w:r>
          </w:p>
        </w:tc>
        <w:tc>
          <w:tcPr>
            <w:tcW w:w="0" w:type="auto"/>
            <w:tcBorders>
              <w:top w:val="nil"/>
              <w:bottom w:val="nil"/>
            </w:tcBorders>
            <w:tcMar>
              <w:top w:w="0" w:type="dxa"/>
              <w:left w:w="115" w:type="dxa"/>
              <w:bottom w:w="0" w:type="dxa"/>
              <w:right w:w="115" w:type="dxa"/>
            </w:tcMar>
            <w:hideMark/>
          </w:tcPr>
          <w:p w14:paraId="0E973601"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59FF7CA2"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395D3C80" w14:textId="77777777" w:rsidR="00C033B5" w:rsidRPr="004F735C" w:rsidRDefault="00C033B5" w:rsidP="00C033B5">
            <w:pPr>
              <w:rPr>
                <w:rFonts w:asciiTheme="majorBidi" w:hAnsiTheme="majorBidi" w:cstheme="majorBidi"/>
              </w:rPr>
            </w:pPr>
          </w:p>
        </w:tc>
      </w:tr>
      <w:tr w:rsidR="00C033B5" w:rsidRPr="004F735C" w14:paraId="09995A2A" w14:textId="77777777" w:rsidTr="004F735C">
        <w:trPr>
          <w:trHeight w:val="20"/>
        </w:trPr>
        <w:tc>
          <w:tcPr>
            <w:tcW w:w="0" w:type="auto"/>
            <w:tcBorders>
              <w:top w:val="nil"/>
              <w:bottom w:val="nil"/>
            </w:tcBorders>
            <w:tcMar>
              <w:top w:w="0" w:type="dxa"/>
              <w:left w:w="115" w:type="dxa"/>
              <w:bottom w:w="0" w:type="dxa"/>
              <w:right w:w="115" w:type="dxa"/>
            </w:tcMar>
            <w:hideMark/>
          </w:tcPr>
          <w:p w14:paraId="5B1397C6"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Unemplymt</w:t>
            </w:r>
            <w:proofErr w:type="spellEnd"/>
          </w:p>
        </w:tc>
        <w:tc>
          <w:tcPr>
            <w:tcW w:w="0" w:type="auto"/>
            <w:tcBorders>
              <w:top w:val="nil"/>
              <w:bottom w:val="nil"/>
            </w:tcBorders>
            <w:tcMar>
              <w:top w:w="0" w:type="dxa"/>
              <w:left w:w="115" w:type="dxa"/>
              <w:bottom w:w="0" w:type="dxa"/>
              <w:right w:w="115" w:type="dxa"/>
            </w:tcMar>
            <w:hideMark/>
          </w:tcPr>
          <w:p w14:paraId="19B27DD8" w14:textId="77777777" w:rsidR="00C033B5" w:rsidRPr="004F735C" w:rsidRDefault="00C033B5" w:rsidP="00C033B5">
            <w:pPr>
              <w:rPr>
                <w:rFonts w:asciiTheme="majorBidi" w:hAnsiTheme="majorBidi" w:cstheme="majorBidi"/>
              </w:rPr>
            </w:pPr>
            <w:r w:rsidRPr="004F735C">
              <w:rPr>
                <w:rFonts w:asciiTheme="majorBidi" w:hAnsiTheme="majorBidi" w:cstheme="majorBidi"/>
              </w:rPr>
              <w:t>0.187*</w:t>
            </w:r>
          </w:p>
        </w:tc>
        <w:tc>
          <w:tcPr>
            <w:tcW w:w="0" w:type="auto"/>
            <w:tcBorders>
              <w:top w:val="nil"/>
              <w:bottom w:val="nil"/>
            </w:tcBorders>
            <w:tcMar>
              <w:top w:w="0" w:type="dxa"/>
              <w:left w:w="115" w:type="dxa"/>
              <w:bottom w:w="0" w:type="dxa"/>
              <w:right w:w="115" w:type="dxa"/>
            </w:tcMar>
            <w:hideMark/>
          </w:tcPr>
          <w:p w14:paraId="6F92850F" w14:textId="77777777" w:rsidR="00C033B5" w:rsidRPr="004F735C" w:rsidRDefault="00C033B5" w:rsidP="00C033B5">
            <w:pPr>
              <w:rPr>
                <w:rFonts w:asciiTheme="majorBidi" w:hAnsiTheme="majorBidi" w:cstheme="majorBidi"/>
              </w:rPr>
            </w:pPr>
            <w:r w:rsidRPr="004F735C">
              <w:rPr>
                <w:rFonts w:asciiTheme="majorBidi" w:hAnsiTheme="majorBidi" w:cstheme="majorBidi"/>
              </w:rPr>
              <w:t>-0.012*</w:t>
            </w:r>
          </w:p>
        </w:tc>
        <w:tc>
          <w:tcPr>
            <w:tcW w:w="0" w:type="auto"/>
            <w:tcBorders>
              <w:top w:val="nil"/>
              <w:bottom w:val="nil"/>
            </w:tcBorders>
            <w:tcMar>
              <w:top w:w="0" w:type="dxa"/>
              <w:left w:w="115" w:type="dxa"/>
              <w:bottom w:w="0" w:type="dxa"/>
              <w:right w:w="115" w:type="dxa"/>
            </w:tcMar>
            <w:hideMark/>
          </w:tcPr>
          <w:p w14:paraId="63077620" w14:textId="77777777" w:rsidR="00C033B5" w:rsidRPr="004F735C" w:rsidRDefault="00C033B5" w:rsidP="00C033B5">
            <w:pPr>
              <w:rPr>
                <w:rFonts w:asciiTheme="majorBidi" w:hAnsiTheme="majorBidi" w:cstheme="majorBidi"/>
              </w:rPr>
            </w:pPr>
            <w:r w:rsidRPr="004F735C">
              <w:rPr>
                <w:rFonts w:asciiTheme="majorBidi" w:hAnsiTheme="majorBidi" w:cstheme="majorBidi"/>
              </w:rPr>
              <w:t>-0.126*</w:t>
            </w:r>
          </w:p>
        </w:tc>
        <w:tc>
          <w:tcPr>
            <w:tcW w:w="0" w:type="auto"/>
            <w:tcBorders>
              <w:top w:val="nil"/>
              <w:bottom w:val="nil"/>
            </w:tcBorders>
            <w:tcMar>
              <w:top w:w="0" w:type="dxa"/>
              <w:left w:w="115" w:type="dxa"/>
              <w:bottom w:w="0" w:type="dxa"/>
              <w:right w:w="115" w:type="dxa"/>
            </w:tcMar>
            <w:hideMark/>
          </w:tcPr>
          <w:p w14:paraId="304B9633" w14:textId="77777777" w:rsidR="00C033B5" w:rsidRPr="004F735C" w:rsidRDefault="00C033B5" w:rsidP="00C033B5">
            <w:pPr>
              <w:rPr>
                <w:rFonts w:asciiTheme="majorBidi" w:hAnsiTheme="majorBidi" w:cstheme="majorBidi"/>
              </w:rPr>
            </w:pPr>
            <w:r w:rsidRPr="004F735C">
              <w:rPr>
                <w:rFonts w:asciiTheme="majorBidi" w:hAnsiTheme="majorBidi" w:cstheme="majorBidi"/>
              </w:rPr>
              <w:t>-0.330*</w:t>
            </w:r>
          </w:p>
        </w:tc>
        <w:tc>
          <w:tcPr>
            <w:tcW w:w="0" w:type="auto"/>
            <w:tcBorders>
              <w:top w:val="nil"/>
              <w:bottom w:val="nil"/>
            </w:tcBorders>
            <w:tcMar>
              <w:top w:w="0" w:type="dxa"/>
              <w:left w:w="115" w:type="dxa"/>
              <w:bottom w:w="0" w:type="dxa"/>
              <w:right w:w="115" w:type="dxa"/>
            </w:tcMar>
            <w:hideMark/>
          </w:tcPr>
          <w:p w14:paraId="5ECDDD92" w14:textId="77777777" w:rsidR="00C033B5" w:rsidRPr="004F735C" w:rsidRDefault="00C033B5" w:rsidP="00C033B5">
            <w:pPr>
              <w:rPr>
                <w:rFonts w:asciiTheme="majorBidi" w:hAnsiTheme="majorBidi" w:cstheme="majorBidi"/>
              </w:rPr>
            </w:pPr>
            <w:r w:rsidRPr="004F735C">
              <w:rPr>
                <w:rFonts w:asciiTheme="majorBidi" w:hAnsiTheme="majorBidi" w:cstheme="majorBidi"/>
              </w:rPr>
              <w:t>-0.266*</w:t>
            </w:r>
          </w:p>
        </w:tc>
        <w:tc>
          <w:tcPr>
            <w:tcW w:w="0" w:type="auto"/>
            <w:tcBorders>
              <w:top w:val="nil"/>
              <w:bottom w:val="nil"/>
            </w:tcBorders>
            <w:tcMar>
              <w:top w:w="0" w:type="dxa"/>
              <w:left w:w="115" w:type="dxa"/>
              <w:bottom w:w="0" w:type="dxa"/>
              <w:right w:w="115" w:type="dxa"/>
            </w:tcMar>
            <w:hideMark/>
          </w:tcPr>
          <w:p w14:paraId="1ABA08FA" w14:textId="77777777" w:rsidR="00C033B5" w:rsidRPr="004F735C" w:rsidRDefault="00C033B5" w:rsidP="00C033B5">
            <w:pPr>
              <w:rPr>
                <w:rFonts w:asciiTheme="majorBidi" w:hAnsiTheme="majorBidi" w:cstheme="majorBidi"/>
              </w:rPr>
            </w:pPr>
            <w:r w:rsidRPr="004F735C">
              <w:rPr>
                <w:rFonts w:asciiTheme="majorBidi" w:hAnsiTheme="majorBidi" w:cstheme="majorBidi"/>
              </w:rPr>
              <w:t>-0.237*</w:t>
            </w:r>
          </w:p>
        </w:tc>
        <w:tc>
          <w:tcPr>
            <w:tcW w:w="0" w:type="auto"/>
            <w:tcBorders>
              <w:top w:val="nil"/>
              <w:bottom w:val="nil"/>
            </w:tcBorders>
            <w:tcMar>
              <w:top w:w="0" w:type="dxa"/>
              <w:left w:w="115" w:type="dxa"/>
              <w:bottom w:w="0" w:type="dxa"/>
              <w:right w:w="115" w:type="dxa"/>
            </w:tcMar>
            <w:hideMark/>
          </w:tcPr>
          <w:p w14:paraId="6DF7179D" w14:textId="77777777" w:rsidR="00C033B5" w:rsidRPr="004F735C" w:rsidRDefault="00C033B5" w:rsidP="00C033B5">
            <w:pPr>
              <w:rPr>
                <w:rFonts w:asciiTheme="majorBidi" w:hAnsiTheme="majorBidi" w:cstheme="majorBidi"/>
              </w:rPr>
            </w:pPr>
            <w:r w:rsidRPr="004F735C">
              <w:rPr>
                <w:rFonts w:asciiTheme="majorBidi" w:hAnsiTheme="majorBidi" w:cstheme="majorBidi"/>
              </w:rPr>
              <w:t>-0.555*</w:t>
            </w:r>
          </w:p>
        </w:tc>
        <w:tc>
          <w:tcPr>
            <w:tcW w:w="0" w:type="auto"/>
            <w:tcBorders>
              <w:top w:val="nil"/>
              <w:bottom w:val="nil"/>
            </w:tcBorders>
            <w:tcMar>
              <w:top w:w="0" w:type="dxa"/>
              <w:left w:w="115" w:type="dxa"/>
              <w:bottom w:w="0" w:type="dxa"/>
              <w:right w:w="115" w:type="dxa"/>
            </w:tcMar>
            <w:hideMark/>
          </w:tcPr>
          <w:p w14:paraId="3B51D61A" w14:textId="77777777" w:rsidR="00C033B5" w:rsidRPr="004F735C" w:rsidRDefault="00C033B5" w:rsidP="00C033B5">
            <w:pPr>
              <w:rPr>
                <w:rFonts w:asciiTheme="majorBidi" w:hAnsiTheme="majorBidi" w:cstheme="majorBidi"/>
              </w:rPr>
            </w:pPr>
            <w:r w:rsidRPr="004F735C">
              <w:rPr>
                <w:rFonts w:asciiTheme="majorBidi" w:hAnsiTheme="majorBidi" w:cstheme="majorBidi"/>
              </w:rPr>
              <w:t>-0.093*</w:t>
            </w:r>
          </w:p>
        </w:tc>
        <w:tc>
          <w:tcPr>
            <w:tcW w:w="0" w:type="auto"/>
            <w:tcBorders>
              <w:top w:val="nil"/>
              <w:bottom w:val="nil"/>
            </w:tcBorders>
            <w:tcMar>
              <w:top w:w="0" w:type="dxa"/>
              <w:left w:w="115" w:type="dxa"/>
              <w:bottom w:w="0" w:type="dxa"/>
              <w:right w:w="115" w:type="dxa"/>
            </w:tcMar>
            <w:hideMark/>
          </w:tcPr>
          <w:p w14:paraId="4D8F64DB" w14:textId="77777777" w:rsidR="00C033B5" w:rsidRPr="004F735C" w:rsidRDefault="00C033B5" w:rsidP="00C033B5">
            <w:pPr>
              <w:rPr>
                <w:rFonts w:asciiTheme="majorBidi" w:hAnsiTheme="majorBidi" w:cstheme="majorBidi"/>
              </w:rPr>
            </w:pPr>
            <w:r w:rsidRPr="004F735C">
              <w:rPr>
                <w:rFonts w:asciiTheme="majorBidi" w:hAnsiTheme="majorBidi" w:cstheme="majorBidi"/>
              </w:rPr>
              <w:t>0.121*</w:t>
            </w:r>
          </w:p>
        </w:tc>
        <w:tc>
          <w:tcPr>
            <w:tcW w:w="0" w:type="auto"/>
            <w:tcBorders>
              <w:top w:val="nil"/>
              <w:bottom w:val="nil"/>
            </w:tcBorders>
            <w:tcMar>
              <w:top w:w="0" w:type="dxa"/>
              <w:left w:w="115" w:type="dxa"/>
              <w:bottom w:w="0" w:type="dxa"/>
              <w:right w:w="115" w:type="dxa"/>
            </w:tcMar>
            <w:hideMark/>
          </w:tcPr>
          <w:p w14:paraId="111D155B" w14:textId="77777777" w:rsidR="00C033B5" w:rsidRPr="004F735C" w:rsidRDefault="00C033B5" w:rsidP="00C033B5">
            <w:pPr>
              <w:rPr>
                <w:rFonts w:asciiTheme="majorBidi" w:hAnsiTheme="majorBidi" w:cstheme="majorBidi"/>
              </w:rPr>
            </w:pPr>
            <w:r w:rsidRPr="004F735C">
              <w:rPr>
                <w:rFonts w:asciiTheme="majorBidi" w:hAnsiTheme="majorBidi" w:cstheme="majorBidi"/>
              </w:rPr>
              <w:t>-0.156*</w:t>
            </w:r>
          </w:p>
        </w:tc>
        <w:tc>
          <w:tcPr>
            <w:tcW w:w="0" w:type="auto"/>
            <w:tcBorders>
              <w:top w:val="nil"/>
              <w:bottom w:val="nil"/>
            </w:tcBorders>
            <w:tcMar>
              <w:top w:w="0" w:type="dxa"/>
              <w:left w:w="115" w:type="dxa"/>
              <w:bottom w:w="0" w:type="dxa"/>
              <w:right w:w="115" w:type="dxa"/>
            </w:tcMar>
            <w:hideMark/>
          </w:tcPr>
          <w:p w14:paraId="23C8F7D6" w14:textId="77777777" w:rsidR="00C033B5" w:rsidRPr="004F735C" w:rsidRDefault="00C033B5" w:rsidP="00C033B5">
            <w:pPr>
              <w:rPr>
                <w:rFonts w:asciiTheme="majorBidi" w:hAnsiTheme="majorBidi" w:cstheme="majorBidi"/>
              </w:rPr>
            </w:pPr>
            <w:r w:rsidRPr="004F735C">
              <w:rPr>
                <w:rFonts w:asciiTheme="majorBidi" w:hAnsiTheme="majorBidi" w:cstheme="majorBidi"/>
              </w:rPr>
              <w:t>-0.009*</w:t>
            </w:r>
          </w:p>
        </w:tc>
        <w:tc>
          <w:tcPr>
            <w:tcW w:w="0" w:type="auto"/>
            <w:tcBorders>
              <w:top w:val="nil"/>
              <w:bottom w:val="nil"/>
            </w:tcBorders>
            <w:tcMar>
              <w:top w:w="0" w:type="dxa"/>
              <w:left w:w="115" w:type="dxa"/>
              <w:bottom w:w="0" w:type="dxa"/>
              <w:right w:w="115" w:type="dxa"/>
            </w:tcMar>
            <w:hideMark/>
          </w:tcPr>
          <w:p w14:paraId="6FD893EC"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62AFB400" w14:textId="77777777" w:rsidR="00C033B5" w:rsidRPr="004F735C" w:rsidRDefault="00C033B5" w:rsidP="00C033B5">
            <w:pPr>
              <w:rPr>
                <w:rFonts w:asciiTheme="majorBidi" w:hAnsiTheme="majorBidi" w:cstheme="majorBidi"/>
              </w:rPr>
            </w:pPr>
          </w:p>
        </w:tc>
      </w:tr>
      <w:tr w:rsidR="00C033B5" w:rsidRPr="004F735C" w14:paraId="2E502CB9" w14:textId="77777777" w:rsidTr="004F735C">
        <w:trPr>
          <w:trHeight w:val="20"/>
        </w:trPr>
        <w:tc>
          <w:tcPr>
            <w:tcW w:w="0" w:type="auto"/>
            <w:tcBorders>
              <w:top w:val="nil"/>
              <w:bottom w:val="single" w:sz="4" w:space="0" w:color="auto"/>
            </w:tcBorders>
            <w:tcMar>
              <w:top w:w="0" w:type="dxa"/>
              <w:left w:w="115" w:type="dxa"/>
              <w:bottom w:w="0" w:type="dxa"/>
              <w:right w:w="115" w:type="dxa"/>
            </w:tcMar>
            <w:hideMark/>
          </w:tcPr>
          <w:p w14:paraId="5B24C1E4"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Govtbond</w:t>
            </w:r>
            <w:proofErr w:type="spellEnd"/>
          </w:p>
        </w:tc>
        <w:tc>
          <w:tcPr>
            <w:tcW w:w="0" w:type="auto"/>
            <w:tcBorders>
              <w:top w:val="nil"/>
              <w:bottom w:val="single" w:sz="4" w:space="0" w:color="auto"/>
            </w:tcBorders>
            <w:tcMar>
              <w:top w:w="0" w:type="dxa"/>
              <w:left w:w="115" w:type="dxa"/>
              <w:bottom w:w="0" w:type="dxa"/>
              <w:right w:w="115" w:type="dxa"/>
            </w:tcMar>
            <w:hideMark/>
          </w:tcPr>
          <w:p w14:paraId="2C2F305B" w14:textId="77777777" w:rsidR="00C033B5" w:rsidRPr="004F735C" w:rsidRDefault="00C033B5" w:rsidP="00C033B5">
            <w:pPr>
              <w:rPr>
                <w:rFonts w:asciiTheme="majorBidi" w:hAnsiTheme="majorBidi" w:cstheme="majorBidi"/>
              </w:rPr>
            </w:pPr>
            <w:r w:rsidRPr="004F735C">
              <w:rPr>
                <w:rFonts w:asciiTheme="majorBidi" w:hAnsiTheme="majorBidi" w:cstheme="majorBidi"/>
              </w:rPr>
              <w:t>-0.074*</w:t>
            </w:r>
          </w:p>
        </w:tc>
        <w:tc>
          <w:tcPr>
            <w:tcW w:w="0" w:type="auto"/>
            <w:tcBorders>
              <w:top w:val="nil"/>
              <w:bottom w:val="single" w:sz="4" w:space="0" w:color="auto"/>
            </w:tcBorders>
            <w:tcMar>
              <w:top w:w="0" w:type="dxa"/>
              <w:left w:w="115" w:type="dxa"/>
              <w:bottom w:w="0" w:type="dxa"/>
              <w:right w:w="115" w:type="dxa"/>
            </w:tcMar>
            <w:hideMark/>
          </w:tcPr>
          <w:p w14:paraId="295ED572" w14:textId="77777777" w:rsidR="00C033B5" w:rsidRPr="004F735C" w:rsidRDefault="00C033B5" w:rsidP="00C033B5">
            <w:pPr>
              <w:rPr>
                <w:rFonts w:asciiTheme="majorBidi" w:hAnsiTheme="majorBidi" w:cstheme="majorBidi"/>
              </w:rPr>
            </w:pPr>
            <w:r w:rsidRPr="004F735C">
              <w:rPr>
                <w:rFonts w:asciiTheme="majorBidi" w:hAnsiTheme="majorBidi" w:cstheme="majorBidi"/>
              </w:rPr>
              <w:t>0.028*</w:t>
            </w:r>
          </w:p>
        </w:tc>
        <w:tc>
          <w:tcPr>
            <w:tcW w:w="0" w:type="auto"/>
            <w:tcBorders>
              <w:top w:val="nil"/>
              <w:bottom w:val="single" w:sz="4" w:space="0" w:color="auto"/>
            </w:tcBorders>
            <w:tcMar>
              <w:top w:w="0" w:type="dxa"/>
              <w:left w:w="115" w:type="dxa"/>
              <w:bottom w:w="0" w:type="dxa"/>
              <w:right w:w="115" w:type="dxa"/>
            </w:tcMar>
            <w:hideMark/>
          </w:tcPr>
          <w:p w14:paraId="362F4DB5" w14:textId="77777777" w:rsidR="00C033B5" w:rsidRPr="004F735C" w:rsidRDefault="00C033B5" w:rsidP="00C033B5">
            <w:pPr>
              <w:rPr>
                <w:rFonts w:asciiTheme="majorBidi" w:hAnsiTheme="majorBidi" w:cstheme="majorBidi"/>
              </w:rPr>
            </w:pPr>
            <w:r w:rsidRPr="004F735C">
              <w:rPr>
                <w:rFonts w:asciiTheme="majorBidi" w:hAnsiTheme="majorBidi" w:cstheme="majorBidi"/>
              </w:rPr>
              <w:t>0.131*</w:t>
            </w:r>
          </w:p>
        </w:tc>
        <w:tc>
          <w:tcPr>
            <w:tcW w:w="0" w:type="auto"/>
            <w:tcBorders>
              <w:top w:val="nil"/>
              <w:bottom w:val="single" w:sz="4" w:space="0" w:color="auto"/>
            </w:tcBorders>
            <w:tcMar>
              <w:top w:w="0" w:type="dxa"/>
              <w:left w:w="115" w:type="dxa"/>
              <w:bottom w:w="0" w:type="dxa"/>
              <w:right w:w="115" w:type="dxa"/>
            </w:tcMar>
            <w:hideMark/>
          </w:tcPr>
          <w:p w14:paraId="4FC4E3AE" w14:textId="77777777" w:rsidR="00C033B5" w:rsidRPr="004F735C" w:rsidRDefault="00C033B5" w:rsidP="00C033B5">
            <w:pPr>
              <w:rPr>
                <w:rFonts w:asciiTheme="majorBidi" w:hAnsiTheme="majorBidi" w:cstheme="majorBidi"/>
              </w:rPr>
            </w:pPr>
            <w:r w:rsidRPr="004F735C">
              <w:rPr>
                <w:rFonts w:asciiTheme="majorBidi" w:hAnsiTheme="majorBidi" w:cstheme="majorBidi"/>
              </w:rPr>
              <w:t>0.249*</w:t>
            </w:r>
          </w:p>
        </w:tc>
        <w:tc>
          <w:tcPr>
            <w:tcW w:w="0" w:type="auto"/>
            <w:tcBorders>
              <w:top w:val="nil"/>
              <w:bottom w:val="single" w:sz="4" w:space="0" w:color="auto"/>
            </w:tcBorders>
            <w:tcMar>
              <w:top w:w="0" w:type="dxa"/>
              <w:left w:w="115" w:type="dxa"/>
              <w:bottom w:w="0" w:type="dxa"/>
              <w:right w:w="115" w:type="dxa"/>
            </w:tcMar>
            <w:hideMark/>
          </w:tcPr>
          <w:p w14:paraId="4F5F7CA0" w14:textId="77777777" w:rsidR="00C033B5" w:rsidRPr="004F735C" w:rsidRDefault="00C033B5" w:rsidP="00C033B5">
            <w:pPr>
              <w:rPr>
                <w:rFonts w:asciiTheme="majorBidi" w:hAnsiTheme="majorBidi" w:cstheme="majorBidi"/>
              </w:rPr>
            </w:pPr>
            <w:r w:rsidRPr="004F735C">
              <w:rPr>
                <w:rFonts w:asciiTheme="majorBidi" w:hAnsiTheme="majorBidi" w:cstheme="majorBidi"/>
              </w:rPr>
              <w:t>0.082*</w:t>
            </w:r>
          </w:p>
        </w:tc>
        <w:tc>
          <w:tcPr>
            <w:tcW w:w="0" w:type="auto"/>
            <w:tcBorders>
              <w:top w:val="nil"/>
              <w:bottom w:val="single" w:sz="4" w:space="0" w:color="auto"/>
            </w:tcBorders>
            <w:tcMar>
              <w:top w:w="0" w:type="dxa"/>
              <w:left w:w="115" w:type="dxa"/>
              <w:bottom w:w="0" w:type="dxa"/>
              <w:right w:w="115" w:type="dxa"/>
            </w:tcMar>
            <w:hideMark/>
          </w:tcPr>
          <w:p w14:paraId="1D3CEDFA" w14:textId="77777777" w:rsidR="00C033B5" w:rsidRPr="004F735C" w:rsidRDefault="00C033B5" w:rsidP="00C033B5">
            <w:pPr>
              <w:rPr>
                <w:rFonts w:asciiTheme="majorBidi" w:hAnsiTheme="majorBidi" w:cstheme="majorBidi"/>
              </w:rPr>
            </w:pPr>
            <w:r w:rsidRPr="004F735C">
              <w:rPr>
                <w:rFonts w:asciiTheme="majorBidi" w:hAnsiTheme="majorBidi" w:cstheme="majorBidi"/>
              </w:rPr>
              <w:t>0.225*</w:t>
            </w:r>
          </w:p>
        </w:tc>
        <w:tc>
          <w:tcPr>
            <w:tcW w:w="0" w:type="auto"/>
            <w:tcBorders>
              <w:top w:val="nil"/>
              <w:bottom w:val="single" w:sz="4" w:space="0" w:color="auto"/>
            </w:tcBorders>
            <w:tcMar>
              <w:top w:w="0" w:type="dxa"/>
              <w:left w:w="115" w:type="dxa"/>
              <w:bottom w:w="0" w:type="dxa"/>
              <w:right w:w="115" w:type="dxa"/>
            </w:tcMar>
            <w:hideMark/>
          </w:tcPr>
          <w:p w14:paraId="45826038" w14:textId="77777777" w:rsidR="00C033B5" w:rsidRPr="004F735C" w:rsidRDefault="00C033B5" w:rsidP="00C033B5">
            <w:pPr>
              <w:rPr>
                <w:rFonts w:asciiTheme="majorBidi" w:hAnsiTheme="majorBidi" w:cstheme="majorBidi"/>
              </w:rPr>
            </w:pPr>
            <w:r w:rsidRPr="004F735C">
              <w:rPr>
                <w:rFonts w:asciiTheme="majorBidi" w:hAnsiTheme="majorBidi" w:cstheme="majorBidi"/>
              </w:rPr>
              <w:t>-0.042*</w:t>
            </w:r>
          </w:p>
        </w:tc>
        <w:tc>
          <w:tcPr>
            <w:tcW w:w="0" w:type="auto"/>
            <w:tcBorders>
              <w:top w:val="nil"/>
              <w:bottom w:val="single" w:sz="4" w:space="0" w:color="auto"/>
            </w:tcBorders>
            <w:tcMar>
              <w:top w:w="0" w:type="dxa"/>
              <w:left w:w="115" w:type="dxa"/>
              <w:bottom w:w="0" w:type="dxa"/>
              <w:right w:w="115" w:type="dxa"/>
            </w:tcMar>
            <w:hideMark/>
          </w:tcPr>
          <w:p w14:paraId="35B21A5D" w14:textId="77777777" w:rsidR="00C033B5" w:rsidRPr="004F735C" w:rsidRDefault="00C033B5" w:rsidP="00C033B5">
            <w:pPr>
              <w:rPr>
                <w:rFonts w:asciiTheme="majorBidi" w:hAnsiTheme="majorBidi" w:cstheme="majorBidi"/>
              </w:rPr>
            </w:pPr>
            <w:r w:rsidRPr="004F735C">
              <w:rPr>
                <w:rFonts w:asciiTheme="majorBidi" w:hAnsiTheme="majorBidi" w:cstheme="majorBidi"/>
              </w:rPr>
              <w:t>-0.202*</w:t>
            </w:r>
          </w:p>
        </w:tc>
        <w:tc>
          <w:tcPr>
            <w:tcW w:w="0" w:type="auto"/>
            <w:tcBorders>
              <w:top w:val="nil"/>
              <w:bottom w:val="single" w:sz="4" w:space="0" w:color="auto"/>
            </w:tcBorders>
            <w:tcMar>
              <w:top w:w="0" w:type="dxa"/>
              <w:left w:w="115" w:type="dxa"/>
              <w:bottom w:w="0" w:type="dxa"/>
              <w:right w:w="115" w:type="dxa"/>
            </w:tcMar>
            <w:hideMark/>
          </w:tcPr>
          <w:p w14:paraId="0CAA2958" w14:textId="77777777" w:rsidR="00C033B5" w:rsidRPr="004F735C" w:rsidRDefault="00C033B5" w:rsidP="00C033B5">
            <w:pPr>
              <w:rPr>
                <w:rFonts w:asciiTheme="majorBidi" w:hAnsiTheme="majorBidi" w:cstheme="majorBidi"/>
              </w:rPr>
            </w:pPr>
            <w:r w:rsidRPr="004F735C">
              <w:rPr>
                <w:rFonts w:asciiTheme="majorBidi" w:hAnsiTheme="majorBidi" w:cstheme="majorBidi"/>
              </w:rPr>
              <w:t>-0.318*</w:t>
            </w:r>
          </w:p>
        </w:tc>
        <w:tc>
          <w:tcPr>
            <w:tcW w:w="0" w:type="auto"/>
            <w:tcBorders>
              <w:top w:val="nil"/>
              <w:bottom w:val="single" w:sz="4" w:space="0" w:color="auto"/>
            </w:tcBorders>
            <w:tcMar>
              <w:top w:w="0" w:type="dxa"/>
              <w:left w:w="115" w:type="dxa"/>
              <w:bottom w:w="0" w:type="dxa"/>
              <w:right w:w="115" w:type="dxa"/>
            </w:tcMar>
            <w:hideMark/>
          </w:tcPr>
          <w:p w14:paraId="7700DA59" w14:textId="77777777" w:rsidR="00C033B5" w:rsidRPr="004F735C" w:rsidRDefault="00C033B5" w:rsidP="00C033B5">
            <w:pPr>
              <w:rPr>
                <w:rFonts w:asciiTheme="majorBidi" w:hAnsiTheme="majorBidi" w:cstheme="majorBidi"/>
              </w:rPr>
            </w:pPr>
            <w:r w:rsidRPr="004F735C">
              <w:rPr>
                <w:rFonts w:asciiTheme="majorBidi" w:hAnsiTheme="majorBidi" w:cstheme="majorBidi"/>
              </w:rPr>
              <w:t>-0.046*</w:t>
            </w:r>
          </w:p>
        </w:tc>
        <w:tc>
          <w:tcPr>
            <w:tcW w:w="0" w:type="auto"/>
            <w:tcBorders>
              <w:top w:val="nil"/>
              <w:bottom w:val="single" w:sz="4" w:space="0" w:color="auto"/>
            </w:tcBorders>
            <w:tcMar>
              <w:top w:w="0" w:type="dxa"/>
              <w:left w:w="115" w:type="dxa"/>
              <w:bottom w:w="0" w:type="dxa"/>
              <w:right w:w="115" w:type="dxa"/>
            </w:tcMar>
            <w:hideMark/>
          </w:tcPr>
          <w:p w14:paraId="76C5902D" w14:textId="77777777" w:rsidR="00C033B5" w:rsidRPr="004F735C" w:rsidRDefault="00C033B5" w:rsidP="00C033B5">
            <w:pPr>
              <w:rPr>
                <w:rFonts w:asciiTheme="majorBidi" w:hAnsiTheme="majorBidi" w:cstheme="majorBidi"/>
              </w:rPr>
            </w:pPr>
            <w:r w:rsidRPr="004F735C">
              <w:rPr>
                <w:rFonts w:asciiTheme="majorBidi" w:hAnsiTheme="majorBidi" w:cstheme="majorBidi"/>
              </w:rPr>
              <w:t>-0.097*</w:t>
            </w:r>
          </w:p>
        </w:tc>
        <w:tc>
          <w:tcPr>
            <w:tcW w:w="0" w:type="auto"/>
            <w:tcBorders>
              <w:top w:val="nil"/>
              <w:bottom w:val="single" w:sz="4" w:space="0" w:color="auto"/>
            </w:tcBorders>
            <w:tcMar>
              <w:top w:w="0" w:type="dxa"/>
              <w:left w:w="115" w:type="dxa"/>
              <w:bottom w:w="0" w:type="dxa"/>
              <w:right w:w="115" w:type="dxa"/>
            </w:tcMar>
            <w:hideMark/>
          </w:tcPr>
          <w:p w14:paraId="1438F454" w14:textId="77777777" w:rsidR="00C033B5" w:rsidRPr="004F735C" w:rsidRDefault="00C033B5" w:rsidP="00C033B5">
            <w:pPr>
              <w:rPr>
                <w:rFonts w:asciiTheme="majorBidi" w:hAnsiTheme="majorBidi" w:cstheme="majorBidi"/>
              </w:rPr>
            </w:pPr>
            <w:r w:rsidRPr="004F735C">
              <w:rPr>
                <w:rFonts w:asciiTheme="majorBidi" w:hAnsiTheme="majorBidi" w:cstheme="majorBidi"/>
              </w:rPr>
              <w:t>-0.578*</w:t>
            </w:r>
          </w:p>
        </w:tc>
        <w:tc>
          <w:tcPr>
            <w:tcW w:w="0" w:type="auto"/>
            <w:tcBorders>
              <w:top w:val="nil"/>
              <w:bottom w:val="single" w:sz="4" w:space="0" w:color="auto"/>
            </w:tcBorders>
            <w:tcMar>
              <w:top w:w="0" w:type="dxa"/>
              <w:left w:w="115" w:type="dxa"/>
              <w:bottom w:w="0" w:type="dxa"/>
              <w:right w:w="115" w:type="dxa"/>
            </w:tcMar>
            <w:hideMark/>
          </w:tcPr>
          <w:p w14:paraId="6801F63B"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r>
      <w:tr w:rsidR="00C033B5" w:rsidRPr="004F735C" w14:paraId="277E8731" w14:textId="77777777" w:rsidTr="004F735C">
        <w:trPr>
          <w:trHeight w:val="20"/>
        </w:trPr>
        <w:tc>
          <w:tcPr>
            <w:tcW w:w="0" w:type="auto"/>
            <w:tcBorders>
              <w:top w:val="single" w:sz="4" w:space="0" w:color="auto"/>
              <w:bottom w:val="single" w:sz="4" w:space="0" w:color="auto"/>
            </w:tcBorders>
            <w:tcMar>
              <w:top w:w="0" w:type="dxa"/>
              <w:left w:w="115" w:type="dxa"/>
              <w:bottom w:w="0" w:type="dxa"/>
              <w:right w:w="115" w:type="dxa"/>
            </w:tcMar>
            <w:hideMark/>
          </w:tcPr>
          <w:p w14:paraId="54D06F47"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PANEL B</w:t>
            </w:r>
          </w:p>
        </w:tc>
        <w:tc>
          <w:tcPr>
            <w:tcW w:w="0" w:type="auto"/>
            <w:tcBorders>
              <w:top w:val="single" w:sz="4" w:space="0" w:color="auto"/>
              <w:bottom w:val="single" w:sz="4" w:space="0" w:color="auto"/>
            </w:tcBorders>
            <w:tcMar>
              <w:top w:w="0" w:type="dxa"/>
              <w:left w:w="115" w:type="dxa"/>
              <w:bottom w:w="0" w:type="dxa"/>
              <w:right w:w="115" w:type="dxa"/>
            </w:tcMar>
            <w:hideMark/>
          </w:tcPr>
          <w:p w14:paraId="5B49C7DD" w14:textId="77777777" w:rsidR="00C033B5" w:rsidRPr="004F735C" w:rsidRDefault="00C033B5" w:rsidP="00C033B5">
            <w:pPr>
              <w:rPr>
                <w:rFonts w:asciiTheme="majorBidi" w:hAnsiTheme="majorBidi" w:cstheme="majorBidi"/>
              </w:rPr>
            </w:pPr>
          </w:p>
        </w:tc>
        <w:tc>
          <w:tcPr>
            <w:tcW w:w="0" w:type="auto"/>
            <w:tcBorders>
              <w:top w:val="single" w:sz="4" w:space="0" w:color="auto"/>
              <w:bottom w:val="single" w:sz="4" w:space="0" w:color="auto"/>
            </w:tcBorders>
            <w:tcMar>
              <w:top w:w="0" w:type="dxa"/>
              <w:left w:w="115" w:type="dxa"/>
              <w:bottom w:w="0" w:type="dxa"/>
              <w:right w:w="115" w:type="dxa"/>
            </w:tcMar>
            <w:hideMark/>
          </w:tcPr>
          <w:p w14:paraId="388557A8" w14:textId="77777777" w:rsidR="00C033B5" w:rsidRPr="004F735C" w:rsidRDefault="00C033B5" w:rsidP="00C033B5">
            <w:pPr>
              <w:rPr>
                <w:rFonts w:asciiTheme="majorBidi" w:hAnsiTheme="majorBidi" w:cstheme="majorBidi"/>
              </w:rPr>
            </w:pPr>
          </w:p>
        </w:tc>
        <w:tc>
          <w:tcPr>
            <w:tcW w:w="0" w:type="auto"/>
            <w:tcBorders>
              <w:top w:val="single" w:sz="4" w:space="0" w:color="auto"/>
              <w:bottom w:val="single" w:sz="4" w:space="0" w:color="auto"/>
            </w:tcBorders>
            <w:tcMar>
              <w:top w:w="0" w:type="dxa"/>
              <w:left w:w="115" w:type="dxa"/>
              <w:bottom w:w="0" w:type="dxa"/>
              <w:right w:w="115" w:type="dxa"/>
            </w:tcMar>
            <w:hideMark/>
          </w:tcPr>
          <w:p w14:paraId="6E8090DC" w14:textId="77777777" w:rsidR="00C033B5" w:rsidRPr="004F735C" w:rsidRDefault="00C033B5" w:rsidP="00C033B5">
            <w:pPr>
              <w:rPr>
                <w:rFonts w:asciiTheme="majorBidi" w:hAnsiTheme="majorBidi" w:cstheme="majorBidi"/>
              </w:rPr>
            </w:pPr>
          </w:p>
        </w:tc>
        <w:tc>
          <w:tcPr>
            <w:tcW w:w="0" w:type="auto"/>
            <w:tcBorders>
              <w:top w:val="single" w:sz="4" w:space="0" w:color="auto"/>
              <w:bottom w:val="single" w:sz="4" w:space="0" w:color="auto"/>
            </w:tcBorders>
            <w:tcMar>
              <w:top w:w="0" w:type="dxa"/>
              <w:left w:w="115" w:type="dxa"/>
              <w:bottom w:w="0" w:type="dxa"/>
              <w:right w:w="115" w:type="dxa"/>
            </w:tcMar>
            <w:hideMark/>
          </w:tcPr>
          <w:p w14:paraId="5542370A" w14:textId="77777777" w:rsidR="00C033B5" w:rsidRPr="004F735C" w:rsidRDefault="00C033B5" w:rsidP="00C033B5">
            <w:pPr>
              <w:rPr>
                <w:rFonts w:asciiTheme="majorBidi" w:hAnsiTheme="majorBidi" w:cstheme="majorBidi"/>
              </w:rPr>
            </w:pPr>
          </w:p>
        </w:tc>
        <w:tc>
          <w:tcPr>
            <w:tcW w:w="0" w:type="auto"/>
            <w:tcBorders>
              <w:top w:val="single" w:sz="4" w:space="0" w:color="auto"/>
              <w:bottom w:val="single" w:sz="4" w:space="0" w:color="auto"/>
            </w:tcBorders>
            <w:tcMar>
              <w:top w:w="0" w:type="dxa"/>
              <w:left w:w="115" w:type="dxa"/>
              <w:bottom w:w="0" w:type="dxa"/>
              <w:right w:w="115" w:type="dxa"/>
            </w:tcMar>
            <w:hideMark/>
          </w:tcPr>
          <w:p w14:paraId="684662DB" w14:textId="77777777" w:rsidR="00C033B5" w:rsidRPr="004F735C" w:rsidRDefault="00C033B5" w:rsidP="00C033B5">
            <w:pPr>
              <w:rPr>
                <w:rFonts w:asciiTheme="majorBidi" w:hAnsiTheme="majorBidi" w:cstheme="majorBidi"/>
              </w:rPr>
            </w:pPr>
          </w:p>
        </w:tc>
        <w:tc>
          <w:tcPr>
            <w:tcW w:w="0" w:type="auto"/>
            <w:tcBorders>
              <w:top w:val="single" w:sz="4" w:space="0" w:color="auto"/>
              <w:bottom w:val="single" w:sz="4" w:space="0" w:color="auto"/>
            </w:tcBorders>
            <w:tcMar>
              <w:top w:w="0" w:type="dxa"/>
              <w:left w:w="115" w:type="dxa"/>
              <w:bottom w:w="0" w:type="dxa"/>
              <w:right w:w="115" w:type="dxa"/>
            </w:tcMar>
            <w:hideMark/>
          </w:tcPr>
          <w:p w14:paraId="6F4B5ECC" w14:textId="77777777" w:rsidR="00C033B5" w:rsidRPr="004F735C" w:rsidRDefault="00C033B5" w:rsidP="00C033B5">
            <w:pPr>
              <w:rPr>
                <w:rFonts w:asciiTheme="majorBidi" w:hAnsiTheme="majorBidi" w:cstheme="majorBidi"/>
              </w:rPr>
            </w:pPr>
          </w:p>
        </w:tc>
        <w:tc>
          <w:tcPr>
            <w:tcW w:w="0" w:type="auto"/>
            <w:tcBorders>
              <w:top w:val="single" w:sz="4" w:space="0" w:color="auto"/>
              <w:bottom w:val="single" w:sz="4" w:space="0" w:color="auto"/>
            </w:tcBorders>
            <w:tcMar>
              <w:top w:w="0" w:type="dxa"/>
              <w:left w:w="115" w:type="dxa"/>
              <w:bottom w:w="0" w:type="dxa"/>
              <w:right w:w="115" w:type="dxa"/>
            </w:tcMar>
            <w:hideMark/>
          </w:tcPr>
          <w:p w14:paraId="39809FE3" w14:textId="77777777" w:rsidR="00C033B5" w:rsidRPr="004F735C" w:rsidRDefault="00C033B5" w:rsidP="00C033B5">
            <w:pPr>
              <w:rPr>
                <w:rFonts w:asciiTheme="majorBidi" w:hAnsiTheme="majorBidi" w:cstheme="majorBidi"/>
              </w:rPr>
            </w:pPr>
          </w:p>
        </w:tc>
        <w:tc>
          <w:tcPr>
            <w:tcW w:w="0" w:type="auto"/>
            <w:tcBorders>
              <w:top w:val="single" w:sz="4" w:space="0" w:color="auto"/>
              <w:bottom w:val="single" w:sz="4" w:space="0" w:color="auto"/>
            </w:tcBorders>
            <w:tcMar>
              <w:top w:w="0" w:type="dxa"/>
              <w:left w:w="115" w:type="dxa"/>
              <w:bottom w:w="0" w:type="dxa"/>
              <w:right w:w="115" w:type="dxa"/>
            </w:tcMar>
            <w:hideMark/>
          </w:tcPr>
          <w:p w14:paraId="168290F9" w14:textId="77777777" w:rsidR="00C033B5" w:rsidRPr="004F735C" w:rsidRDefault="00C033B5" w:rsidP="00C033B5">
            <w:pPr>
              <w:rPr>
                <w:rFonts w:asciiTheme="majorBidi" w:hAnsiTheme="majorBidi" w:cstheme="majorBidi"/>
              </w:rPr>
            </w:pPr>
          </w:p>
        </w:tc>
        <w:tc>
          <w:tcPr>
            <w:tcW w:w="0" w:type="auto"/>
            <w:tcBorders>
              <w:top w:val="single" w:sz="4" w:space="0" w:color="auto"/>
              <w:bottom w:val="single" w:sz="4" w:space="0" w:color="auto"/>
            </w:tcBorders>
            <w:tcMar>
              <w:top w:w="0" w:type="dxa"/>
              <w:left w:w="115" w:type="dxa"/>
              <w:bottom w:w="0" w:type="dxa"/>
              <w:right w:w="115" w:type="dxa"/>
            </w:tcMar>
            <w:hideMark/>
          </w:tcPr>
          <w:p w14:paraId="2A005B34" w14:textId="77777777" w:rsidR="00C033B5" w:rsidRPr="004F735C" w:rsidRDefault="00C033B5" w:rsidP="00C033B5">
            <w:pPr>
              <w:rPr>
                <w:rFonts w:asciiTheme="majorBidi" w:hAnsiTheme="majorBidi" w:cstheme="majorBidi"/>
              </w:rPr>
            </w:pPr>
          </w:p>
        </w:tc>
        <w:tc>
          <w:tcPr>
            <w:tcW w:w="0" w:type="auto"/>
            <w:tcBorders>
              <w:top w:val="single" w:sz="4" w:space="0" w:color="auto"/>
              <w:bottom w:val="single" w:sz="4" w:space="0" w:color="auto"/>
            </w:tcBorders>
            <w:tcMar>
              <w:top w:w="0" w:type="dxa"/>
              <w:left w:w="115" w:type="dxa"/>
              <w:bottom w:w="0" w:type="dxa"/>
              <w:right w:w="115" w:type="dxa"/>
            </w:tcMar>
            <w:hideMark/>
          </w:tcPr>
          <w:p w14:paraId="6AB79CF3" w14:textId="77777777" w:rsidR="00C033B5" w:rsidRPr="004F735C" w:rsidRDefault="00C033B5" w:rsidP="00C033B5">
            <w:pPr>
              <w:rPr>
                <w:rFonts w:asciiTheme="majorBidi" w:hAnsiTheme="majorBidi" w:cstheme="majorBidi"/>
              </w:rPr>
            </w:pPr>
          </w:p>
        </w:tc>
        <w:tc>
          <w:tcPr>
            <w:tcW w:w="0" w:type="auto"/>
            <w:tcBorders>
              <w:top w:val="single" w:sz="4" w:space="0" w:color="auto"/>
              <w:bottom w:val="single" w:sz="4" w:space="0" w:color="auto"/>
            </w:tcBorders>
            <w:tcMar>
              <w:top w:w="0" w:type="dxa"/>
              <w:left w:w="115" w:type="dxa"/>
              <w:bottom w:w="0" w:type="dxa"/>
              <w:right w:w="115" w:type="dxa"/>
            </w:tcMar>
            <w:hideMark/>
          </w:tcPr>
          <w:p w14:paraId="210D05EC" w14:textId="77777777" w:rsidR="00C033B5" w:rsidRPr="004F735C" w:rsidRDefault="00C033B5" w:rsidP="00C033B5">
            <w:pPr>
              <w:rPr>
                <w:rFonts w:asciiTheme="majorBidi" w:hAnsiTheme="majorBidi" w:cstheme="majorBidi"/>
              </w:rPr>
            </w:pPr>
          </w:p>
        </w:tc>
        <w:tc>
          <w:tcPr>
            <w:tcW w:w="0" w:type="auto"/>
            <w:tcBorders>
              <w:top w:val="single" w:sz="4" w:space="0" w:color="auto"/>
              <w:bottom w:val="single" w:sz="4" w:space="0" w:color="auto"/>
            </w:tcBorders>
            <w:tcMar>
              <w:top w:w="0" w:type="dxa"/>
              <w:left w:w="115" w:type="dxa"/>
              <w:bottom w:w="0" w:type="dxa"/>
              <w:right w:w="115" w:type="dxa"/>
            </w:tcMar>
            <w:hideMark/>
          </w:tcPr>
          <w:p w14:paraId="0BA8FAF1" w14:textId="77777777" w:rsidR="00C033B5" w:rsidRPr="004F735C" w:rsidRDefault="00C033B5" w:rsidP="00C033B5">
            <w:pPr>
              <w:rPr>
                <w:rFonts w:asciiTheme="majorBidi" w:hAnsiTheme="majorBidi" w:cstheme="majorBidi"/>
              </w:rPr>
            </w:pPr>
          </w:p>
        </w:tc>
        <w:tc>
          <w:tcPr>
            <w:tcW w:w="0" w:type="auto"/>
            <w:tcBorders>
              <w:top w:val="single" w:sz="4" w:space="0" w:color="auto"/>
              <w:bottom w:val="single" w:sz="4" w:space="0" w:color="auto"/>
            </w:tcBorders>
            <w:tcMar>
              <w:top w:w="0" w:type="dxa"/>
              <w:left w:w="115" w:type="dxa"/>
              <w:bottom w:w="0" w:type="dxa"/>
              <w:right w:w="115" w:type="dxa"/>
            </w:tcMar>
            <w:hideMark/>
          </w:tcPr>
          <w:p w14:paraId="6CAF989C" w14:textId="77777777" w:rsidR="00C033B5" w:rsidRPr="004F735C" w:rsidRDefault="00C033B5" w:rsidP="00C033B5">
            <w:pPr>
              <w:rPr>
                <w:rFonts w:asciiTheme="majorBidi" w:hAnsiTheme="majorBidi" w:cstheme="majorBidi"/>
              </w:rPr>
            </w:pPr>
          </w:p>
        </w:tc>
      </w:tr>
      <w:tr w:rsidR="00C033B5" w:rsidRPr="004F735C" w14:paraId="3B6C1807" w14:textId="77777777" w:rsidTr="004F735C">
        <w:trPr>
          <w:trHeight w:val="20"/>
        </w:trPr>
        <w:tc>
          <w:tcPr>
            <w:tcW w:w="0" w:type="auto"/>
            <w:tcBorders>
              <w:top w:val="single" w:sz="4" w:space="0" w:color="auto"/>
              <w:bottom w:val="nil"/>
            </w:tcBorders>
            <w:tcMar>
              <w:top w:w="0" w:type="dxa"/>
              <w:left w:w="115" w:type="dxa"/>
              <w:bottom w:w="0" w:type="dxa"/>
              <w:right w:w="115" w:type="dxa"/>
            </w:tcMar>
            <w:hideMark/>
          </w:tcPr>
          <w:p w14:paraId="3C1539A5" w14:textId="77777777" w:rsidR="00C033B5" w:rsidRPr="004F735C" w:rsidRDefault="00C033B5" w:rsidP="00C033B5">
            <w:pPr>
              <w:rPr>
                <w:rFonts w:asciiTheme="majorBidi" w:hAnsiTheme="majorBidi" w:cstheme="majorBidi"/>
              </w:rPr>
            </w:pPr>
            <w:r w:rsidRPr="004F735C">
              <w:rPr>
                <w:rFonts w:asciiTheme="majorBidi" w:hAnsiTheme="majorBidi" w:cstheme="majorBidi"/>
              </w:rPr>
              <w:t>Interest</w:t>
            </w:r>
          </w:p>
        </w:tc>
        <w:tc>
          <w:tcPr>
            <w:tcW w:w="0" w:type="auto"/>
            <w:tcBorders>
              <w:top w:val="single" w:sz="4" w:space="0" w:color="auto"/>
              <w:bottom w:val="nil"/>
            </w:tcBorders>
            <w:tcMar>
              <w:top w:w="0" w:type="dxa"/>
              <w:left w:w="115" w:type="dxa"/>
              <w:bottom w:w="0" w:type="dxa"/>
              <w:right w:w="115" w:type="dxa"/>
            </w:tcMar>
            <w:hideMark/>
          </w:tcPr>
          <w:p w14:paraId="1551366D"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single" w:sz="4" w:space="0" w:color="auto"/>
              <w:bottom w:val="nil"/>
            </w:tcBorders>
            <w:tcMar>
              <w:top w:w="0" w:type="dxa"/>
              <w:left w:w="115" w:type="dxa"/>
              <w:bottom w:w="0" w:type="dxa"/>
              <w:right w:w="115" w:type="dxa"/>
            </w:tcMar>
            <w:hideMark/>
          </w:tcPr>
          <w:p w14:paraId="67A1B203" w14:textId="77777777" w:rsidR="00C033B5" w:rsidRPr="004F735C" w:rsidRDefault="00C033B5" w:rsidP="00C033B5">
            <w:pPr>
              <w:rPr>
                <w:rFonts w:asciiTheme="majorBidi" w:hAnsiTheme="majorBidi" w:cstheme="majorBidi"/>
              </w:rPr>
            </w:pPr>
          </w:p>
        </w:tc>
        <w:tc>
          <w:tcPr>
            <w:tcW w:w="0" w:type="auto"/>
            <w:tcBorders>
              <w:top w:val="single" w:sz="4" w:space="0" w:color="auto"/>
              <w:bottom w:val="nil"/>
            </w:tcBorders>
            <w:tcMar>
              <w:top w:w="0" w:type="dxa"/>
              <w:left w:w="115" w:type="dxa"/>
              <w:bottom w:w="0" w:type="dxa"/>
              <w:right w:w="115" w:type="dxa"/>
            </w:tcMar>
            <w:hideMark/>
          </w:tcPr>
          <w:p w14:paraId="413702B1" w14:textId="77777777" w:rsidR="00C033B5" w:rsidRPr="004F735C" w:rsidRDefault="00C033B5" w:rsidP="00C033B5">
            <w:pPr>
              <w:rPr>
                <w:rFonts w:asciiTheme="majorBidi" w:hAnsiTheme="majorBidi" w:cstheme="majorBidi"/>
              </w:rPr>
            </w:pPr>
          </w:p>
        </w:tc>
        <w:tc>
          <w:tcPr>
            <w:tcW w:w="0" w:type="auto"/>
            <w:tcBorders>
              <w:top w:val="single" w:sz="4" w:space="0" w:color="auto"/>
              <w:bottom w:val="nil"/>
            </w:tcBorders>
            <w:tcMar>
              <w:top w:w="0" w:type="dxa"/>
              <w:left w:w="115" w:type="dxa"/>
              <w:bottom w:w="0" w:type="dxa"/>
              <w:right w:w="115" w:type="dxa"/>
            </w:tcMar>
            <w:hideMark/>
          </w:tcPr>
          <w:p w14:paraId="766F25D3" w14:textId="77777777" w:rsidR="00C033B5" w:rsidRPr="004F735C" w:rsidRDefault="00C033B5" w:rsidP="00C033B5">
            <w:pPr>
              <w:rPr>
                <w:rFonts w:asciiTheme="majorBidi" w:hAnsiTheme="majorBidi" w:cstheme="majorBidi"/>
              </w:rPr>
            </w:pPr>
          </w:p>
        </w:tc>
        <w:tc>
          <w:tcPr>
            <w:tcW w:w="0" w:type="auto"/>
            <w:tcBorders>
              <w:top w:val="single" w:sz="4" w:space="0" w:color="auto"/>
              <w:bottom w:val="nil"/>
            </w:tcBorders>
            <w:tcMar>
              <w:top w:w="0" w:type="dxa"/>
              <w:left w:w="115" w:type="dxa"/>
              <w:bottom w:w="0" w:type="dxa"/>
              <w:right w:w="115" w:type="dxa"/>
            </w:tcMar>
            <w:hideMark/>
          </w:tcPr>
          <w:p w14:paraId="210B1494" w14:textId="77777777" w:rsidR="00C033B5" w:rsidRPr="004F735C" w:rsidRDefault="00C033B5" w:rsidP="00C033B5">
            <w:pPr>
              <w:rPr>
                <w:rFonts w:asciiTheme="majorBidi" w:hAnsiTheme="majorBidi" w:cstheme="majorBidi"/>
              </w:rPr>
            </w:pPr>
          </w:p>
        </w:tc>
        <w:tc>
          <w:tcPr>
            <w:tcW w:w="0" w:type="auto"/>
            <w:tcBorders>
              <w:top w:val="single" w:sz="4" w:space="0" w:color="auto"/>
              <w:bottom w:val="nil"/>
            </w:tcBorders>
            <w:tcMar>
              <w:top w:w="0" w:type="dxa"/>
              <w:left w:w="115" w:type="dxa"/>
              <w:bottom w:w="0" w:type="dxa"/>
              <w:right w:w="115" w:type="dxa"/>
            </w:tcMar>
            <w:hideMark/>
          </w:tcPr>
          <w:p w14:paraId="41212E3C" w14:textId="77777777" w:rsidR="00C033B5" w:rsidRPr="004F735C" w:rsidRDefault="00C033B5" w:rsidP="00C033B5">
            <w:pPr>
              <w:rPr>
                <w:rFonts w:asciiTheme="majorBidi" w:hAnsiTheme="majorBidi" w:cstheme="majorBidi"/>
              </w:rPr>
            </w:pPr>
          </w:p>
        </w:tc>
        <w:tc>
          <w:tcPr>
            <w:tcW w:w="0" w:type="auto"/>
            <w:tcBorders>
              <w:top w:val="single" w:sz="4" w:space="0" w:color="auto"/>
              <w:bottom w:val="nil"/>
            </w:tcBorders>
            <w:tcMar>
              <w:top w:w="0" w:type="dxa"/>
              <w:left w:w="115" w:type="dxa"/>
              <w:bottom w:w="0" w:type="dxa"/>
              <w:right w:w="115" w:type="dxa"/>
            </w:tcMar>
            <w:hideMark/>
          </w:tcPr>
          <w:p w14:paraId="30F77DAD" w14:textId="77777777" w:rsidR="00C033B5" w:rsidRPr="004F735C" w:rsidRDefault="00C033B5" w:rsidP="00C033B5">
            <w:pPr>
              <w:rPr>
                <w:rFonts w:asciiTheme="majorBidi" w:hAnsiTheme="majorBidi" w:cstheme="majorBidi"/>
              </w:rPr>
            </w:pPr>
          </w:p>
        </w:tc>
        <w:tc>
          <w:tcPr>
            <w:tcW w:w="0" w:type="auto"/>
            <w:tcBorders>
              <w:top w:val="single" w:sz="4" w:space="0" w:color="auto"/>
              <w:bottom w:val="nil"/>
            </w:tcBorders>
            <w:tcMar>
              <w:top w:w="0" w:type="dxa"/>
              <w:left w:w="115" w:type="dxa"/>
              <w:bottom w:w="0" w:type="dxa"/>
              <w:right w:w="115" w:type="dxa"/>
            </w:tcMar>
            <w:hideMark/>
          </w:tcPr>
          <w:p w14:paraId="219D336F" w14:textId="77777777" w:rsidR="00C033B5" w:rsidRPr="004F735C" w:rsidRDefault="00C033B5" w:rsidP="00C033B5">
            <w:pPr>
              <w:rPr>
                <w:rFonts w:asciiTheme="majorBidi" w:hAnsiTheme="majorBidi" w:cstheme="majorBidi"/>
              </w:rPr>
            </w:pPr>
          </w:p>
        </w:tc>
        <w:tc>
          <w:tcPr>
            <w:tcW w:w="0" w:type="auto"/>
            <w:tcBorders>
              <w:top w:val="single" w:sz="4" w:space="0" w:color="auto"/>
              <w:bottom w:val="nil"/>
            </w:tcBorders>
            <w:tcMar>
              <w:top w:w="0" w:type="dxa"/>
              <w:left w:w="115" w:type="dxa"/>
              <w:bottom w:w="0" w:type="dxa"/>
              <w:right w:w="115" w:type="dxa"/>
            </w:tcMar>
            <w:hideMark/>
          </w:tcPr>
          <w:p w14:paraId="26CAFE25" w14:textId="77777777" w:rsidR="00C033B5" w:rsidRPr="004F735C" w:rsidRDefault="00C033B5" w:rsidP="00C033B5">
            <w:pPr>
              <w:rPr>
                <w:rFonts w:asciiTheme="majorBidi" w:hAnsiTheme="majorBidi" w:cstheme="majorBidi"/>
              </w:rPr>
            </w:pPr>
          </w:p>
        </w:tc>
        <w:tc>
          <w:tcPr>
            <w:tcW w:w="0" w:type="auto"/>
            <w:tcBorders>
              <w:top w:val="single" w:sz="4" w:space="0" w:color="auto"/>
              <w:bottom w:val="nil"/>
            </w:tcBorders>
            <w:tcMar>
              <w:top w:w="0" w:type="dxa"/>
              <w:left w:w="115" w:type="dxa"/>
              <w:bottom w:w="0" w:type="dxa"/>
              <w:right w:w="115" w:type="dxa"/>
            </w:tcMar>
            <w:hideMark/>
          </w:tcPr>
          <w:p w14:paraId="54849C98" w14:textId="77777777" w:rsidR="00C033B5" w:rsidRPr="004F735C" w:rsidRDefault="00C033B5" w:rsidP="00C033B5">
            <w:pPr>
              <w:rPr>
                <w:rFonts w:asciiTheme="majorBidi" w:hAnsiTheme="majorBidi" w:cstheme="majorBidi"/>
              </w:rPr>
            </w:pPr>
          </w:p>
        </w:tc>
        <w:tc>
          <w:tcPr>
            <w:tcW w:w="0" w:type="auto"/>
            <w:tcBorders>
              <w:top w:val="single" w:sz="4" w:space="0" w:color="auto"/>
              <w:bottom w:val="nil"/>
            </w:tcBorders>
            <w:tcMar>
              <w:top w:w="0" w:type="dxa"/>
              <w:left w:w="115" w:type="dxa"/>
              <w:bottom w:w="0" w:type="dxa"/>
              <w:right w:w="115" w:type="dxa"/>
            </w:tcMar>
            <w:hideMark/>
          </w:tcPr>
          <w:p w14:paraId="7E78542C" w14:textId="77777777" w:rsidR="00C033B5" w:rsidRPr="004F735C" w:rsidRDefault="00C033B5" w:rsidP="00C033B5">
            <w:pPr>
              <w:rPr>
                <w:rFonts w:asciiTheme="majorBidi" w:hAnsiTheme="majorBidi" w:cstheme="majorBidi"/>
              </w:rPr>
            </w:pPr>
          </w:p>
        </w:tc>
        <w:tc>
          <w:tcPr>
            <w:tcW w:w="0" w:type="auto"/>
            <w:tcBorders>
              <w:top w:val="single" w:sz="4" w:space="0" w:color="auto"/>
              <w:bottom w:val="nil"/>
            </w:tcBorders>
            <w:tcMar>
              <w:top w:w="0" w:type="dxa"/>
              <w:left w:w="115" w:type="dxa"/>
              <w:bottom w:w="0" w:type="dxa"/>
              <w:right w:w="115" w:type="dxa"/>
            </w:tcMar>
            <w:hideMark/>
          </w:tcPr>
          <w:p w14:paraId="69421DD5" w14:textId="77777777" w:rsidR="00C033B5" w:rsidRPr="004F735C" w:rsidRDefault="00C033B5" w:rsidP="00C033B5">
            <w:pPr>
              <w:rPr>
                <w:rFonts w:asciiTheme="majorBidi" w:hAnsiTheme="majorBidi" w:cstheme="majorBidi"/>
              </w:rPr>
            </w:pPr>
          </w:p>
        </w:tc>
        <w:tc>
          <w:tcPr>
            <w:tcW w:w="0" w:type="auto"/>
            <w:tcBorders>
              <w:top w:val="single" w:sz="4" w:space="0" w:color="auto"/>
              <w:bottom w:val="nil"/>
            </w:tcBorders>
            <w:tcMar>
              <w:top w:w="0" w:type="dxa"/>
              <w:left w:w="115" w:type="dxa"/>
              <w:bottom w:w="0" w:type="dxa"/>
              <w:right w:w="115" w:type="dxa"/>
            </w:tcMar>
            <w:hideMark/>
          </w:tcPr>
          <w:p w14:paraId="287F6C57" w14:textId="77777777" w:rsidR="00C033B5" w:rsidRPr="004F735C" w:rsidRDefault="00C033B5" w:rsidP="00C033B5">
            <w:pPr>
              <w:rPr>
                <w:rFonts w:asciiTheme="majorBidi" w:hAnsiTheme="majorBidi" w:cstheme="majorBidi"/>
              </w:rPr>
            </w:pPr>
          </w:p>
        </w:tc>
      </w:tr>
      <w:tr w:rsidR="00C033B5" w:rsidRPr="004F735C" w14:paraId="75B20804" w14:textId="77777777" w:rsidTr="004F735C">
        <w:trPr>
          <w:trHeight w:val="20"/>
        </w:trPr>
        <w:tc>
          <w:tcPr>
            <w:tcW w:w="0" w:type="auto"/>
            <w:tcBorders>
              <w:top w:val="nil"/>
              <w:bottom w:val="nil"/>
            </w:tcBorders>
            <w:tcMar>
              <w:top w:w="0" w:type="dxa"/>
              <w:left w:w="115" w:type="dxa"/>
              <w:bottom w:w="0" w:type="dxa"/>
              <w:right w:w="115" w:type="dxa"/>
            </w:tcMar>
            <w:hideMark/>
          </w:tcPr>
          <w:p w14:paraId="3CE296E4" w14:textId="77777777" w:rsidR="00C033B5" w:rsidRPr="004F735C" w:rsidRDefault="00C033B5" w:rsidP="00C033B5">
            <w:pPr>
              <w:rPr>
                <w:rFonts w:asciiTheme="majorBidi" w:hAnsiTheme="majorBidi" w:cstheme="majorBidi"/>
              </w:rPr>
            </w:pPr>
            <w:r w:rsidRPr="004F735C">
              <w:rPr>
                <w:rFonts w:asciiTheme="majorBidi" w:hAnsiTheme="majorBidi" w:cstheme="majorBidi"/>
              </w:rPr>
              <w:t>Default</w:t>
            </w:r>
          </w:p>
        </w:tc>
        <w:tc>
          <w:tcPr>
            <w:tcW w:w="0" w:type="auto"/>
            <w:tcBorders>
              <w:top w:val="nil"/>
              <w:bottom w:val="nil"/>
            </w:tcBorders>
            <w:tcMar>
              <w:top w:w="0" w:type="dxa"/>
              <w:left w:w="115" w:type="dxa"/>
              <w:bottom w:w="0" w:type="dxa"/>
              <w:right w:w="115" w:type="dxa"/>
            </w:tcMar>
            <w:hideMark/>
          </w:tcPr>
          <w:p w14:paraId="5BC37434" w14:textId="77777777" w:rsidR="00C033B5" w:rsidRPr="004F735C" w:rsidRDefault="00C033B5" w:rsidP="00C033B5">
            <w:pPr>
              <w:rPr>
                <w:rFonts w:asciiTheme="majorBidi" w:hAnsiTheme="majorBidi" w:cstheme="majorBidi"/>
              </w:rPr>
            </w:pPr>
            <w:r w:rsidRPr="004F735C">
              <w:rPr>
                <w:rFonts w:asciiTheme="majorBidi" w:hAnsiTheme="majorBidi" w:cstheme="majorBidi"/>
              </w:rPr>
              <w:t>0.009*</w:t>
            </w:r>
          </w:p>
        </w:tc>
        <w:tc>
          <w:tcPr>
            <w:tcW w:w="0" w:type="auto"/>
            <w:tcBorders>
              <w:top w:val="nil"/>
              <w:bottom w:val="nil"/>
            </w:tcBorders>
            <w:tcMar>
              <w:top w:w="0" w:type="dxa"/>
              <w:left w:w="115" w:type="dxa"/>
              <w:bottom w:w="0" w:type="dxa"/>
              <w:right w:w="115" w:type="dxa"/>
            </w:tcMar>
            <w:hideMark/>
          </w:tcPr>
          <w:p w14:paraId="744DE4C0"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6B4D8F3C"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197CE9CF"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68226B29"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0B75F03F"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468E4706"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5B479C7A"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654AD25A"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0274C554"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54C2D9F1"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522FD5C2"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102850D7" w14:textId="77777777" w:rsidR="00C033B5" w:rsidRPr="004F735C" w:rsidRDefault="00C033B5" w:rsidP="00C033B5">
            <w:pPr>
              <w:rPr>
                <w:rFonts w:asciiTheme="majorBidi" w:hAnsiTheme="majorBidi" w:cstheme="majorBidi"/>
              </w:rPr>
            </w:pPr>
          </w:p>
        </w:tc>
      </w:tr>
      <w:tr w:rsidR="00C033B5" w:rsidRPr="004F735C" w14:paraId="3C62E67F" w14:textId="77777777" w:rsidTr="004F735C">
        <w:trPr>
          <w:trHeight w:val="20"/>
        </w:trPr>
        <w:tc>
          <w:tcPr>
            <w:tcW w:w="0" w:type="auto"/>
            <w:tcBorders>
              <w:top w:val="nil"/>
              <w:bottom w:val="nil"/>
            </w:tcBorders>
            <w:tcMar>
              <w:top w:w="0" w:type="dxa"/>
              <w:left w:w="115" w:type="dxa"/>
              <w:bottom w:w="0" w:type="dxa"/>
              <w:right w:w="115" w:type="dxa"/>
            </w:tcMar>
            <w:hideMark/>
          </w:tcPr>
          <w:p w14:paraId="49EA7F55" w14:textId="77777777" w:rsidR="00C033B5" w:rsidRPr="004F735C" w:rsidRDefault="00C033B5" w:rsidP="00C033B5">
            <w:pPr>
              <w:rPr>
                <w:rFonts w:asciiTheme="majorBidi" w:hAnsiTheme="majorBidi" w:cstheme="majorBidi"/>
              </w:rPr>
            </w:pPr>
            <w:r w:rsidRPr="004F735C">
              <w:rPr>
                <w:rFonts w:asciiTheme="majorBidi" w:hAnsiTheme="majorBidi" w:cstheme="majorBidi"/>
              </w:rPr>
              <w:t>SEVDEF</w:t>
            </w:r>
          </w:p>
        </w:tc>
        <w:tc>
          <w:tcPr>
            <w:tcW w:w="0" w:type="auto"/>
            <w:tcBorders>
              <w:top w:val="nil"/>
              <w:bottom w:val="nil"/>
            </w:tcBorders>
            <w:tcMar>
              <w:top w:w="0" w:type="dxa"/>
              <w:left w:w="115" w:type="dxa"/>
              <w:bottom w:w="0" w:type="dxa"/>
              <w:right w:w="115" w:type="dxa"/>
            </w:tcMar>
            <w:hideMark/>
          </w:tcPr>
          <w:p w14:paraId="4423BFB6" w14:textId="77777777" w:rsidR="00C033B5" w:rsidRPr="004F735C" w:rsidRDefault="00C033B5" w:rsidP="00C033B5">
            <w:pPr>
              <w:rPr>
                <w:rFonts w:asciiTheme="majorBidi" w:hAnsiTheme="majorBidi" w:cstheme="majorBidi"/>
              </w:rPr>
            </w:pPr>
            <w:r w:rsidRPr="004F735C">
              <w:rPr>
                <w:rFonts w:asciiTheme="majorBidi" w:hAnsiTheme="majorBidi" w:cstheme="majorBidi"/>
              </w:rPr>
              <w:t>-0.009*</w:t>
            </w:r>
          </w:p>
        </w:tc>
        <w:tc>
          <w:tcPr>
            <w:tcW w:w="0" w:type="auto"/>
            <w:tcBorders>
              <w:top w:val="nil"/>
              <w:bottom w:val="nil"/>
            </w:tcBorders>
            <w:tcMar>
              <w:top w:w="0" w:type="dxa"/>
              <w:left w:w="115" w:type="dxa"/>
              <w:bottom w:w="0" w:type="dxa"/>
              <w:right w:w="115" w:type="dxa"/>
            </w:tcMar>
            <w:hideMark/>
          </w:tcPr>
          <w:p w14:paraId="2A7E8F2C" w14:textId="77777777" w:rsidR="00C033B5" w:rsidRPr="004F735C" w:rsidRDefault="00C033B5" w:rsidP="00C033B5">
            <w:pPr>
              <w:rPr>
                <w:rFonts w:asciiTheme="majorBidi" w:hAnsiTheme="majorBidi" w:cstheme="majorBidi"/>
              </w:rPr>
            </w:pPr>
            <w:r w:rsidRPr="004F735C">
              <w:rPr>
                <w:rFonts w:asciiTheme="majorBidi" w:hAnsiTheme="majorBidi" w:cstheme="majorBidi"/>
              </w:rPr>
              <w:t>0.043*</w:t>
            </w:r>
          </w:p>
        </w:tc>
        <w:tc>
          <w:tcPr>
            <w:tcW w:w="0" w:type="auto"/>
            <w:tcBorders>
              <w:top w:val="nil"/>
              <w:bottom w:val="nil"/>
            </w:tcBorders>
            <w:tcMar>
              <w:top w:w="0" w:type="dxa"/>
              <w:left w:w="115" w:type="dxa"/>
              <w:bottom w:w="0" w:type="dxa"/>
              <w:right w:w="115" w:type="dxa"/>
            </w:tcMar>
            <w:hideMark/>
          </w:tcPr>
          <w:p w14:paraId="54474D98"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4E78AC6A"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067B4371"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41D6ECDD"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6D49B792"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40143B59"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6335A0F8"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1B6D298E"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45DFEFCC"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3AFF3C54"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6CBA2679" w14:textId="77777777" w:rsidR="00C033B5" w:rsidRPr="004F735C" w:rsidRDefault="00C033B5" w:rsidP="00C033B5">
            <w:pPr>
              <w:rPr>
                <w:rFonts w:asciiTheme="majorBidi" w:hAnsiTheme="majorBidi" w:cstheme="majorBidi"/>
              </w:rPr>
            </w:pPr>
          </w:p>
        </w:tc>
      </w:tr>
      <w:tr w:rsidR="00C033B5" w:rsidRPr="004F735C" w14:paraId="210E6B44" w14:textId="77777777" w:rsidTr="004F735C">
        <w:trPr>
          <w:trHeight w:val="20"/>
        </w:trPr>
        <w:tc>
          <w:tcPr>
            <w:tcW w:w="0" w:type="auto"/>
            <w:tcBorders>
              <w:top w:val="nil"/>
              <w:bottom w:val="nil"/>
            </w:tcBorders>
            <w:tcMar>
              <w:top w:w="0" w:type="dxa"/>
              <w:left w:w="115" w:type="dxa"/>
              <w:bottom w:w="0" w:type="dxa"/>
              <w:right w:w="115" w:type="dxa"/>
            </w:tcMar>
            <w:hideMark/>
          </w:tcPr>
          <w:p w14:paraId="39315766" w14:textId="77777777" w:rsidR="00C033B5" w:rsidRPr="004F735C" w:rsidRDefault="00C033B5" w:rsidP="00C033B5">
            <w:pPr>
              <w:rPr>
                <w:rFonts w:asciiTheme="majorBidi" w:hAnsiTheme="majorBidi" w:cstheme="majorBidi"/>
              </w:rPr>
            </w:pPr>
            <w:r w:rsidRPr="004F735C">
              <w:rPr>
                <w:rFonts w:asciiTheme="majorBidi" w:hAnsiTheme="majorBidi" w:cstheme="majorBidi"/>
              </w:rPr>
              <w:t>SITG</w:t>
            </w:r>
          </w:p>
        </w:tc>
        <w:tc>
          <w:tcPr>
            <w:tcW w:w="0" w:type="auto"/>
            <w:tcBorders>
              <w:top w:val="nil"/>
              <w:bottom w:val="nil"/>
            </w:tcBorders>
            <w:tcMar>
              <w:top w:w="0" w:type="dxa"/>
              <w:left w:w="115" w:type="dxa"/>
              <w:bottom w:w="0" w:type="dxa"/>
              <w:right w:w="115" w:type="dxa"/>
            </w:tcMar>
            <w:hideMark/>
          </w:tcPr>
          <w:p w14:paraId="34F2C5E9" w14:textId="77777777" w:rsidR="00C033B5" w:rsidRPr="004F735C" w:rsidRDefault="00C033B5" w:rsidP="00C033B5">
            <w:pPr>
              <w:rPr>
                <w:rFonts w:asciiTheme="majorBidi" w:hAnsiTheme="majorBidi" w:cstheme="majorBidi"/>
              </w:rPr>
            </w:pPr>
            <w:r w:rsidRPr="004F735C">
              <w:rPr>
                <w:rFonts w:asciiTheme="majorBidi" w:hAnsiTheme="majorBidi" w:cstheme="majorBidi"/>
              </w:rPr>
              <w:t>0.144*</w:t>
            </w:r>
          </w:p>
        </w:tc>
        <w:tc>
          <w:tcPr>
            <w:tcW w:w="0" w:type="auto"/>
            <w:tcBorders>
              <w:top w:val="nil"/>
              <w:bottom w:val="nil"/>
            </w:tcBorders>
            <w:tcMar>
              <w:top w:w="0" w:type="dxa"/>
              <w:left w:w="115" w:type="dxa"/>
              <w:bottom w:w="0" w:type="dxa"/>
              <w:right w:w="115" w:type="dxa"/>
            </w:tcMar>
            <w:hideMark/>
          </w:tcPr>
          <w:p w14:paraId="609F5E06" w14:textId="77777777" w:rsidR="00C033B5" w:rsidRPr="004F735C" w:rsidRDefault="00C033B5" w:rsidP="00C033B5">
            <w:pPr>
              <w:rPr>
                <w:rFonts w:asciiTheme="majorBidi" w:hAnsiTheme="majorBidi" w:cstheme="majorBidi"/>
              </w:rPr>
            </w:pPr>
            <w:r w:rsidRPr="004F735C">
              <w:rPr>
                <w:rFonts w:asciiTheme="majorBidi" w:hAnsiTheme="majorBidi" w:cstheme="majorBidi"/>
              </w:rPr>
              <w:t>0.018*</w:t>
            </w:r>
          </w:p>
        </w:tc>
        <w:tc>
          <w:tcPr>
            <w:tcW w:w="0" w:type="auto"/>
            <w:tcBorders>
              <w:top w:val="nil"/>
              <w:bottom w:val="nil"/>
            </w:tcBorders>
            <w:tcMar>
              <w:top w:w="0" w:type="dxa"/>
              <w:left w:w="115" w:type="dxa"/>
              <w:bottom w:w="0" w:type="dxa"/>
              <w:right w:w="115" w:type="dxa"/>
            </w:tcMar>
            <w:hideMark/>
          </w:tcPr>
          <w:p w14:paraId="5CE6F8F9" w14:textId="77777777" w:rsidR="00C033B5" w:rsidRPr="004F735C" w:rsidRDefault="00C033B5" w:rsidP="00C033B5">
            <w:pPr>
              <w:rPr>
                <w:rFonts w:asciiTheme="majorBidi" w:hAnsiTheme="majorBidi" w:cstheme="majorBidi"/>
              </w:rPr>
            </w:pPr>
            <w:r w:rsidRPr="004F735C">
              <w:rPr>
                <w:rFonts w:asciiTheme="majorBidi" w:hAnsiTheme="majorBidi" w:cstheme="majorBidi"/>
              </w:rPr>
              <w:t>-0.034*</w:t>
            </w:r>
          </w:p>
        </w:tc>
        <w:tc>
          <w:tcPr>
            <w:tcW w:w="0" w:type="auto"/>
            <w:tcBorders>
              <w:top w:val="nil"/>
              <w:bottom w:val="nil"/>
            </w:tcBorders>
            <w:tcMar>
              <w:top w:w="0" w:type="dxa"/>
              <w:left w:w="115" w:type="dxa"/>
              <w:bottom w:w="0" w:type="dxa"/>
              <w:right w:w="115" w:type="dxa"/>
            </w:tcMar>
            <w:hideMark/>
          </w:tcPr>
          <w:p w14:paraId="23EA5EC5"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71427E22"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1EEDE500"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2776F436"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198392D6"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67A4DFB3"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3B26CC91"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5A8297CA"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5F05F44D"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027A189A" w14:textId="77777777" w:rsidR="00C033B5" w:rsidRPr="004F735C" w:rsidRDefault="00C033B5" w:rsidP="00C033B5">
            <w:pPr>
              <w:rPr>
                <w:rFonts w:asciiTheme="majorBidi" w:hAnsiTheme="majorBidi" w:cstheme="majorBidi"/>
              </w:rPr>
            </w:pPr>
          </w:p>
        </w:tc>
      </w:tr>
      <w:tr w:rsidR="00C033B5" w:rsidRPr="004F735C" w14:paraId="5E484E9E" w14:textId="77777777" w:rsidTr="004F735C">
        <w:trPr>
          <w:trHeight w:val="20"/>
        </w:trPr>
        <w:tc>
          <w:tcPr>
            <w:tcW w:w="0" w:type="auto"/>
            <w:tcBorders>
              <w:top w:val="nil"/>
              <w:bottom w:val="nil"/>
            </w:tcBorders>
            <w:tcMar>
              <w:top w:w="0" w:type="dxa"/>
              <w:left w:w="115" w:type="dxa"/>
              <w:bottom w:w="0" w:type="dxa"/>
              <w:right w:w="115" w:type="dxa"/>
            </w:tcMar>
            <w:hideMark/>
          </w:tcPr>
          <w:p w14:paraId="4135E6B3" w14:textId="77777777" w:rsidR="00C033B5" w:rsidRPr="004F735C" w:rsidRDefault="00C033B5" w:rsidP="00C033B5">
            <w:pPr>
              <w:rPr>
                <w:rFonts w:asciiTheme="majorBidi" w:hAnsiTheme="majorBidi" w:cstheme="majorBidi"/>
              </w:rPr>
            </w:pPr>
            <w:r w:rsidRPr="004F735C">
              <w:rPr>
                <w:rFonts w:asciiTheme="majorBidi" w:hAnsiTheme="majorBidi" w:cstheme="majorBidi"/>
              </w:rPr>
              <w:t>Term</w:t>
            </w:r>
          </w:p>
        </w:tc>
        <w:tc>
          <w:tcPr>
            <w:tcW w:w="0" w:type="auto"/>
            <w:tcBorders>
              <w:top w:val="nil"/>
              <w:bottom w:val="nil"/>
            </w:tcBorders>
            <w:tcMar>
              <w:top w:w="0" w:type="dxa"/>
              <w:left w:w="115" w:type="dxa"/>
              <w:bottom w:w="0" w:type="dxa"/>
              <w:right w:w="115" w:type="dxa"/>
            </w:tcMar>
            <w:hideMark/>
          </w:tcPr>
          <w:p w14:paraId="4BE02716" w14:textId="77777777" w:rsidR="00C033B5" w:rsidRPr="004F735C" w:rsidRDefault="00C033B5" w:rsidP="00C033B5">
            <w:pPr>
              <w:rPr>
                <w:rFonts w:asciiTheme="majorBidi" w:hAnsiTheme="majorBidi" w:cstheme="majorBidi"/>
              </w:rPr>
            </w:pPr>
            <w:r w:rsidRPr="004F735C">
              <w:rPr>
                <w:rFonts w:asciiTheme="majorBidi" w:hAnsiTheme="majorBidi" w:cstheme="majorBidi"/>
              </w:rPr>
              <w:t>0.157*</w:t>
            </w:r>
          </w:p>
        </w:tc>
        <w:tc>
          <w:tcPr>
            <w:tcW w:w="0" w:type="auto"/>
            <w:tcBorders>
              <w:top w:val="nil"/>
              <w:bottom w:val="nil"/>
            </w:tcBorders>
            <w:tcMar>
              <w:top w:w="0" w:type="dxa"/>
              <w:left w:w="115" w:type="dxa"/>
              <w:bottom w:w="0" w:type="dxa"/>
              <w:right w:w="115" w:type="dxa"/>
            </w:tcMar>
            <w:hideMark/>
          </w:tcPr>
          <w:p w14:paraId="71484A76" w14:textId="77777777" w:rsidR="00C033B5" w:rsidRPr="004F735C" w:rsidRDefault="00C033B5" w:rsidP="00C033B5">
            <w:pPr>
              <w:rPr>
                <w:rFonts w:asciiTheme="majorBidi" w:hAnsiTheme="majorBidi" w:cstheme="majorBidi"/>
              </w:rPr>
            </w:pPr>
            <w:r w:rsidRPr="004F735C">
              <w:rPr>
                <w:rFonts w:asciiTheme="majorBidi" w:hAnsiTheme="majorBidi" w:cstheme="majorBidi"/>
              </w:rPr>
              <w:t>-0.065*</w:t>
            </w:r>
          </w:p>
        </w:tc>
        <w:tc>
          <w:tcPr>
            <w:tcW w:w="0" w:type="auto"/>
            <w:tcBorders>
              <w:top w:val="nil"/>
              <w:bottom w:val="nil"/>
            </w:tcBorders>
            <w:tcMar>
              <w:top w:w="0" w:type="dxa"/>
              <w:left w:w="115" w:type="dxa"/>
              <w:bottom w:w="0" w:type="dxa"/>
              <w:right w:w="115" w:type="dxa"/>
            </w:tcMar>
            <w:hideMark/>
          </w:tcPr>
          <w:p w14:paraId="7D5D780A" w14:textId="77777777" w:rsidR="00C033B5" w:rsidRPr="004F735C" w:rsidRDefault="00C033B5" w:rsidP="00C033B5">
            <w:pPr>
              <w:rPr>
                <w:rFonts w:asciiTheme="majorBidi" w:hAnsiTheme="majorBidi" w:cstheme="majorBidi"/>
              </w:rPr>
            </w:pPr>
            <w:r w:rsidRPr="004F735C">
              <w:rPr>
                <w:rFonts w:asciiTheme="majorBidi" w:hAnsiTheme="majorBidi" w:cstheme="majorBidi"/>
              </w:rPr>
              <w:t>0.152*</w:t>
            </w:r>
          </w:p>
        </w:tc>
        <w:tc>
          <w:tcPr>
            <w:tcW w:w="0" w:type="auto"/>
            <w:tcBorders>
              <w:top w:val="nil"/>
              <w:bottom w:val="nil"/>
            </w:tcBorders>
            <w:tcMar>
              <w:top w:w="0" w:type="dxa"/>
              <w:left w:w="115" w:type="dxa"/>
              <w:bottom w:w="0" w:type="dxa"/>
              <w:right w:w="115" w:type="dxa"/>
            </w:tcMar>
            <w:hideMark/>
          </w:tcPr>
          <w:p w14:paraId="05D31C7C" w14:textId="77777777" w:rsidR="00C033B5" w:rsidRPr="004F735C" w:rsidRDefault="00C033B5" w:rsidP="00C033B5">
            <w:pPr>
              <w:rPr>
                <w:rFonts w:asciiTheme="majorBidi" w:hAnsiTheme="majorBidi" w:cstheme="majorBidi"/>
              </w:rPr>
            </w:pPr>
            <w:r w:rsidRPr="004F735C">
              <w:rPr>
                <w:rFonts w:asciiTheme="majorBidi" w:hAnsiTheme="majorBidi" w:cstheme="majorBidi"/>
              </w:rPr>
              <w:t>-0.161*</w:t>
            </w:r>
          </w:p>
        </w:tc>
        <w:tc>
          <w:tcPr>
            <w:tcW w:w="0" w:type="auto"/>
            <w:tcBorders>
              <w:top w:val="nil"/>
              <w:bottom w:val="nil"/>
            </w:tcBorders>
            <w:tcMar>
              <w:top w:w="0" w:type="dxa"/>
              <w:left w:w="115" w:type="dxa"/>
              <w:bottom w:w="0" w:type="dxa"/>
              <w:right w:w="115" w:type="dxa"/>
            </w:tcMar>
            <w:hideMark/>
          </w:tcPr>
          <w:p w14:paraId="0EF87679"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6CE5C6FD"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460FB93E"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64425790"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6026198F"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30AF7285"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55C91D8D"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1F7F7DC5"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7908B658" w14:textId="77777777" w:rsidR="00C033B5" w:rsidRPr="004F735C" w:rsidRDefault="00C033B5" w:rsidP="00C033B5">
            <w:pPr>
              <w:rPr>
                <w:rFonts w:asciiTheme="majorBidi" w:hAnsiTheme="majorBidi" w:cstheme="majorBidi"/>
              </w:rPr>
            </w:pPr>
          </w:p>
        </w:tc>
      </w:tr>
      <w:tr w:rsidR="00C033B5" w:rsidRPr="004F735C" w14:paraId="2737B813" w14:textId="77777777" w:rsidTr="004F735C">
        <w:trPr>
          <w:trHeight w:val="20"/>
        </w:trPr>
        <w:tc>
          <w:tcPr>
            <w:tcW w:w="0" w:type="auto"/>
            <w:tcBorders>
              <w:top w:val="nil"/>
              <w:bottom w:val="nil"/>
            </w:tcBorders>
            <w:tcMar>
              <w:top w:w="0" w:type="dxa"/>
              <w:left w:w="115" w:type="dxa"/>
              <w:bottom w:w="0" w:type="dxa"/>
              <w:right w:w="115" w:type="dxa"/>
            </w:tcMar>
            <w:hideMark/>
          </w:tcPr>
          <w:p w14:paraId="16FCFEF5" w14:textId="77777777" w:rsidR="00C033B5" w:rsidRPr="004F735C" w:rsidRDefault="00C033B5" w:rsidP="00C033B5">
            <w:pPr>
              <w:rPr>
                <w:rFonts w:asciiTheme="majorBidi" w:hAnsiTheme="majorBidi" w:cstheme="majorBidi"/>
              </w:rPr>
            </w:pPr>
            <w:r w:rsidRPr="004F735C">
              <w:rPr>
                <w:rFonts w:asciiTheme="majorBidi" w:hAnsiTheme="majorBidi" w:cstheme="majorBidi"/>
              </w:rPr>
              <w:t>Amount</w:t>
            </w:r>
          </w:p>
        </w:tc>
        <w:tc>
          <w:tcPr>
            <w:tcW w:w="0" w:type="auto"/>
            <w:tcBorders>
              <w:top w:val="nil"/>
              <w:bottom w:val="nil"/>
            </w:tcBorders>
            <w:tcMar>
              <w:top w:w="0" w:type="dxa"/>
              <w:left w:w="115" w:type="dxa"/>
              <w:bottom w:w="0" w:type="dxa"/>
              <w:right w:w="115" w:type="dxa"/>
            </w:tcMar>
            <w:hideMark/>
          </w:tcPr>
          <w:p w14:paraId="02CDC4A4" w14:textId="77777777" w:rsidR="00C033B5" w:rsidRPr="004F735C" w:rsidRDefault="00C033B5" w:rsidP="00C033B5">
            <w:pPr>
              <w:rPr>
                <w:rFonts w:asciiTheme="majorBidi" w:hAnsiTheme="majorBidi" w:cstheme="majorBidi"/>
              </w:rPr>
            </w:pPr>
            <w:r w:rsidRPr="004F735C">
              <w:rPr>
                <w:rFonts w:asciiTheme="majorBidi" w:hAnsiTheme="majorBidi" w:cstheme="majorBidi"/>
              </w:rPr>
              <w:t>0.101*</w:t>
            </w:r>
          </w:p>
        </w:tc>
        <w:tc>
          <w:tcPr>
            <w:tcW w:w="0" w:type="auto"/>
            <w:tcBorders>
              <w:top w:val="nil"/>
              <w:bottom w:val="nil"/>
            </w:tcBorders>
            <w:tcMar>
              <w:top w:w="0" w:type="dxa"/>
              <w:left w:w="115" w:type="dxa"/>
              <w:bottom w:w="0" w:type="dxa"/>
              <w:right w:w="115" w:type="dxa"/>
            </w:tcMar>
            <w:hideMark/>
          </w:tcPr>
          <w:p w14:paraId="2AFD6D92" w14:textId="77777777" w:rsidR="00C033B5" w:rsidRPr="004F735C" w:rsidRDefault="00C033B5" w:rsidP="00C033B5">
            <w:pPr>
              <w:rPr>
                <w:rFonts w:asciiTheme="majorBidi" w:hAnsiTheme="majorBidi" w:cstheme="majorBidi"/>
              </w:rPr>
            </w:pPr>
            <w:r w:rsidRPr="004F735C">
              <w:rPr>
                <w:rFonts w:asciiTheme="majorBidi" w:hAnsiTheme="majorBidi" w:cstheme="majorBidi"/>
              </w:rPr>
              <w:t>-0.004*</w:t>
            </w:r>
          </w:p>
        </w:tc>
        <w:tc>
          <w:tcPr>
            <w:tcW w:w="0" w:type="auto"/>
            <w:tcBorders>
              <w:top w:val="nil"/>
              <w:bottom w:val="nil"/>
            </w:tcBorders>
            <w:tcMar>
              <w:top w:w="0" w:type="dxa"/>
              <w:left w:w="115" w:type="dxa"/>
              <w:bottom w:w="0" w:type="dxa"/>
              <w:right w:w="115" w:type="dxa"/>
            </w:tcMar>
            <w:hideMark/>
          </w:tcPr>
          <w:p w14:paraId="5761310A" w14:textId="77777777" w:rsidR="00C033B5" w:rsidRPr="004F735C" w:rsidRDefault="00C033B5" w:rsidP="00C033B5">
            <w:pPr>
              <w:rPr>
                <w:rFonts w:asciiTheme="majorBidi" w:hAnsiTheme="majorBidi" w:cstheme="majorBidi"/>
              </w:rPr>
            </w:pPr>
            <w:r w:rsidRPr="004F735C">
              <w:rPr>
                <w:rFonts w:asciiTheme="majorBidi" w:hAnsiTheme="majorBidi" w:cstheme="majorBidi"/>
              </w:rPr>
              <w:t>0.076*</w:t>
            </w:r>
          </w:p>
        </w:tc>
        <w:tc>
          <w:tcPr>
            <w:tcW w:w="0" w:type="auto"/>
            <w:tcBorders>
              <w:top w:val="nil"/>
              <w:bottom w:val="nil"/>
            </w:tcBorders>
            <w:tcMar>
              <w:top w:w="0" w:type="dxa"/>
              <w:left w:w="115" w:type="dxa"/>
              <w:bottom w:w="0" w:type="dxa"/>
              <w:right w:w="115" w:type="dxa"/>
            </w:tcMar>
            <w:hideMark/>
          </w:tcPr>
          <w:p w14:paraId="46A3238D" w14:textId="77777777" w:rsidR="00C033B5" w:rsidRPr="004F735C" w:rsidRDefault="00C033B5" w:rsidP="00C033B5">
            <w:pPr>
              <w:rPr>
                <w:rFonts w:asciiTheme="majorBidi" w:hAnsiTheme="majorBidi" w:cstheme="majorBidi"/>
              </w:rPr>
            </w:pPr>
            <w:r w:rsidRPr="004F735C">
              <w:rPr>
                <w:rFonts w:asciiTheme="majorBidi" w:hAnsiTheme="majorBidi" w:cstheme="majorBidi"/>
              </w:rPr>
              <w:t>0.290*</w:t>
            </w:r>
          </w:p>
        </w:tc>
        <w:tc>
          <w:tcPr>
            <w:tcW w:w="0" w:type="auto"/>
            <w:tcBorders>
              <w:top w:val="nil"/>
              <w:bottom w:val="nil"/>
            </w:tcBorders>
            <w:tcMar>
              <w:top w:w="0" w:type="dxa"/>
              <w:left w:w="115" w:type="dxa"/>
              <w:bottom w:w="0" w:type="dxa"/>
              <w:right w:w="115" w:type="dxa"/>
            </w:tcMar>
            <w:hideMark/>
          </w:tcPr>
          <w:p w14:paraId="7B97A6AB" w14:textId="77777777" w:rsidR="00C033B5" w:rsidRPr="004F735C" w:rsidRDefault="00C033B5" w:rsidP="00C033B5">
            <w:pPr>
              <w:rPr>
                <w:rFonts w:asciiTheme="majorBidi" w:hAnsiTheme="majorBidi" w:cstheme="majorBidi"/>
              </w:rPr>
            </w:pPr>
            <w:r w:rsidRPr="004F735C">
              <w:rPr>
                <w:rFonts w:asciiTheme="majorBidi" w:hAnsiTheme="majorBidi" w:cstheme="majorBidi"/>
              </w:rPr>
              <w:t>0.180*</w:t>
            </w:r>
          </w:p>
        </w:tc>
        <w:tc>
          <w:tcPr>
            <w:tcW w:w="0" w:type="auto"/>
            <w:tcBorders>
              <w:top w:val="nil"/>
              <w:bottom w:val="nil"/>
            </w:tcBorders>
            <w:tcMar>
              <w:top w:w="0" w:type="dxa"/>
              <w:left w:w="115" w:type="dxa"/>
              <w:bottom w:w="0" w:type="dxa"/>
              <w:right w:w="115" w:type="dxa"/>
            </w:tcMar>
            <w:hideMark/>
          </w:tcPr>
          <w:p w14:paraId="03E1F525"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0E864C35"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512656D5"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46DE1174"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50507471"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39900312"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64D29238"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7D404F86" w14:textId="77777777" w:rsidR="00C033B5" w:rsidRPr="004F735C" w:rsidRDefault="00C033B5" w:rsidP="00C033B5">
            <w:pPr>
              <w:rPr>
                <w:rFonts w:asciiTheme="majorBidi" w:hAnsiTheme="majorBidi" w:cstheme="majorBidi"/>
              </w:rPr>
            </w:pPr>
          </w:p>
        </w:tc>
      </w:tr>
      <w:tr w:rsidR="00C033B5" w:rsidRPr="004F735C" w14:paraId="11385679" w14:textId="77777777" w:rsidTr="004F735C">
        <w:trPr>
          <w:trHeight w:val="20"/>
        </w:trPr>
        <w:tc>
          <w:tcPr>
            <w:tcW w:w="0" w:type="auto"/>
            <w:tcBorders>
              <w:top w:val="nil"/>
              <w:bottom w:val="nil"/>
            </w:tcBorders>
            <w:tcMar>
              <w:top w:w="0" w:type="dxa"/>
              <w:left w:w="115" w:type="dxa"/>
              <w:bottom w:w="0" w:type="dxa"/>
              <w:right w:w="115" w:type="dxa"/>
            </w:tcMar>
            <w:hideMark/>
          </w:tcPr>
          <w:p w14:paraId="1F9D7610"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Riskscore</w:t>
            </w:r>
            <w:proofErr w:type="spellEnd"/>
          </w:p>
        </w:tc>
        <w:tc>
          <w:tcPr>
            <w:tcW w:w="0" w:type="auto"/>
            <w:tcBorders>
              <w:top w:val="nil"/>
              <w:bottom w:val="nil"/>
            </w:tcBorders>
            <w:tcMar>
              <w:top w:w="0" w:type="dxa"/>
              <w:left w:w="115" w:type="dxa"/>
              <w:bottom w:w="0" w:type="dxa"/>
              <w:right w:w="115" w:type="dxa"/>
            </w:tcMar>
            <w:hideMark/>
          </w:tcPr>
          <w:p w14:paraId="76C71063" w14:textId="77777777" w:rsidR="00C033B5" w:rsidRPr="004F735C" w:rsidRDefault="00C033B5" w:rsidP="00C033B5">
            <w:pPr>
              <w:rPr>
                <w:rFonts w:asciiTheme="majorBidi" w:hAnsiTheme="majorBidi" w:cstheme="majorBidi"/>
              </w:rPr>
            </w:pPr>
            <w:r w:rsidRPr="004F735C">
              <w:rPr>
                <w:rFonts w:asciiTheme="majorBidi" w:hAnsiTheme="majorBidi" w:cstheme="majorBidi"/>
              </w:rPr>
              <w:t>-0.115*</w:t>
            </w:r>
          </w:p>
        </w:tc>
        <w:tc>
          <w:tcPr>
            <w:tcW w:w="0" w:type="auto"/>
            <w:tcBorders>
              <w:top w:val="nil"/>
              <w:bottom w:val="nil"/>
            </w:tcBorders>
            <w:tcMar>
              <w:top w:w="0" w:type="dxa"/>
              <w:left w:w="115" w:type="dxa"/>
              <w:bottom w:w="0" w:type="dxa"/>
              <w:right w:w="115" w:type="dxa"/>
            </w:tcMar>
            <w:hideMark/>
          </w:tcPr>
          <w:p w14:paraId="4DCC983B" w14:textId="77777777" w:rsidR="00C033B5" w:rsidRPr="004F735C" w:rsidRDefault="00C033B5" w:rsidP="00C033B5">
            <w:pPr>
              <w:rPr>
                <w:rFonts w:asciiTheme="majorBidi" w:hAnsiTheme="majorBidi" w:cstheme="majorBidi"/>
              </w:rPr>
            </w:pPr>
            <w:r w:rsidRPr="004F735C">
              <w:rPr>
                <w:rFonts w:asciiTheme="majorBidi" w:hAnsiTheme="majorBidi" w:cstheme="majorBidi"/>
              </w:rPr>
              <w:t>0.014*</w:t>
            </w:r>
          </w:p>
        </w:tc>
        <w:tc>
          <w:tcPr>
            <w:tcW w:w="0" w:type="auto"/>
            <w:tcBorders>
              <w:top w:val="nil"/>
              <w:bottom w:val="nil"/>
            </w:tcBorders>
            <w:tcMar>
              <w:top w:w="0" w:type="dxa"/>
              <w:left w:w="115" w:type="dxa"/>
              <w:bottom w:w="0" w:type="dxa"/>
              <w:right w:w="115" w:type="dxa"/>
            </w:tcMar>
            <w:hideMark/>
          </w:tcPr>
          <w:p w14:paraId="3CF8E96C" w14:textId="77777777" w:rsidR="00C033B5" w:rsidRPr="004F735C" w:rsidRDefault="00C033B5" w:rsidP="00C033B5">
            <w:pPr>
              <w:rPr>
                <w:rFonts w:asciiTheme="majorBidi" w:hAnsiTheme="majorBidi" w:cstheme="majorBidi"/>
              </w:rPr>
            </w:pPr>
            <w:r w:rsidRPr="004F735C">
              <w:rPr>
                <w:rFonts w:asciiTheme="majorBidi" w:hAnsiTheme="majorBidi" w:cstheme="majorBidi"/>
              </w:rPr>
              <w:t>0.029*</w:t>
            </w:r>
          </w:p>
        </w:tc>
        <w:tc>
          <w:tcPr>
            <w:tcW w:w="0" w:type="auto"/>
            <w:tcBorders>
              <w:top w:val="nil"/>
              <w:bottom w:val="nil"/>
            </w:tcBorders>
            <w:tcMar>
              <w:top w:w="0" w:type="dxa"/>
              <w:left w:w="115" w:type="dxa"/>
              <w:bottom w:w="0" w:type="dxa"/>
              <w:right w:w="115" w:type="dxa"/>
            </w:tcMar>
            <w:hideMark/>
          </w:tcPr>
          <w:p w14:paraId="341FB3D8" w14:textId="77777777" w:rsidR="00C033B5" w:rsidRPr="004F735C" w:rsidRDefault="00C033B5" w:rsidP="00C033B5">
            <w:pPr>
              <w:rPr>
                <w:rFonts w:asciiTheme="majorBidi" w:hAnsiTheme="majorBidi" w:cstheme="majorBidi"/>
              </w:rPr>
            </w:pPr>
            <w:r w:rsidRPr="004F735C">
              <w:rPr>
                <w:rFonts w:asciiTheme="majorBidi" w:hAnsiTheme="majorBidi" w:cstheme="majorBidi"/>
              </w:rPr>
              <w:t>0.129*</w:t>
            </w:r>
          </w:p>
        </w:tc>
        <w:tc>
          <w:tcPr>
            <w:tcW w:w="0" w:type="auto"/>
            <w:tcBorders>
              <w:top w:val="nil"/>
              <w:bottom w:val="nil"/>
            </w:tcBorders>
            <w:tcMar>
              <w:top w:w="0" w:type="dxa"/>
              <w:left w:w="115" w:type="dxa"/>
              <w:bottom w:w="0" w:type="dxa"/>
              <w:right w:w="115" w:type="dxa"/>
            </w:tcMar>
            <w:hideMark/>
          </w:tcPr>
          <w:p w14:paraId="3F43369E" w14:textId="77777777" w:rsidR="00C033B5" w:rsidRPr="004F735C" w:rsidRDefault="00C033B5" w:rsidP="00C033B5">
            <w:pPr>
              <w:rPr>
                <w:rFonts w:asciiTheme="majorBidi" w:hAnsiTheme="majorBidi" w:cstheme="majorBidi"/>
              </w:rPr>
            </w:pPr>
            <w:r w:rsidRPr="004F735C">
              <w:rPr>
                <w:rFonts w:asciiTheme="majorBidi" w:hAnsiTheme="majorBidi" w:cstheme="majorBidi"/>
              </w:rPr>
              <w:t>0.186*</w:t>
            </w:r>
          </w:p>
        </w:tc>
        <w:tc>
          <w:tcPr>
            <w:tcW w:w="0" w:type="auto"/>
            <w:tcBorders>
              <w:top w:val="nil"/>
              <w:bottom w:val="nil"/>
            </w:tcBorders>
            <w:tcMar>
              <w:top w:w="0" w:type="dxa"/>
              <w:left w:w="115" w:type="dxa"/>
              <w:bottom w:w="0" w:type="dxa"/>
              <w:right w:w="115" w:type="dxa"/>
            </w:tcMar>
            <w:hideMark/>
          </w:tcPr>
          <w:p w14:paraId="10931A60" w14:textId="77777777" w:rsidR="00C033B5" w:rsidRPr="004F735C" w:rsidRDefault="00C033B5" w:rsidP="00C033B5">
            <w:pPr>
              <w:rPr>
                <w:rFonts w:asciiTheme="majorBidi" w:hAnsiTheme="majorBidi" w:cstheme="majorBidi"/>
              </w:rPr>
            </w:pPr>
            <w:r w:rsidRPr="004F735C">
              <w:rPr>
                <w:rFonts w:asciiTheme="majorBidi" w:hAnsiTheme="majorBidi" w:cstheme="majorBidi"/>
              </w:rPr>
              <w:t>0.061*</w:t>
            </w:r>
          </w:p>
        </w:tc>
        <w:tc>
          <w:tcPr>
            <w:tcW w:w="0" w:type="auto"/>
            <w:tcBorders>
              <w:top w:val="nil"/>
              <w:bottom w:val="nil"/>
            </w:tcBorders>
            <w:tcMar>
              <w:top w:w="0" w:type="dxa"/>
              <w:left w:w="115" w:type="dxa"/>
              <w:bottom w:w="0" w:type="dxa"/>
              <w:right w:w="115" w:type="dxa"/>
            </w:tcMar>
            <w:hideMark/>
          </w:tcPr>
          <w:p w14:paraId="76679995"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7F7BD89E"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4D323064"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19774412"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0F7B34EB"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04A9CEB3"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016B6CC4" w14:textId="77777777" w:rsidR="00C033B5" w:rsidRPr="004F735C" w:rsidRDefault="00C033B5" w:rsidP="00C033B5">
            <w:pPr>
              <w:rPr>
                <w:rFonts w:asciiTheme="majorBidi" w:hAnsiTheme="majorBidi" w:cstheme="majorBidi"/>
              </w:rPr>
            </w:pPr>
          </w:p>
        </w:tc>
      </w:tr>
      <w:tr w:rsidR="00C033B5" w:rsidRPr="004F735C" w14:paraId="2D289290" w14:textId="77777777" w:rsidTr="004F735C">
        <w:trPr>
          <w:trHeight w:val="20"/>
        </w:trPr>
        <w:tc>
          <w:tcPr>
            <w:tcW w:w="0" w:type="auto"/>
            <w:tcBorders>
              <w:top w:val="nil"/>
              <w:bottom w:val="nil"/>
            </w:tcBorders>
            <w:tcMar>
              <w:top w:w="0" w:type="dxa"/>
              <w:left w:w="115" w:type="dxa"/>
              <w:bottom w:w="0" w:type="dxa"/>
              <w:right w:w="115" w:type="dxa"/>
            </w:tcMar>
            <w:hideMark/>
          </w:tcPr>
          <w:p w14:paraId="395A2D6F" w14:textId="77777777" w:rsidR="00C033B5" w:rsidRPr="004F735C" w:rsidRDefault="00C033B5" w:rsidP="00C033B5">
            <w:pPr>
              <w:rPr>
                <w:rFonts w:asciiTheme="majorBidi" w:hAnsiTheme="majorBidi" w:cstheme="majorBidi"/>
              </w:rPr>
            </w:pPr>
            <w:r w:rsidRPr="004F735C">
              <w:rPr>
                <w:rFonts w:asciiTheme="majorBidi" w:hAnsiTheme="majorBidi" w:cstheme="majorBidi"/>
              </w:rPr>
              <w:t>Collateral</w:t>
            </w:r>
          </w:p>
        </w:tc>
        <w:tc>
          <w:tcPr>
            <w:tcW w:w="0" w:type="auto"/>
            <w:tcBorders>
              <w:top w:val="nil"/>
              <w:bottom w:val="nil"/>
            </w:tcBorders>
            <w:tcMar>
              <w:top w:w="0" w:type="dxa"/>
              <w:left w:w="115" w:type="dxa"/>
              <w:bottom w:w="0" w:type="dxa"/>
              <w:right w:w="115" w:type="dxa"/>
            </w:tcMar>
            <w:hideMark/>
          </w:tcPr>
          <w:p w14:paraId="538DD99F" w14:textId="77777777" w:rsidR="00C033B5" w:rsidRPr="004F735C" w:rsidRDefault="00C033B5" w:rsidP="00C033B5">
            <w:pPr>
              <w:rPr>
                <w:rFonts w:asciiTheme="majorBidi" w:hAnsiTheme="majorBidi" w:cstheme="majorBidi"/>
              </w:rPr>
            </w:pPr>
            <w:r w:rsidRPr="004F735C">
              <w:rPr>
                <w:rFonts w:asciiTheme="majorBidi" w:hAnsiTheme="majorBidi" w:cstheme="majorBidi"/>
              </w:rPr>
              <w:t>-0.314*</w:t>
            </w:r>
          </w:p>
        </w:tc>
        <w:tc>
          <w:tcPr>
            <w:tcW w:w="0" w:type="auto"/>
            <w:tcBorders>
              <w:top w:val="nil"/>
              <w:bottom w:val="nil"/>
            </w:tcBorders>
            <w:tcMar>
              <w:top w:w="0" w:type="dxa"/>
              <w:left w:w="115" w:type="dxa"/>
              <w:bottom w:w="0" w:type="dxa"/>
              <w:right w:w="115" w:type="dxa"/>
            </w:tcMar>
            <w:hideMark/>
          </w:tcPr>
          <w:p w14:paraId="03E28647" w14:textId="77777777" w:rsidR="00C033B5" w:rsidRPr="004F735C" w:rsidRDefault="00C033B5" w:rsidP="00C033B5">
            <w:pPr>
              <w:rPr>
                <w:rFonts w:asciiTheme="majorBidi" w:hAnsiTheme="majorBidi" w:cstheme="majorBidi"/>
              </w:rPr>
            </w:pPr>
            <w:r w:rsidRPr="004F735C">
              <w:rPr>
                <w:rFonts w:asciiTheme="majorBidi" w:hAnsiTheme="majorBidi" w:cstheme="majorBidi"/>
              </w:rPr>
              <w:t>0.039*</w:t>
            </w:r>
          </w:p>
        </w:tc>
        <w:tc>
          <w:tcPr>
            <w:tcW w:w="0" w:type="auto"/>
            <w:tcBorders>
              <w:top w:val="nil"/>
              <w:bottom w:val="nil"/>
            </w:tcBorders>
            <w:tcMar>
              <w:top w:w="0" w:type="dxa"/>
              <w:left w:w="115" w:type="dxa"/>
              <w:bottom w:w="0" w:type="dxa"/>
              <w:right w:w="115" w:type="dxa"/>
            </w:tcMar>
            <w:hideMark/>
          </w:tcPr>
          <w:p w14:paraId="2445F948" w14:textId="77777777" w:rsidR="00C033B5" w:rsidRPr="004F735C" w:rsidRDefault="00C033B5" w:rsidP="00C033B5">
            <w:pPr>
              <w:rPr>
                <w:rFonts w:asciiTheme="majorBidi" w:hAnsiTheme="majorBidi" w:cstheme="majorBidi"/>
              </w:rPr>
            </w:pPr>
            <w:r w:rsidRPr="004F735C">
              <w:rPr>
                <w:rFonts w:asciiTheme="majorBidi" w:hAnsiTheme="majorBidi" w:cstheme="majorBidi"/>
              </w:rPr>
              <w:t>0.026*</w:t>
            </w:r>
          </w:p>
        </w:tc>
        <w:tc>
          <w:tcPr>
            <w:tcW w:w="0" w:type="auto"/>
            <w:tcBorders>
              <w:top w:val="nil"/>
              <w:bottom w:val="nil"/>
            </w:tcBorders>
            <w:tcMar>
              <w:top w:w="0" w:type="dxa"/>
              <w:left w:w="115" w:type="dxa"/>
              <w:bottom w:w="0" w:type="dxa"/>
              <w:right w:w="115" w:type="dxa"/>
            </w:tcMar>
            <w:hideMark/>
          </w:tcPr>
          <w:p w14:paraId="2B790E6F" w14:textId="77777777" w:rsidR="00C033B5" w:rsidRPr="004F735C" w:rsidRDefault="00C033B5" w:rsidP="00C033B5">
            <w:pPr>
              <w:rPr>
                <w:rFonts w:asciiTheme="majorBidi" w:hAnsiTheme="majorBidi" w:cstheme="majorBidi"/>
              </w:rPr>
            </w:pPr>
            <w:r w:rsidRPr="004F735C">
              <w:rPr>
                <w:rFonts w:asciiTheme="majorBidi" w:hAnsiTheme="majorBidi" w:cstheme="majorBidi"/>
              </w:rPr>
              <w:t>-0.146*</w:t>
            </w:r>
          </w:p>
        </w:tc>
        <w:tc>
          <w:tcPr>
            <w:tcW w:w="0" w:type="auto"/>
            <w:tcBorders>
              <w:top w:val="nil"/>
              <w:bottom w:val="nil"/>
            </w:tcBorders>
            <w:tcMar>
              <w:top w:w="0" w:type="dxa"/>
              <w:left w:w="115" w:type="dxa"/>
              <w:bottom w:w="0" w:type="dxa"/>
              <w:right w:w="115" w:type="dxa"/>
            </w:tcMar>
            <w:hideMark/>
          </w:tcPr>
          <w:p w14:paraId="5E2B728B" w14:textId="77777777" w:rsidR="00C033B5" w:rsidRPr="004F735C" w:rsidRDefault="00C033B5" w:rsidP="00C033B5">
            <w:pPr>
              <w:rPr>
                <w:rFonts w:asciiTheme="majorBidi" w:hAnsiTheme="majorBidi" w:cstheme="majorBidi"/>
              </w:rPr>
            </w:pPr>
            <w:r w:rsidRPr="004F735C">
              <w:rPr>
                <w:rFonts w:asciiTheme="majorBidi" w:hAnsiTheme="majorBidi" w:cstheme="majorBidi"/>
              </w:rPr>
              <w:t>-0.146*</w:t>
            </w:r>
          </w:p>
        </w:tc>
        <w:tc>
          <w:tcPr>
            <w:tcW w:w="0" w:type="auto"/>
            <w:tcBorders>
              <w:top w:val="nil"/>
              <w:bottom w:val="nil"/>
            </w:tcBorders>
            <w:tcMar>
              <w:top w:w="0" w:type="dxa"/>
              <w:left w:w="115" w:type="dxa"/>
              <w:bottom w:w="0" w:type="dxa"/>
              <w:right w:w="115" w:type="dxa"/>
            </w:tcMar>
            <w:hideMark/>
          </w:tcPr>
          <w:p w14:paraId="43D61D81" w14:textId="77777777" w:rsidR="00C033B5" w:rsidRPr="004F735C" w:rsidRDefault="00C033B5" w:rsidP="00C033B5">
            <w:pPr>
              <w:rPr>
                <w:rFonts w:asciiTheme="majorBidi" w:hAnsiTheme="majorBidi" w:cstheme="majorBidi"/>
              </w:rPr>
            </w:pPr>
            <w:r w:rsidRPr="004F735C">
              <w:rPr>
                <w:rFonts w:asciiTheme="majorBidi" w:hAnsiTheme="majorBidi" w:cstheme="majorBidi"/>
              </w:rPr>
              <w:t>-0.039*</w:t>
            </w:r>
          </w:p>
        </w:tc>
        <w:tc>
          <w:tcPr>
            <w:tcW w:w="0" w:type="auto"/>
            <w:tcBorders>
              <w:top w:val="nil"/>
              <w:bottom w:val="nil"/>
            </w:tcBorders>
            <w:tcMar>
              <w:top w:w="0" w:type="dxa"/>
              <w:left w:w="115" w:type="dxa"/>
              <w:bottom w:w="0" w:type="dxa"/>
              <w:right w:w="115" w:type="dxa"/>
            </w:tcMar>
            <w:hideMark/>
          </w:tcPr>
          <w:p w14:paraId="0836C3FF" w14:textId="77777777" w:rsidR="00C033B5" w:rsidRPr="004F735C" w:rsidRDefault="00C033B5" w:rsidP="00C033B5">
            <w:pPr>
              <w:rPr>
                <w:rFonts w:asciiTheme="majorBidi" w:hAnsiTheme="majorBidi" w:cstheme="majorBidi"/>
              </w:rPr>
            </w:pPr>
            <w:r w:rsidRPr="004F735C">
              <w:rPr>
                <w:rFonts w:asciiTheme="majorBidi" w:hAnsiTheme="majorBidi" w:cstheme="majorBidi"/>
              </w:rPr>
              <w:t>0.623*</w:t>
            </w:r>
          </w:p>
        </w:tc>
        <w:tc>
          <w:tcPr>
            <w:tcW w:w="0" w:type="auto"/>
            <w:tcBorders>
              <w:top w:val="nil"/>
              <w:bottom w:val="nil"/>
            </w:tcBorders>
            <w:tcMar>
              <w:top w:w="0" w:type="dxa"/>
              <w:left w:w="115" w:type="dxa"/>
              <w:bottom w:w="0" w:type="dxa"/>
              <w:right w:w="115" w:type="dxa"/>
            </w:tcMar>
            <w:hideMark/>
          </w:tcPr>
          <w:p w14:paraId="3809B0DB"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66D28345"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3502D35F"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4873AD2B"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18C7134E"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283C5228" w14:textId="77777777" w:rsidR="00C033B5" w:rsidRPr="004F735C" w:rsidRDefault="00C033B5" w:rsidP="00C033B5">
            <w:pPr>
              <w:rPr>
                <w:rFonts w:asciiTheme="majorBidi" w:hAnsiTheme="majorBidi" w:cstheme="majorBidi"/>
              </w:rPr>
            </w:pPr>
          </w:p>
        </w:tc>
      </w:tr>
      <w:tr w:rsidR="00C033B5" w:rsidRPr="004F735C" w14:paraId="356EB0FA" w14:textId="77777777" w:rsidTr="004F735C">
        <w:trPr>
          <w:trHeight w:val="20"/>
        </w:trPr>
        <w:tc>
          <w:tcPr>
            <w:tcW w:w="0" w:type="auto"/>
            <w:tcBorders>
              <w:top w:val="nil"/>
              <w:bottom w:val="nil"/>
            </w:tcBorders>
            <w:tcMar>
              <w:top w:w="0" w:type="dxa"/>
              <w:left w:w="115" w:type="dxa"/>
              <w:bottom w:w="0" w:type="dxa"/>
              <w:right w:w="115" w:type="dxa"/>
            </w:tcMar>
            <w:hideMark/>
          </w:tcPr>
          <w:p w14:paraId="088B637A"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lastRenderedPageBreak/>
              <w:t>Extsched</w:t>
            </w:r>
            <w:proofErr w:type="spellEnd"/>
          </w:p>
        </w:tc>
        <w:tc>
          <w:tcPr>
            <w:tcW w:w="0" w:type="auto"/>
            <w:tcBorders>
              <w:top w:val="nil"/>
              <w:bottom w:val="nil"/>
            </w:tcBorders>
            <w:tcMar>
              <w:top w:w="0" w:type="dxa"/>
              <w:left w:w="115" w:type="dxa"/>
              <w:bottom w:w="0" w:type="dxa"/>
              <w:right w:w="115" w:type="dxa"/>
            </w:tcMar>
            <w:hideMark/>
          </w:tcPr>
          <w:p w14:paraId="6673E588" w14:textId="77777777" w:rsidR="00C033B5" w:rsidRPr="004F735C" w:rsidRDefault="00C033B5" w:rsidP="00C033B5">
            <w:pPr>
              <w:rPr>
                <w:rFonts w:asciiTheme="majorBidi" w:hAnsiTheme="majorBidi" w:cstheme="majorBidi"/>
              </w:rPr>
            </w:pPr>
            <w:r w:rsidRPr="004F735C">
              <w:rPr>
                <w:rFonts w:asciiTheme="majorBidi" w:hAnsiTheme="majorBidi" w:cstheme="majorBidi"/>
              </w:rPr>
              <w:t>0.067*</w:t>
            </w:r>
          </w:p>
        </w:tc>
        <w:tc>
          <w:tcPr>
            <w:tcW w:w="0" w:type="auto"/>
            <w:tcBorders>
              <w:top w:val="nil"/>
              <w:bottom w:val="nil"/>
            </w:tcBorders>
            <w:tcMar>
              <w:top w:w="0" w:type="dxa"/>
              <w:left w:w="115" w:type="dxa"/>
              <w:bottom w:w="0" w:type="dxa"/>
              <w:right w:w="115" w:type="dxa"/>
            </w:tcMar>
            <w:hideMark/>
          </w:tcPr>
          <w:p w14:paraId="073984AD" w14:textId="77777777" w:rsidR="00C033B5" w:rsidRPr="004F735C" w:rsidRDefault="00C033B5" w:rsidP="00C033B5">
            <w:pPr>
              <w:rPr>
                <w:rFonts w:asciiTheme="majorBidi" w:hAnsiTheme="majorBidi" w:cstheme="majorBidi"/>
              </w:rPr>
            </w:pPr>
            <w:r w:rsidRPr="004F735C">
              <w:rPr>
                <w:rFonts w:asciiTheme="majorBidi" w:hAnsiTheme="majorBidi" w:cstheme="majorBidi"/>
              </w:rPr>
              <w:t>0.046*</w:t>
            </w:r>
          </w:p>
        </w:tc>
        <w:tc>
          <w:tcPr>
            <w:tcW w:w="0" w:type="auto"/>
            <w:tcBorders>
              <w:top w:val="nil"/>
              <w:bottom w:val="nil"/>
            </w:tcBorders>
            <w:tcMar>
              <w:top w:w="0" w:type="dxa"/>
              <w:left w:w="115" w:type="dxa"/>
              <w:bottom w:w="0" w:type="dxa"/>
              <w:right w:w="115" w:type="dxa"/>
            </w:tcMar>
            <w:hideMark/>
          </w:tcPr>
          <w:p w14:paraId="44A39466" w14:textId="77777777" w:rsidR="00C033B5" w:rsidRPr="004F735C" w:rsidRDefault="00C033B5" w:rsidP="00C033B5">
            <w:pPr>
              <w:rPr>
                <w:rFonts w:asciiTheme="majorBidi" w:hAnsiTheme="majorBidi" w:cstheme="majorBidi"/>
              </w:rPr>
            </w:pPr>
            <w:r w:rsidRPr="004F735C">
              <w:rPr>
                <w:rFonts w:asciiTheme="majorBidi" w:hAnsiTheme="majorBidi" w:cstheme="majorBidi"/>
              </w:rPr>
              <w:t>-0.100*</w:t>
            </w:r>
          </w:p>
        </w:tc>
        <w:tc>
          <w:tcPr>
            <w:tcW w:w="0" w:type="auto"/>
            <w:tcBorders>
              <w:top w:val="nil"/>
              <w:bottom w:val="nil"/>
            </w:tcBorders>
            <w:tcMar>
              <w:top w:w="0" w:type="dxa"/>
              <w:left w:w="115" w:type="dxa"/>
              <w:bottom w:w="0" w:type="dxa"/>
              <w:right w:w="115" w:type="dxa"/>
            </w:tcMar>
            <w:hideMark/>
          </w:tcPr>
          <w:p w14:paraId="5280E5B2" w14:textId="77777777" w:rsidR="00C033B5" w:rsidRPr="004F735C" w:rsidRDefault="00C033B5" w:rsidP="00C033B5">
            <w:pPr>
              <w:rPr>
                <w:rFonts w:asciiTheme="majorBidi" w:hAnsiTheme="majorBidi" w:cstheme="majorBidi"/>
              </w:rPr>
            </w:pPr>
            <w:r w:rsidRPr="004F735C">
              <w:rPr>
                <w:rFonts w:asciiTheme="majorBidi" w:hAnsiTheme="majorBidi" w:cstheme="majorBidi"/>
              </w:rPr>
              <w:t>0.335*</w:t>
            </w:r>
          </w:p>
        </w:tc>
        <w:tc>
          <w:tcPr>
            <w:tcW w:w="0" w:type="auto"/>
            <w:tcBorders>
              <w:top w:val="nil"/>
              <w:bottom w:val="nil"/>
            </w:tcBorders>
            <w:tcMar>
              <w:top w:w="0" w:type="dxa"/>
              <w:left w:w="115" w:type="dxa"/>
              <w:bottom w:w="0" w:type="dxa"/>
              <w:right w:w="115" w:type="dxa"/>
            </w:tcMar>
            <w:hideMark/>
          </w:tcPr>
          <w:p w14:paraId="35F8B2EF" w14:textId="77777777" w:rsidR="00C033B5" w:rsidRPr="004F735C" w:rsidRDefault="00C033B5" w:rsidP="00C033B5">
            <w:pPr>
              <w:rPr>
                <w:rFonts w:asciiTheme="majorBidi" w:hAnsiTheme="majorBidi" w:cstheme="majorBidi"/>
              </w:rPr>
            </w:pPr>
            <w:r w:rsidRPr="004F735C">
              <w:rPr>
                <w:rFonts w:asciiTheme="majorBidi" w:hAnsiTheme="majorBidi" w:cstheme="majorBidi"/>
              </w:rPr>
              <w:t>-0.442*</w:t>
            </w:r>
          </w:p>
        </w:tc>
        <w:tc>
          <w:tcPr>
            <w:tcW w:w="0" w:type="auto"/>
            <w:tcBorders>
              <w:top w:val="nil"/>
              <w:bottom w:val="nil"/>
            </w:tcBorders>
            <w:tcMar>
              <w:top w:w="0" w:type="dxa"/>
              <w:left w:w="115" w:type="dxa"/>
              <w:bottom w:w="0" w:type="dxa"/>
              <w:right w:w="115" w:type="dxa"/>
            </w:tcMar>
            <w:hideMark/>
          </w:tcPr>
          <w:p w14:paraId="20F5496D" w14:textId="77777777" w:rsidR="00C033B5" w:rsidRPr="004F735C" w:rsidRDefault="00C033B5" w:rsidP="00C033B5">
            <w:pPr>
              <w:rPr>
                <w:rFonts w:asciiTheme="majorBidi" w:hAnsiTheme="majorBidi" w:cstheme="majorBidi"/>
              </w:rPr>
            </w:pPr>
            <w:r w:rsidRPr="004F735C">
              <w:rPr>
                <w:rFonts w:asciiTheme="majorBidi" w:hAnsiTheme="majorBidi" w:cstheme="majorBidi"/>
              </w:rPr>
              <w:t>0.131*</w:t>
            </w:r>
          </w:p>
        </w:tc>
        <w:tc>
          <w:tcPr>
            <w:tcW w:w="0" w:type="auto"/>
            <w:tcBorders>
              <w:top w:val="nil"/>
              <w:bottom w:val="nil"/>
            </w:tcBorders>
            <w:tcMar>
              <w:top w:w="0" w:type="dxa"/>
              <w:left w:w="115" w:type="dxa"/>
              <w:bottom w:w="0" w:type="dxa"/>
              <w:right w:w="115" w:type="dxa"/>
            </w:tcMar>
            <w:hideMark/>
          </w:tcPr>
          <w:p w14:paraId="7D0EA2D3" w14:textId="77777777" w:rsidR="00C033B5" w:rsidRPr="004F735C" w:rsidRDefault="00C033B5" w:rsidP="00C033B5">
            <w:pPr>
              <w:rPr>
                <w:rFonts w:asciiTheme="majorBidi" w:hAnsiTheme="majorBidi" w:cstheme="majorBidi"/>
              </w:rPr>
            </w:pPr>
            <w:r w:rsidRPr="004F735C">
              <w:rPr>
                <w:rFonts w:asciiTheme="majorBidi" w:hAnsiTheme="majorBidi" w:cstheme="majorBidi"/>
              </w:rPr>
              <w:t>-0.651*</w:t>
            </w:r>
          </w:p>
        </w:tc>
        <w:tc>
          <w:tcPr>
            <w:tcW w:w="0" w:type="auto"/>
            <w:tcBorders>
              <w:top w:val="nil"/>
              <w:bottom w:val="nil"/>
            </w:tcBorders>
            <w:tcMar>
              <w:top w:w="0" w:type="dxa"/>
              <w:left w:w="115" w:type="dxa"/>
              <w:bottom w:w="0" w:type="dxa"/>
              <w:right w:w="115" w:type="dxa"/>
            </w:tcMar>
            <w:hideMark/>
          </w:tcPr>
          <w:p w14:paraId="35897CC0" w14:textId="77777777" w:rsidR="00C033B5" w:rsidRPr="004F735C" w:rsidRDefault="00C033B5" w:rsidP="00C033B5">
            <w:pPr>
              <w:rPr>
                <w:rFonts w:asciiTheme="majorBidi" w:hAnsiTheme="majorBidi" w:cstheme="majorBidi"/>
              </w:rPr>
            </w:pPr>
            <w:r w:rsidRPr="004F735C">
              <w:rPr>
                <w:rFonts w:asciiTheme="majorBidi" w:hAnsiTheme="majorBidi" w:cstheme="majorBidi"/>
              </w:rPr>
              <w:t>-0.465*</w:t>
            </w:r>
          </w:p>
        </w:tc>
        <w:tc>
          <w:tcPr>
            <w:tcW w:w="0" w:type="auto"/>
            <w:tcBorders>
              <w:top w:val="nil"/>
              <w:bottom w:val="nil"/>
            </w:tcBorders>
            <w:tcMar>
              <w:top w:w="0" w:type="dxa"/>
              <w:left w:w="115" w:type="dxa"/>
              <w:bottom w:w="0" w:type="dxa"/>
              <w:right w:w="115" w:type="dxa"/>
            </w:tcMar>
            <w:hideMark/>
          </w:tcPr>
          <w:p w14:paraId="7683B494"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35B38202"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428F6476"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120DE5A0"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3A2EEE09" w14:textId="77777777" w:rsidR="00C033B5" w:rsidRPr="004F735C" w:rsidRDefault="00C033B5" w:rsidP="00C033B5">
            <w:pPr>
              <w:rPr>
                <w:rFonts w:asciiTheme="majorBidi" w:hAnsiTheme="majorBidi" w:cstheme="majorBidi"/>
              </w:rPr>
            </w:pPr>
          </w:p>
        </w:tc>
      </w:tr>
      <w:tr w:rsidR="00C033B5" w:rsidRPr="004F735C" w14:paraId="1C70E304" w14:textId="77777777" w:rsidTr="004F735C">
        <w:trPr>
          <w:trHeight w:val="20"/>
        </w:trPr>
        <w:tc>
          <w:tcPr>
            <w:tcW w:w="0" w:type="auto"/>
            <w:tcBorders>
              <w:top w:val="nil"/>
              <w:bottom w:val="nil"/>
            </w:tcBorders>
            <w:tcMar>
              <w:top w:w="0" w:type="dxa"/>
              <w:left w:w="115" w:type="dxa"/>
              <w:bottom w:w="0" w:type="dxa"/>
              <w:right w:w="115" w:type="dxa"/>
            </w:tcMar>
            <w:hideMark/>
          </w:tcPr>
          <w:p w14:paraId="72883B43" w14:textId="77777777" w:rsidR="00C033B5" w:rsidRPr="004F735C" w:rsidRDefault="00C033B5" w:rsidP="00C033B5">
            <w:pPr>
              <w:rPr>
                <w:rFonts w:asciiTheme="majorBidi" w:hAnsiTheme="majorBidi" w:cstheme="majorBidi"/>
              </w:rPr>
            </w:pPr>
            <w:r w:rsidRPr="004F735C">
              <w:rPr>
                <w:rFonts w:asciiTheme="majorBidi" w:hAnsiTheme="majorBidi" w:cstheme="majorBidi"/>
              </w:rPr>
              <w:t>Age</w:t>
            </w:r>
          </w:p>
        </w:tc>
        <w:tc>
          <w:tcPr>
            <w:tcW w:w="0" w:type="auto"/>
            <w:tcBorders>
              <w:top w:val="nil"/>
              <w:bottom w:val="nil"/>
            </w:tcBorders>
            <w:tcMar>
              <w:top w:w="0" w:type="dxa"/>
              <w:left w:w="115" w:type="dxa"/>
              <w:bottom w:w="0" w:type="dxa"/>
              <w:right w:w="115" w:type="dxa"/>
            </w:tcMar>
            <w:hideMark/>
          </w:tcPr>
          <w:p w14:paraId="6F566E60" w14:textId="77777777" w:rsidR="00C033B5" w:rsidRPr="004F735C" w:rsidRDefault="00C033B5" w:rsidP="00C033B5">
            <w:pPr>
              <w:rPr>
                <w:rFonts w:asciiTheme="majorBidi" w:hAnsiTheme="majorBidi" w:cstheme="majorBidi"/>
              </w:rPr>
            </w:pPr>
            <w:r w:rsidRPr="004F735C">
              <w:rPr>
                <w:rFonts w:asciiTheme="majorBidi" w:hAnsiTheme="majorBidi" w:cstheme="majorBidi"/>
              </w:rPr>
              <w:t>-0.088*</w:t>
            </w:r>
          </w:p>
        </w:tc>
        <w:tc>
          <w:tcPr>
            <w:tcW w:w="0" w:type="auto"/>
            <w:tcBorders>
              <w:top w:val="nil"/>
              <w:bottom w:val="nil"/>
            </w:tcBorders>
            <w:tcMar>
              <w:top w:w="0" w:type="dxa"/>
              <w:left w:w="115" w:type="dxa"/>
              <w:bottom w:w="0" w:type="dxa"/>
              <w:right w:w="115" w:type="dxa"/>
            </w:tcMar>
            <w:hideMark/>
          </w:tcPr>
          <w:p w14:paraId="61D54E96" w14:textId="77777777" w:rsidR="00C033B5" w:rsidRPr="004F735C" w:rsidRDefault="00C033B5" w:rsidP="00C033B5">
            <w:pPr>
              <w:rPr>
                <w:rFonts w:asciiTheme="majorBidi" w:hAnsiTheme="majorBidi" w:cstheme="majorBidi"/>
              </w:rPr>
            </w:pPr>
            <w:r w:rsidRPr="004F735C">
              <w:rPr>
                <w:rFonts w:asciiTheme="majorBidi" w:hAnsiTheme="majorBidi" w:cstheme="majorBidi"/>
              </w:rPr>
              <w:t>-0.051*</w:t>
            </w:r>
          </w:p>
        </w:tc>
        <w:tc>
          <w:tcPr>
            <w:tcW w:w="0" w:type="auto"/>
            <w:tcBorders>
              <w:top w:val="nil"/>
              <w:bottom w:val="nil"/>
            </w:tcBorders>
            <w:tcMar>
              <w:top w:w="0" w:type="dxa"/>
              <w:left w:w="115" w:type="dxa"/>
              <w:bottom w:w="0" w:type="dxa"/>
              <w:right w:w="115" w:type="dxa"/>
            </w:tcMar>
            <w:hideMark/>
          </w:tcPr>
          <w:p w14:paraId="4F34B81E" w14:textId="77777777" w:rsidR="00C033B5" w:rsidRPr="004F735C" w:rsidRDefault="00C033B5" w:rsidP="00C033B5">
            <w:pPr>
              <w:rPr>
                <w:rFonts w:asciiTheme="majorBidi" w:hAnsiTheme="majorBidi" w:cstheme="majorBidi"/>
              </w:rPr>
            </w:pPr>
            <w:r w:rsidRPr="004F735C">
              <w:rPr>
                <w:rFonts w:asciiTheme="majorBidi" w:hAnsiTheme="majorBidi" w:cstheme="majorBidi"/>
              </w:rPr>
              <w:t>0.123*</w:t>
            </w:r>
          </w:p>
        </w:tc>
        <w:tc>
          <w:tcPr>
            <w:tcW w:w="0" w:type="auto"/>
            <w:tcBorders>
              <w:top w:val="nil"/>
              <w:bottom w:val="nil"/>
            </w:tcBorders>
            <w:tcMar>
              <w:top w:w="0" w:type="dxa"/>
              <w:left w:w="115" w:type="dxa"/>
              <w:bottom w:w="0" w:type="dxa"/>
              <w:right w:w="115" w:type="dxa"/>
            </w:tcMar>
            <w:hideMark/>
          </w:tcPr>
          <w:p w14:paraId="348838C1" w14:textId="77777777" w:rsidR="00C033B5" w:rsidRPr="004F735C" w:rsidRDefault="00C033B5" w:rsidP="00C033B5">
            <w:pPr>
              <w:rPr>
                <w:rFonts w:asciiTheme="majorBidi" w:hAnsiTheme="majorBidi" w:cstheme="majorBidi"/>
              </w:rPr>
            </w:pPr>
            <w:r w:rsidRPr="004F735C">
              <w:rPr>
                <w:rFonts w:asciiTheme="majorBidi" w:hAnsiTheme="majorBidi" w:cstheme="majorBidi"/>
              </w:rPr>
              <w:t>-0.517*</w:t>
            </w:r>
          </w:p>
        </w:tc>
        <w:tc>
          <w:tcPr>
            <w:tcW w:w="0" w:type="auto"/>
            <w:tcBorders>
              <w:top w:val="nil"/>
              <w:bottom w:val="nil"/>
            </w:tcBorders>
            <w:tcMar>
              <w:top w:w="0" w:type="dxa"/>
              <w:left w:w="115" w:type="dxa"/>
              <w:bottom w:w="0" w:type="dxa"/>
              <w:right w:w="115" w:type="dxa"/>
            </w:tcMar>
            <w:hideMark/>
          </w:tcPr>
          <w:p w14:paraId="68F6267E" w14:textId="77777777" w:rsidR="00C033B5" w:rsidRPr="004F735C" w:rsidRDefault="00C033B5" w:rsidP="00C033B5">
            <w:pPr>
              <w:rPr>
                <w:rFonts w:asciiTheme="majorBidi" w:hAnsiTheme="majorBidi" w:cstheme="majorBidi"/>
              </w:rPr>
            </w:pPr>
            <w:r w:rsidRPr="004F735C">
              <w:rPr>
                <w:rFonts w:asciiTheme="majorBidi" w:hAnsiTheme="majorBidi" w:cstheme="majorBidi"/>
              </w:rPr>
              <w:t>0.688*</w:t>
            </w:r>
          </w:p>
        </w:tc>
        <w:tc>
          <w:tcPr>
            <w:tcW w:w="0" w:type="auto"/>
            <w:tcBorders>
              <w:top w:val="nil"/>
              <w:bottom w:val="nil"/>
            </w:tcBorders>
            <w:tcMar>
              <w:top w:w="0" w:type="dxa"/>
              <w:left w:w="115" w:type="dxa"/>
              <w:bottom w:w="0" w:type="dxa"/>
              <w:right w:w="115" w:type="dxa"/>
            </w:tcMar>
            <w:hideMark/>
          </w:tcPr>
          <w:p w14:paraId="462F9C92" w14:textId="77777777" w:rsidR="00C033B5" w:rsidRPr="004F735C" w:rsidRDefault="00C033B5" w:rsidP="00C033B5">
            <w:pPr>
              <w:rPr>
                <w:rFonts w:asciiTheme="majorBidi" w:hAnsiTheme="majorBidi" w:cstheme="majorBidi"/>
              </w:rPr>
            </w:pPr>
            <w:r w:rsidRPr="004F735C">
              <w:rPr>
                <w:rFonts w:asciiTheme="majorBidi" w:hAnsiTheme="majorBidi" w:cstheme="majorBidi"/>
              </w:rPr>
              <w:t>-0.048*</w:t>
            </w:r>
          </w:p>
        </w:tc>
        <w:tc>
          <w:tcPr>
            <w:tcW w:w="0" w:type="auto"/>
            <w:tcBorders>
              <w:top w:val="nil"/>
              <w:bottom w:val="nil"/>
            </w:tcBorders>
            <w:tcMar>
              <w:top w:w="0" w:type="dxa"/>
              <w:left w:w="115" w:type="dxa"/>
              <w:bottom w:w="0" w:type="dxa"/>
              <w:right w:w="115" w:type="dxa"/>
            </w:tcMar>
            <w:hideMark/>
          </w:tcPr>
          <w:p w14:paraId="2B965CFD" w14:textId="77777777" w:rsidR="00C033B5" w:rsidRPr="004F735C" w:rsidRDefault="00C033B5" w:rsidP="00C033B5">
            <w:pPr>
              <w:rPr>
                <w:rFonts w:asciiTheme="majorBidi" w:hAnsiTheme="majorBidi" w:cstheme="majorBidi"/>
              </w:rPr>
            </w:pPr>
            <w:r w:rsidRPr="004F735C">
              <w:rPr>
                <w:rFonts w:asciiTheme="majorBidi" w:hAnsiTheme="majorBidi" w:cstheme="majorBidi"/>
              </w:rPr>
              <w:t>0.389*</w:t>
            </w:r>
          </w:p>
        </w:tc>
        <w:tc>
          <w:tcPr>
            <w:tcW w:w="0" w:type="auto"/>
            <w:tcBorders>
              <w:top w:val="nil"/>
              <w:bottom w:val="nil"/>
            </w:tcBorders>
            <w:tcMar>
              <w:top w:w="0" w:type="dxa"/>
              <w:left w:w="115" w:type="dxa"/>
              <w:bottom w:w="0" w:type="dxa"/>
              <w:right w:w="115" w:type="dxa"/>
            </w:tcMar>
            <w:hideMark/>
          </w:tcPr>
          <w:p w14:paraId="427A287B" w14:textId="77777777" w:rsidR="00C033B5" w:rsidRPr="004F735C" w:rsidRDefault="00C033B5" w:rsidP="00C033B5">
            <w:pPr>
              <w:rPr>
                <w:rFonts w:asciiTheme="majorBidi" w:hAnsiTheme="majorBidi" w:cstheme="majorBidi"/>
              </w:rPr>
            </w:pPr>
            <w:r w:rsidRPr="004F735C">
              <w:rPr>
                <w:rFonts w:asciiTheme="majorBidi" w:hAnsiTheme="majorBidi" w:cstheme="majorBidi"/>
              </w:rPr>
              <w:t>0.312*</w:t>
            </w:r>
          </w:p>
        </w:tc>
        <w:tc>
          <w:tcPr>
            <w:tcW w:w="0" w:type="auto"/>
            <w:tcBorders>
              <w:top w:val="nil"/>
              <w:bottom w:val="nil"/>
            </w:tcBorders>
            <w:tcMar>
              <w:top w:w="0" w:type="dxa"/>
              <w:left w:w="115" w:type="dxa"/>
              <w:bottom w:w="0" w:type="dxa"/>
              <w:right w:w="115" w:type="dxa"/>
            </w:tcMar>
            <w:hideMark/>
          </w:tcPr>
          <w:p w14:paraId="636FD6F7"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-0.715*</w:t>
            </w:r>
          </w:p>
        </w:tc>
        <w:tc>
          <w:tcPr>
            <w:tcW w:w="0" w:type="auto"/>
            <w:tcBorders>
              <w:top w:val="nil"/>
              <w:bottom w:val="nil"/>
            </w:tcBorders>
            <w:tcMar>
              <w:top w:w="0" w:type="dxa"/>
              <w:left w:w="115" w:type="dxa"/>
              <w:bottom w:w="0" w:type="dxa"/>
              <w:right w:w="115" w:type="dxa"/>
            </w:tcMar>
            <w:hideMark/>
          </w:tcPr>
          <w:p w14:paraId="5496AB3B"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3333C6AF"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6459EFA7"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694BCFD4" w14:textId="77777777" w:rsidR="00C033B5" w:rsidRPr="004F735C" w:rsidRDefault="00C033B5" w:rsidP="00C033B5">
            <w:pPr>
              <w:rPr>
                <w:rFonts w:asciiTheme="majorBidi" w:hAnsiTheme="majorBidi" w:cstheme="majorBidi"/>
              </w:rPr>
            </w:pPr>
          </w:p>
        </w:tc>
      </w:tr>
      <w:tr w:rsidR="00C033B5" w:rsidRPr="004F735C" w14:paraId="3B6E97CF" w14:textId="77777777" w:rsidTr="004F735C">
        <w:trPr>
          <w:trHeight w:val="20"/>
        </w:trPr>
        <w:tc>
          <w:tcPr>
            <w:tcW w:w="0" w:type="auto"/>
            <w:tcBorders>
              <w:top w:val="nil"/>
              <w:bottom w:val="nil"/>
            </w:tcBorders>
            <w:tcMar>
              <w:top w:w="0" w:type="dxa"/>
              <w:left w:w="115" w:type="dxa"/>
              <w:bottom w:w="0" w:type="dxa"/>
              <w:right w:w="115" w:type="dxa"/>
            </w:tcMar>
            <w:hideMark/>
          </w:tcPr>
          <w:p w14:paraId="31C1D29E"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Loanport</w:t>
            </w:r>
            <w:proofErr w:type="spellEnd"/>
          </w:p>
        </w:tc>
        <w:tc>
          <w:tcPr>
            <w:tcW w:w="0" w:type="auto"/>
            <w:tcBorders>
              <w:top w:val="nil"/>
              <w:bottom w:val="nil"/>
            </w:tcBorders>
            <w:tcMar>
              <w:top w:w="0" w:type="dxa"/>
              <w:left w:w="115" w:type="dxa"/>
              <w:bottom w:w="0" w:type="dxa"/>
              <w:right w:w="115" w:type="dxa"/>
            </w:tcMar>
            <w:hideMark/>
          </w:tcPr>
          <w:p w14:paraId="73B9B9C8" w14:textId="77777777" w:rsidR="00C033B5" w:rsidRPr="004F735C" w:rsidRDefault="00C033B5" w:rsidP="00C033B5">
            <w:pPr>
              <w:rPr>
                <w:rFonts w:asciiTheme="majorBidi" w:hAnsiTheme="majorBidi" w:cstheme="majorBidi"/>
              </w:rPr>
            </w:pPr>
            <w:r w:rsidRPr="004F735C">
              <w:rPr>
                <w:rFonts w:asciiTheme="majorBidi" w:hAnsiTheme="majorBidi" w:cstheme="majorBidi"/>
              </w:rPr>
              <w:t>-0.130*</w:t>
            </w:r>
          </w:p>
        </w:tc>
        <w:tc>
          <w:tcPr>
            <w:tcW w:w="0" w:type="auto"/>
            <w:tcBorders>
              <w:top w:val="nil"/>
              <w:bottom w:val="nil"/>
            </w:tcBorders>
            <w:tcMar>
              <w:top w:w="0" w:type="dxa"/>
              <w:left w:w="115" w:type="dxa"/>
              <w:bottom w:w="0" w:type="dxa"/>
              <w:right w:w="115" w:type="dxa"/>
            </w:tcMar>
            <w:hideMark/>
          </w:tcPr>
          <w:p w14:paraId="37192B50" w14:textId="77777777" w:rsidR="00C033B5" w:rsidRPr="004F735C" w:rsidRDefault="00C033B5" w:rsidP="00C033B5">
            <w:pPr>
              <w:rPr>
                <w:rFonts w:asciiTheme="majorBidi" w:hAnsiTheme="majorBidi" w:cstheme="majorBidi"/>
              </w:rPr>
            </w:pPr>
            <w:r w:rsidRPr="004F735C">
              <w:rPr>
                <w:rFonts w:asciiTheme="majorBidi" w:hAnsiTheme="majorBidi" w:cstheme="majorBidi"/>
              </w:rPr>
              <w:t>-0.042*</w:t>
            </w:r>
          </w:p>
        </w:tc>
        <w:tc>
          <w:tcPr>
            <w:tcW w:w="0" w:type="auto"/>
            <w:tcBorders>
              <w:top w:val="nil"/>
              <w:bottom w:val="nil"/>
            </w:tcBorders>
            <w:tcMar>
              <w:top w:w="0" w:type="dxa"/>
              <w:left w:w="115" w:type="dxa"/>
              <w:bottom w:w="0" w:type="dxa"/>
              <w:right w:w="115" w:type="dxa"/>
            </w:tcMar>
            <w:hideMark/>
          </w:tcPr>
          <w:p w14:paraId="5B9F6710" w14:textId="77777777" w:rsidR="00C033B5" w:rsidRPr="004F735C" w:rsidRDefault="00C033B5" w:rsidP="00C033B5">
            <w:pPr>
              <w:rPr>
                <w:rFonts w:asciiTheme="majorBidi" w:hAnsiTheme="majorBidi" w:cstheme="majorBidi"/>
              </w:rPr>
            </w:pPr>
            <w:r w:rsidRPr="004F735C">
              <w:rPr>
                <w:rFonts w:asciiTheme="majorBidi" w:hAnsiTheme="majorBidi" w:cstheme="majorBidi"/>
              </w:rPr>
              <w:t>0.090*</w:t>
            </w:r>
          </w:p>
        </w:tc>
        <w:tc>
          <w:tcPr>
            <w:tcW w:w="0" w:type="auto"/>
            <w:tcBorders>
              <w:top w:val="nil"/>
              <w:bottom w:val="nil"/>
            </w:tcBorders>
            <w:tcMar>
              <w:top w:w="0" w:type="dxa"/>
              <w:left w:w="115" w:type="dxa"/>
              <w:bottom w:w="0" w:type="dxa"/>
              <w:right w:w="115" w:type="dxa"/>
            </w:tcMar>
            <w:hideMark/>
          </w:tcPr>
          <w:p w14:paraId="0D41CA33" w14:textId="77777777" w:rsidR="00C033B5" w:rsidRPr="004F735C" w:rsidRDefault="00C033B5" w:rsidP="00C033B5">
            <w:pPr>
              <w:rPr>
                <w:rFonts w:asciiTheme="majorBidi" w:hAnsiTheme="majorBidi" w:cstheme="majorBidi"/>
              </w:rPr>
            </w:pPr>
            <w:r w:rsidRPr="004F735C">
              <w:rPr>
                <w:rFonts w:asciiTheme="majorBidi" w:hAnsiTheme="majorBidi" w:cstheme="majorBidi"/>
              </w:rPr>
              <w:t>-0.510*</w:t>
            </w:r>
          </w:p>
        </w:tc>
        <w:tc>
          <w:tcPr>
            <w:tcW w:w="0" w:type="auto"/>
            <w:tcBorders>
              <w:top w:val="nil"/>
              <w:bottom w:val="nil"/>
            </w:tcBorders>
            <w:tcMar>
              <w:top w:w="0" w:type="dxa"/>
              <w:left w:w="115" w:type="dxa"/>
              <w:bottom w:w="0" w:type="dxa"/>
              <w:right w:w="115" w:type="dxa"/>
            </w:tcMar>
            <w:hideMark/>
          </w:tcPr>
          <w:p w14:paraId="2FF6C3E5" w14:textId="77777777" w:rsidR="00C033B5" w:rsidRPr="004F735C" w:rsidRDefault="00C033B5" w:rsidP="00C033B5">
            <w:pPr>
              <w:rPr>
                <w:rFonts w:asciiTheme="majorBidi" w:hAnsiTheme="majorBidi" w:cstheme="majorBidi"/>
              </w:rPr>
            </w:pPr>
            <w:r w:rsidRPr="004F735C">
              <w:rPr>
                <w:rFonts w:asciiTheme="majorBidi" w:hAnsiTheme="majorBidi" w:cstheme="majorBidi"/>
              </w:rPr>
              <w:t>0.579*</w:t>
            </w:r>
          </w:p>
        </w:tc>
        <w:tc>
          <w:tcPr>
            <w:tcW w:w="0" w:type="auto"/>
            <w:tcBorders>
              <w:top w:val="nil"/>
              <w:bottom w:val="nil"/>
            </w:tcBorders>
            <w:tcMar>
              <w:top w:w="0" w:type="dxa"/>
              <w:left w:w="115" w:type="dxa"/>
              <w:bottom w:w="0" w:type="dxa"/>
              <w:right w:w="115" w:type="dxa"/>
            </w:tcMar>
            <w:hideMark/>
          </w:tcPr>
          <w:p w14:paraId="28C5F8F7" w14:textId="77777777" w:rsidR="00C033B5" w:rsidRPr="004F735C" w:rsidRDefault="00C033B5" w:rsidP="00C033B5">
            <w:pPr>
              <w:rPr>
                <w:rFonts w:asciiTheme="majorBidi" w:hAnsiTheme="majorBidi" w:cstheme="majorBidi"/>
              </w:rPr>
            </w:pPr>
            <w:r w:rsidRPr="004F735C">
              <w:rPr>
                <w:rFonts w:asciiTheme="majorBidi" w:hAnsiTheme="majorBidi" w:cstheme="majorBidi"/>
              </w:rPr>
              <w:t>-0.148*</w:t>
            </w:r>
          </w:p>
        </w:tc>
        <w:tc>
          <w:tcPr>
            <w:tcW w:w="0" w:type="auto"/>
            <w:tcBorders>
              <w:top w:val="nil"/>
              <w:bottom w:val="nil"/>
            </w:tcBorders>
            <w:tcMar>
              <w:top w:w="0" w:type="dxa"/>
              <w:left w:w="115" w:type="dxa"/>
              <w:bottom w:w="0" w:type="dxa"/>
              <w:right w:w="115" w:type="dxa"/>
            </w:tcMar>
            <w:hideMark/>
          </w:tcPr>
          <w:p w14:paraId="4DECEE3A" w14:textId="77777777" w:rsidR="00C033B5" w:rsidRPr="004F735C" w:rsidRDefault="00C033B5" w:rsidP="00C033B5">
            <w:pPr>
              <w:rPr>
                <w:rFonts w:asciiTheme="majorBidi" w:hAnsiTheme="majorBidi" w:cstheme="majorBidi"/>
              </w:rPr>
            </w:pPr>
            <w:r w:rsidRPr="004F735C">
              <w:rPr>
                <w:rFonts w:asciiTheme="majorBidi" w:hAnsiTheme="majorBidi" w:cstheme="majorBidi"/>
              </w:rPr>
              <w:t>0.011*</w:t>
            </w:r>
          </w:p>
        </w:tc>
        <w:tc>
          <w:tcPr>
            <w:tcW w:w="0" w:type="auto"/>
            <w:tcBorders>
              <w:top w:val="nil"/>
              <w:bottom w:val="nil"/>
            </w:tcBorders>
            <w:tcMar>
              <w:top w:w="0" w:type="dxa"/>
              <w:left w:w="115" w:type="dxa"/>
              <w:bottom w:w="0" w:type="dxa"/>
              <w:right w:w="115" w:type="dxa"/>
            </w:tcMar>
            <w:hideMark/>
          </w:tcPr>
          <w:p w14:paraId="157C0063" w14:textId="77777777" w:rsidR="00C033B5" w:rsidRPr="004F735C" w:rsidRDefault="00C033B5" w:rsidP="00C033B5">
            <w:pPr>
              <w:rPr>
                <w:rFonts w:asciiTheme="majorBidi" w:hAnsiTheme="majorBidi" w:cstheme="majorBidi"/>
              </w:rPr>
            </w:pPr>
            <w:r w:rsidRPr="004F735C">
              <w:rPr>
                <w:rFonts w:asciiTheme="majorBidi" w:hAnsiTheme="majorBidi" w:cstheme="majorBidi"/>
              </w:rPr>
              <w:t>0.079*</w:t>
            </w:r>
          </w:p>
        </w:tc>
        <w:tc>
          <w:tcPr>
            <w:tcW w:w="0" w:type="auto"/>
            <w:tcBorders>
              <w:top w:val="nil"/>
              <w:bottom w:val="nil"/>
            </w:tcBorders>
            <w:tcMar>
              <w:top w:w="0" w:type="dxa"/>
              <w:left w:w="115" w:type="dxa"/>
              <w:bottom w:w="0" w:type="dxa"/>
              <w:right w:w="115" w:type="dxa"/>
            </w:tcMar>
            <w:hideMark/>
          </w:tcPr>
          <w:p w14:paraId="51279D39" w14:textId="77777777" w:rsidR="00C033B5" w:rsidRPr="004F735C" w:rsidRDefault="00C033B5" w:rsidP="00C033B5">
            <w:pPr>
              <w:rPr>
                <w:rFonts w:asciiTheme="majorBidi" w:hAnsiTheme="majorBidi" w:cstheme="majorBidi"/>
              </w:rPr>
            </w:pPr>
            <w:r w:rsidRPr="004F735C">
              <w:rPr>
                <w:rFonts w:asciiTheme="majorBidi" w:hAnsiTheme="majorBidi" w:cstheme="majorBidi"/>
              </w:rPr>
              <w:t>-0.464*</w:t>
            </w:r>
          </w:p>
        </w:tc>
        <w:tc>
          <w:tcPr>
            <w:tcW w:w="0" w:type="auto"/>
            <w:tcBorders>
              <w:top w:val="nil"/>
              <w:bottom w:val="nil"/>
            </w:tcBorders>
            <w:tcMar>
              <w:top w:w="0" w:type="dxa"/>
              <w:left w:w="115" w:type="dxa"/>
              <w:bottom w:w="0" w:type="dxa"/>
              <w:right w:w="115" w:type="dxa"/>
            </w:tcMar>
            <w:hideMark/>
          </w:tcPr>
          <w:p w14:paraId="77C76394" w14:textId="77777777" w:rsidR="00C033B5" w:rsidRPr="004F735C" w:rsidRDefault="00C033B5" w:rsidP="00C033B5">
            <w:pPr>
              <w:rPr>
                <w:rFonts w:asciiTheme="majorBidi" w:hAnsiTheme="majorBidi" w:cstheme="majorBidi"/>
              </w:rPr>
            </w:pPr>
            <w:r w:rsidRPr="004F735C">
              <w:rPr>
                <w:rFonts w:asciiTheme="majorBidi" w:hAnsiTheme="majorBidi" w:cstheme="majorBidi"/>
              </w:rPr>
              <w:t>0.684*</w:t>
            </w:r>
          </w:p>
        </w:tc>
        <w:tc>
          <w:tcPr>
            <w:tcW w:w="0" w:type="auto"/>
            <w:tcBorders>
              <w:top w:val="nil"/>
              <w:bottom w:val="nil"/>
            </w:tcBorders>
            <w:tcMar>
              <w:top w:w="0" w:type="dxa"/>
              <w:left w:w="115" w:type="dxa"/>
              <w:bottom w:w="0" w:type="dxa"/>
              <w:right w:w="115" w:type="dxa"/>
            </w:tcMar>
            <w:hideMark/>
          </w:tcPr>
          <w:p w14:paraId="374416BB"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4A28E86A" w14:textId="77777777" w:rsidR="00C033B5" w:rsidRPr="004F735C" w:rsidRDefault="00C033B5" w:rsidP="00C033B5">
            <w:pPr>
              <w:rPr>
                <w:rFonts w:asciiTheme="majorBidi" w:hAnsiTheme="majorBidi" w:cstheme="majorBidi"/>
              </w:rPr>
            </w:pPr>
          </w:p>
        </w:tc>
        <w:tc>
          <w:tcPr>
            <w:tcW w:w="0" w:type="auto"/>
            <w:tcBorders>
              <w:top w:val="nil"/>
              <w:bottom w:val="nil"/>
            </w:tcBorders>
            <w:tcMar>
              <w:top w:w="0" w:type="dxa"/>
              <w:left w:w="115" w:type="dxa"/>
              <w:bottom w:w="0" w:type="dxa"/>
              <w:right w:w="115" w:type="dxa"/>
            </w:tcMar>
            <w:hideMark/>
          </w:tcPr>
          <w:p w14:paraId="1E68F43D" w14:textId="77777777" w:rsidR="00C033B5" w:rsidRPr="004F735C" w:rsidRDefault="00C033B5" w:rsidP="00C033B5">
            <w:pPr>
              <w:rPr>
                <w:rFonts w:asciiTheme="majorBidi" w:hAnsiTheme="majorBidi" w:cstheme="majorBidi"/>
              </w:rPr>
            </w:pPr>
          </w:p>
        </w:tc>
      </w:tr>
      <w:tr w:rsidR="00C033B5" w:rsidRPr="004F735C" w14:paraId="678C9C69" w14:textId="77777777" w:rsidTr="004F735C">
        <w:trPr>
          <w:trHeight w:val="20"/>
        </w:trPr>
        <w:tc>
          <w:tcPr>
            <w:tcW w:w="0" w:type="auto"/>
            <w:tcBorders>
              <w:top w:val="nil"/>
              <w:bottom w:val="nil"/>
            </w:tcBorders>
            <w:tcMar>
              <w:top w:w="0" w:type="dxa"/>
              <w:left w:w="115" w:type="dxa"/>
              <w:bottom w:w="0" w:type="dxa"/>
              <w:right w:w="115" w:type="dxa"/>
            </w:tcMar>
            <w:hideMark/>
          </w:tcPr>
          <w:p w14:paraId="1CC2BD43"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Unemplymt</w:t>
            </w:r>
            <w:proofErr w:type="spellEnd"/>
          </w:p>
        </w:tc>
        <w:tc>
          <w:tcPr>
            <w:tcW w:w="0" w:type="auto"/>
            <w:tcBorders>
              <w:top w:val="nil"/>
              <w:bottom w:val="nil"/>
            </w:tcBorders>
            <w:tcMar>
              <w:top w:w="0" w:type="dxa"/>
              <w:left w:w="115" w:type="dxa"/>
              <w:bottom w:w="0" w:type="dxa"/>
              <w:right w:w="115" w:type="dxa"/>
            </w:tcMar>
            <w:hideMark/>
          </w:tcPr>
          <w:p w14:paraId="75E37DBE" w14:textId="77777777" w:rsidR="00C033B5" w:rsidRPr="004F735C" w:rsidRDefault="00C033B5" w:rsidP="00C033B5">
            <w:pPr>
              <w:rPr>
                <w:rFonts w:asciiTheme="majorBidi" w:hAnsiTheme="majorBidi" w:cstheme="majorBidi"/>
              </w:rPr>
            </w:pPr>
            <w:r w:rsidRPr="004F735C">
              <w:rPr>
                <w:rFonts w:asciiTheme="majorBidi" w:hAnsiTheme="majorBidi" w:cstheme="majorBidi"/>
              </w:rPr>
              <w:t>-0.221*</w:t>
            </w:r>
          </w:p>
        </w:tc>
        <w:tc>
          <w:tcPr>
            <w:tcW w:w="0" w:type="auto"/>
            <w:tcBorders>
              <w:top w:val="nil"/>
              <w:bottom w:val="nil"/>
            </w:tcBorders>
            <w:tcMar>
              <w:top w:w="0" w:type="dxa"/>
              <w:left w:w="115" w:type="dxa"/>
              <w:bottom w:w="0" w:type="dxa"/>
              <w:right w:w="115" w:type="dxa"/>
            </w:tcMar>
            <w:hideMark/>
          </w:tcPr>
          <w:p w14:paraId="335BCA06"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w:t>
            </w:r>
          </w:p>
        </w:tc>
        <w:tc>
          <w:tcPr>
            <w:tcW w:w="0" w:type="auto"/>
            <w:tcBorders>
              <w:top w:val="nil"/>
              <w:bottom w:val="nil"/>
            </w:tcBorders>
            <w:tcMar>
              <w:top w:w="0" w:type="dxa"/>
              <w:left w:w="115" w:type="dxa"/>
              <w:bottom w:w="0" w:type="dxa"/>
              <w:right w:w="115" w:type="dxa"/>
            </w:tcMar>
            <w:hideMark/>
          </w:tcPr>
          <w:p w14:paraId="63622683" w14:textId="77777777" w:rsidR="00C033B5" w:rsidRPr="004F735C" w:rsidRDefault="00C033B5" w:rsidP="00C033B5">
            <w:pPr>
              <w:rPr>
                <w:rFonts w:asciiTheme="majorBidi" w:hAnsiTheme="majorBidi" w:cstheme="majorBidi"/>
              </w:rPr>
            </w:pPr>
            <w:r w:rsidRPr="004F735C">
              <w:rPr>
                <w:rFonts w:asciiTheme="majorBidi" w:hAnsiTheme="majorBidi" w:cstheme="majorBidi"/>
              </w:rPr>
              <w:t>-0.089*</w:t>
            </w:r>
          </w:p>
        </w:tc>
        <w:tc>
          <w:tcPr>
            <w:tcW w:w="0" w:type="auto"/>
            <w:tcBorders>
              <w:top w:val="nil"/>
              <w:bottom w:val="nil"/>
            </w:tcBorders>
            <w:tcMar>
              <w:top w:w="0" w:type="dxa"/>
              <w:left w:w="115" w:type="dxa"/>
              <w:bottom w:w="0" w:type="dxa"/>
              <w:right w:w="115" w:type="dxa"/>
            </w:tcMar>
            <w:hideMark/>
          </w:tcPr>
          <w:p w14:paraId="476C63BB" w14:textId="77777777" w:rsidR="00C033B5" w:rsidRPr="004F735C" w:rsidRDefault="00C033B5" w:rsidP="00C033B5">
            <w:pPr>
              <w:rPr>
                <w:rFonts w:asciiTheme="majorBidi" w:hAnsiTheme="majorBidi" w:cstheme="majorBidi"/>
              </w:rPr>
            </w:pPr>
            <w:r w:rsidRPr="004F735C">
              <w:rPr>
                <w:rFonts w:asciiTheme="majorBidi" w:hAnsiTheme="majorBidi" w:cstheme="majorBidi"/>
              </w:rPr>
              <w:t>-0.366*</w:t>
            </w:r>
          </w:p>
        </w:tc>
        <w:tc>
          <w:tcPr>
            <w:tcW w:w="0" w:type="auto"/>
            <w:tcBorders>
              <w:top w:val="nil"/>
              <w:bottom w:val="nil"/>
            </w:tcBorders>
            <w:tcMar>
              <w:top w:w="0" w:type="dxa"/>
              <w:left w:w="115" w:type="dxa"/>
              <w:bottom w:w="0" w:type="dxa"/>
              <w:right w:w="115" w:type="dxa"/>
            </w:tcMar>
            <w:hideMark/>
          </w:tcPr>
          <w:p w14:paraId="243AC53E" w14:textId="77777777" w:rsidR="00C033B5" w:rsidRPr="004F735C" w:rsidRDefault="00C033B5" w:rsidP="00C033B5">
            <w:pPr>
              <w:rPr>
                <w:rFonts w:asciiTheme="majorBidi" w:hAnsiTheme="majorBidi" w:cstheme="majorBidi"/>
              </w:rPr>
            </w:pPr>
            <w:r w:rsidRPr="004F735C">
              <w:rPr>
                <w:rFonts w:asciiTheme="majorBidi" w:hAnsiTheme="majorBidi" w:cstheme="majorBidi"/>
              </w:rPr>
              <w:t>-0.339*</w:t>
            </w:r>
          </w:p>
        </w:tc>
        <w:tc>
          <w:tcPr>
            <w:tcW w:w="0" w:type="auto"/>
            <w:tcBorders>
              <w:top w:val="nil"/>
              <w:bottom w:val="nil"/>
            </w:tcBorders>
            <w:tcMar>
              <w:top w:w="0" w:type="dxa"/>
              <w:left w:w="115" w:type="dxa"/>
              <w:bottom w:w="0" w:type="dxa"/>
              <w:right w:w="115" w:type="dxa"/>
            </w:tcMar>
            <w:hideMark/>
          </w:tcPr>
          <w:p w14:paraId="7DAD99DC" w14:textId="77777777" w:rsidR="00C033B5" w:rsidRPr="004F735C" w:rsidRDefault="00C033B5" w:rsidP="00C033B5">
            <w:pPr>
              <w:rPr>
                <w:rFonts w:asciiTheme="majorBidi" w:hAnsiTheme="majorBidi" w:cstheme="majorBidi"/>
              </w:rPr>
            </w:pPr>
            <w:r w:rsidRPr="004F735C">
              <w:rPr>
                <w:rFonts w:asciiTheme="majorBidi" w:hAnsiTheme="majorBidi" w:cstheme="majorBidi"/>
              </w:rPr>
              <w:t>-0.169*</w:t>
            </w:r>
          </w:p>
        </w:tc>
        <w:tc>
          <w:tcPr>
            <w:tcW w:w="0" w:type="auto"/>
            <w:tcBorders>
              <w:top w:val="nil"/>
              <w:bottom w:val="nil"/>
            </w:tcBorders>
            <w:tcMar>
              <w:top w:w="0" w:type="dxa"/>
              <w:left w:w="115" w:type="dxa"/>
              <w:bottom w:w="0" w:type="dxa"/>
              <w:right w:w="115" w:type="dxa"/>
            </w:tcMar>
            <w:hideMark/>
          </w:tcPr>
          <w:p w14:paraId="07F491EC" w14:textId="77777777" w:rsidR="00C033B5" w:rsidRPr="004F735C" w:rsidRDefault="00C033B5" w:rsidP="00C033B5">
            <w:pPr>
              <w:rPr>
                <w:rFonts w:asciiTheme="majorBidi" w:hAnsiTheme="majorBidi" w:cstheme="majorBidi"/>
              </w:rPr>
            </w:pPr>
            <w:r w:rsidRPr="004F735C">
              <w:rPr>
                <w:rFonts w:asciiTheme="majorBidi" w:hAnsiTheme="majorBidi" w:cstheme="majorBidi"/>
              </w:rPr>
              <w:t>-0.451*</w:t>
            </w:r>
          </w:p>
        </w:tc>
        <w:tc>
          <w:tcPr>
            <w:tcW w:w="0" w:type="auto"/>
            <w:tcBorders>
              <w:top w:val="nil"/>
              <w:bottom w:val="nil"/>
            </w:tcBorders>
            <w:tcMar>
              <w:top w:w="0" w:type="dxa"/>
              <w:left w:w="115" w:type="dxa"/>
              <w:bottom w:w="0" w:type="dxa"/>
              <w:right w:w="115" w:type="dxa"/>
            </w:tcMar>
            <w:hideMark/>
          </w:tcPr>
          <w:p w14:paraId="4C8ECE18" w14:textId="77777777" w:rsidR="00C033B5" w:rsidRPr="004F735C" w:rsidRDefault="00C033B5" w:rsidP="00C033B5">
            <w:pPr>
              <w:rPr>
                <w:rFonts w:asciiTheme="majorBidi" w:hAnsiTheme="majorBidi" w:cstheme="majorBidi"/>
              </w:rPr>
            </w:pPr>
            <w:r w:rsidRPr="004F735C">
              <w:rPr>
                <w:rFonts w:asciiTheme="majorBidi" w:hAnsiTheme="majorBidi" w:cstheme="majorBidi"/>
              </w:rPr>
              <w:t>-0.105*</w:t>
            </w:r>
          </w:p>
        </w:tc>
        <w:tc>
          <w:tcPr>
            <w:tcW w:w="0" w:type="auto"/>
            <w:tcBorders>
              <w:top w:val="nil"/>
              <w:bottom w:val="nil"/>
            </w:tcBorders>
            <w:tcMar>
              <w:top w:w="0" w:type="dxa"/>
              <w:left w:w="115" w:type="dxa"/>
              <w:bottom w:w="0" w:type="dxa"/>
              <w:right w:w="115" w:type="dxa"/>
            </w:tcMar>
            <w:hideMark/>
          </w:tcPr>
          <w:p w14:paraId="1D8553E0" w14:textId="77777777" w:rsidR="00C033B5" w:rsidRPr="004F735C" w:rsidRDefault="00C033B5" w:rsidP="00C033B5">
            <w:pPr>
              <w:rPr>
                <w:rFonts w:asciiTheme="majorBidi" w:hAnsiTheme="majorBidi" w:cstheme="majorBidi"/>
              </w:rPr>
            </w:pPr>
            <w:r w:rsidRPr="004F735C">
              <w:rPr>
                <w:rFonts w:asciiTheme="majorBidi" w:hAnsiTheme="majorBidi" w:cstheme="majorBidi"/>
              </w:rPr>
              <w:t>0.375*</w:t>
            </w:r>
          </w:p>
        </w:tc>
        <w:tc>
          <w:tcPr>
            <w:tcW w:w="0" w:type="auto"/>
            <w:tcBorders>
              <w:top w:val="nil"/>
              <w:bottom w:val="nil"/>
            </w:tcBorders>
            <w:tcMar>
              <w:top w:w="0" w:type="dxa"/>
              <w:left w:w="115" w:type="dxa"/>
              <w:bottom w:w="0" w:type="dxa"/>
              <w:right w:w="115" w:type="dxa"/>
            </w:tcMar>
            <w:hideMark/>
          </w:tcPr>
          <w:p w14:paraId="1EEF7418" w14:textId="77777777" w:rsidR="00C033B5" w:rsidRPr="004F735C" w:rsidRDefault="00C033B5" w:rsidP="00C033B5">
            <w:pPr>
              <w:rPr>
                <w:rFonts w:asciiTheme="majorBidi" w:hAnsiTheme="majorBidi" w:cstheme="majorBidi"/>
              </w:rPr>
            </w:pPr>
            <w:r w:rsidRPr="004F735C">
              <w:rPr>
                <w:rFonts w:asciiTheme="majorBidi" w:hAnsiTheme="majorBidi" w:cstheme="majorBidi"/>
              </w:rPr>
              <w:t>-0.257*</w:t>
            </w:r>
          </w:p>
        </w:tc>
        <w:tc>
          <w:tcPr>
            <w:tcW w:w="0" w:type="auto"/>
            <w:tcBorders>
              <w:top w:val="nil"/>
              <w:bottom w:val="nil"/>
            </w:tcBorders>
            <w:tcMar>
              <w:top w:w="0" w:type="dxa"/>
              <w:left w:w="115" w:type="dxa"/>
              <w:bottom w:w="0" w:type="dxa"/>
              <w:right w:w="115" w:type="dxa"/>
            </w:tcMar>
            <w:hideMark/>
          </w:tcPr>
          <w:p w14:paraId="63458DA4" w14:textId="77777777" w:rsidR="00C033B5" w:rsidRPr="004F735C" w:rsidRDefault="00C033B5" w:rsidP="00C033B5">
            <w:pPr>
              <w:rPr>
                <w:rFonts w:asciiTheme="majorBidi" w:hAnsiTheme="majorBidi" w:cstheme="majorBidi"/>
              </w:rPr>
            </w:pPr>
            <w:r w:rsidRPr="004F735C">
              <w:rPr>
                <w:rFonts w:asciiTheme="majorBidi" w:hAnsiTheme="majorBidi" w:cstheme="majorBidi"/>
              </w:rPr>
              <w:t>0.007*</w:t>
            </w:r>
          </w:p>
        </w:tc>
        <w:tc>
          <w:tcPr>
            <w:tcW w:w="0" w:type="auto"/>
            <w:tcBorders>
              <w:top w:val="nil"/>
              <w:bottom w:val="nil"/>
            </w:tcBorders>
            <w:tcMar>
              <w:top w:w="0" w:type="dxa"/>
              <w:left w:w="115" w:type="dxa"/>
              <w:bottom w:w="0" w:type="dxa"/>
              <w:right w:w="115" w:type="dxa"/>
            </w:tcMar>
            <w:hideMark/>
          </w:tcPr>
          <w:p w14:paraId="7E57AD02"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c>
          <w:tcPr>
            <w:tcW w:w="0" w:type="auto"/>
            <w:tcBorders>
              <w:top w:val="nil"/>
              <w:bottom w:val="nil"/>
            </w:tcBorders>
            <w:tcMar>
              <w:top w:w="0" w:type="dxa"/>
              <w:left w:w="115" w:type="dxa"/>
              <w:bottom w:w="0" w:type="dxa"/>
              <w:right w:w="115" w:type="dxa"/>
            </w:tcMar>
            <w:hideMark/>
          </w:tcPr>
          <w:p w14:paraId="04951D2B" w14:textId="77777777" w:rsidR="00C033B5" w:rsidRPr="004F735C" w:rsidRDefault="00C033B5" w:rsidP="00C033B5">
            <w:pPr>
              <w:rPr>
                <w:rFonts w:asciiTheme="majorBidi" w:hAnsiTheme="majorBidi" w:cstheme="majorBidi"/>
              </w:rPr>
            </w:pPr>
          </w:p>
        </w:tc>
      </w:tr>
      <w:tr w:rsidR="00C033B5" w:rsidRPr="004F735C" w14:paraId="27E95BEF" w14:textId="77777777" w:rsidTr="004F735C">
        <w:trPr>
          <w:trHeight w:val="20"/>
        </w:trPr>
        <w:tc>
          <w:tcPr>
            <w:tcW w:w="0" w:type="auto"/>
            <w:tcBorders>
              <w:top w:val="nil"/>
              <w:bottom w:val="single" w:sz="4" w:space="0" w:color="000000"/>
            </w:tcBorders>
            <w:tcMar>
              <w:top w:w="0" w:type="dxa"/>
              <w:left w:w="115" w:type="dxa"/>
              <w:bottom w:w="0" w:type="dxa"/>
              <w:right w:w="115" w:type="dxa"/>
            </w:tcMar>
            <w:hideMark/>
          </w:tcPr>
          <w:p w14:paraId="18596547"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Govtbond</w:t>
            </w:r>
            <w:proofErr w:type="spellEnd"/>
          </w:p>
        </w:tc>
        <w:tc>
          <w:tcPr>
            <w:tcW w:w="0" w:type="auto"/>
            <w:tcBorders>
              <w:top w:val="nil"/>
              <w:bottom w:val="single" w:sz="4" w:space="0" w:color="000000"/>
            </w:tcBorders>
            <w:tcMar>
              <w:top w:w="0" w:type="dxa"/>
              <w:left w:w="115" w:type="dxa"/>
              <w:bottom w:w="0" w:type="dxa"/>
              <w:right w:w="115" w:type="dxa"/>
            </w:tcMar>
            <w:hideMark/>
          </w:tcPr>
          <w:p w14:paraId="388F154F" w14:textId="77777777" w:rsidR="00C033B5" w:rsidRPr="004F735C" w:rsidRDefault="00C033B5" w:rsidP="00C033B5">
            <w:pPr>
              <w:rPr>
                <w:rFonts w:asciiTheme="majorBidi" w:hAnsiTheme="majorBidi" w:cstheme="majorBidi"/>
              </w:rPr>
            </w:pPr>
            <w:r w:rsidRPr="004F735C">
              <w:rPr>
                <w:rFonts w:asciiTheme="majorBidi" w:hAnsiTheme="majorBidi" w:cstheme="majorBidi"/>
              </w:rPr>
              <w:t>0.076*</w:t>
            </w:r>
          </w:p>
        </w:tc>
        <w:tc>
          <w:tcPr>
            <w:tcW w:w="0" w:type="auto"/>
            <w:tcBorders>
              <w:top w:val="nil"/>
              <w:bottom w:val="single" w:sz="4" w:space="0" w:color="000000"/>
            </w:tcBorders>
            <w:tcMar>
              <w:top w:w="0" w:type="dxa"/>
              <w:left w:w="115" w:type="dxa"/>
              <w:bottom w:w="0" w:type="dxa"/>
              <w:right w:w="115" w:type="dxa"/>
            </w:tcMar>
            <w:hideMark/>
          </w:tcPr>
          <w:p w14:paraId="64313A3C" w14:textId="77777777" w:rsidR="00C033B5" w:rsidRPr="004F735C" w:rsidRDefault="00C033B5" w:rsidP="00C033B5">
            <w:pPr>
              <w:rPr>
                <w:rFonts w:asciiTheme="majorBidi" w:hAnsiTheme="majorBidi" w:cstheme="majorBidi"/>
              </w:rPr>
            </w:pPr>
            <w:r w:rsidRPr="004F735C">
              <w:rPr>
                <w:rFonts w:asciiTheme="majorBidi" w:hAnsiTheme="majorBidi" w:cstheme="majorBidi"/>
              </w:rPr>
              <w:t>-0.040*</w:t>
            </w:r>
          </w:p>
        </w:tc>
        <w:tc>
          <w:tcPr>
            <w:tcW w:w="0" w:type="auto"/>
            <w:tcBorders>
              <w:top w:val="nil"/>
              <w:bottom w:val="single" w:sz="4" w:space="0" w:color="000000"/>
            </w:tcBorders>
            <w:tcMar>
              <w:top w:w="0" w:type="dxa"/>
              <w:left w:w="115" w:type="dxa"/>
              <w:bottom w:w="0" w:type="dxa"/>
              <w:right w:w="115" w:type="dxa"/>
            </w:tcMar>
            <w:hideMark/>
          </w:tcPr>
          <w:p w14:paraId="4F93F506" w14:textId="77777777" w:rsidR="00C033B5" w:rsidRPr="004F735C" w:rsidRDefault="00C033B5" w:rsidP="00C033B5">
            <w:pPr>
              <w:rPr>
                <w:rFonts w:asciiTheme="majorBidi" w:hAnsiTheme="majorBidi" w:cstheme="majorBidi"/>
              </w:rPr>
            </w:pPr>
            <w:r w:rsidRPr="004F735C">
              <w:rPr>
                <w:rFonts w:asciiTheme="majorBidi" w:hAnsiTheme="majorBidi" w:cstheme="majorBidi"/>
              </w:rPr>
              <w:t>-0.044*</w:t>
            </w:r>
          </w:p>
        </w:tc>
        <w:tc>
          <w:tcPr>
            <w:tcW w:w="0" w:type="auto"/>
            <w:tcBorders>
              <w:top w:val="nil"/>
              <w:bottom w:val="single" w:sz="4" w:space="0" w:color="000000"/>
            </w:tcBorders>
            <w:tcMar>
              <w:top w:w="0" w:type="dxa"/>
              <w:left w:w="115" w:type="dxa"/>
              <w:bottom w:w="0" w:type="dxa"/>
              <w:right w:w="115" w:type="dxa"/>
            </w:tcMar>
            <w:hideMark/>
          </w:tcPr>
          <w:p w14:paraId="7A2BD03A" w14:textId="77777777" w:rsidR="00C033B5" w:rsidRPr="004F735C" w:rsidRDefault="00C033B5" w:rsidP="00C033B5">
            <w:pPr>
              <w:rPr>
                <w:rFonts w:asciiTheme="majorBidi" w:hAnsiTheme="majorBidi" w:cstheme="majorBidi"/>
              </w:rPr>
            </w:pPr>
            <w:r w:rsidRPr="004F735C">
              <w:rPr>
                <w:rFonts w:asciiTheme="majorBidi" w:hAnsiTheme="majorBidi" w:cstheme="majorBidi"/>
              </w:rPr>
              <w:t>0.432*</w:t>
            </w:r>
          </w:p>
        </w:tc>
        <w:tc>
          <w:tcPr>
            <w:tcW w:w="0" w:type="auto"/>
            <w:tcBorders>
              <w:top w:val="nil"/>
              <w:bottom w:val="single" w:sz="4" w:space="0" w:color="000000"/>
            </w:tcBorders>
            <w:tcMar>
              <w:top w:w="0" w:type="dxa"/>
              <w:left w:w="115" w:type="dxa"/>
              <w:bottom w:w="0" w:type="dxa"/>
              <w:right w:w="115" w:type="dxa"/>
            </w:tcMar>
            <w:hideMark/>
          </w:tcPr>
          <w:p w14:paraId="7DE0343B" w14:textId="77777777" w:rsidR="00C033B5" w:rsidRPr="004F735C" w:rsidRDefault="00C033B5" w:rsidP="00C033B5">
            <w:pPr>
              <w:rPr>
                <w:rFonts w:asciiTheme="majorBidi" w:hAnsiTheme="majorBidi" w:cstheme="majorBidi"/>
              </w:rPr>
            </w:pPr>
            <w:r w:rsidRPr="004F735C">
              <w:rPr>
                <w:rFonts w:asciiTheme="majorBidi" w:hAnsiTheme="majorBidi" w:cstheme="majorBidi"/>
              </w:rPr>
              <w:t>0.274*</w:t>
            </w:r>
          </w:p>
        </w:tc>
        <w:tc>
          <w:tcPr>
            <w:tcW w:w="0" w:type="auto"/>
            <w:tcBorders>
              <w:top w:val="nil"/>
              <w:bottom w:val="single" w:sz="4" w:space="0" w:color="000000"/>
            </w:tcBorders>
            <w:tcMar>
              <w:top w:w="0" w:type="dxa"/>
              <w:left w:w="115" w:type="dxa"/>
              <w:bottom w:w="0" w:type="dxa"/>
              <w:right w:w="115" w:type="dxa"/>
            </w:tcMar>
            <w:hideMark/>
          </w:tcPr>
          <w:p w14:paraId="1D40C2AE" w14:textId="77777777" w:rsidR="00C033B5" w:rsidRPr="004F735C" w:rsidRDefault="00C033B5" w:rsidP="00C033B5">
            <w:pPr>
              <w:rPr>
                <w:rFonts w:asciiTheme="majorBidi" w:hAnsiTheme="majorBidi" w:cstheme="majorBidi"/>
              </w:rPr>
            </w:pPr>
            <w:r w:rsidRPr="004F735C">
              <w:rPr>
                <w:rFonts w:asciiTheme="majorBidi" w:hAnsiTheme="majorBidi" w:cstheme="majorBidi"/>
              </w:rPr>
              <w:t>0.219*</w:t>
            </w:r>
          </w:p>
        </w:tc>
        <w:tc>
          <w:tcPr>
            <w:tcW w:w="0" w:type="auto"/>
            <w:tcBorders>
              <w:top w:val="nil"/>
              <w:bottom w:val="single" w:sz="4" w:space="0" w:color="000000"/>
            </w:tcBorders>
            <w:tcMar>
              <w:top w:w="0" w:type="dxa"/>
              <w:left w:w="115" w:type="dxa"/>
              <w:bottom w:w="0" w:type="dxa"/>
              <w:right w:w="115" w:type="dxa"/>
            </w:tcMar>
            <w:hideMark/>
          </w:tcPr>
          <w:p w14:paraId="587961CE" w14:textId="77777777" w:rsidR="00C033B5" w:rsidRPr="004F735C" w:rsidRDefault="00C033B5" w:rsidP="00C033B5">
            <w:pPr>
              <w:rPr>
                <w:rFonts w:asciiTheme="majorBidi" w:hAnsiTheme="majorBidi" w:cstheme="majorBidi"/>
              </w:rPr>
            </w:pPr>
            <w:r w:rsidRPr="004F735C">
              <w:rPr>
                <w:rFonts w:asciiTheme="majorBidi" w:hAnsiTheme="majorBidi" w:cstheme="majorBidi"/>
              </w:rPr>
              <w:t>0.142*</w:t>
            </w:r>
          </w:p>
        </w:tc>
        <w:tc>
          <w:tcPr>
            <w:tcW w:w="0" w:type="auto"/>
            <w:tcBorders>
              <w:top w:val="nil"/>
              <w:bottom w:val="single" w:sz="4" w:space="0" w:color="000000"/>
            </w:tcBorders>
            <w:tcMar>
              <w:top w:w="0" w:type="dxa"/>
              <w:left w:w="115" w:type="dxa"/>
              <w:bottom w:w="0" w:type="dxa"/>
              <w:right w:w="115" w:type="dxa"/>
            </w:tcMar>
            <w:hideMark/>
          </w:tcPr>
          <w:p w14:paraId="43A9F873" w14:textId="77777777" w:rsidR="00C033B5" w:rsidRPr="004F735C" w:rsidRDefault="00C033B5" w:rsidP="00C033B5">
            <w:pPr>
              <w:rPr>
                <w:rFonts w:asciiTheme="majorBidi" w:hAnsiTheme="majorBidi" w:cstheme="majorBidi"/>
              </w:rPr>
            </w:pPr>
            <w:r w:rsidRPr="004F735C">
              <w:rPr>
                <w:rFonts w:asciiTheme="majorBidi" w:hAnsiTheme="majorBidi" w:cstheme="majorBidi"/>
              </w:rPr>
              <w:t>-0.052*</w:t>
            </w:r>
          </w:p>
        </w:tc>
        <w:tc>
          <w:tcPr>
            <w:tcW w:w="0" w:type="auto"/>
            <w:tcBorders>
              <w:top w:val="nil"/>
              <w:bottom w:val="single" w:sz="4" w:space="0" w:color="000000"/>
            </w:tcBorders>
            <w:tcMar>
              <w:top w:w="0" w:type="dxa"/>
              <w:left w:w="115" w:type="dxa"/>
              <w:bottom w:w="0" w:type="dxa"/>
              <w:right w:w="115" w:type="dxa"/>
            </w:tcMar>
            <w:hideMark/>
          </w:tcPr>
          <w:p w14:paraId="6AAD1ABB" w14:textId="77777777" w:rsidR="00C033B5" w:rsidRPr="004F735C" w:rsidRDefault="00C033B5" w:rsidP="00C033B5">
            <w:pPr>
              <w:rPr>
                <w:rFonts w:asciiTheme="majorBidi" w:hAnsiTheme="majorBidi" w:cstheme="majorBidi"/>
              </w:rPr>
            </w:pPr>
            <w:r w:rsidRPr="004F735C">
              <w:rPr>
                <w:rFonts w:asciiTheme="majorBidi" w:hAnsiTheme="majorBidi" w:cstheme="majorBidi"/>
              </w:rPr>
              <w:t>-0.088*</w:t>
            </w:r>
          </w:p>
        </w:tc>
        <w:tc>
          <w:tcPr>
            <w:tcW w:w="0" w:type="auto"/>
            <w:tcBorders>
              <w:top w:val="nil"/>
              <w:bottom w:val="single" w:sz="4" w:space="0" w:color="000000"/>
            </w:tcBorders>
            <w:tcMar>
              <w:top w:w="0" w:type="dxa"/>
              <w:left w:w="115" w:type="dxa"/>
              <w:bottom w:w="0" w:type="dxa"/>
              <w:right w:w="115" w:type="dxa"/>
            </w:tcMar>
            <w:hideMark/>
          </w:tcPr>
          <w:p w14:paraId="0DE778AA" w14:textId="77777777" w:rsidR="00C033B5" w:rsidRPr="004F735C" w:rsidRDefault="00C033B5" w:rsidP="00C033B5">
            <w:pPr>
              <w:rPr>
                <w:rFonts w:asciiTheme="majorBidi" w:hAnsiTheme="majorBidi" w:cstheme="majorBidi"/>
              </w:rPr>
            </w:pPr>
            <w:r w:rsidRPr="004F735C">
              <w:rPr>
                <w:rFonts w:asciiTheme="majorBidi" w:hAnsiTheme="majorBidi" w:cstheme="majorBidi"/>
              </w:rPr>
              <w:t>0.055*</w:t>
            </w:r>
          </w:p>
        </w:tc>
        <w:tc>
          <w:tcPr>
            <w:tcW w:w="0" w:type="auto"/>
            <w:tcBorders>
              <w:top w:val="nil"/>
              <w:bottom w:val="single" w:sz="4" w:space="0" w:color="000000"/>
            </w:tcBorders>
            <w:tcMar>
              <w:top w:w="0" w:type="dxa"/>
              <w:left w:w="115" w:type="dxa"/>
              <w:bottom w:w="0" w:type="dxa"/>
              <w:right w:w="115" w:type="dxa"/>
            </w:tcMar>
            <w:hideMark/>
          </w:tcPr>
          <w:p w14:paraId="040CC77C" w14:textId="77777777" w:rsidR="00C033B5" w:rsidRPr="004F735C" w:rsidRDefault="00C033B5" w:rsidP="00C033B5">
            <w:pPr>
              <w:rPr>
                <w:rFonts w:asciiTheme="majorBidi" w:hAnsiTheme="majorBidi" w:cstheme="majorBidi"/>
              </w:rPr>
            </w:pPr>
            <w:r w:rsidRPr="004F735C">
              <w:rPr>
                <w:rFonts w:asciiTheme="majorBidi" w:hAnsiTheme="majorBidi" w:cstheme="majorBidi"/>
              </w:rPr>
              <w:t>0.103*</w:t>
            </w:r>
          </w:p>
        </w:tc>
        <w:tc>
          <w:tcPr>
            <w:tcW w:w="0" w:type="auto"/>
            <w:tcBorders>
              <w:top w:val="nil"/>
              <w:bottom w:val="single" w:sz="4" w:space="0" w:color="000000"/>
            </w:tcBorders>
            <w:tcMar>
              <w:top w:w="0" w:type="dxa"/>
              <w:left w:w="115" w:type="dxa"/>
              <w:bottom w:w="0" w:type="dxa"/>
              <w:right w:w="115" w:type="dxa"/>
            </w:tcMar>
            <w:hideMark/>
          </w:tcPr>
          <w:p w14:paraId="794D9C96" w14:textId="77777777" w:rsidR="00C033B5" w:rsidRPr="004F735C" w:rsidRDefault="00C033B5" w:rsidP="00C033B5">
            <w:pPr>
              <w:rPr>
                <w:rFonts w:asciiTheme="majorBidi" w:hAnsiTheme="majorBidi" w:cstheme="majorBidi"/>
              </w:rPr>
            </w:pPr>
            <w:r w:rsidRPr="004F735C">
              <w:rPr>
                <w:rFonts w:asciiTheme="majorBidi" w:hAnsiTheme="majorBidi" w:cstheme="majorBidi"/>
              </w:rPr>
              <w:t>-0.620*</w:t>
            </w:r>
          </w:p>
        </w:tc>
        <w:tc>
          <w:tcPr>
            <w:tcW w:w="0" w:type="auto"/>
            <w:tcBorders>
              <w:top w:val="nil"/>
              <w:bottom w:val="single" w:sz="4" w:space="0" w:color="000000"/>
            </w:tcBorders>
            <w:tcMar>
              <w:top w:w="0" w:type="dxa"/>
              <w:left w:w="115" w:type="dxa"/>
              <w:bottom w:w="0" w:type="dxa"/>
              <w:right w:w="115" w:type="dxa"/>
            </w:tcMar>
            <w:hideMark/>
          </w:tcPr>
          <w:p w14:paraId="317D1DB4" w14:textId="77777777" w:rsidR="00C033B5" w:rsidRPr="004F735C" w:rsidRDefault="00C033B5" w:rsidP="00C033B5">
            <w:pPr>
              <w:rPr>
                <w:rFonts w:asciiTheme="majorBidi" w:hAnsiTheme="majorBidi" w:cstheme="majorBidi"/>
              </w:rPr>
            </w:pPr>
            <w:r w:rsidRPr="004F735C">
              <w:rPr>
                <w:rFonts w:asciiTheme="majorBidi" w:hAnsiTheme="majorBidi" w:cstheme="majorBidi"/>
              </w:rPr>
              <w:t>1</w:t>
            </w:r>
          </w:p>
        </w:tc>
      </w:tr>
    </w:tbl>
    <w:p w14:paraId="3310DEA3" w14:textId="5373DD7D" w:rsidR="00C033B5" w:rsidRPr="00C033B5" w:rsidRDefault="00C033B5" w:rsidP="00C033B5"/>
    <w:p w14:paraId="2939DFF1" w14:textId="77777777" w:rsidR="00C033B5" w:rsidRPr="004F735C" w:rsidRDefault="00C033B5" w:rsidP="004F735C">
      <w:pPr>
        <w:jc w:val="center"/>
        <w:rPr>
          <w:rFonts w:asciiTheme="majorBidi" w:hAnsiTheme="majorBidi" w:cstheme="majorBidi"/>
        </w:rPr>
      </w:pPr>
      <w:r w:rsidRPr="004F735C">
        <w:rPr>
          <w:rFonts w:asciiTheme="majorBidi" w:hAnsiTheme="majorBidi" w:cstheme="majorBidi"/>
          <w:b/>
          <w:bCs/>
        </w:rPr>
        <w:t>Appendix Table A5</w:t>
      </w:r>
      <w:r w:rsidRPr="004F735C">
        <w:rPr>
          <w:rFonts w:asciiTheme="majorBidi" w:hAnsiTheme="majorBidi" w:cstheme="majorBidi"/>
        </w:rPr>
        <w:t>: Impact of Skin in the game on interest rates</w:t>
      </w:r>
    </w:p>
    <w:tbl>
      <w:tblPr>
        <w:tblW w:w="0" w:type="auto"/>
        <w:jc w:val="right"/>
        <w:tblCellMar>
          <w:top w:w="15" w:type="dxa"/>
          <w:left w:w="15" w:type="dxa"/>
          <w:bottom w:w="15" w:type="dxa"/>
          <w:right w:w="15" w:type="dxa"/>
        </w:tblCellMar>
        <w:tblLook w:val="04A0" w:firstRow="1" w:lastRow="0" w:firstColumn="1" w:lastColumn="0" w:noHBand="0" w:noVBand="1"/>
      </w:tblPr>
      <w:tblGrid>
        <w:gridCol w:w="3928"/>
        <w:gridCol w:w="2549"/>
        <w:gridCol w:w="2549"/>
      </w:tblGrid>
      <w:tr w:rsidR="00C033B5" w:rsidRPr="004F735C" w14:paraId="07CC3F8F" w14:textId="77777777">
        <w:trPr>
          <w:trHeight w:val="20"/>
          <w:jc w:val="right"/>
        </w:trPr>
        <w:tc>
          <w:tcPr>
            <w:tcW w:w="0" w:type="auto"/>
            <w:tcBorders>
              <w:top w:val="single" w:sz="4" w:space="0" w:color="000000"/>
              <w:bottom w:val="single" w:sz="4" w:space="0" w:color="000000"/>
            </w:tcBorders>
            <w:tcMar>
              <w:top w:w="0" w:type="dxa"/>
              <w:left w:w="115" w:type="dxa"/>
              <w:bottom w:w="0" w:type="dxa"/>
              <w:right w:w="115" w:type="dxa"/>
            </w:tcMar>
            <w:vAlign w:val="bottom"/>
            <w:hideMark/>
          </w:tcPr>
          <w:p w14:paraId="2C50FA64"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Variables</w:t>
            </w:r>
          </w:p>
        </w:tc>
        <w:tc>
          <w:tcPr>
            <w:tcW w:w="0" w:type="auto"/>
            <w:tcBorders>
              <w:top w:val="single" w:sz="4" w:space="0" w:color="000000"/>
              <w:bottom w:val="single" w:sz="4" w:space="0" w:color="000000"/>
            </w:tcBorders>
            <w:tcMar>
              <w:top w:w="0" w:type="dxa"/>
              <w:left w:w="115" w:type="dxa"/>
              <w:bottom w:w="0" w:type="dxa"/>
              <w:right w:w="115" w:type="dxa"/>
            </w:tcMar>
            <w:hideMark/>
          </w:tcPr>
          <w:p w14:paraId="39A2A000"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1)</w:t>
            </w:r>
          </w:p>
        </w:tc>
        <w:tc>
          <w:tcPr>
            <w:tcW w:w="0" w:type="auto"/>
            <w:tcBorders>
              <w:top w:val="single" w:sz="4" w:space="0" w:color="000000"/>
              <w:bottom w:val="single" w:sz="4" w:space="0" w:color="000000"/>
            </w:tcBorders>
            <w:tcMar>
              <w:top w:w="0" w:type="dxa"/>
              <w:left w:w="115" w:type="dxa"/>
              <w:bottom w:w="0" w:type="dxa"/>
              <w:right w:w="115" w:type="dxa"/>
            </w:tcMar>
            <w:hideMark/>
          </w:tcPr>
          <w:p w14:paraId="2EE0F964"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2)</w:t>
            </w:r>
          </w:p>
        </w:tc>
      </w:tr>
      <w:tr w:rsidR="00C033B5" w:rsidRPr="004F735C" w14:paraId="2FD993AF" w14:textId="77777777">
        <w:trPr>
          <w:trHeight w:val="20"/>
          <w:jc w:val="right"/>
        </w:trPr>
        <w:tc>
          <w:tcPr>
            <w:tcW w:w="0" w:type="auto"/>
            <w:tcBorders>
              <w:top w:val="single" w:sz="4" w:space="0" w:color="000000"/>
            </w:tcBorders>
            <w:tcMar>
              <w:top w:w="0" w:type="dxa"/>
              <w:left w:w="115" w:type="dxa"/>
              <w:bottom w:w="0" w:type="dxa"/>
              <w:right w:w="115" w:type="dxa"/>
            </w:tcMar>
            <w:vAlign w:val="bottom"/>
            <w:hideMark/>
          </w:tcPr>
          <w:p w14:paraId="41AEF657" w14:textId="77777777" w:rsidR="00C033B5" w:rsidRPr="004F735C" w:rsidRDefault="00C033B5" w:rsidP="00C033B5">
            <w:pPr>
              <w:rPr>
                <w:rFonts w:asciiTheme="majorBidi" w:hAnsiTheme="majorBidi" w:cstheme="majorBidi"/>
              </w:rPr>
            </w:pPr>
            <w:r w:rsidRPr="004F735C">
              <w:rPr>
                <w:rFonts w:asciiTheme="majorBidi" w:hAnsiTheme="majorBidi" w:cstheme="majorBidi"/>
              </w:rPr>
              <w:t>SITG</w:t>
            </w:r>
          </w:p>
        </w:tc>
        <w:tc>
          <w:tcPr>
            <w:tcW w:w="0" w:type="auto"/>
            <w:tcBorders>
              <w:top w:val="single" w:sz="4" w:space="0" w:color="000000"/>
            </w:tcBorders>
            <w:tcMar>
              <w:top w:w="0" w:type="dxa"/>
              <w:left w:w="115" w:type="dxa"/>
              <w:bottom w:w="0" w:type="dxa"/>
              <w:right w:w="115" w:type="dxa"/>
            </w:tcMar>
            <w:vAlign w:val="center"/>
            <w:hideMark/>
          </w:tcPr>
          <w:p w14:paraId="702D3395" w14:textId="77777777" w:rsidR="00C033B5" w:rsidRPr="004F735C" w:rsidRDefault="00C033B5" w:rsidP="00C033B5">
            <w:pPr>
              <w:rPr>
                <w:rFonts w:asciiTheme="majorBidi" w:hAnsiTheme="majorBidi" w:cstheme="majorBidi"/>
              </w:rPr>
            </w:pPr>
            <w:r w:rsidRPr="004F735C">
              <w:rPr>
                <w:rFonts w:asciiTheme="majorBidi" w:hAnsiTheme="majorBidi" w:cstheme="majorBidi"/>
              </w:rPr>
              <w:t>-0.0626***</w:t>
            </w:r>
          </w:p>
        </w:tc>
        <w:tc>
          <w:tcPr>
            <w:tcW w:w="0" w:type="auto"/>
            <w:tcBorders>
              <w:top w:val="single" w:sz="4" w:space="0" w:color="000000"/>
            </w:tcBorders>
            <w:tcMar>
              <w:top w:w="0" w:type="dxa"/>
              <w:left w:w="115" w:type="dxa"/>
              <w:bottom w:w="0" w:type="dxa"/>
              <w:right w:w="115" w:type="dxa"/>
            </w:tcMar>
            <w:vAlign w:val="center"/>
            <w:hideMark/>
          </w:tcPr>
          <w:p w14:paraId="1120BC04" w14:textId="77777777" w:rsidR="00C033B5" w:rsidRPr="004F735C" w:rsidRDefault="00C033B5" w:rsidP="00C033B5">
            <w:pPr>
              <w:rPr>
                <w:rFonts w:asciiTheme="majorBidi" w:hAnsiTheme="majorBidi" w:cstheme="majorBidi"/>
              </w:rPr>
            </w:pPr>
            <w:r w:rsidRPr="004F735C">
              <w:rPr>
                <w:rFonts w:asciiTheme="majorBidi" w:hAnsiTheme="majorBidi" w:cstheme="majorBidi"/>
              </w:rPr>
              <w:t>-0.4399***</w:t>
            </w:r>
          </w:p>
        </w:tc>
      </w:tr>
      <w:tr w:rsidR="00C033B5" w:rsidRPr="004F735C" w14:paraId="5247072C" w14:textId="77777777">
        <w:trPr>
          <w:trHeight w:val="20"/>
          <w:jc w:val="right"/>
        </w:trPr>
        <w:tc>
          <w:tcPr>
            <w:tcW w:w="0" w:type="auto"/>
            <w:tcMar>
              <w:top w:w="0" w:type="dxa"/>
              <w:left w:w="115" w:type="dxa"/>
              <w:bottom w:w="0" w:type="dxa"/>
              <w:right w:w="115" w:type="dxa"/>
            </w:tcMar>
            <w:vAlign w:val="bottom"/>
            <w:hideMark/>
          </w:tcPr>
          <w:p w14:paraId="49037D2F"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5E66166" w14:textId="77777777" w:rsidR="00C033B5" w:rsidRPr="004F735C" w:rsidRDefault="00C033B5" w:rsidP="00C033B5">
            <w:pPr>
              <w:rPr>
                <w:rFonts w:asciiTheme="majorBidi" w:hAnsiTheme="majorBidi" w:cstheme="majorBidi"/>
              </w:rPr>
            </w:pPr>
            <w:r w:rsidRPr="004F735C">
              <w:rPr>
                <w:rFonts w:asciiTheme="majorBidi" w:hAnsiTheme="majorBidi" w:cstheme="majorBidi"/>
              </w:rPr>
              <w:t>(0.0036)</w:t>
            </w:r>
          </w:p>
        </w:tc>
        <w:tc>
          <w:tcPr>
            <w:tcW w:w="0" w:type="auto"/>
            <w:tcMar>
              <w:top w:w="0" w:type="dxa"/>
              <w:left w:w="115" w:type="dxa"/>
              <w:bottom w:w="0" w:type="dxa"/>
              <w:right w:w="115" w:type="dxa"/>
            </w:tcMar>
            <w:vAlign w:val="center"/>
            <w:hideMark/>
          </w:tcPr>
          <w:p w14:paraId="12333A0F" w14:textId="77777777" w:rsidR="00C033B5" w:rsidRPr="004F735C" w:rsidRDefault="00C033B5" w:rsidP="00C033B5">
            <w:pPr>
              <w:rPr>
                <w:rFonts w:asciiTheme="majorBidi" w:hAnsiTheme="majorBidi" w:cstheme="majorBidi"/>
              </w:rPr>
            </w:pPr>
            <w:r w:rsidRPr="004F735C">
              <w:rPr>
                <w:rFonts w:asciiTheme="majorBidi" w:hAnsiTheme="majorBidi" w:cstheme="majorBidi"/>
              </w:rPr>
              <w:t>(0.0047)</w:t>
            </w:r>
          </w:p>
        </w:tc>
      </w:tr>
      <w:tr w:rsidR="00C033B5" w:rsidRPr="004F735C" w14:paraId="7243EC41" w14:textId="77777777">
        <w:trPr>
          <w:trHeight w:val="20"/>
          <w:jc w:val="right"/>
        </w:trPr>
        <w:tc>
          <w:tcPr>
            <w:tcW w:w="0" w:type="auto"/>
            <w:tcMar>
              <w:top w:w="0" w:type="dxa"/>
              <w:left w:w="115" w:type="dxa"/>
              <w:bottom w:w="0" w:type="dxa"/>
              <w:right w:w="115" w:type="dxa"/>
            </w:tcMar>
            <w:vAlign w:val="center"/>
            <w:hideMark/>
          </w:tcPr>
          <w:p w14:paraId="09EB05E5" w14:textId="77777777" w:rsidR="00C033B5" w:rsidRPr="004F735C" w:rsidRDefault="00C033B5" w:rsidP="00C033B5">
            <w:pPr>
              <w:rPr>
                <w:rFonts w:asciiTheme="majorBidi" w:hAnsiTheme="majorBidi" w:cstheme="majorBidi"/>
              </w:rPr>
            </w:pPr>
            <w:r w:rsidRPr="004F735C">
              <w:rPr>
                <w:rFonts w:asciiTheme="majorBidi" w:hAnsiTheme="majorBidi" w:cstheme="majorBidi"/>
              </w:rPr>
              <w:t>Term</w:t>
            </w:r>
          </w:p>
        </w:tc>
        <w:tc>
          <w:tcPr>
            <w:tcW w:w="0" w:type="auto"/>
            <w:tcMar>
              <w:top w:w="0" w:type="dxa"/>
              <w:left w:w="115" w:type="dxa"/>
              <w:bottom w:w="0" w:type="dxa"/>
              <w:right w:w="115" w:type="dxa"/>
            </w:tcMar>
            <w:vAlign w:val="center"/>
            <w:hideMark/>
          </w:tcPr>
          <w:p w14:paraId="184DCCAE"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0.0005***</w:t>
            </w:r>
          </w:p>
        </w:tc>
        <w:tc>
          <w:tcPr>
            <w:tcW w:w="0" w:type="auto"/>
            <w:tcMar>
              <w:top w:w="0" w:type="dxa"/>
              <w:left w:w="115" w:type="dxa"/>
              <w:bottom w:w="0" w:type="dxa"/>
              <w:right w:w="115" w:type="dxa"/>
            </w:tcMar>
            <w:vAlign w:val="center"/>
            <w:hideMark/>
          </w:tcPr>
          <w:p w14:paraId="7BB1E24F" w14:textId="77777777" w:rsidR="00C033B5" w:rsidRPr="004F735C" w:rsidRDefault="00C033B5" w:rsidP="00C033B5">
            <w:pPr>
              <w:rPr>
                <w:rFonts w:asciiTheme="majorBidi" w:hAnsiTheme="majorBidi" w:cstheme="majorBidi"/>
              </w:rPr>
            </w:pPr>
            <w:r w:rsidRPr="004F735C">
              <w:rPr>
                <w:rFonts w:asciiTheme="majorBidi" w:hAnsiTheme="majorBidi" w:cstheme="majorBidi"/>
              </w:rPr>
              <w:t>0.0165***</w:t>
            </w:r>
          </w:p>
        </w:tc>
      </w:tr>
      <w:tr w:rsidR="00C033B5" w:rsidRPr="004F735C" w14:paraId="4EB77D81" w14:textId="77777777">
        <w:trPr>
          <w:trHeight w:val="20"/>
          <w:jc w:val="right"/>
        </w:trPr>
        <w:tc>
          <w:tcPr>
            <w:tcW w:w="0" w:type="auto"/>
            <w:tcMar>
              <w:top w:w="0" w:type="dxa"/>
              <w:left w:w="115" w:type="dxa"/>
              <w:bottom w:w="0" w:type="dxa"/>
              <w:right w:w="115" w:type="dxa"/>
            </w:tcMar>
            <w:vAlign w:val="center"/>
            <w:hideMark/>
          </w:tcPr>
          <w:p w14:paraId="32CB67AF"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05577F8"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29E8454E"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(0.0003)</w:t>
            </w:r>
          </w:p>
        </w:tc>
      </w:tr>
      <w:tr w:rsidR="00C033B5" w:rsidRPr="004F735C" w14:paraId="36FED32F" w14:textId="77777777">
        <w:trPr>
          <w:trHeight w:val="20"/>
          <w:jc w:val="right"/>
        </w:trPr>
        <w:tc>
          <w:tcPr>
            <w:tcW w:w="0" w:type="auto"/>
            <w:tcMar>
              <w:top w:w="0" w:type="dxa"/>
              <w:left w:w="115" w:type="dxa"/>
              <w:bottom w:w="0" w:type="dxa"/>
              <w:right w:w="115" w:type="dxa"/>
            </w:tcMar>
            <w:vAlign w:val="center"/>
            <w:hideMark/>
          </w:tcPr>
          <w:p w14:paraId="7056923B" w14:textId="77777777" w:rsidR="00C033B5" w:rsidRPr="004F735C" w:rsidRDefault="00C033B5" w:rsidP="00C033B5">
            <w:pPr>
              <w:rPr>
                <w:rFonts w:asciiTheme="majorBidi" w:hAnsiTheme="majorBidi" w:cstheme="majorBidi"/>
              </w:rPr>
            </w:pPr>
            <w:r w:rsidRPr="004F735C">
              <w:rPr>
                <w:rFonts w:asciiTheme="majorBidi" w:hAnsiTheme="majorBidi" w:cstheme="majorBidi"/>
              </w:rPr>
              <w:t>Term × Term</w:t>
            </w:r>
          </w:p>
        </w:tc>
        <w:tc>
          <w:tcPr>
            <w:tcW w:w="0" w:type="auto"/>
            <w:tcMar>
              <w:top w:w="0" w:type="dxa"/>
              <w:left w:w="115" w:type="dxa"/>
              <w:bottom w:w="0" w:type="dxa"/>
              <w:right w:w="115" w:type="dxa"/>
            </w:tcMar>
            <w:vAlign w:val="center"/>
            <w:hideMark/>
          </w:tcPr>
          <w:p w14:paraId="4434CF81"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39095B42" w14:textId="77777777" w:rsidR="00C033B5" w:rsidRPr="004F735C" w:rsidRDefault="00C033B5" w:rsidP="00C033B5">
            <w:pPr>
              <w:rPr>
                <w:rFonts w:asciiTheme="majorBidi" w:hAnsiTheme="majorBidi" w:cstheme="majorBidi"/>
              </w:rPr>
            </w:pPr>
            <w:r w:rsidRPr="004F735C">
              <w:rPr>
                <w:rFonts w:asciiTheme="majorBidi" w:hAnsiTheme="majorBidi" w:cstheme="majorBidi"/>
              </w:rPr>
              <w:t>-0.0030***</w:t>
            </w:r>
          </w:p>
        </w:tc>
      </w:tr>
      <w:tr w:rsidR="00C033B5" w:rsidRPr="004F735C" w14:paraId="58C91EB1" w14:textId="77777777">
        <w:trPr>
          <w:trHeight w:val="20"/>
          <w:jc w:val="right"/>
        </w:trPr>
        <w:tc>
          <w:tcPr>
            <w:tcW w:w="0" w:type="auto"/>
            <w:tcMar>
              <w:top w:w="0" w:type="dxa"/>
              <w:left w:w="115" w:type="dxa"/>
              <w:bottom w:w="0" w:type="dxa"/>
              <w:right w:w="115" w:type="dxa"/>
            </w:tcMar>
            <w:vAlign w:val="center"/>
            <w:hideMark/>
          </w:tcPr>
          <w:p w14:paraId="68F8949A"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369D2AE"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2DC424EB"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(0.0001)</w:t>
            </w:r>
          </w:p>
        </w:tc>
      </w:tr>
      <w:tr w:rsidR="00C033B5" w:rsidRPr="004F735C" w14:paraId="1B9B38AF" w14:textId="77777777">
        <w:trPr>
          <w:trHeight w:val="20"/>
          <w:jc w:val="right"/>
        </w:trPr>
        <w:tc>
          <w:tcPr>
            <w:tcW w:w="0" w:type="auto"/>
            <w:tcMar>
              <w:top w:w="0" w:type="dxa"/>
              <w:left w:w="115" w:type="dxa"/>
              <w:bottom w:w="0" w:type="dxa"/>
              <w:right w:w="115" w:type="dxa"/>
            </w:tcMar>
            <w:vAlign w:val="center"/>
            <w:hideMark/>
          </w:tcPr>
          <w:p w14:paraId="36AB458B" w14:textId="77777777" w:rsidR="00C033B5" w:rsidRPr="004F735C" w:rsidRDefault="00C033B5" w:rsidP="00C033B5">
            <w:pPr>
              <w:rPr>
                <w:rFonts w:asciiTheme="majorBidi" w:hAnsiTheme="majorBidi" w:cstheme="majorBidi"/>
              </w:rPr>
            </w:pPr>
            <w:r w:rsidRPr="004F735C">
              <w:rPr>
                <w:rFonts w:asciiTheme="majorBidi" w:hAnsiTheme="majorBidi" w:cstheme="majorBidi"/>
              </w:rPr>
              <w:t>Amount</w:t>
            </w:r>
          </w:p>
        </w:tc>
        <w:tc>
          <w:tcPr>
            <w:tcW w:w="0" w:type="auto"/>
            <w:tcMar>
              <w:top w:w="0" w:type="dxa"/>
              <w:left w:w="115" w:type="dxa"/>
              <w:bottom w:w="0" w:type="dxa"/>
              <w:right w:w="115" w:type="dxa"/>
            </w:tcMar>
            <w:vAlign w:val="center"/>
            <w:hideMark/>
          </w:tcPr>
          <w:p w14:paraId="6397A5C8"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4BBFE404"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-0.0010***</w:t>
            </w:r>
          </w:p>
        </w:tc>
      </w:tr>
      <w:tr w:rsidR="00C033B5" w:rsidRPr="004F735C" w14:paraId="2E24A2FA" w14:textId="77777777">
        <w:trPr>
          <w:trHeight w:val="20"/>
          <w:jc w:val="right"/>
        </w:trPr>
        <w:tc>
          <w:tcPr>
            <w:tcW w:w="0" w:type="auto"/>
            <w:tcMar>
              <w:top w:w="0" w:type="dxa"/>
              <w:left w:w="115" w:type="dxa"/>
              <w:bottom w:w="0" w:type="dxa"/>
              <w:right w:w="115" w:type="dxa"/>
            </w:tcMar>
            <w:vAlign w:val="center"/>
            <w:hideMark/>
          </w:tcPr>
          <w:p w14:paraId="2CDA5323"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EB43D15"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73982086"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r>
      <w:tr w:rsidR="00C033B5" w:rsidRPr="004F735C" w14:paraId="1E29D805" w14:textId="77777777">
        <w:trPr>
          <w:trHeight w:val="20"/>
          <w:jc w:val="right"/>
        </w:trPr>
        <w:tc>
          <w:tcPr>
            <w:tcW w:w="0" w:type="auto"/>
            <w:tcMar>
              <w:top w:w="0" w:type="dxa"/>
              <w:left w:w="115" w:type="dxa"/>
              <w:bottom w:w="0" w:type="dxa"/>
              <w:right w:w="115" w:type="dxa"/>
            </w:tcMar>
            <w:vAlign w:val="center"/>
            <w:hideMark/>
          </w:tcPr>
          <w:p w14:paraId="4E8D12AF"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Riskscore</w:t>
            </w:r>
            <w:proofErr w:type="spellEnd"/>
          </w:p>
        </w:tc>
        <w:tc>
          <w:tcPr>
            <w:tcW w:w="0" w:type="auto"/>
            <w:tcMar>
              <w:top w:w="0" w:type="dxa"/>
              <w:left w:w="115" w:type="dxa"/>
              <w:bottom w:w="0" w:type="dxa"/>
              <w:right w:w="115" w:type="dxa"/>
            </w:tcMar>
            <w:vAlign w:val="center"/>
            <w:hideMark/>
          </w:tcPr>
          <w:p w14:paraId="15129074" w14:textId="77777777" w:rsidR="00C033B5" w:rsidRPr="004F735C" w:rsidRDefault="00C033B5" w:rsidP="00C033B5">
            <w:pPr>
              <w:rPr>
                <w:rFonts w:asciiTheme="majorBidi" w:hAnsiTheme="majorBidi" w:cstheme="majorBidi"/>
              </w:rPr>
            </w:pPr>
            <w:r w:rsidRPr="004F735C">
              <w:rPr>
                <w:rFonts w:asciiTheme="majorBidi" w:hAnsiTheme="majorBidi" w:cstheme="majorBidi"/>
              </w:rPr>
              <w:t>-0.0110***</w:t>
            </w:r>
          </w:p>
        </w:tc>
        <w:tc>
          <w:tcPr>
            <w:tcW w:w="0" w:type="auto"/>
            <w:tcMar>
              <w:top w:w="0" w:type="dxa"/>
              <w:left w:w="115" w:type="dxa"/>
              <w:bottom w:w="0" w:type="dxa"/>
              <w:right w:w="115" w:type="dxa"/>
            </w:tcMar>
            <w:vAlign w:val="center"/>
            <w:hideMark/>
          </w:tcPr>
          <w:p w14:paraId="043C738F"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-0.0007***</w:t>
            </w:r>
          </w:p>
        </w:tc>
      </w:tr>
      <w:tr w:rsidR="00C033B5" w:rsidRPr="004F735C" w14:paraId="6D96ACE0" w14:textId="77777777">
        <w:trPr>
          <w:trHeight w:val="20"/>
          <w:jc w:val="right"/>
        </w:trPr>
        <w:tc>
          <w:tcPr>
            <w:tcW w:w="0" w:type="auto"/>
            <w:tcMar>
              <w:top w:w="0" w:type="dxa"/>
              <w:left w:w="115" w:type="dxa"/>
              <w:bottom w:w="0" w:type="dxa"/>
              <w:right w:w="115" w:type="dxa"/>
            </w:tcMar>
            <w:vAlign w:val="center"/>
            <w:hideMark/>
          </w:tcPr>
          <w:p w14:paraId="4650EB98"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96AED67"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(0.0001)</w:t>
            </w:r>
          </w:p>
        </w:tc>
        <w:tc>
          <w:tcPr>
            <w:tcW w:w="0" w:type="auto"/>
            <w:tcMar>
              <w:top w:w="0" w:type="dxa"/>
              <w:left w:w="115" w:type="dxa"/>
              <w:bottom w:w="0" w:type="dxa"/>
              <w:right w:w="115" w:type="dxa"/>
            </w:tcMar>
            <w:vAlign w:val="center"/>
            <w:hideMark/>
          </w:tcPr>
          <w:p w14:paraId="06225154"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(0.0001)</w:t>
            </w:r>
          </w:p>
        </w:tc>
      </w:tr>
      <w:tr w:rsidR="00C033B5" w:rsidRPr="004F735C" w14:paraId="5A34BD4A" w14:textId="77777777">
        <w:trPr>
          <w:trHeight w:val="20"/>
          <w:jc w:val="right"/>
        </w:trPr>
        <w:tc>
          <w:tcPr>
            <w:tcW w:w="0" w:type="auto"/>
            <w:tcMar>
              <w:top w:w="0" w:type="dxa"/>
              <w:left w:w="115" w:type="dxa"/>
              <w:bottom w:w="0" w:type="dxa"/>
              <w:right w:w="115" w:type="dxa"/>
            </w:tcMar>
            <w:vAlign w:val="center"/>
            <w:hideMark/>
          </w:tcPr>
          <w:p w14:paraId="4872F167" w14:textId="77777777" w:rsidR="00C033B5" w:rsidRPr="004F735C" w:rsidRDefault="00C033B5" w:rsidP="00C033B5">
            <w:pPr>
              <w:rPr>
                <w:rFonts w:asciiTheme="majorBidi" w:hAnsiTheme="majorBidi" w:cstheme="majorBidi"/>
              </w:rPr>
            </w:pPr>
            <w:r w:rsidRPr="004F735C">
              <w:rPr>
                <w:rFonts w:asciiTheme="majorBidi" w:hAnsiTheme="majorBidi" w:cstheme="majorBidi"/>
              </w:rPr>
              <w:t>Collateral</w:t>
            </w:r>
          </w:p>
        </w:tc>
        <w:tc>
          <w:tcPr>
            <w:tcW w:w="0" w:type="auto"/>
            <w:tcMar>
              <w:top w:w="0" w:type="dxa"/>
              <w:left w:w="115" w:type="dxa"/>
              <w:bottom w:w="0" w:type="dxa"/>
              <w:right w:w="115" w:type="dxa"/>
            </w:tcMar>
            <w:vAlign w:val="center"/>
            <w:hideMark/>
          </w:tcPr>
          <w:p w14:paraId="7CA3E923" w14:textId="77777777" w:rsidR="00C033B5" w:rsidRPr="004F735C" w:rsidRDefault="00C033B5" w:rsidP="00C033B5">
            <w:pPr>
              <w:rPr>
                <w:rFonts w:asciiTheme="majorBidi" w:hAnsiTheme="majorBidi" w:cstheme="majorBidi"/>
              </w:rPr>
            </w:pPr>
            <w:r w:rsidRPr="004F735C">
              <w:rPr>
                <w:rFonts w:asciiTheme="majorBidi" w:hAnsiTheme="majorBidi" w:cstheme="majorBidi"/>
              </w:rPr>
              <w:t>-0.0184***</w:t>
            </w:r>
          </w:p>
        </w:tc>
        <w:tc>
          <w:tcPr>
            <w:tcW w:w="0" w:type="auto"/>
            <w:tcMar>
              <w:top w:w="0" w:type="dxa"/>
              <w:left w:w="115" w:type="dxa"/>
              <w:bottom w:w="0" w:type="dxa"/>
              <w:right w:w="115" w:type="dxa"/>
            </w:tcMar>
            <w:vAlign w:val="center"/>
            <w:hideMark/>
          </w:tcPr>
          <w:p w14:paraId="3733D30F" w14:textId="77777777" w:rsidR="00C033B5" w:rsidRPr="004F735C" w:rsidRDefault="00C033B5" w:rsidP="00C033B5">
            <w:pPr>
              <w:rPr>
                <w:rFonts w:asciiTheme="majorBidi" w:hAnsiTheme="majorBidi" w:cstheme="majorBidi"/>
              </w:rPr>
            </w:pPr>
            <w:r w:rsidRPr="004F735C">
              <w:rPr>
                <w:rFonts w:asciiTheme="majorBidi" w:hAnsiTheme="majorBidi" w:cstheme="majorBidi"/>
              </w:rPr>
              <w:t>0.0641***</w:t>
            </w:r>
          </w:p>
        </w:tc>
      </w:tr>
      <w:tr w:rsidR="00C033B5" w:rsidRPr="004F735C" w14:paraId="13E16A5B" w14:textId="77777777">
        <w:trPr>
          <w:trHeight w:val="20"/>
          <w:jc w:val="right"/>
        </w:trPr>
        <w:tc>
          <w:tcPr>
            <w:tcW w:w="0" w:type="auto"/>
            <w:tcMar>
              <w:top w:w="0" w:type="dxa"/>
              <w:left w:w="115" w:type="dxa"/>
              <w:bottom w:w="0" w:type="dxa"/>
              <w:right w:w="115" w:type="dxa"/>
            </w:tcMar>
            <w:vAlign w:val="center"/>
            <w:hideMark/>
          </w:tcPr>
          <w:p w14:paraId="344EADBB"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96B9D59" w14:textId="77777777" w:rsidR="00C033B5" w:rsidRPr="004F735C" w:rsidRDefault="00C033B5" w:rsidP="00C033B5">
            <w:pPr>
              <w:rPr>
                <w:rFonts w:asciiTheme="majorBidi" w:hAnsiTheme="majorBidi" w:cstheme="majorBidi"/>
              </w:rPr>
            </w:pPr>
            <w:r w:rsidRPr="004F735C">
              <w:rPr>
                <w:rFonts w:asciiTheme="majorBidi" w:hAnsiTheme="majorBidi" w:cstheme="majorBidi"/>
              </w:rPr>
              <w:t>(0.0028)</w:t>
            </w:r>
          </w:p>
        </w:tc>
        <w:tc>
          <w:tcPr>
            <w:tcW w:w="0" w:type="auto"/>
            <w:tcMar>
              <w:top w:w="0" w:type="dxa"/>
              <w:left w:w="115" w:type="dxa"/>
              <w:bottom w:w="0" w:type="dxa"/>
              <w:right w:w="115" w:type="dxa"/>
            </w:tcMar>
            <w:vAlign w:val="center"/>
            <w:hideMark/>
          </w:tcPr>
          <w:p w14:paraId="408044EF"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(0.0012)</w:t>
            </w:r>
          </w:p>
        </w:tc>
      </w:tr>
      <w:tr w:rsidR="00C033B5" w:rsidRPr="004F735C" w14:paraId="2CAC3B0D" w14:textId="77777777">
        <w:trPr>
          <w:trHeight w:val="20"/>
          <w:jc w:val="right"/>
        </w:trPr>
        <w:tc>
          <w:tcPr>
            <w:tcW w:w="0" w:type="auto"/>
            <w:tcMar>
              <w:top w:w="0" w:type="dxa"/>
              <w:left w:w="115" w:type="dxa"/>
              <w:bottom w:w="0" w:type="dxa"/>
              <w:right w:w="115" w:type="dxa"/>
            </w:tcMar>
            <w:vAlign w:val="center"/>
            <w:hideMark/>
          </w:tcPr>
          <w:p w14:paraId="49B9DD41"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Extsched</w:t>
            </w:r>
            <w:proofErr w:type="spellEnd"/>
          </w:p>
        </w:tc>
        <w:tc>
          <w:tcPr>
            <w:tcW w:w="0" w:type="auto"/>
            <w:tcMar>
              <w:top w:w="0" w:type="dxa"/>
              <w:left w:w="115" w:type="dxa"/>
              <w:bottom w:w="0" w:type="dxa"/>
              <w:right w:w="115" w:type="dxa"/>
            </w:tcMar>
            <w:vAlign w:val="center"/>
            <w:hideMark/>
          </w:tcPr>
          <w:p w14:paraId="7A69E94A"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0.0015***</w:t>
            </w:r>
          </w:p>
        </w:tc>
        <w:tc>
          <w:tcPr>
            <w:tcW w:w="0" w:type="auto"/>
            <w:tcMar>
              <w:top w:w="0" w:type="dxa"/>
              <w:left w:w="115" w:type="dxa"/>
              <w:bottom w:w="0" w:type="dxa"/>
              <w:right w:w="115" w:type="dxa"/>
            </w:tcMar>
            <w:vAlign w:val="center"/>
            <w:hideMark/>
          </w:tcPr>
          <w:p w14:paraId="4C27C48D" w14:textId="77777777" w:rsidR="00C033B5" w:rsidRPr="004F735C" w:rsidRDefault="00C033B5" w:rsidP="00C033B5">
            <w:pPr>
              <w:rPr>
                <w:rFonts w:asciiTheme="majorBidi" w:hAnsiTheme="majorBidi" w:cstheme="majorBidi"/>
              </w:rPr>
            </w:pPr>
            <w:r w:rsidRPr="004F735C">
              <w:rPr>
                <w:rFonts w:asciiTheme="majorBidi" w:hAnsiTheme="majorBidi" w:cstheme="majorBidi"/>
              </w:rPr>
              <w:t>-0.0139***</w:t>
            </w:r>
          </w:p>
        </w:tc>
      </w:tr>
      <w:tr w:rsidR="00C033B5" w:rsidRPr="004F735C" w14:paraId="6E5CC5CC" w14:textId="77777777">
        <w:trPr>
          <w:trHeight w:val="20"/>
          <w:jc w:val="right"/>
        </w:trPr>
        <w:tc>
          <w:tcPr>
            <w:tcW w:w="0" w:type="auto"/>
            <w:tcMar>
              <w:top w:w="0" w:type="dxa"/>
              <w:left w:w="115" w:type="dxa"/>
              <w:bottom w:w="0" w:type="dxa"/>
              <w:right w:w="115" w:type="dxa"/>
            </w:tcMar>
            <w:vAlign w:val="center"/>
            <w:hideMark/>
          </w:tcPr>
          <w:p w14:paraId="666235CA"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0B67EF1"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(0.0001)</w:t>
            </w:r>
          </w:p>
        </w:tc>
        <w:tc>
          <w:tcPr>
            <w:tcW w:w="0" w:type="auto"/>
            <w:tcMar>
              <w:top w:w="0" w:type="dxa"/>
              <w:left w:w="115" w:type="dxa"/>
              <w:bottom w:w="0" w:type="dxa"/>
              <w:right w:w="115" w:type="dxa"/>
            </w:tcMar>
            <w:vAlign w:val="center"/>
            <w:hideMark/>
          </w:tcPr>
          <w:p w14:paraId="5430C75B"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(0.0001)</w:t>
            </w:r>
          </w:p>
        </w:tc>
      </w:tr>
      <w:tr w:rsidR="00C033B5" w:rsidRPr="004F735C" w14:paraId="7A11A5D9" w14:textId="77777777">
        <w:trPr>
          <w:trHeight w:val="20"/>
          <w:jc w:val="right"/>
        </w:trPr>
        <w:tc>
          <w:tcPr>
            <w:tcW w:w="0" w:type="auto"/>
            <w:tcMar>
              <w:top w:w="0" w:type="dxa"/>
              <w:left w:w="115" w:type="dxa"/>
              <w:bottom w:w="0" w:type="dxa"/>
              <w:right w:w="115" w:type="dxa"/>
            </w:tcMar>
            <w:vAlign w:val="center"/>
            <w:hideMark/>
          </w:tcPr>
          <w:p w14:paraId="781D17D8"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Loantype</w:t>
            </w:r>
            <w:proofErr w:type="spellEnd"/>
          </w:p>
          <w:p w14:paraId="0F28B9AD"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867CD3C"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13930CB" w14:textId="77777777" w:rsidR="00C033B5" w:rsidRPr="004F735C" w:rsidRDefault="00C033B5" w:rsidP="00C033B5">
            <w:pPr>
              <w:rPr>
                <w:rFonts w:asciiTheme="majorBidi" w:hAnsiTheme="majorBidi" w:cstheme="majorBidi"/>
              </w:rPr>
            </w:pPr>
          </w:p>
        </w:tc>
      </w:tr>
      <w:tr w:rsidR="00C033B5" w:rsidRPr="004F735C" w14:paraId="06A83CAC" w14:textId="77777777">
        <w:trPr>
          <w:trHeight w:val="20"/>
          <w:jc w:val="right"/>
        </w:trPr>
        <w:tc>
          <w:tcPr>
            <w:tcW w:w="0" w:type="auto"/>
            <w:tcMar>
              <w:top w:w="0" w:type="dxa"/>
              <w:left w:w="115" w:type="dxa"/>
              <w:bottom w:w="0" w:type="dxa"/>
              <w:right w:w="115" w:type="dxa"/>
            </w:tcMar>
            <w:vAlign w:val="center"/>
            <w:hideMark/>
          </w:tcPr>
          <w:p w14:paraId="12146853" w14:textId="77777777" w:rsidR="00C033B5" w:rsidRPr="004F735C" w:rsidRDefault="00C033B5" w:rsidP="00C033B5">
            <w:pPr>
              <w:rPr>
                <w:rFonts w:asciiTheme="majorBidi" w:hAnsiTheme="majorBidi" w:cstheme="majorBidi"/>
              </w:rPr>
            </w:pPr>
            <w:r w:rsidRPr="004F735C">
              <w:rPr>
                <w:rFonts w:asciiTheme="majorBidi" w:hAnsiTheme="majorBidi" w:cstheme="majorBidi"/>
              </w:rPr>
              <w:t>Agricultural Loan</w:t>
            </w:r>
          </w:p>
        </w:tc>
        <w:tc>
          <w:tcPr>
            <w:tcW w:w="0" w:type="auto"/>
            <w:tcMar>
              <w:top w:w="0" w:type="dxa"/>
              <w:left w:w="115" w:type="dxa"/>
              <w:bottom w:w="0" w:type="dxa"/>
              <w:right w:w="115" w:type="dxa"/>
            </w:tcMar>
            <w:vAlign w:val="center"/>
            <w:hideMark/>
          </w:tcPr>
          <w:p w14:paraId="33F3009C" w14:textId="77777777" w:rsidR="00C033B5" w:rsidRPr="004F735C" w:rsidRDefault="00C033B5" w:rsidP="00C033B5">
            <w:pPr>
              <w:rPr>
                <w:rFonts w:asciiTheme="majorBidi" w:hAnsiTheme="majorBidi" w:cstheme="majorBidi"/>
              </w:rPr>
            </w:pPr>
            <w:r w:rsidRPr="004F735C">
              <w:rPr>
                <w:rFonts w:asciiTheme="majorBidi" w:hAnsiTheme="majorBidi" w:cstheme="majorBidi"/>
              </w:rPr>
              <w:t>-0.0163***</w:t>
            </w:r>
          </w:p>
        </w:tc>
        <w:tc>
          <w:tcPr>
            <w:tcW w:w="0" w:type="auto"/>
            <w:tcMar>
              <w:top w:w="0" w:type="dxa"/>
              <w:left w:w="115" w:type="dxa"/>
              <w:bottom w:w="0" w:type="dxa"/>
              <w:right w:w="115" w:type="dxa"/>
            </w:tcMar>
            <w:vAlign w:val="center"/>
            <w:hideMark/>
          </w:tcPr>
          <w:p w14:paraId="0C6B2CF4" w14:textId="77777777" w:rsidR="00C033B5" w:rsidRPr="004F735C" w:rsidRDefault="00C033B5" w:rsidP="00C033B5">
            <w:pPr>
              <w:rPr>
                <w:rFonts w:asciiTheme="majorBidi" w:hAnsiTheme="majorBidi" w:cstheme="majorBidi"/>
              </w:rPr>
            </w:pPr>
            <w:r w:rsidRPr="004F735C">
              <w:rPr>
                <w:rFonts w:asciiTheme="majorBidi" w:hAnsiTheme="majorBidi" w:cstheme="majorBidi"/>
              </w:rPr>
              <w:t>-</w:t>
            </w:r>
          </w:p>
        </w:tc>
      </w:tr>
      <w:tr w:rsidR="00C033B5" w:rsidRPr="004F735C" w14:paraId="7358E616" w14:textId="77777777">
        <w:trPr>
          <w:trHeight w:val="20"/>
          <w:jc w:val="right"/>
        </w:trPr>
        <w:tc>
          <w:tcPr>
            <w:tcW w:w="0" w:type="auto"/>
            <w:tcMar>
              <w:top w:w="0" w:type="dxa"/>
              <w:left w:w="115" w:type="dxa"/>
              <w:bottom w:w="0" w:type="dxa"/>
              <w:right w:w="115" w:type="dxa"/>
            </w:tcMar>
            <w:vAlign w:val="center"/>
            <w:hideMark/>
          </w:tcPr>
          <w:p w14:paraId="7F2C5684"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3000375" w14:textId="77777777" w:rsidR="00C033B5" w:rsidRPr="004F735C" w:rsidRDefault="00C033B5" w:rsidP="00C033B5">
            <w:pPr>
              <w:rPr>
                <w:rFonts w:asciiTheme="majorBidi" w:hAnsiTheme="majorBidi" w:cstheme="majorBidi"/>
              </w:rPr>
            </w:pPr>
            <w:r w:rsidRPr="004F735C">
              <w:rPr>
                <w:rFonts w:asciiTheme="majorBidi" w:hAnsiTheme="majorBidi" w:cstheme="majorBidi"/>
              </w:rPr>
              <w:t>(0.0027)</w:t>
            </w:r>
          </w:p>
        </w:tc>
        <w:tc>
          <w:tcPr>
            <w:tcW w:w="0" w:type="auto"/>
            <w:tcMar>
              <w:top w:w="0" w:type="dxa"/>
              <w:left w:w="115" w:type="dxa"/>
              <w:bottom w:w="0" w:type="dxa"/>
              <w:right w:w="115" w:type="dxa"/>
            </w:tcMar>
            <w:vAlign w:val="center"/>
            <w:hideMark/>
          </w:tcPr>
          <w:p w14:paraId="129182F0" w14:textId="77777777" w:rsidR="00C033B5" w:rsidRPr="004F735C" w:rsidRDefault="00C033B5" w:rsidP="00C033B5">
            <w:pPr>
              <w:rPr>
                <w:rFonts w:asciiTheme="majorBidi" w:hAnsiTheme="majorBidi" w:cstheme="majorBidi"/>
              </w:rPr>
            </w:pPr>
          </w:p>
        </w:tc>
      </w:tr>
      <w:tr w:rsidR="00C033B5" w:rsidRPr="004F735C" w14:paraId="565DC963" w14:textId="77777777">
        <w:trPr>
          <w:trHeight w:val="20"/>
          <w:jc w:val="right"/>
        </w:trPr>
        <w:tc>
          <w:tcPr>
            <w:tcW w:w="0" w:type="auto"/>
            <w:tcMar>
              <w:top w:w="0" w:type="dxa"/>
              <w:left w:w="115" w:type="dxa"/>
              <w:bottom w:w="0" w:type="dxa"/>
              <w:right w:w="115" w:type="dxa"/>
            </w:tcMar>
            <w:vAlign w:val="center"/>
            <w:hideMark/>
          </w:tcPr>
          <w:p w14:paraId="347FBCF9" w14:textId="77777777" w:rsidR="00C033B5" w:rsidRPr="004F735C" w:rsidRDefault="00C033B5" w:rsidP="00C033B5">
            <w:pPr>
              <w:rPr>
                <w:rFonts w:asciiTheme="majorBidi" w:hAnsiTheme="majorBidi" w:cstheme="majorBidi"/>
              </w:rPr>
            </w:pPr>
            <w:r w:rsidRPr="004F735C">
              <w:rPr>
                <w:rFonts w:asciiTheme="majorBidi" w:hAnsiTheme="majorBidi" w:cstheme="majorBidi"/>
              </w:rPr>
              <w:t>Business Loan</w:t>
            </w:r>
          </w:p>
        </w:tc>
        <w:tc>
          <w:tcPr>
            <w:tcW w:w="0" w:type="auto"/>
            <w:tcMar>
              <w:top w:w="0" w:type="dxa"/>
              <w:left w:w="115" w:type="dxa"/>
              <w:bottom w:w="0" w:type="dxa"/>
              <w:right w:w="115" w:type="dxa"/>
            </w:tcMar>
            <w:vAlign w:val="center"/>
            <w:hideMark/>
          </w:tcPr>
          <w:p w14:paraId="2381745A" w14:textId="77777777" w:rsidR="00C033B5" w:rsidRPr="004F735C" w:rsidRDefault="00C033B5" w:rsidP="00C033B5">
            <w:pPr>
              <w:rPr>
                <w:rFonts w:asciiTheme="majorBidi" w:hAnsiTheme="majorBidi" w:cstheme="majorBidi"/>
              </w:rPr>
            </w:pPr>
            <w:r w:rsidRPr="004F735C">
              <w:rPr>
                <w:rFonts w:asciiTheme="majorBidi" w:hAnsiTheme="majorBidi" w:cstheme="majorBidi"/>
              </w:rPr>
              <w:t>-0.0227***</w:t>
            </w:r>
          </w:p>
        </w:tc>
        <w:tc>
          <w:tcPr>
            <w:tcW w:w="0" w:type="auto"/>
            <w:tcMar>
              <w:top w:w="0" w:type="dxa"/>
              <w:left w:w="115" w:type="dxa"/>
              <w:bottom w:w="0" w:type="dxa"/>
              <w:right w:w="115" w:type="dxa"/>
            </w:tcMar>
            <w:vAlign w:val="center"/>
            <w:hideMark/>
          </w:tcPr>
          <w:p w14:paraId="385956A5" w14:textId="77777777" w:rsidR="00C033B5" w:rsidRPr="004F735C" w:rsidRDefault="00C033B5" w:rsidP="00C033B5">
            <w:pPr>
              <w:rPr>
                <w:rFonts w:asciiTheme="majorBidi" w:hAnsiTheme="majorBidi" w:cstheme="majorBidi"/>
              </w:rPr>
            </w:pPr>
            <w:r w:rsidRPr="004F735C">
              <w:rPr>
                <w:rFonts w:asciiTheme="majorBidi" w:hAnsiTheme="majorBidi" w:cstheme="majorBidi"/>
              </w:rPr>
              <w:t>-0.0562***</w:t>
            </w:r>
          </w:p>
        </w:tc>
      </w:tr>
      <w:tr w:rsidR="00C033B5" w:rsidRPr="004F735C" w14:paraId="58F5D1A6" w14:textId="77777777">
        <w:trPr>
          <w:trHeight w:val="20"/>
          <w:jc w:val="right"/>
        </w:trPr>
        <w:tc>
          <w:tcPr>
            <w:tcW w:w="0" w:type="auto"/>
            <w:tcMar>
              <w:top w:w="0" w:type="dxa"/>
              <w:left w:w="115" w:type="dxa"/>
              <w:bottom w:w="0" w:type="dxa"/>
              <w:right w:w="115" w:type="dxa"/>
            </w:tcMar>
            <w:vAlign w:val="center"/>
            <w:hideMark/>
          </w:tcPr>
          <w:p w14:paraId="6703C5CF"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6C89727" w14:textId="77777777" w:rsidR="00C033B5" w:rsidRPr="004F735C" w:rsidRDefault="00C033B5" w:rsidP="00C033B5">
            <w:pPr>
              <w:rPr>
                <w:rFonts w:asciiTheme="majorBidi" w:hAnsiTheme="majorBidi" w:cstheme="majorBidi"/>
              </w:rPr>
            </w:pPr>
            <w:r w:rsidRPr="004F735C">
              <w:rPr>
                <w:rFonts w:asciiTheme="majorBidi" w:hAnsiTheme="majorBidi" w:cstheme="majorBidi"/>
              </w:rPr>
              <w:t>(0.0031)</w:t>
            </w:r>
          </w:p>
        </w:tc>
        <w:tc>
          <w:tcPr>
            <w:tcW w:w="0" w:type="auto"/>
            <w:tcMar>
              <w:top w:w="0" w:type="dxa"/>
              <w:left w:w="115" w:type="dxa"/>
              <w:bottom w:w="0" w:type="dxa"/>
              <w:right w:w="115" w:type="dxa"/>
            </w:tcMar>
            <w:vAlign w:val="center"/>
            <w:hideMark/>
          </w:tcPr>
          <w:p w14:paraId="285B7DCC" w14:textId="77777777" w:rsidR="00C033B5" w:rsidRPr="004F735C" w:rsidRDefault="00C033B5" w:rsidP="00C033B5">
            <w:pPr>
              <w:rPr>
                <w:rFonts w:asciiTheme="majorBidi" w:hAnsiTheme="majorBidi" w:cstheme="majorBidi"/>
              </w:rPr>
            </w:pPr>
            <w:r w:rsidRPr="004F735C">
              <w:rPr>
                <w:rFonts w:asciiTheme="majorBidi" w:hAnsiTheme="majorBidi" w:cstheme="majorBidi"/>
              </w:rPr>
              <w:t>(0.0022)</w:t>
            </w:r>
          </w:p>
        </w:tc>
      </w:tr>
      <w:tr w:rsidR="00C033B5" w:rsidRPr="004F735C" w14:paraId="65EFE9D9" w14:textId="77777777">
        <w:trPr>
          <w:trHeight w:val="20"/>
          <w:jc w:val="right"/>
        </w:trPr>
        <w:tc>
          <w:tcPr>
            <w:tcW w:w="0" w:type="auto"/>
            <w:tcMar>
              <w:top w:w="0" w:type="dxa"/>
              <w:left w:w="115" w:type="dxa"/>
              <w:bottom w:w="0" w:type="dxa"/>
              <w:right w:w="115" w:type="dxa"/>
            </w:tcMar>
            <w:vAlign w:val="center"/>
            <w:hideMark/>
          </w:tcPr>
          <w:p w14:paraId="6978C5A3" w14:textId="77777777" w:rsidR="00C033B5" w:rsidRPr="004F735C" w:rsidRDefault="00C033B5" w:rsidP="00C033B5">
            <w:pPr>
              <w:rPr>
                <w:rFonts w:asciiTheme="majorBidi" w:hAnsiTheme="majorBidi" w:cstheme="majorBidi"/>
              </w:rPr>
            </w:pPr>
            <w:r w:rsidRPr="004F735C">
              <w:rPr>
                <w:rFonts w:asciiTheme="majorBidi" w:hAnsiTheme="majorBidi" w:cstheme="majorBidi"/>
              </w:rPr>
              <w:t>Car Loan</w:t>
            </w:r>
          </w:p>
        </w:tc>
        <w:tc>
          <w:tcPr>
            <w:tcW w:w="0" w:type="auto"/>
            <w:tcMar>
              <w:top w:w="0" w:type="dxa"/>
              <w:left w:w="115" w:type="dxa"/>
              <w:bottom w:w="0" w:type="dxa"/>
              <w:right w:w="115" w:type="dxa"/>
            </w:tcMar>
            <w:vAlign w:val="center"/>
            <w:hideMark/>
          </w:tcPr>
          <w:p w14:paraId="5942F37A" w14:textId="77777777" w:rsidR="00C033B5" w:rsidRPr="004F735C" w:rsidRDefault="00C033B5" w:rsidP="00C033B5">
            <w:pPr>
              <w:rPr>
                <w:rFonts w:asciiTheme="majorBidi" w:hAnsiTheme="majorBidi" w:cstheme="majorBidi"/>
              </w:rPr>
            </w:pPr>
            <w:r w:rsidRPr="004F735C">
              <w:rPr>
                <w:rFonts w:asciiTheme="majorBidi" w:hAnsiTheme="majorBidi" w:cstheme="majorBidi"/>
              </w:rPr>
              <w:t>0.0090***</w:t>
            </w:r>
          </w:p>
        </w:tc>
        <w:tc>
          <w:tcPr>
            <w:tcW w:w="0" w:type="auto"/>
            <w:tcMar>
              <w:top w:w="0" w:type="dxa"/>
              <w:left w:w="115" w:type="dxa"/>
              <w:bottom w:w="0" w:type="dxa"/>
              <w:right w:w="115" w:type="dxa"/>
            </w:tcMar>
            <w:vAlign w:val="center"/>
            <w:hideMark/>
          </w:tcPr>
          <w:p w14:paraId="7883736C" w14:textId="77777777" w:rsidR="00C033B5" w:rsidRPr="004F735C" w:rsidRDefault="00C033B5" w:rsidP="00C033B5">
            <w:pPr>
              <w:rPr>
                <w:rFonts w:asciiTheme="majorBidi" w:hAnsiTheme="majorBidi" w:cstheme="majorBidi"/>
              </w:rPr>
            </w:pPr>
            <w:r w:rsidRPr="004F735C">
              <w:rPr>
                <w:rFonts w:asciiTheme="majorBidi" w:hAnsiTheme="majorBidi" w:cstheme="majorBidi"/>
              </w:rPr>
              <w:t>-0.0508***</w:t>
            </w:r>
          </w:p>
        </w:tc>
      </w:tr>
      <w:tr w:rsidR="00C033B5" w:rsidRPr="004F735C" w14:paraId="15228A5A" w14:textId="77777777">
        <w:trPr>
          <w:trHeight w:val="20"/>
          <w:jc w:val="right"/>
        </w:trPr>
        <w:tc>
          <w:tcPr>
            <w:tcW w:w="0" w:type="auto"/>
            <w:tcMar>
              <w:top w:w="0" w:type="dxa"/>
              <w:left w:w="115" w:type="dxa"/>
              <w:bottom w:w="0" w:type="dxa"/>
              <w:right w:w="115" w:type="dxa"/>
            </w:tcMar>
            <w:vAlign w:val="center"/>
            <w:hideMark/>
          </w:tcPr>
          <w:p w14:paraId="3FEB0E29"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78B1D0D" w14:textId="77777777" w:rsidR="00C033B5" w:rsidRPr="004F735C" w:rsidRDefault="00C033B5" w:rsidP="00C033B5">
            <w:pPr>
              <w:rPr>
                <w:rFonts w:asciiTheme="majorBidi" w:hAnsiTheme="majorBidi" w:cstheme="majorBidi"/>
              </w:rPr>
            </w:pPr>
            <w:r w:rsidRPr="004F735C">
              <w:rPr>
                <w:rFonts w:asciiTheme="majorBidi" w:hAnsiTheme="majorBidi" w:cstheme="majorBidi"/>
              </w:rPr>
              <w:t>(0.0023)</w:t>
            </w:r>
          </w:p>
        </w:tc>
        <w:tc>
          <w:tcPr>
            <w:tcW w:w="0" w:type="auto"/>
            <w:tcMar>
              <w:top w:w="0" w:type="dxa"/>
              <w:left w:w="115" w:type="dxa"/>
              <w:bottom w:w="0" w:type="dxa"/>
              <w:right w:w="115" w:type="dxa"/>
            </w:tcMar>
            <w:vAlign w:val="center"/>
            <w:hideMark/>
          </w:tcPr>
          <w:p w14:paraId="6EE6539C"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(0.0011)</w:t>
            </w:r>
          </w:p>
        </w:tc>
      </w:tr>
      <w:tr w:rsidR="00C033B5" w:rsidRPr="004F735C" w14:paraId="0CEC1FC1" w14:textId="77777777">
        <w:trPr>
          <w:trHeight w:val="20"/>
          <w:jc w:val="right"/>
        </w:trPr>
        <w:tc>
          <w:tcPr>
            <w:tcW w:w="0" w:type="auto"/>
            <w:tcMar>
              <w:top w:w="0" w:type="dxa"/>
              <w:left w:w="115" w:type="dxa"/>
              <w:bottom w:w="0" w:type="dxa"/>
              <w:right w:w="115" w:type="dxa"/>
            </w:tcMar>
            <w:vAlign w:val="center"/>
            <w:hideMark/>
          </w:tcPr>
          <w:p w14:paraId="692249C7" w14:textId="77777777" w:rsidR="00C033B5" w:rsidRPr="004F735C" w:rsidRDefault="00C033B5" w:rsidP="00C033B5">
            <w:pPr>
              <w:rPr>
                <w:rFonts w:asciiTheme="majorBidi" w:hAnsiTheme="majorBidi" w:cstheme="majorBidi"/>
              </w:rPr>
            </w:pPr>
            <w:r w:rsidRPr="004F735C">
              <w:rPr>
                <w:rFonts w:asciiTheme="majorBidi" w:hAnsiTheme="majorBidi" w:cstheme="majorBidi"/>
              </w:rPr>
              <w:t>Mortgage Loan</w:t>
            </w:r>
          </w:p>
        </w:tc>
        <w:tc>
          <w:tcPr>
            <w:tcW w:w="0" w:type="auto"/>
            <w:tcMar>
              <w:top w:w="0" w:type="dxa"/>
              <w:left w:w="115" w:type="dxa"/>
              <w:bottom w:w="0" w:type="dxa"/>
              <w:right w:w="115" w:type="dxa"/>
            </w:tcMar>
            <w:vAlign w:val="center"/>
            <w:hideMark/>
          </w:tcPr>
          <w:p w14:paraId="63754224" w14:textId="77777777" w:rsidR="00C033B5" w:rsidRPr="004F735C" w:rsidRDefault="00C033B5" w:rsidP="00C033B5">
            <w:pPr>
              <w:rPr>
                <w:rFonts w:asciiTheme="majorBidi" w:hAnsiTheme="majorBidi" w:cstheme="majorBidi"/>
              </w:rPr>
            </w:pPr>
            <w:r w:rsidRPr="004F735C">
              <w:rPr>
                <w:rFonts w:asciiTheme="majorBidi" w:hAnsiTheme="majorBidi" w:cstheme="majorBidi"/>
              </w:rPr>
              <w:t>-0.0615***</w:t>
            </w:r>
          </w:p>
        </w:tc>
        <w:tc>
          <w:tcPr>
            <w:tcW w:w="0" w:type="auto"/>
            <w:tcMar>
              <w:top w:w="0" w:type="dxa"/>
              <w:left w:w="115" w:type="dxa"/>
              <w:bottom w:w="0" w:type="dxa"/>
              <w:right w:w="115" w:type="dxa"/>
            </w:tcMar>
            <w:vAlign w:val="center"/>
            <w:hideMark/>
          </w:tcPr>
          <w:p w14:paraId="247739AB" w14:textId="77777777" w:rsidR="00C033B5" w:rsidRPr="004F735C" w:rsidRDefault="00C033B5" w:rsidP="00C033B5">
            <w:pPr>
              <w:rPr>
                <w:rFonts w:asciiTheme="majorBidi" w:hAnsiTheme="majorBidi" w:cstheme="majorBidi"/>
              </w:rPr>
            </w:pPr>
            <w:r w:rsidRPr="004F735C">
              <w:rPr>
                <w:rFonts w:asciiTheme="majorBidi" w:hAnsiTheme="majorBidi" w:cstheme="majorBidi"/>
              </w:rPr>
              <w:t>-0.1318***</w:t>
            </w:r>
          </w:p>
        </w:tc>
      </w:tr>
      <w:tr w:rsidR="00C033B5" w:rsidRPr="004F735C" w14:paraId="5C40D7A0" w14:textId="77777777">
        <w:trPr>
          <w:trHeight w:val="20"/>
          <w:jc w:val="right"/>
        </w:trPr>
        <w:tc>
          <w:tcPr>
            <w:tcW w:w="0" w:type="auto"/>
            <w:tcMar>
              <w:top w:w="0" w:type="dxa"/>
              <w:left w:w="115" w:type="dxa"/>
              <w:bottom w:w="0" w:type="dxa"/>
              <w:right w:w="115" w:type="dxa"/>
            </w:tcMar>
            <w:vAlign w:val="center"/>
            <w:hideMark/>
          </w:tcPr>
          <w:p w14:paraId="598ADF4A"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FA51238" w14:textId="77777777" w:rsidR="00C033B5" w:rsidRPr="004F735C" w:rsidRDefault="00C033B5" w:rsidP="00C033B5">
            <w:pPr>
              <w:rPr>
                <w:rFonts w:asciiTheme="majorBidi" w:hAnsiTheme="majorBidi" w:cstheme="majorBidi"/>
              </w:rPr>
            </w:pPr>
            <w:r w:rsidRPr="004F735C">
              <w:rPr>
                <w:rFonts w:asciiTheme="majorBidi" w:hAnsiTheme="majorBidi" w:cstheme="majorBidi"/>
              </w:rPr>
              <w:t>(0.0038)</w:t>
            </w:r>
          </w:p>
        </w:tc>
        <w:tc>
          <w:tcPr>
            <w:tcW w:w="0" w:type="auto"/>
            <w:tcMar>
              <w:top w:w="0" w:type="dxa"/>
              <w:left w:w="115" w:type="dxa"/>
              <w:bottom w:w="0" w:type="dxa"/>
              <w:right w:w="115" w:type="dxa"/>
            </w:tcMar>
            <w:vAlign w:val="center"/>
            <w:hideMark/>
          </w:tcPr>
          <w:p w14:paraId="3AB8BD3E" w14:textId="77777777" w:rsidR="00C033B5" w:rsidRPr="004F735C" w:rsidRDefault="00C033B5" w:rsidP="00C033B5">
            <w:pPr>
              <w:rPr>
                <w:rFonts w:asciiTheme="majorBidi" w:hAnsiTheme="majorBidi" w:cstheme="majorBidi"/>
              </w:rPr>
            </w:pPr>
            <w:r w:rsidRPr="004F735C">
              <w:rPr>
                <w:rFonts w:asciiTheme="majorBidi" w:hAnsiTheme="majorBidi" w:cstheme="majorBidi"/>
              </w:rPr>
              <w:t>(0.0056)</w:t>
            </w:r>
          </w:p>
        </w:tc>
      </w:tr>
      <w:tr w:rsidR="00C033B5" w:rsidRPr="004F735C" w14:paraId="220FA42E" w14:textId="77777777">
        <w:trPr>
          <w:trHeight w:val="20"/>
          <w:jc w:val="right"/>
        </w:trPr>
        <w:tc>
          <w:tcPr>
            <w:tcW w:w="0" w:type="auto"/>
            <w:tcMar>
              <w:top w:w="0" w:type="dxa"/>
              <w:left w:w="115" w:type="dxa"/>
              <w:bottom w:w="0" w:type="dxa"/>
              <w:right w:w="115" w:type="dxa"/>
            </w:tcMar>
            <w:vAlign w:val="center"/>
            <w:hideMark/>
          </w:tcPr>
          <w:p w14:paraId="3E9D08BD" w14:textId="77777777" w:rsidR="00C033B5" w:rsidRPr="004F735C" w:rsidRDefault="00C033B5" w:rsidP="00C033B5">
            <w:pPr>
              <w:rPr>
                <w:rFonts w:asciiTheme="majorBidi" w:hAnsiTheme="majorBidi" w:cstheme="majorBidi"/>
              </w:rPr>
            </w:pPr>
            <w:r w:rsidRPr="004F735C">
              <w:rPr>
                <w:rFonts w:asciiTheme="majorBidi" w:hAnsiTheme="majorBidi" w:cstheme="majorBidi"/>
              </w:rPr>
              <w:t>Pawnbroking Loan</w:t>
            </w:r>
          </w:p>
        </w:tc>
        <w:tc>
          <w:tcPr>
            <w:tcW w:w="0" w:type="auto"/>
            <w:tcMar>
              <w:top w:w="0" w:type="dxa"/>
              <w:left w:w="115" w:type="dxa"/>
              <w:bottom w:w="0" w:type="dxa"/>
              <w:right w:w="115" w:type="dxa"/>
            </w:tcMar>
            <w:vAlign w:val="center"/>
            <w:hideMark/>
          </w:tcPr>
          <w:p w14:paraId="29651EEA" w14:textId="77777777" w:rsidR="00C033B5" w:rsidRPr="004F735C" w:rsidRDefault="00C033B5" w:rsidP="00C033B5">
            <w:pPr>
              <w:rPr>
                <w:rFonts w:asciiTheme="majorBidi" w:hAnsiTheme="majorBidi" w:cstheme="majorBidi"/>
              </w:rPr>
            </w:pPr>
            <w:r w:rsidRPr="004F735C">
              <w:rPr>
                <w:rFonts w:asciiTheme="majorBidi" w:hAnsiTheme="majorBidi" w:cstheme="majorBidi"/>
              </w:rPr>
              <w:t>0.0131***</w:t>
            </w:r>
          </w:p>
        </w:tc>
        <w:tc>
          <w:tcPr>
            <w:tcW w:w="0" w:type="auto"/>
            <w:tcMar>
              <w:top w:w="0" w:type="dxa"/>
              <w:left w:w="115" w:type="dxa"/>
              <w:bottom w:w="0" w:type="dxa"/>
              <w:right w:w="115" w:type="dxa"/>
            </w:tcMar>
            <w:vAlign w:val="center"/>
            <w:hideMark/>
          </w:tcPr>
          <w:p w14:paraId="275FD233" w14:textId="77777777" w:rsidR="00C033B5" w:rsidRPr="004F735C" w:rsidRDefault="00C033B5" w:rsidP="00C033B5">
            <w:pPr>
              <w:rPr>
                <w:rFonts w:asciiTheme="majorBidi" w:hAnsiTheme="majorBidi" w:cstheme="majorBidi"/>
              </w:rPr>
            </w:pPr>
            <w:r w:rsidRPr="004F735C">
              <w:rPr>
                <w:rFonts w:asciiTheme="majorBidi" w:hAnsiTheme="majorBidi" w:cstheme="majorBidi"/>
              </w:rPr>
              <w:t>-0.1038***</w:t>
            </w:r>
          </w:p>
        </w:tc>
      </w:tr>
      <w:tr w:rsidR="00C033B5" w:rsidRPr="004F735C" w14:paraId="521E5E37" w14:textId="77777777">
        <w:trPr>
          <w:trHeight w:val="20"/>
          <w:jc w:val="right"/>
        </w:trPr>
        <w:tc>
          <w:tcPr>
            <w:tcW w:w="0" w:type="auto"/>
            <w:tcMar>
              <w:top w:w="0" w:type="dxa"/>
              <w:left w:w="115" w:type="dxa"/>
              <w:bottom w:w="0" w:type="dxa"/>
              <w:right w:w="115" w:type="dxa"/>
            </w:tcMar>
            <w:vAlign w:val="center"/>
            <w:hideMark/>
          </w:tcPr>
          <w:p w14:paraId="4D1A2E49"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06E7B7E" w14:textId="77777777" w:rsidR="00C033B5" w:rsidRPr="004F735C" w:rsidRDefault="00C033B5" w:rsidP="00C033B5">
            <w:pPr>
              <w:rPr>
                <w:rFonts w:asciiTheme="majorBidi" w:hAnsiTheme="majorBidi" w:cstheme="majorBidi"/>
              </w:rPr>
            </w:pPr>
            <w:r w:rsidRPr="004F735C">
              <w:rPr>
                <w:rFonts w:asciiTheme="majorBidi" w:hAnsiTheme="majorBidi" w:cstheme="majorBidi"/>
              </w:rPr>
              <w:t>(0.0028)</w:t>
            </w:r>
          </w:p>
        </w:tc>
        <w:tc>
          <w:tcPr>
            <w:tcW w:w="0" w:type="auto"/>
            <w:tcMar>
              <w:top w:w="0" w:type="dxa"/>
              <w:left w:w="115" w:type="dxa"/>
              <w:bottom w:w="0" w:type="dxa"/>
              <w:right w:w="115" w:type="dxa"/>
            </w:tcMar>
            <w:vAlign w:val="center"/>
            <w:hideMark/>
          </w:tcPr>
          <w:p w14:paraId="29844380"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(0.0013)</w:t>
            </w:r>
          </w:p>
        </w:tc>
      </w:tr>
      <w:tr w:rsidR="00C033B5" w:rsidRPr="004F735C" w14:paraId="2FDA9301" w14:textId="77777777">
        <w:trPr>
          <w:trHeight w:val="20"/>
          <w:jc w:val="right"/>
        </w:trPr>
        <w:tc>
          <w:tcPr>
            <w:tcW w:w="0" w:type="auto"/>
            <w:tcMar>
              <w:top w:w="0" w:type="dxa"/>
              <w:left w:w="115" w:type="dxa"/>
              <w:bottom w:w="0" w:type="dxa"/>
              <w:right w:w="115" w:type="dxa"/>
            </w:tcMar>
            <w:vAlign w:val="center"/>
            <w:hideMark/>
          </w:tcPr>
          <w:p w14:paraId="72114BB7" w14:textId="77777777" w:rsidR="00C033B5" w:rsidRPr="004F735C" w:rsidRDefault="00C033B5" w:rsidP="00C033B5">
            <w:pPr>
              <w:rPr>
                <w:rFonts w:asciiTheme="majorBidi" w:hAnsiTheme="majorBidi" w:cstheme="majorBidi"/>
              </w:rPr>
            </w:pPr>
            <w:r w:rsidRPr="004F735C">
              <w:rPr>
                <w:rFonts w:asciiTheme="majorBidi" w:hAnsiTheme="majorBidi" w:cstheme="majorBidi"/>
              </w:rPr>
              <w:t>Personal Loan</w:t>
            </w:r>
          </w:p>
        </w:tc>
        <w:tc>
          <w:tcPr>
            <w:tcW w:w="0" w:type="auto"/>
            <w:tcMar>
              <w:top w:w="0" w:type="dxa"/>
              <w:left w:w="115" w:type="dxa"/>
              <w:bottom w:w="0" w:type="dxa"/>
              <w:right w:w="115" w:type="dxa"/>
            </w:tcMar>
            <w:vAlign w:val="center"/>
            <w:hideMark/>
          </w:tcPr>
          <w:p w14:paraId="1C92AB03"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-0.0011***</w:t>
            </w:r>
          </w:p>
        </w:tc>
        <w:tc>
          <w:tcPr>
            <w:tcW w:w="0" w:type="auto"/>
            <w:tcMar>
              <w:top w:w="0" w:type="dxa"/>
              <w:left w:w="115" w:type="dxa"/>
              <w:bottom w:w="0" w:type="dxa"/>
              <w:right w:w="115" w:type="dxa"/>
            </w:tcMar>
            <w:vAlign w:val="center"/>
            <w:hideMark/>
          </w:tcPr>
          <w:p w14:paraId="41B74B8F" w14:textId="77777777" w:rsidR="00C033B5" w:rsidRPr="004F735C" w:rsidRDefault="00C033B5" w:rsidP="00C033B5">
            <w:pPr>
              <w:rPr>
                <w:rFonts w:asciiTheme="majorBidi" w:hAnsiTheme="majorBidi" w:cstheme="majorBidi"/>
              </w:rPr>
            </w:pPr>
            <w:r w:rsidRPr="004F735C">
              <w:rPr>
                <w:rFonts w:asciiTheme="majorBidi" w:hAnsiTheme="majorBidi" w:cstheme="majorBidi"/>
              </w:rPr>
              <w:t>-0.0299***</w:t>
            </w:r>
          </w:p>
        </w:tc>
      </w:tr>
      <w:tr w:rsidR="00C033B5" w:rsidRPr="004F735C" w14:paraId="04A0C0D6" w14:textId="77777777">
        <w:trPr>
          <w:trHeight w:val="20"/>
          <w:jc w:val="right"/>
        </w:trPr>
        <w:tc>
          <w:tcPr>
            <w:tcW w:w="0" w:type="auto"/>
            <w:tcMar>
              <w:top w:w="0" w:type="dxa"/>
              <w:left w:w="115" w:type="dxa"/>
              <w:bottom w:w="0" w:type="dxa"/>
              <w:right w:w="115" w:type="dxa"/>
            </w:tcMar>
            <w:vAlign w:val="center"/>
            <w:hideMark/>
          </w:tcPr>
          <w:p w14:paraId="6F464FF9"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776EFA7"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(0.0001)</w:t>
            </w:r>
          </w:p>
        </w:tc>
        <w:tc>
          <w:tcPr>
            <w:tcW w:w="0" w:type="auto"/>
            <w:tcMar>
              <w:top w:w="0" w:type="dxa"/>
              <w:left w:w="115" w:type="dxa"/>
              <w:bottom w:w="0" w:type="dxa"/>
              <w:right w:w="115" w:type="dxa"/>
            </w:tcMar>
            <w:vAlign w:val="center"/>
            <w:hideMark/>
          </w:tcPr>
          <w:p w14:paraId="28D4BE99"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(0.0001)</w:t>
            </w:r>
          </w:p>
        </w:tc>
      </w:tr>
      <w:tr w:rsidR="00C033B5" w:rsidRPr="004F735C" w14:paraId="443521E1" w14:textId="77777777">
        <w:trPr>
          <w:trHeight w:val="20"/>
          <w:jc w:val="right"/>
        </w:trPr>
        <w:tc>
          <w:tcPr>
            <w:tcW w:w="0" w:type="auto"/>
            <w:tcMar>
              <w:top w:w="0" w:type="dxa"/>
              <w:left w:w="115" w:type="dxa"/>
              <w:bottom w:w="0" w:type="dxa"/>
              <w:right w:w="115" w:type="dxa"/>
            </w:tcMar>
            <w:vAlign w:val="center"/>
            <w:hideMark/>
          </w:tcPr>
          <w:p w14:paraId="26128FA3" w14:textId="77777777" w:rsidR="00C033B5" w:rsidRPr="004F735C" w:rsidRDefault="00C033B5" w:rsidP="00C033B5">
            <w:pPr>
              <w:rPr>
                <w:rFonts w:asciiTheme="majorBidi" w:hAnsiTheme="majorBidi" w:cstheme="majorBidi"/>
              </w:rPr>
            </w:pPr>
            <w:r w:rsidRPr="004F735C">
              <w:rPr>
                <w:rFonts w:asciiTheme="majorBidi" w:hAnsiTheme="majorBidi" w:cstheme="majorBidi"/>
              </w:rPr>
              <w:t>Age</w:t>
            </w:r>
          </w:p>
        </w:tc>
        <w:tc>
          <w:tcPr>
            <w:tcW w:w="0" w:type="auto"/>
            <w:tcMar>
              <w:top w:w="0" w:type="dxa"/>
              <w:left w:w="115" w:type="dxa"/>
              <w:bottom w:w="0" w:type="dxa"/>
              <w:right w:w="115" w:type="dxa"/>
            </w:tcMar>
            <w:vAlign w:val="center"/>
            <w:hideMark/>
          </w:tcPr>
          <w:p w14:paraId="311D150A"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-0.0018***</w:t>
            </w:r>
          </w:p>
        </w:tc>
        <w:tc>
          <w:tcPr>
            <w:tcW w:w="0" w:type="auto"/>
            <w:tcMar>
              <w:top w:w="0" w:type="dxa"/>
              <w:left w:w="115" w:type="dxa"/>
              <w:bottom w:w="0" w:type="dxa"/>
              <w:right w:w="115" w:type="dxa"/>
            </w:tcMar>
            <w:vAlign w:val="center"/>
            <w:hideMark/>
          </w:tcPr>
          <w:p w14:paraId="43BCFCA5" w14:textId="77777777" w:rsidR="00C033B5" w:rsidRPr="004F735C" w:rsidRDefault="00C033B5" w:rsidP="00C033B5">
            <w:pPr>
              <w:rPr>
                <w:rFonts w:asciiTheme="majorBidi" w:hAnsiTheme="majorBidi" w:cstheme="majorBidi"/>
              </w:rPr>
            </w:pPr>
            <w:r w:rsidRPr="004F735C">
              <w:rPr>
                <w:rFonts w:asciiTheme="majorBidi" w:hAnsiTheme="majorBidi" w:cstheme="majorBidi"/>
              </w:rPr>
              <w:t>-0.0135***</w:t>
            </w:r>
          </w:p>
        </w:tc>
      </w:tr>
      <w:tr w:rsidR="00C033B5" w:rsidRPr="004F735C" w14:paraId="06144751" w14:textId="77777777">
        <w:trPr>
          <w:trHeight w:val="20"/>
          <w:jc w:val="right"/>
        </w:trPr>
        <w:tc>
          <w:tcPr>
            <w:tcW w:w="0" w:type="auto"/>
            <w:tcMar>
              <w:top w:w="0" w:type="dxa"/>
              <w:left w:w="115" w:type="dxa"/>
              <w:bottom w:w="0" w:type="dxa"/>
              <w:right w:w="115" w:type="dxa"/>
            </w:tcMar>
            <w:vAlign w:val="center"/>
            <w:hideMark/>
          </w:tcPr>
          <w:p w14:paraId="456189B5"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9ECBDD8"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1A3BE030"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(0.0001)</w:t>
            </w:r>
          </w:p>
        </w:tc>
      </w:tr>
      <w:tr w:rsidR="00C033B5" w:rsidRPr="004F735C" w14:paraId="14F5A38C" w14:textId="77777777">
        <w:trPr>
          <w:trHeight w:val="20"/>
          <w:jc w:val="right"/>
        </w:trPr>
        <w:tc>
          <w:tcPr>
            <w:tcW w:w="0" w:type="auto"/>
            <w:tcMar>
              <w:top w:w="0" w:type="dxa"/>
              <w:left w:w="115" w:type="dxa"/>
              <w:bottom w:w="0" w:type="dxa"/>
              <w:right w:w="115" w:type="dxa"/>
            </w:tcMar>
            <w:vAlign w:val="center"/>
            <w:hideMark/>
          </w:tcPr>
          <w:p w14:paraId="5300928A"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Loanport</w:t>
            </w:r>
            <w:proofErr w:type="spellEnd"/>
          </w:p>
        </w:tc>
        <w:tc>
          <w:tcPr>
            <w:tcW w:w="0" w:type="auto"/>
            <w:tcMar>
              <w:top w:w="0" w:type="dxa"/>
              <w:left w:w="115" w:type="dxa"/>
              <w:bottom w:w="0" w:type="dxa"/>
              <w:right w:w="115" w:type="dxa"/>
            </w:tcMar>
            <w:vAlign w:val="center"/>
            <w:hideMark/>
          </w:tcPr>
          <w:p w14:paraId="5802A71A"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-0.0015***</w:t>
            </w:r>
          </w:p>
        </w:tc>
        <w:tc>
          <w:tcPr>
            <w:tcW w:w="0" w:type="auto"/>
            <w:tcMar>
              <w:top w:w="0" w:type="dxa"/>
              <w:left w:w="115" w:type="dxa"/>
              <w:bottom w:w="0" w:type="dxa"/>
              <w:right w:w="115" w:type="dxa"/>
            </w:tcMar>
            <w:vAlign w:val="center"/>
            <w:hideMark/>
          </w:tcPr>
          <w:p w14:paraId="78D16AA8"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-0.0012***</w:t>
            </w:r>
          </w:p>
        </w:tc>
      </w:tr>
      <w:tr w:rsidR="00C033B5" w:rsidRPr="004F735C" w14:paraId="35329553" w14:textId="77777777">
        <w:trPr>
          <w:trHeight w:val="20"/>
          <w:jc w:val="right"/>
        </w:trPr>
        <w:tc>
          <w:tcPr>
            <w:tcW w:w="0" w:type="auto"/>
            <w:tcMar>
              <w:top w:w="0" w:type="dxa"/>
              <w:left w:w="115" w:type="dxa"/>
              <w:bottom w:w="0" w:type="dxa"/>
              <w:right w:w="115" w:type="dxa"/>
            </w:tcMar>
            <w:vAlign w:val="center"/>
            <w:hideMark/>
          </w:tcPr>
          <w:p w14:paraId="2E8FF6B8"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3F8C7E9"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(0.0001)</w:t>
            </w:r>
          </w:p>
        </w:tc>
        <w:tc>
          <w:tcPr>
            <w:tcW w:w="0" w:type="auto"/>
            <w:tcMar>
              <w:top w:w="0" w:type="dxa"/>
              <w:left w:w="115" w:type="dxa"/>
              <w:bottom w:w="0" w:type="dxa"/>
              <w:right w:w="115" w:type="dxa"/>
            </w:tcMar>
            <w:vAlign w:val="center"/>
            <w:hideMark/>
          </w:tcPr>
          <w:p w14:paraId="5A1A1208"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r>
      <w:tr w:rsidR="00C033B5" w:rsidRPr="004F735C" w14:paraId="0ABDFD71" w14:textId="77777777">
        <w:trPr>
          <w:trHeight w:val="20"/>
          <w:jc w:val="right"/>
        </w:trPr>
        <w:tc>
          <w:tcPr>
            <w:tcW w:w="0" w:type="auto"/>
            <w:tcMar>
              <w:top w:w="0" w:type="dxa"/>
              <w:left w:w="115" w:type="dxa"/>
              <w:bottom w:w="0" w:type="dxa"/>
              <w:right w:w="115" w:type="dxa"/>
            </w:tcMar>
            <w:vAlign w:val="center"/>
            <w:hideMark/>
          </w:tcPr>
          <w:p w14:paraId="70975183"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Loanport</w:t>
            </w:r>
            <w:proofErr w:type="spellEnd"/>
            <w:r w:rsidRPr="004F735C">
              <w:rPr>
                <w:rFonts w:asciiTheme="majorBidi" w:hAnsiTheme="majorBidi" w:cstheme="majorBidi"/>
              </w:rPr>
              <w:t xml:space="preserve"> × </w:t>
            </w:r>
            <w:proofErr w:type="spellStart"/>
            <w:r w:rsidRPr="004F735C">
              <w:rPr>
                <w:rFonts w:asciiTheme="majorBidi" w:hAnsiTheme="majorBidi" w:cstheme="majorBidi"/>
              </w:rPr>
              <w:t>Loanport</w:t>
            </w:r>
            <w:proofErr w:type="spellEnd"/>
          </w:p>
        </w:tc>
        <w:tc>
          <w:tcPr>
            <w:tcW w:w="0" w:type="auto"/>
            <w:tcMar>
              <w:top w:w="0" w:type="dxa"/>
              <w:left w:w="115" w:type="dxa"/>
              <w:bottom w:w="0" w:type="dxa"/>
              <w:right w:w="115" w:type="dxa"/>
            </w:tcMar>
            <w:vAlign w:val="center"/>
            <w:hideMark/>
          </w:tcPr>
          <w:p w14:paraId="781F0FEA" w14:textId="77777777" w:rsidR="00C033B5" w:rsidRPr="004F735C" w:rsidRDefault="00C033B5" w:rsidP="00C033B5">
            <w:pPr>
              <w:rPr>
                <w:rFonts w:asciiTheme="majorBidi" w:hAnsiTheme="majorBidi" w:cstheme="majorBidi"/>
              </w:rPr>
            </w:pPr>
            <w:r w:rsidRPr="004F735C">
              <w:rPr>
                <w:rFonts w:asciiTheme="majorBidi" w:hAnsiTheme="majorBidi" w:cstheme="majorBidi"/>
              </w:rPr>
              <w:t>0.0033***</w:t>
            </w:r>
          </w:p>
        </w:tc>
        <w:tc>
          <w:tcPr>
            <w:tcW w:w="0" w:type="auto"/>
            <w:tcMar>
              <w:top w:w="0" w:type="dxa"/>
              <w:left w:w="115" w:type="dxa"/>
              <w:bottom w:w="0" w:type="dxa"/>
              <w:right w:w="115" w:type="dxa"/>
            </w:tcMar>
            <w:vAlign w:val="center"/>
            <w:hideMark/>
          </w:tcPr>
          <w:p w14:paraId="5AB271A0"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-0.0016***</w:t>
            </w:r>
          </w:p>
        </w:tc>
      </w:tr>
      <w:tr w:rsidR="00C033B5" w:rsidRPr="004F735C" w14:paraId="63FC0991" w14:textId="77777777">
        <w:trPr>
          <w:trHeight w:val="20"/>
          <w:jc w:val="right"/>
        </w:trPr>
        <w:tc>
          <w:tcPr>
            <w:tcW w:w="0" w:type="auto"/>
            <w:tcMar>
              <w:top w:w="0" w:type="dxa"/>
              <w:left w:w="115" w:type="dxa"/>
              <w:bottom w:w="0" w:type="dxa"/>
              <w:right w:w="115" w:type="dxa"/>
            </w:tcMar>
            <w:vAlign w:val="center"/>
            <w:hideMark/>
          </w:tcPr>
          <w:p w14:paraId="35B08442"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FCEB842"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487FA57A"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(0.0001)</w:t>
            </w:r>
          </w:p>
        </w:tc>
      </w:tr>
      <w:tr w:rsidR="00C033B5" w:rsidRPr="004F735C" w14:paraId="478859F0" w14:textId="77777777">
        <w:trPr>
          <w:trHeight w:val="20"/>
          <w:jc w:val="right"/>
        </w:trPr>
        <w:tc>
          <w:tcPr>
            <w:tcW w:w="0" w:type="auto"/>
            <w:tcMar>
              <w:top w:w="0" w:type="dxa"/>
              <w:left w:w="115" w:type="dxa"/>
              <w:bottom w:w="0" w:type="dxa"/>
              <w:right w:w="115" w:type="dxa"/>
            </w:tcMar>
            <w:hideMark/>
          </w:tcPr>
          <w:p w14:paraId="5707EE1E" w14:textId="77777777" w:rsidR="00C033B5" w:rsidRPr="004F735C" w:rsidRDefault="00C033B5" w:rsidP="00C033B5">
            <w:pPr>
              <w:rPr>
                <w:rFonts w:asciiTheme="majorBidi" w:hAnsiTheme="majorBidi" w:cstheme="majorBidi"/>
              </w:rPr>
            </w:pPr>
            <w:r w:rsidRPr="004F735C">
              <w:rPr>
                <w:rFonts w:asciiTheme="majorBidi" w:hAnsiTheme="majorBidi" w:cstheme="majorBidi"/>
              </w:rPr>
              <w:t>Country Fixed effects</w:t>
            </w:r>
          </w:p>
          <w:p w14:paraId="6646EB0F"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9B48972" w14:textId="77777777" w:rsidR="00C033B5" w:rsidRPr="004F735C" w:rsidRDefault="00C033B5" w:rsidP="00C033B5">
            <w:pPr>
              <w:rPr>
                <w:rFonts w:asciiTheme="majorBidi" w:hAnsiTheme="majorBidi" w:cstheme="majorBidi"/>
              </w:rPr>
            </w:pPr>
            <w:r w:rsidRPr="004F735C">
              <w:rPr>
                <w:rFonts w:asciiTheme="majorBidi" w:hAnsiTheme="majorBidi" w:cstheme="majorBidi"/>
              </w:rPr>
              <w:t>Yes</w:t>
            </w:r>
          </w:p>
        </w:tc>
        <w:tc>
          <w:tcPr>
            <w:tcW w:w="0" w:type="auto"/>
            <w:tcMar>
              <w:top w:w="0" w:type="dxa"/>
              <w:left w:w="115" w:type="dxa"/>
              <w:bottom w:w="0" w:type="dxa"/>
              <w:right w:w="115" w:type="dxa"/>
            </w:tcMar>
            <w:hideMark/>
          </w:tcPr>
          <w:p w14:paraId="2E09C2F1" w14:textId="77777777" w:rsidR="00C033B5" w:rsidRPr="004F735C" w:rsidRDefault="00C033B5" w:rsidP="00C033B5">
            <w:pPr>
              <w:rPr>
                <w:rFonts w:asciiTheme="majorBidi" w:hAnsiTheme="majorBidi" w:cstheme="majorBidi"/>
              </w:rPr>
            </w:pPr>
            <w:r w:rsidRPr="004F735C">
              <w:rPr>
                <w:rFonts w:asciiTheme="majorBidi" w:hAnsiTheme="majorBidi" w:cstheme="majorBidi"/>
              </w:rPr>
              <w:t>Yes</w:t>
            </w:r>
          </w:p>
        </w:tc>
      </w:tr>
      <w:tr w:rsidR="00C033B5" w:rsidRPr="004F735C" w14:paraId="1030CAEC" w14:textId="77777777">
        <w:trPr>
          <w:trHeight w:val="20"/>
          <w:jc w:val="right"/>
        </w:trPr>
        <w:tc>
          <w:tcPr>
            <w:tcW w:w="0" w:type="auto"/>
            <w:tcMar>
              <w:top w:w="0" w:type="dxa"/>
              <w:left w:w="115" w:type="dxa"/>
              <w:bottom w:w="0" w:type="dxa"/>
              <w:right w:w="115" w:type="dxa"/>
            </w:tcMar>
            <w:vAlign w:val="center"/>
            <w:hideMark/>
          </w:tcPr>
          <w:p w14:paraId="54EF237A"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Unemplymt</w:t>
            </w:r>
            <w:proofErr w:type="spellEnd"/>
          </w:p>
        </w:tc>
        <w:tc>
          <w:tcPr>
            <w:tcW w:w="0" w:type="auto"/>
            <w:tcMar>
              <w:top w:w="0" w:type="dxa"/>
              <w:left w:w="115" w:type="dxa"/>
              <w:bottom w:w="0" w:type="dxa"/>
              <w:right w:w="115" w:type="dxa"/>
            </w:tcMar>
            <w:vAlign w:val="center"/>
            <w:hideMark/>
          </w:tcPr>
          <w:p w14:paraId="7530F09C" w14:textId="77777777" w:rsidR="00C033B5" w:rsidRPr="004F735C" w:rsidRDefault="00C033B5" w:rsidP="00C033B5">
            <w:pPr>
              <w:rPr>
                <w:rFonts w:asciiTheme="majorBidi" w:hAnsiTheme="majorBidi" w:cstheme="majorBidi"/>
              </w:rPr>
            </w:pPr>
            <w:r w:rsidRPr="004F735C">
              <w:rPr>
                <w:rFonts w:asciiTheme="majorBidi" w:hAnsiTheme="majorBidi" w:cstheme="majorBidi"/>
              </w:rPr>
              <w:t>0.0096***</w:t>
            </w:r>
          </w:p>
        </w:tc>
        <w:tc>
          <w:tcPr>
            <w:tcW w:w="0" w:type="auto"/>
            <w:tcMar>
              <w:top w:w="0" w:type="dxa"/>
              <w:left w:w="115" w:type="dxa"/>
              <w:bottom w:w="0" w:type="dxa"/>
              <w:right w:w="115" w:type="dxa"/>
            </w:tcMar>
            <w:vAlign w:val="center"/>
            <w:hideMark/>
          </w:tcPr>
          <w:p w14:paraId="718B8316"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-0.0012***</w:t>
            </w:r>
          </w:p>
        </w:tc>
      </w:tr>
      <w:tr w:rsidR="00C033B5" w:rsidRPr="004F735C" w14:paraId="52A2A52A" w14:textId="77777777">
        <w:trPr>
          <w:trHeight w:val="20"/>
          <w:jc w:val="right"/>
        </w:trPr>
        <w:tc>
          <w:tcPr>
            <w:tcW w:w="0" w:type="auto"/>
            <w:tcMar>
              <w:top w:w="0" w:type="dxa"/>
              <w:left w:w="115" w:type="dxa"/>
              <w:bottom w:w="0" w:type="dxa"/>
              <w:right w:w="115" w:type="dxa"/>
            </w:tcMar>
            <w:vAlign w:val="center"/>
            <w:hideMark/>
          </w:tcPr>
          <w:p w14:paraId="3AE570D0"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F25B46E"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(0.0001)</w:t>
            </w:r>
          </w:p>
        </w:tc>
        <w:tc>
          <w:tcPr>
            <w:tcW w:w="0" w:type="auto"/>
            <w:tcMar>
              <w:top w:w="0" w:type="dxa"/>
              <w:left w:w="115" w:type="dxa"/>
              <w:bottom w:w="0" w:type="dxa"/>
              <w:right w:w="115" w:type="dxa"/>
            </w:tcMar>
            <w:vAlign w:val="center"/>
            <w:hideMark/>
          </w:tcPr>
          <w:p w14:paraId="3487A3C6"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(0.0002)</w:t>
            </w:r>
          </w:p>
        </w:tc>
      </w:tr>
      <w:tr w:rsidR="00C033B5" w:rsidRPr="004F735C" w14:paraId="5C5AAD4B" w14:textId="77777777">
        <w:trPr>
          <w:trHeight w:val="20"/>
          <w:jc w:val="right"/>
        </w:trPr>
        <w:tc>
          <w:tcPr>
            <w:tcW w:w="0" w:type="auto"/>
            <w:tcMar>
              <w:top w:w="0" w:type="dxa"/>
              <w:left w:w="115" w:type="dxa"/>
              <w:bottom w:w="0" w:type="dxa"/>
              <w:right w:w="115" w:type="dxa"/>
            </w:tcMar>
            <w:vAlign w:val="center"/>
            <w:hideMark/>
          </w:tcPr>
          <w:p w14:paraId="44A72BFA"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Govtbond</w:t>
            </w:r>
            <w:proofErr w:type="spellEnd"/>
          </w:p>
        </w:tc>
        <w:tc>
          <w:tcPr>
            <w:tcW w:w="0" w:type="auto"/>
            <w:tcMar>
              <w:top w:w="0" w:type="dxa"/>
              <w:left w:w="115" w:type="dxa"/>
              <w:bottom w:w="0" w:type="dxa"/>
              <w:right w:w="115" w:type="dxa"/>
            </w:tcMar>
            <w:vAlign w:val="center"/>
            <w:hideMark/>
          </w:tcPr>
          <w:p w14:paraId="5C4EE8FD" w14:textId="77777777" w:rsidR="00C033B5" w:rsidRPr="004F735C" w:rsidRDefault="00C033B5" w:rsidP="00C033B5">
            <w:pPr>
              <w:rPr>
                <w:rFonts w:asciiTheme="majorBidi" w:hAnsiTheme="majorBidi" w:cstheme="majorBidi"/>
              </w:rPr>
            </w:pPr>
            <w:r w:rsidRPr="004F735C">
              <w:rPr>
                <w:rFonts w:asciiTheme="majorBidi" w:hAnsiTheme="majorBidi" w:cstheme="majorBidi"/>
              </w:rPr>
              <w:t>-2.0131***</w:t>
            </w:r>
          </w:p>
        </w:tc>
        <w:tc>
          <w:tcPr>
            <w:tcW w:w="0" w:type="auto"/>
            <w:tcMar>
              <w:top w:w="0" w:type="dxa"/>
              <w:left w:w="115" w:type="dxa"/>
              <w:bottom w:w="0" w:type="dxa"/>
              <w:right w:w="115" w:type="dxa"/>
            </w:tcMar>
            <w:vAlign w:val="center"/>
            <w:hideMark/>
          </w:tcPr>
          <w:p w14:paraId="5A4D2393" w14:textId="77777777" w:rsidR="00C033B5" w:rsidRPr="004F735C" w:rsidRDefault="00C033B5" w:rsidP="00C033B5">
            <w:pPr>
              <w:rPr>
                <w:rFonts w:asciiTheme="majorBidi" w:hAnsiTheme="majorBidi" w:cstheme="majorBidi"/>
              </w:rPr>
            </w:pPr>
            <w:r w:rsidRPr="004F735C">
              <w:rPr>
                <w:rFonts w:asciiTheme="majorBidi" w:hAnsiTheme="majorBidi" w:cstheme="majorBidi"/>
              </w:rPr>
              <w:t>0.0025***</w:t>
            </w:r>
          </w:p>
        </w:tc>
      </w:tr>
      <w:tr w:rsidR="00C033B5" w:rsidRPr="004F735C" w14:paraId="36D7F201" w14:textId="77777777">
        <w:trPr>
          <w:trHeight w:val="20"/>
          <w:jc w:val="right"/>
        </w:trPr>
        <w:tc>
          <w:tcPr>
            <w:tcW w:w="0" w:type="auto"/>
            <w:tcMar>
              <w:top w:w="0" w:type="dxa"/>
              <w:left w:w="115" w:type="dxa"/>
              <w:bottom w:w="0" w:type="dxa"/>
              <w:right w:w="115" w:type="dxa"/>
            </w:tcMar>
            <w:vAlign w:val="center"/>
            <w:hideMark/>
          </w:tcPr>
          <w:p w14:paraId="1DB70FDB"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2E816D5" w14:textId="77777777" w:rsidR="00C033B5" w:rsidRPr="004F735C" w:rsidRDefault="00C033B5" w:rsidP="00C033B5">
            <w:pPr>
              <w:rPr>
                <w:rFonts w:asciiTheme="majorBidi" w:hAnsiTheme="majorBidi" w:cstheme="majorBidi"/>
              </w:rPr>
            </w:pPr>
            <w:r w:rsidRPr="004F735C">
              <w:rPr>
                <w:rFonts w:asciiTheme="majorBidi" w:hAnsiTheme="majorBidi" w:cstheme="majorBidi"/>
              </w:rPr>
              <w:t>(0.0062)</w:t>
            </w:r>
          </w:p>
        </w:tc>
        <w:tc>
          <w:tcPr>
            <w:tcW w:w="0" w:type="auto"/>
            <w:tcMar>
              <w:top w:w="0" w:type="dxa"/>
              <w:left w:w="115" w:type="dxa"/>
              <w:bottom w:w="0" w:type="dxa"/>
              <w:right w:w="115" w:type="dxa"/>
            </w:tcMar>
            <w:vAlign w:val="center"/>
            <w:hideMark/>
          </w:tcPr>
          <w:p w14:paraId="6CC0ADC9"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(0.0001)</w:t>
            </w:r>
          </w:p>
        </w:tc>
      </w:tr>
      <w:tr w:rsidR="00C033B5" w:rsidRPr="004F735C" w14:paraId="20FF109C" w14:textId="77777777">
        <w:trPr>
          <w:trHeight w:val="20"/>
          <w:jc w:val="right"/>
        </w:trPr>
        <w:tc>
          <w:tcPr>
            <w:tcW w:w="0" w:type="auto"/>
            <w:tcMar>
              <w:top w:w="0" w:type="dxa"/>
              <w:left w:w="115" w:type="dxa"/>
              <w:bottom w:w="0" w:type="dxa"/>
              <w:right w:w="115" w:type="dxa"/>
            </w:tcMar>
            <w:vAlign w:val="center"/>
            <w:hideMark/>
          </w:tcPr>
          <w:p w14:paraId="156BDF1E" w14:textId="77777777" w:rsidR="00C033B5" w:rsidRPr="004F735C" w:rsidRDefault="00C033B5" w:rsidP="00C033B5">
            <w:pPr>
              <w:rPr>
                <w:rFonts w:asciiTheme="majorBidi" w:hAnsiTheme="majorBidi" w:cstheme="majorBidi"/>
              </w:rPr>
            </w:pPr>
            <w:r w:rsidRPr="004F735C">
              <w:rPr>
                <w:rFonts w:asciiTheme="majorBidi" w:hAnsiTheme="majorBidi" w:cstheme="majorBidi"/>
              </w:rPr>
              <w:t>_cons</w:t>
            </w:r>
          </w:p>
        </w:tc>
        <w:tc>
          <w:tcPr>
            <w:tcW w:w="0" w:type="auto"/>
            <w:tcMar>
              <w:top w:w="0" w:type="dxa"/>
              <w:left w:w="115" w:type="dxa"/>
              <w:bottom w:w="0" w:type="dxa"/>
              <w:right w:w="115" w:type="dxa"/>
            </w:tcMar>
            <w:vAlign w:val="center"/>
            <w:hideMark/>
          </w:tcPr>
          <w:p w14:paraId="665B31B3" w14:textId="77777777" w:rsidR="00C033B5" w:rsidRPr="004F735C" w:rsidRDefault="00C033B5" w:rsidP="00C033B5">
            <w:pPr>
              <w:rPr>
                <w:rFonts w:asciiTheme="majorBidi" w:hAnsiTheme="majorBidi" w:cstheme="majorBidi"/>
              </w:rPr>
            </w:pPr>
            <w:r w:rsidRPr="004F735C">
              <w:rPr>
                <w:rFonts w:asciiTheme="majorBidi" w:hAnsiTheme="majorBidi" w:cstheme="majorBidi"/>
              </w:rPr>
              <w:t>0.1715***</w:t>
            </w:r>
          </w:p>
        </w:tc>
        <w:tc>
          <w:tcPr>
            <w:tcW w:w="0" w:type="auto"/>
            <w:tcMar>
              <w:top w:w="0" w:type="dxa"/>
              <w:left w:w="115" w:type="dxa"/>
              <w:bottom w:w="0" w:type="dxa"/>
              <w:right w:w="115" w:type="dxa"/>
            </w:tcMar>
            <w:vAlign w:val="center"/>
            <w:hideMark/>
          </w:tcPr>
          <w:p w14:paraId="538E9BE2" w14:textId="77777777" w:rsidR="00C033B5" w:rsidRPr="004F735C" w:rsidRDefault="00C033B5" w:rsidP="00C033B5">
            <w:pPr>
              <w:rPr>
                <w:rFonts w:asciiTheme="majorBidi" w:hAnsiTheme="majorBidi" w:cstheme="majorBidi"/>
              </w:rPr>
            </w:pPr>
            <w:r w:rsidRPr="004F735C">
              <w:rPr>
                <w:rFonts w:asciiTheme="majorBidi" w:hAnsiTheme="majorBidi" w:cstheme="majorBidi"/>
              </w:rPr>
              <w:t>0.2205***</w:t>
            </w:r>
          </w:p>
        </w:tc>
      </w:tr>
      <w:tr w:rsidR="00C033B5" w:rsidRPr="004F735C" w14:paraId="720636DE" w14:textId="77777777">
        <w:trPr>
          <w:trHeight w:val="20"/>
          <w:jc w:val="right"/>
        </w:trPr>
        <w:tc>
          <w:tcPr>
            <w:tcW w:w="0" w:type="auto"/>
            <w:tcMar>
              <w:top w:w="0" w:type="dxa"/>
              <w:left w:w="115" w:type="dxa"/>
              <w:bottom w:w="0" w:type="dxa"/>
              <w:right w:w="115" w:type="dxa"/>
            </w:tcMar>
            <w:vAlign w:val="center"/>
            <w:hideMark/>
          </w:tcPr>
          <w:p w14:paraId="742CEC89"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A7B48FD"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(0.0010)</w:t>
            </w:r>
          </w:p>
        </w:tc>
        <w:tc>
          <w:tcPr>
            <w:tcW w:w="0" w:type="auto"/>
            <w:tcMar>
              <w:top w:w="0" w:type="dxa"/>
              <w:left w:w="115" w:type="dxa"/>
              <w:bottom w:w="0" w:type="dxa"/>
              <w:right w:w="115" w:type="dxa"/>
            </w:tcMar>
            <w:vAlign w:val="center"/>
            <w:hideMark/>
          </w:tcPr>
          <w:p w14:paraId="66AC109D"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(0.0010)</w:t>
            </w:r>
          </w:p>
        </w:tc>
      </w:tr>
      <w:tr w:rsidR="00C033B5" w:rsidRPr="004F735C" w14:paraId="2FDF56BF" w14:textId="77777777">
        <w:trPr>
          <w:trHeight w:val="20"/>
          <w:jc w:val="right"/>
        </w:trPr>
        <w:tc>
          <w:tcPr>
            <w:tcW w:w="0" w:type="auto"/>
            <w:tcMar>
              <w:top w:w="0" w:type="dxa"/>
              <w:left w:w="115" w:type="dxa"/>
              <w:bottom w:w="0" w:type="dxa"/>
              <w:right w:w="115" w:type="dxa"/>
            </w:tcMar>
            <w:vAlign w:val="center"/>
            <w:hideMark/>
          </w:tcPr>
          <w:p w14:paraId="7373C8B3" w14:textId="77777777" w:rsidR="00C033B5" w:rsidRPr="004F735C" w:rsidRDefault="00C033B5" w:rsidP="00C033B5">
            <w:pPr>
              <w:rPr>
                <w:rFonts w:asciiTheme="majorBidi" w:hAnsiTheme="majorBidi" w:cstheme="majorBidi"/>
              </w:rPr>
            </w:pPr>
            <w:r w:rsidRPr="004F735C">
              <w:rPr>
                <w:rFonts w:asciiTheme="majorBidi" w:hAnsiTheme="majorBidi" w:cstheme="majorBidi"/>
              </w:rPr>
              <w:t>Adjusted - r squared</w:t>
            </w:r>
          </w:p>
        </w:tc>
        <w:tc>
          <w:tcPr>
            <w:tcW w:w="0" w:type="auto"/>
            <w:tcMar>
              <w:top w:w="0" w:type="dxa"/>
              <w:left w:w="115" w:type="dxa"/>
              <w:bottom w:w="0" w:type="dxa"/>
              <w:right w:w="115" w:type="dxa"/>
            </w:tcMar>
            <w:vAlign w:val="center"/>
            <w:hideMark/>
          </w:tcPr>
          <w:p w14:paraId="3BE76427" w14:textId="77777777" w:rsidR="00C033B5" w:rsidRPr="004F735C" w:rsidRDefault="00C033B5" w:rsidP="00C033B5">
            <w:pPr>
              <w:rPr>
                <w:rFonts w:asciiTheme="majorBidi" w:hAnsiTheme="majorBidi" w:cstheme="majorBidi"/>
              </w:rPr>
            </w:pPr>
            <w:r w:rsidRPr="004F735C">
              <w:rPr>
                <w:rFonts w:asciiTheme="majorBidi" w:hAnsiTheme="majorBidi" w:cstheme="majorBidi"/>
              </w:rPr>
              <w:t>0.5035</w:t>
            </w:r>
          </w:p>
        </w:tc>
        <w:tc>
          <w:tcPr>
            <w:tcW w:w="0" w:type="auto"/>
            <w:tcMar>
              <w:top w:w="0" w:type="dxa"/>
              <w:left w:w="115" w:type="dxa"/>
              <w:bottom w:w="0" w:type="dxa"/>
              <w:right w:w="115" w:type="dxa"/>
            </w:tcMar>
            <w:vAlign w:val="center"/>
            <w:hideMark/>
          </w:tcPr>
          <w:p w14:paraId="36FA0003" w14:textId="77777777" w:rsidR="00C033B5" w:rsidRPr="004F735C" w:rsidRDefault="00C033B5" w:rsidP="00C033B5">
            <w:pPr>
              <w:rPr>
                <w:rFonts w:asciiTheme="majorBidi" w:hAnsiTheme="majorBidi" w:cstheme="majorBidi"/>
              </w:rPr>
            </w:pPr>
            <w:r w:rsidRPr="004F735C">
              <w:rPr>
                <w:rFonts w:asciiTheme="majorBidi" w:hAnsiTheme="majorBidi" w:cstheme="majorBidi"/>
              </w:rPr>
              <w:t>0.4142</w:t>
            </w:r>
          </w:p>
        </w:tc>
      </w:tr>
      <w:tr w:rsidR="00C033B5" w:rsidRPr="004F735C" w14:paraId="56A41457" w14:textId="77777777">
        <w:trPr>
          <w:trHeight w:val="20"/>
          <w:jc w:val="right"/>
        </w:trPr>
        <w:tc>
          <w:tcPr>
            <w:tcW w:w="0" w:type="auto"/>
            <w:tcBorders>
              <w:bottom w:val="single" w:sz="4" w:space="0" w:color="000000"/>
            </w:tcBorders>
            <w:tcMar>
              <w:top w:w="0" w:type="dxa"/>
              <w:left w:w="115" w:type="dxa"/>
              <w:bottom w:w="0" w:type="dxa"/>
              <w:right w:w="115" w:type="dxa"/>
            </w:tcMar>
            <w:vAlign w:val="center"/>
            <w:hideMark/>
          </w:tcPr>
          <w:p w14:paraId="260FA731" w14:textId="77777777" w:rsidR="00C033B5" w:rsidRPr="004F735C" w:rsidRDefault="00C033B5" w:rsidP="00C033B5">
            <w:pPr>
              <w:rPr>
                <w:rFonts w:asciiTheme="majorBidi" w:hAnsiTheme="majorBidi" w:cstheme="majorBidi"/>
              </w:rPr>
            </w:pPr>
            <w:r w:rsidRPr="004F735C">
              <w:rPr>
                <w:rFonts w:asciiTheme="majorBidi" w:hAnsiTheme="majorBidi" w:cstheme="majorBidi"/>
              </w:rPr>
              <w:t>N</w:t>
            </w:r>
          </w:p>
        </w:tc>
        <w:tc>
          <w:tcPr>
            <w:tcW w:w="0" w:type="auto"/>
            <w:tcBorders>
              <w:bottom w:val="single" w:sz="4" w:space="0" w:color="000000"/>
            </w:tcBorders>
            <w:tcMar>
              <w:top w:w="0" w:type="dxa"/>
              <w:left w:w="115" w:type="dxa"/>
              <w:bottom w:w="0" w:type="dxa"/>
              <w:right w:w="115" w:type="dxa"/>
            </w:tcMar>
            <w:vAlign w:val="center"/>
            <w:hideMark/>
          </w:tcPr>
          <w:p w14:paraId="418DD96B" w14:textId="77777777" w:rsidR="00C033B5" w:rsidRPr="004F735C" w:rsidRDefault="00C033B5" w:rsidP="00C033B5">
            <w:pPr>
              <w:rPr>
                <w:rFonts w:asciiTheme="majorBidi" w:hAnsiTheme="majorBidi" w:cstheme="majorBidi"/>
              </w:rPr>
            </w:pPr>
            <w:r w:rsidRPr="004F735C">
              <w:rPr>
                <w:rFonts w:asciiTheme="majorBidi" w:hAnsiTheme="majorBidi" w:cstheme="majorBidi"/>
              </w:rPr>
              <w:t>1,452,900</w:t>
            </w:r>
          </w:p>
        </w:tc>
        <w:tc>
          <w:tcPr>
            <w:tcW w:w="0" w:type="auto"/>
            <w:tcBorders>
              <w:bottom w:val="single" w:sz="4" w:space="0" w:color="000000"/>
            </w:tcBorders>
            <w:tcMar>
              <w:top w:w="0" w:type="dxa"/>
              <w:left w:w="115" w:type="dxa"/>
              <w:bottom w:w="0" w:type="dxa"/>
              <w:right w:w="115" w:type="dxa"/>
            </w:tcMar>
            <w:vAlign w:val="center"/>
            <w:hideMark/>
          </w:tcPr>
          <w:p w14:paraId="79DAB6CF" w14:textId="77777777" w:rsidR="00C033B5" w:rsidRPr="004F735C" w:rsidRDefault="00C033B5" w:rsidP="00C033B5">
            <w:pPr>
              <w:rPr>
                <w:rFonts w:asciiTheme="majorBidi" w:hAnsiTheme="majorBidi" w:cstheme="majorBidi"/>
              </w:rPr>
            </w:pPr>
            <w:r w:rsidRPr="004F735C">
              <w:rPr>
                <w:rFonts w:asciiTheme="majorBidi" w:hAnsiTheme="majorBidi" w:cstheme="majorBidi"/>
              </w:rPr>
              <w:t>530,434</w:t>
            </w:r>
          </w:p>
        </w:tc>
      </w:tr>
      <w:tr w:rsidR="00C033B5" w:rsidRPr="004F735C" w14:paraId="626CFF76" w14:textId="77777777">
        <w:trPr>
          <w:trHeight w:val="20"/>
          <w:jc w:val="right"/>
        </w:trPr>
        <w:tc>
          <w:tcPr>
            <w:tcW w:w="0" w:type="auto"/>
            <w:gridSpan w:val="3"/>
            <w:tcBorders>
              <w:top w:val="single" w:sz="4" w:space="0" w:color="000000"/>
            </w:tcBorders>
            <w:tcMar>
              <w:top w:w="0" w:type="dxa"/>
              <w:left w:w="115" w:type="dxa"/>
              <w:bottom w:w="0" w:type="dxa"/>
              <w:right w:w="115" w:type="dxa"/>
            </w:tcMar>
            <w:vAlign w:val="center"/>
            <w:hideMark/>
          </w:tcPr>
          <w:p w14:paraId="6FAD323B" w14:textId="77777777" w:rsidR="00C033B5" w:rsidRPr="004F735C" w:rsidRDefault="00C033B5" w:rsidP="00C033B5">
            <w:pPr>
              <w:rPr>
                <w:rFonts w:asciiTheme="majorBidi" w:hAnsiTheme="majorBidi" w:cstheme="majorBidi"/>
              </w:rPr>
            </w:pPr>
            <w:r w:rsidRPr="004F735C">
              <w:rPr>
                <w:rFonts w:asciiTheme="majorBidi" w:hAnsiTheme="majorBidi" w:cstheme="majorBidi"/>
                <w:i/>
                <w:iCs/>
              </w:rPr>
              <w:t>Note: The table reports the regression analysis for the impact of skin in the game on interest rates. Specification (1) and Specification (2) reports the results for claims and notes respectively. All specifications of the model employ robust standard errors in parentheses. *, **, *** indicate significance at 10%, 5%, and 1% levels respectively.</w:t>
            </w:r>
          </w:p>
        </w:tc>
      </w:tr>
    </w:tbl>
    <w:p w14:paraId="0A913FCA" w14:textId="1F04D6AF" w:rsidR="00C033B5" w:rsidRPr="00C033B5" w:rsidRDefault="00C033B5" w:rsidP="00C033B5">
      <w:r w:rsidRPr="00C033B5">
        <w:lastRenderedPageBreak/>
        <w:br/>
      </w:r>
    </w:p>
    <w:p w14:paraId="0148EDC5" w14:textId="77777777" w:rsidR="00C033B5" w:rsidRPr="004F735C" w:rsidRDefault="00C033B5" w:rsidP="004F735C">
      <w:pPr>
        <w:jc w:val="center"/>
        <w:rPr>
          <w:rFonts w:asciiTheme="majorBidi" w:hAnsiTheme="majorBidi" w:cstheme="majorBidi"/>
        </w:rPr>
      </w:pPr>
      <w:r w:rsidRPr="004F735C">
        <w:rPr>
          <w:rFonts w:asciiTheme="majorBidi" w:hAnsiTheme="majorBidi" w:cstheme="majorBidi"/>
          <w:b/>
          <w:bCs/>
        </w:rPr>
        <w:t>Appendix Table A6</w:t>
      </w:r>
      <w:r w:rsidRPr="004F735C">
        <w:rPr>
          <w:rFonts w:asciiTheme="majorBidi" w:hAnsiTheme="majorBidi" w:cstheme="majorBidi"/>
        </w:rPr>
        <w:t>: Impact of Skin in the game on default and severity of default</w:t>
      </w:r>
    </w:p>
    <w:tbl>
      <w:tblPr>
        <w:tblW w:w="0" w:type="auto"/>
        <w:tblCellMar>
          <w:top w:w="15" w:type="dxa"/>
          <w:left w:w="15" w:type="dxa"/>
          <w:bottom w:w="15" w:type="dxa"/>
          <w:right w:w="15" w:type="dxa"/>
        </w:tblCellMar>
        <w:tblLook w:val="04A0" w:firstRow="1" w:lastRow="0" w:firstColumn="1" w:lastColumn="0" w:noHBand="0" w:noVBand="1"/>
      </w:tblPr>
      <w:tblGrid>
        <w:gridCol w:w="1139"/>
        <w:gridCol w:w="1039"/>
        <w:gridCol w:w="954"/>
        <w:gridCol w:w="954"/>
        <w:gridCol w:w="954"/>
        <w:gridCol w:w="1124"/>
        <w:gridCol w:w="954"/>
        <w:gridCol w:w="954"/>
        <w:gridCol w:w="954"/>
      </w:tblGrid>
      <w:tr w:rsidR="00C033B5" w:rsidRPr="00C033B5" w14:paraId="5025BDC6" w14:textId="77777777">
        <w:trPr>
          <w:trHeight w:val="20"/>
        </w:trPr>
        <w:tc>
          <w:tcPr>
            <w:tcW w:w="0" w:type="auto"/>
            <w:tcBorders>
              <w:top w:val="single" w:sz="4" w:space="0" w:color="000000"/>
            </w:tcBorders>
            <w:tcMar>
              <w:top w:w="0" w:type="dxa"/>
              <w:left w:w="115" w:type="dxa"/>
              <w:bottom w:w="0" w:type="dxa"/>
              <w:right w:w="115" w:type="dxa"/>
            </w:tcMar>
            <w:hideMark/>
          </w:tcPr>
          <w:p w14:paraId="65D659AF" w14:textId="77777777" w:rsidR="00C033B5" w:rsidRPr="004F735C"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hideMark/>
          </w:tcPr>
          <w:p w14:paraId="6B3B747A"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PANEL A</w:t>
            </w:r>
          </w:p>
        </w:tc>
        <w:tc>
          <w:tcPr>
            <w:tcW w:w="0" w:type="auto"/>
            <w:tcBorders>
              <w:top w:val="single" w:sz="4" w:space="0" w:color="000000"/>
              <w:bottom w:val="single" w:sz="4" w:space="0" w:color="000000"/>
            </w:tcBorders>
            <w:tcMar>
              <w:top w:w="0" w:type="dxa"/>
              <w:left w:w="115" w:type="dxa"/>
              <w:bottom w:w="0" w:type="dxa"/>
              <w:right w:w="115" w:type="dxa"/>
            </w:tcMar>
            <w:hideMark/>
          </w:tcPr>
          <w:p w14:paraId="62F052D2" w14:textId="77777777" w:rsidR="00C033B5" w:rsidRPr="004F735C"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hideMark/>
          </w:tcPr>
          <w:p w14:paraId="38A62EB6" w14:textId="77777777" w:rsidR="00C033B5" w:rsidRPr="004F735C"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hideMark/>
          </w:tcPr>
          <w:p w14:paraId="5A5ACF96" w14:textId="77777777" w:rsidR="00C033B5" w:rsidRPr="004F735C"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hideMark/>
          </w:tcPr>
          <w:p w14:paraId="68DA94AB"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PANEL B</w:t>
            </w:r>
          </w:p>
        </w:tc>
        <w:tc>
          <w:tcPr>
            <w:tcW w:w="0" w:type="auto"/>
            <w:tcBorders>
              <w:top w:val="single" w:sz="4" w:space="0" w:color="000000"/>
              <w:bottom w:val="single" w:sz="4" w:space="0" w:color="000000"/>
            </w:tcBorders>
            <w:tcMar>
              <w:top w:w="0" w:type="dxa"/>
              <w:left w:w="115" w:type="dxa"/>
              <w:bottom w:w="0" w:type="dxa"/>
              <w:right w:w="115" w:type="dxa"/>
            </w:tcMar>
            <w:hideMark/>
          </w:tcPr>
          <w:p w14:paraId="24864288" w14:textId="77777777" w:rsidR="00C033B5" w:rsidRPr="004F735C"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hideMark/>
          </w:tcPr>
          <w:p w14:paraId="4DB33026" w14:textId="77777777" w:rsidR="00C033B5" w:rsidRPr="004F735C"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hideMark/>
          </w:tcPr>
          <w:p w14:paraId="6E4B0C5A" w14:textId="77777777" w:rsidR="00C033B5" w:rsidRPr="004F735C" w:rsidRDefault="00C033B5" w:rsidP="00C033B5">
            <w:pPr>
              <w:rPr>
                <w:rFonts w:asciiTheme="majorBidi" w:hAnsiTheme="majorBidi" w:cstheme="majorBidi"/>
              </w:rPr>
            </w:pPr>
          </w:p>
        </w:tc>
      </w:tr>
      <w:tr w:rsidR="00C033B5" w:rsidRPr="00C033B5" w14:paraId="7F21ED50" w14:textId="77777777">
        <w:trPr>
          <w:trHeight w:val="20"/>
        </w:trPr>
        <w:tc>
          <w:tcPr>
            <w:tcW w:w="0" w:type="auto"/>
            <w:tcBorders>
              <w:bottom w:val="single" w:sz="4" w:space="0" w:color="000000"/>
            </w:tcBorders>
            <w:tcMar>
              <w:top w:w="0" w:type="dxa"/>
              <w:left w:w="115" w:type="dxa"/>
              <w:bottom w:w="0" w:type="dxa"/>
              <w:right w:w="115" w:type="dxa"/>
            </w:tcMar>
            <w:hideMark/>
          </w:tcPr>
          <w:p w14:paraId="52EE301E"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Variables</w:t>
            </w:r>
          </w:p>
        </w:tc>
        <w:tc>
          <w:tcPr>
            <w:tcW w:w="0" w:type="auto"/>
            <w:tcBorders>
              <w:top w:val="single" w:sz="4" w:space="0" w:color="000000"/>
              <w:bottom w:val="single" w:sz="4" w:space="0" w:color="000000"/>
            </w:tcBorders>
            <w:tcMar>
              <w:top w:w="0" w:type="dxa"/>
              <w:left w:w="115" w:type="dxa"/>
              <w:bottom w:w="0" w:type="dxa"/>
              <w:right w:w="115" w:type="dxa"/>
            </w:tcMar>
            <w:hideMark/>
          </w:tcPr>
          <w:p w14:paraId="16B8CAEA"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1a)</w:t>
            </w:r>
          </w:p>
        </w:tc>
        <w:tc>
          <w:tcPr>
            <w:tcW w:w="0" w:type="auto"/>
            <w:tcBorders>
              <w:top w:val="single" w:sz="4" w:space="0" w:color="000000"/>
              <w:bottom w:val="single" w:sz="4" w:space="0" w:color="000000"/>
            </w:tcBorders>
            <w:tcMar>
              <w:top w:w="0" w:type="dxa"/>
              <w:left w:w="115" w:type="dxa"/>
              <w:bottom w:w="0" w:type="dxa"/>
              <w:right w:w="115" w:type="dxa"/>
            </w:tcMar>
            <w:hideMark/>
          </w:tcPr>
          <w:p w14:paraId="4A4D2895"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 1b)</w:t>
            </w:r>
          </w:p>
        </w:tc>
        <w:tc>
          <w:tcPr>
            <w:tcW w:w="0" w:type="auto"/>
            <w:tcBorders>
              <w:top w:val="single" w:sz="4" w:space="0" w:color="000000"/>
              <w:bottom w:val="single" w:sz="4" w:space="0" w:color="000000"/>
            </w:tcBorders>
            <w:tcMar>
              <w:top w:w="0" w:type="dxa"/>
              <w:left w:w="115" w:type="dxa"/>
              <w:bottom w:w="0" w:type="dxa"/>
              <w:right w:w="115" w:type="dxa"/>
            </w:tcMar>
            <w:hideMark/>
          </w:tcPr>
          <w:p w14:paraId="0D1AB11A"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2a)</w:t>
            </w:r>
            <w:r w:rsidRPr="004F735C">
              <w:rPr>
                <w:rFonts w:asciiTheme="majorBidi" w:hAnsiTheme="majorBidi" w:cstheme="majorBidi"/>
                <w:b/>
                <w:bCs/>
              </w:rPr>
              <w:tab/>
            </w:r>
          </w:p>
        </w:tc>
        <w:tc>
          <w:tcPr>
            <w:tcW w:w="0" w:type="auto"/>
            <w:tcBorders>
              <w:top w:val="single" w:sz="4" w:space="0" w:color="000000"/>
              <w:bottom w:val="single" w:sz="4" w:space="0" w:color="000000"/>
            </w:tcBorders>
            <w:tcMar>
              <w:top w:w="0" w:type="dxa"/>
              <w:left w:w="115" w:type="dxa"/>
              <w:bottom w:w="0" w:type="dxa"/>
              <w:right w:w="115" w:type="dxa"/>
            </w:tcMar>
            <w:hideMark/>
          </w:tcPr>
          <w:p w14:paraId="5408E52C"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2b)</w:t>
            </w:r>
          </w:p>
        </w:tc>
        <w:tc>
          <w:tcPr>
            <w:tcW w:w="0" w:type="auto"/>
            <w:tcBorders>
              <w:top w:val="single" w:sz="4" w:space="0" w:color="000000"/>
              <w:bottom w:val="single" w:sz="4" w:space="0" w:color="000000"/>
            </w:tcBorders>
            <w:tcMar>
              <w:top w:w="0" w:type="dxa"/>
              <w:left w:w="115" w:type="dxa"/>
              <w:bottom w:w="0" w:type="dxa"/>
              <w:right w:w="115" w:type="dxa"/>
            </w:tcMar>
            <w:hideMark/>
          </w:tcPr>
          <w:p w14:paraId="744CA1B2"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3a)</w:t>
            </w:r>
          </w:p>
        </w:tc>
        <w:tc>
          <w:tcPr>
            <w:tcW w:w="0" w:type="auto"/>
            <w:tcBorders>
              <w:top w:val="single" w:sz="4" w:space="0" w:color="000000"/>
              <w:bottom w:val="single" w:sz="4" w:space="0" w:color="000000"/>
            </w:tcBorders>
            <w:tcMar>
              <w:top w:w="0" w:type="dxa"/>
              <w:left w:w="115" w:type="dxa"/>
              <w:bottom w:w="0" w:type="dxa"/>
              <w:right w:w="115" w:type="dxa"/>
            </w:tcMar>
            <w:hideMark/>
          </w:tcPr>
          <w:p w14:paraId="3AE42C44"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3b)</w:t>
            </w:r>
          </w:p>
        </w:tc>
        <w:tc>
          <w:tcPr>
            <w:tcW w:w="0" w:type="auto"/>
            <w:tcBorders>
              <w:top w:val="single" w:sz="4" w:space="0" w:color="000000"/>
              <w:bottom w:val="single" w:sz="4" w:space="0" w:color="000000"/>
            </w:tcBorders>
            <w:tcMar>
              <w:top w:w="0" w:type="dxa"/>
              <w:left w:w="115" w:type="dxa"/>
              <w:bottom w:w="0" w:type="dxa"/>
              <w:right w:w="115" w:type="dxa"/>
            </w:tcMar>
            <w:hideMark/>
          </w:tcPr>
          <w:p w14:paraId="5E82F741"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4a)</w:t>
            </w:r>
          </w:p>
        </w:tc>
        <w:tc>
          <w:tcPr>
            <w:tcW w:w="0" w:type="auto"/>
            <w:tcBorders>
              <w:top w:val="single" w:sz="4" w:space="0" w:color="000000"/>
              <w:bottom w:val="single" w:sz="4" w:space="0" w:color="000000"/>
            </w:tcBorders>
            <w:tcMar>
              <w:top w:w="0" w:type="dxa"/>
              <w:left w:w="115" w:type="dxa"/>
              <w:bottom w:w="0" w:type="dxa"/>
              <w:right w:w="115" w:type="dxa"/>
            </w:tcMar>
            <w:hideMark/>
          </w:tcPr>
          <w:p w14:paraId="61546E8C" w14:textId="77777777" w:rsidR="00C033B5" w:rsidRPr="004F735C" w:rsidRDefault="00C033B5" w:rsidP="00C033B5">
            <w:pPr>
              <w:rPr>
                <w:rFonts w:asciiTheme="majorBidi" w:hAnsiTheme="majorBidi" w:cstheme="majorBidi"/>
              </w:rPr>
            </w:pPr>
            <w:r w:rsidRPr="004F735C">
              <w:rPr>
                <w:rFonts w:asciiTheme="majorBidi" w:hAnsiTheme="majorBidi" w:cstheme="majorBidi"/>
                <w:b/>
                <w:bCs/>
              </w:rPr>
              <w:t>4b)</w:t>
            </w:r>
          </w:p>
        </w:tc>
      </w:tr>
      <w:tr w:rsidR="00C033B5" w:rsidRPr="00C033B5" w14:paraId="22D9F819" w14:textId="77777777">
        <w:trPr>
          <w:trHeight w:val="19"/>
        </w:trPr>
        <w:tc>
          <w:tcPr>
            <w:tcW w:w="0" w:type="auto"/>
            <w:tcBorders>
              <w:top w:val="single" w:sz="4" w:space="0" w:color="000000"/>
            </w:tcBorders>
            <w:tcMar>
              <w:top w:w="0" w:type="dxa"/>
              <w:left w:w="115" w:type="dxa"/>
              <w:bottom w:w="0" w:type="dxa"/>
              <w:right w:w="115" w:type="dxa"/>
            </w:tcMar>
            <w:vAlign w:val="bottom"/>
            <w:hideMark/>
          </w:tcPr>
          <w:p w14:paraId="539A0AF3" w14:textId="77777777" w:rsidR="00C033B5" w:rsidRPr="004F735C" w:rsidRDefault="00C033B5" w:rsidP="00C033B5">
            <w:pPr>
              <w:rPr>
                <w:rFonts w:asciiTheme="majorBidi" w:hAnsiTheme="majorBidi" w:cstheme="majorBidi"/>
              </w:rPr>
            </w:pPr>
            <w:r w:rsidRPr="004F735C">
              <w:rPr>
                <w:rFonts w:asciiTheme="majorBidi" w:hAnsiTheme="majorBidi" w:cstheme="majorBidi"/>
              </w:rPr>
              <w:t>SITG</w:t>
            </w:r>
          </w:p>
        </w:tc>
        <w:tc>
          <w:tcPr>
            <w:tcW w:w="0" w:type="auto"/>
            <w:tcBorders>
              <w:top w:val="single" w:sz="4" w:space="0" w:color="000000"/>
            </w:tcBorders>
            <w:tcMar>
              <w:top w:w="0" w:type="dxa"/>
              <w:left w:w="115" w:type="dxa"/>
              <w:bottom w:w="0" w:type="dxa"/>
              <w:right w:w="115" w:type="dxa"/>
            </w:tcMar>
            <w:vAlign w:val="bottom"/>
            <w:hideMark/>
          </w:tcPr>
          <w:p w14:paraId="57A2F3E7" w14:textId="77777777" w:rsidR="00C033B5" w:rsidRPr="004F735C" w:rsidRDefault="00C033B5" w:rsidP="00C033B5">
            <w:pPr>
              <w:rPr>
                <w:rFonts w:asciiTheme="majorBidi" w:hAnsiTheme="majorBidi" w:cstheme="majorBidi"/>
              </w:rPr>
            </w:pPr>
            <w:r w:rsidRPr="004F735C">
              <w:rPr>
                <w:rFonts w:asciiTheme="majorBidi" w:hAnsiTheme="majorBidi" w:cstheme="majorBidi"/>
              </w:rPr>
              <w:t>-32.0922***</w:t>
            </w:r>
          </w:p>
        </w:tc>
        <w:tc>
          <w:tcPr>
            <w:tcW w:w="0" w:type="auto"/>
            <w:tcBorders>
              <w:top w:val="single" w:sz="4" w:space="0" w:color="000000"/>
            </w:tcBorders>
            <w:tcMar>
              <w:top w:w="0" w:type="dxa"/>
              <w:left w:w="115" w:type="dxa"/>
              <w:bottom w:w="0" w:type="dxa"/>
              <w:right w:w="115" w:type="dxa"/>
            </w:tcMar>
            <w:vAlign w:val="bottom"/>
            <w:hideMark/>
          </w:tcPr>
          <w:p w14:paraId="2173C6C7" w14:textId="77777777" w:rsidR="00C033B5" w:rsidRPr="004F735C" w:rsidRDefault="00C033B5" w:rsidP="00C033B5">
            <w:pPr>
              <w:rPr>
                <w:rFonts w:asciiTheme="majorBidi" w:hAnsiTheme="majorBidi" w:cstheme="majorBidi"/>
              </w:rPr>
            </w:pPr>
            <w:r w:rsidRPr="004F735C">
              <w:rPr>
                <w:rFonts w:asciiTheme="majorBidi" w:hAnsiTheme="majorBidi" w:cstheme="majorBidi"/>
              </w:rPr>
              <w:t>-0.0287***</w:t>
            </w:r>
          </w:p>
        </w:tc>
        <w:tc>
          <w:tcPr>
            <w:tcW w:w="0" w:type="auto"/>
            <w:tcBorders>
              <w:top w:val="single" w:sz="4" w:space="0" w:color="000000"/>
            </w:tcBorders>
            <w:tcMar>
              <w:top w:w="0" w:type="dxa"/>
              <w:left w:w="115" w:type="dxa"/>
              <w:bottom w:w="0" w:type="dxa"/>
              <w:right w:w="115" w:type="dxa"/>
            </w:tcMar>
            <w:vAlign w:val="bottom"/>
            <w:hideMark/>
          </w:tcPr>
          <w:p w14:paraId="719D7C4F" w14:textId="77777777" w:rsidR="00C033B5" w:rsidRPr="004F735C" w:rsidRDefault="00C033B5" w:rsidP="00C033B5">
            <w:pPr>
              <w:rPr>
                <w:rFonts w:asciiTheme="majorBidi" w:hAnsiTheme="majorBidi" w:cstheme="majorBidi"/>
              </w:rPr>
            </w:pPr>
            <w:r w:rsidRPr="004F735C">
              <w:rPr>
                <w:rFonts w:asciiTheme="majorBidi" w:hAnsiTheme="majorBidi" w:cstheme="majorBidi"/>
              </w:rPr>
              <w:t>-6.1535***</w:t>
            </w:r>
          </w:p>
        </w:tc>
        <w:tc>
          <w:tcPr>
            <w:tcW w:w="0" w:type="auto"/>
            <w:tcBorders>
              <w:top w:val="single" w:sz="4" w:space="0" w:color="000000"/>
            </w:tcBorders>
            <w:tcMar>
              <w:top w:w="0" w:type="dxa"/>
              <w:left w:w="115" w:type="dxa"/>
              <w:bottom w:w="0" w:type="dxa"/>
              <w:right w:w="115" w:type="dxa"/>
            </w:tcMar>
            <w:vAlign w:val="bottom"/>
            <w:hideMark/>
          </w:tcPr>
          <w:p w14:paraId="41B6CF7F" w14:textId="77777777" w:rsidR="00C033B5" w:rsidRPr="004F735C" w:rsidRDefault="00C033B5" w:rsidP="00C033B5">
            <w:pPr>
              <w:rPr>
                <w:rFonts w:asciiTheme="majorBidi" w:hAnsiTheme="majorBidi" w:cstheme="majorBidi"/>
              </w:rPr>
            </w:pPr>
            <w:r w:rsidRPr="004F735C">
              <w:rPr>
                <w:rFonts w:asciiTheme="majorBidi" w:hAnsiTheme="majorBidi" w:cstheme="majorBidi"/>
              </w:rPr>
              <w:t>-0.8932***</w:t>
            </w:r>
          </w:p>
        </w:tc>
        <w:tc>
          <w:tcPr>
            <w:tcW w:w="0" w:type="auto"/>
            <w:tcBorders>
              <w:top w:val="single" w:sz="4" w:space="0" w:color="000000"/>
            </w:tcBorders>
            <w:tcMar>
              <w:top w:w="0" w:type="dxa"/>
              <w:left w:w="115" w:type="dxa"/>
              <w:bottom w:w="0" w:type="dxa"/>
              <w:right w:w="115" w:type="dxa"/>
            </w:tcMar>
            <w:vAlign w:val="center"/>
            <w:hideMark/>
          </w:tcPr>
          <w:p w14:paraId="1D430B16" w14:textId="77777777" w:rsidR="00C033B5" w:rsidRPr="004F735C" w:rsidRDefault="00C033B5" w:rsidP="00C033B5">
            <w:pPr>
              <w:rPr>
                <w:rFonts w:asciiTheme="majorBidi" w:hAnsiTheme="majorBidi" w:cstheme="majorBidi"/>
              </w:rPr>
            </w:pPr>
            <w:r w:rsidRPr="004F735C">
              <w:rPr>
                <w:rFonts w:asciiTheme="majorBidi" w:hAnsiTheme="majorBidi" w:cstheme="majorBidi"/>
              </w:rPr>
              <w:t>-12.5512***</w:t>
            </w:r>
          </w:p>
        </w:tc>
        <w:tc>
          <w:tcPr>
            <w:tcW w:w="0" w:type="auto"/>
            <w:tcBorders>
              <w:top w:val="single" w:sz="4" w:space="0" w:color="000000"/>
            </w:tcBorders>
            <w:tcMar>
              <w:top w:w="0" w:type="dxa"/>
              <w:left w:w="115" w:type="dxa"/>
              <w:bottom w:w="0" w:type="dxa"/>
              <w:right w:w="115" w:type="dxa"/>
            </w:tcMar>
            <w:vAlign w:val="center"/>
            <w:hideMark/>
          </w:tcPr>
          <w:p w14:paraId="300D1D91" w14:textId="77777777" w:rsidR="00C033B5" w:rsidRPr="004F735C" w:rsidRDefault="00C033B5" w:rsidP="00C033B5">
            <w:pPr>
              <w:rPr>
                <w:rFonts w:asciiTheme="majorBidi" w:hAnsiTheme="majorBidi" w:cstheme="majorBidi"/>
              </w:rPr>
            </w:pPr>
            <w:r w:rsidRPr="004F735C">
              <w:rPr>
                <w:rFonts w:asciiTheme="majorBidi" w:hAnsiTheme="majorBidi" w:cstheme="majorBidi"/>
              </w:rPr>
              <w:t>-0.0086***</w:t>
            </w:r>
          </w:p>
        </w:tc>
        <w:tc>
          <w:tcPr>
            <w:tcW w:w="0" w:type="auto"/>
            <w:tcBorders>
              <w:top w:val="single" w:sz="4" w:space="0" w:color="000000"/>
            </w:tcBorders>
            <w:tcMar>
              <w:top w:w="0" w:type="dxa"/>
              <w:left w:w="115" w:type="dxa"/>
              <w:bottom w:w="0" w:type="dxa"/>
              <w:right w:w="115" w:type="dxa"/>
            </w:tcMar>
            <w:vAlign w:val="center"/>
            <w:hideMark/>
          </w:tcPr>
          <w:p w14:paraId="0233FD99" w14:textId="77777777" w:rsidR="00C033B5" w:rsidRPr="004F735C" w:rsidRDefault="00C033B5" w:rsidP="00C033B5">
            <w:pPr>
              <w:rPr>
                <w:rFonts w:asciiTheme="majorBidi" w:hAnsiTheme="majorBidi" w:cstheme="majorBidi"/>
              </w:rPr>
            </w:pPr>
            <w:r w:rsidRPr="004F735C">
              <w:rPr>
                <w:rFonts w:asciiTheme="majorBidi" w:hAnsiTheme="majorBidi" w:cstheme="majorBidi"/>
              </w:rPr>
              <w:t>-3.5878***</w:t>
            </w:r>
          </w:p>
        </w:tc>
        <w:tc>
          <w:tcPr>
            <w:tcW w:w="0" w:type="auto"/>
            <w:tcBorders>
              <w:top w:val="single" w:sz="4" w:space="0" w:color="000000"/>
            </w:tcBorders>
            <w:tcMar>
              <w:top w:w="0" w:type="dxa"/>
              <w:left w:w="115" w:type="dxa"/>
              <w:bottom w:w="0" w:type="dxa"/>
              <w:right w:w="115" w:type="dxa"/>
            </w:tcMar>
            <w:vAlign w:val="center"/>
            <w:hideMark/>
          </w:tcPr>
          <w:p w14:paraId="1F9499B8" w14:textId="77777777" w:rsidR="00C033B5" w:rsidRPr="004F735C" w:rsidRDefault="00C033B5" w:rsidP="00C033B5">
            <w:pPr>
              <w:rPr>
                <w:rFonts w:asciiTheme="majorBidi" w:hAnsiTheme="majorBidi" w:cstheme="majorBidi"/>
              </w:rPr>
            </w:pPr>
            <w:r w:rsidRPr="004F735C">
              <w:rPr>
                <w:rFonts w:asciiTheme="majorBidi" w:hAnsiTheme="majorBidi" w:cstheme="majorBidi"/>
              </w:rPr>
              <w:t>-0.4907***</w:t>
            </w:r>
          </w:p>
        </w:tc>
      </w:tr>
      <w:tr w:rsidR="00C033B5" w:rsidRPr="00C033B5" w14:paraId="177E8D86" w14:textId="77777777">
        <w:trPr>
          <w:trHeight w:val="19"/>
        </w:trPr>
        <w:tc>
          <w:tcPr>
            <w:tcW w:w="0" w:type="auto"/>
            <w:tcMar>
              <w:top w:w="0" w:type="dxa"/>
              <w:left w:w="115" w:type="dxa"/>
              <w:bottom w:w="0" w:type="dxa"/>
              <w:right w:w="115" w:type="dxa"/>
            </w:tcMar>
            <w:vAlign w:val="bottom"/>
            <w:hideMark/>
          </w:tcPr>
          <w:p w14:paraId="1F0F8FCE"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30C9892" w14:textId="77777777" w:rsidR="00C033B5" w:rsidRPr="004F735C" w:rsidRDefault="00C033B5" w:rsidP="00C033B5">
            <w:pPr>
              <w:rPr>
                <w:rFonts w:asciiTheme="majorBidi" w:hAnsiTheme="majorBidi" w:cstheme="majorBidi"/>
              </w:rPr>
            </w:pPr>
            <w:r w:rsidRPr="004F735C">
              <w:rPr>
                <w:rFonts w:asciiTheme="majorBidi" w:hAnsiTheme="majorBidi" w:cstheme="majorBidi"/>
              </w:rPr>
              <w:t>(5.8633)</w:t>
            </w:r>
          </w:p>
        </w:tc>
        <w:tc>
          <w:tcPr>
            <w:tcW w:w="0" w:type="auto"/>
            <w:tcMar>
              <w:top w:w="0" w:type="dxa"/>
              <w:left w:w="115" w:type="dxa"/>
              <w:bottom w:w="0" w:type="dxa"/>
              <w:right w:w="115" w:type="dxa"/>
            </w:tcMar>
            <w:vAlign w:val="center"/>
            <w:hideMark/>
          </w:tcPr>
          <w:p w14:paraId="0545DE80" w14:textId="77777777" w:rsidR="00C033B5" w:rsidRPr="004F735C" w:rsidRDefault="00C033B5" w:rsidP="00C033B5">
            <w:pPr>
              <w:rPr>
                <w:rFonts w:asciiTheme="majorBidi" w:hAnsiTheme="majorBidi" w:cstheme="majorBidi"/>
              </w:rPr>
            </w:pPr>
            <w:r w:rsidRPr="004F735C">
              <w:rPr>
                <w:rFonts w:asciiTheme="majorBidi" w:hAnsiTheme="majorBidi" w:cstheme="majorBidi"/>
              </w:rPr>
              <w:t>(0.0053)</w:t>
            </w:r>
          </w:p>
        </w:tc>
        <w:tc>
          <w:tcPr>
            <w:tcW w:w="0" w:type="auto"/>
            <w:tcMar>
              <w:top w:w="0" w:type="dxa"/>
              <w:left w:w="115" w:type="dxa"/>
              <w:bottom w:w="0" w:type="dxa"/>
              <w:right w:w="115" w:type="dxa"/>
            </w:tcMar>
            <w:vAlign w:val="center"/>
            <w:hideMark/>
          </w:tcPr>
          <w:p w14:paraId="64759696" w14:textId="77777777" w:rsidR="00C033B5" w:rsidRPr="004F735C" w:rsidRDefault="00C033B5" w:rsidP="00C033B5">
            <w:pPr>
              <w:rPr>
                <w:rFonts w:asciiTheme="majorBidi" w:hAnsiTheme="majorBidi" w:cstheme="majorBidi"/>
              </w:rPr>
            </w:pPr>
            <w:r w:rsidRPr="004F735C">
              <w:rPr>
                <w:rFonts w:asciiTheme="majorBidi" w:hAnsiTheme="majorBidi" w:cstheme="majorBidi"/>
              </w:rPr>
              <w:t>(0.9291)</w:t>
            </w:r>
          </w:p>
        </w:tc>
        <w:tc>
          <w:tcPr>
            <w:tcW w:w="0" w:type="auto"/>
            <w:tcMar>
              <w:top w:w="0" w:type="dxa"/>
              <w:left w:w="115" w:type="dxa"/>
              <w:bottom w:w="0" w:type="dxa"/>
              <w:right w:w="115" w:type="dxa"/>
            </w:tcMar>
            <w:vAlign w:val="center"/>
            <w:hideMark/>
          </w:tcPr>
          <w:p w14:paraId="0E1EDA47" w14:textId="77777777" w:rsidR="00C033B5" w:rsidRPr="004F735C" w:rsidRDefault="00C033B5" w:rsidP="00C033B5">
            <w:pPr>
              <w:rPr>
                <w:rFonts w:asciiTheme="majorBidi" w:hAnsiTheme="majorBidi" w:cstheme="majorBidi"/>
              </w:rPr>
            </w:pPr>
            <w:r w:rsidRPr="004F735C">
              <w:rPr>
                <w:rFonts w:asciiTheme="majorBidi" w:hAnsiTheme="majorBidi" w:cstheme="majorBidi"/>
              </w:rPr>
              <w:t>(0.1348)</w:t>
            </w:r>
          </w:p>
        </w:tc>
        <w:tc>
          <w:tcPr>
            <w:tcW w:w="0" w:type="auto"/>
            <w:tcMar>
              <w:top w:w="0" w:type="dxa"/>
              <w:left w:w="115" w:type="dxa"/>
              <w:bottom w:w="0" w:type="dxa"/>
              <w:right w:w="115" w:type="dxa"/>
            </w:tcMar>
            <w:vAlign w:val="center"/>
            <w:hideMark/>
          </w:tcPr>
          <w:p w14:paraId="50A88AD7" w14:textId="77777777" w:rsidR="00C033B5" w:rsidRPr="004F735C" w:rsidRDefault="00C033B5" w:rsidP="00C033B5">
            <w:pPr>
              <w:rPr>
                <w:rFonts w:asciiTheme="majorBidi" w:hAnsiTheme="majorBidi" w:cstheme="majorBidi"/>
              </w:rPr>
            </w:pPr>
            <w:r w:rsidRPr="004F735C">
              <w:rPr>
                <w:rFonts w:asciiTheme="majorBidi" w:hAnsiTheme="majorBidi" w:cstheme="majorBidi"/>
              </w:rPr>
              <w:t>(3.8632)</w:t>
            </w:r>
          </w:p>
        </w:tc>
        <w:tc>
          <w:tcPr>
            <w:tcW w:w="0" w:type="auto"/>
            <w:tcMar>
              <w:top w:w="0" w:type="dxa"/>
              <w:left w:w="115" w:type="dxa"/>
              <w:bottom w:w="0" w:type="dxa"/>
              <w:right w:w="115" w:type="dxa"/>
            </w:tcMar>
            <w:vAlign w:val="center"/>
            <w:hideMark/>
          </w:tcPr>
          <w:p w14:paraId="6CE34B05" w14:textId="77777777" w:rsidR="00C033B5" w:rsidRPr="004F735C" w:rsidRDefault="00C033B5" w:rsidP="00C033B5">
            <w:pPr>
              <w:rPr>
                <w:rFonts w:asciiTheme="majorBidi" w:hAnsiTheme="majorBidi" w:cstheme="majorBidi"/>
              </w:rPr>
            </w:pPr>
            <w:r w:rsidRPr="004F735C">
              <w:rPr>
                <w:rFonts w:asciiTheme="majorBidi" w:hAnsiTheme="majorBidi" w:cstheme="majorBidi"/>
              </w:rPr>
              <w:t>(0.0027)</w:t>
            </w:r>
          </w:p>
        </w:tc>
        <w:tc>
          <w:tcPr>
            <w:tcW w:w="0" w:type="auto"/>
            <w:tcMar>
              <w:top w:w="0" w:type="dxa"/>
              <w:left w:w="115" w:type="dxa"/>
              <w:bottom w:w="0" w:type="dxa"/>
              <w:right w:w="115" w:type="dxa"/>
            </w:tcMar>
            <w:vAlign w:val="center"/>
            <w:hideMark/>
          </w:tcPr>
          <w:p w14:paraId="66C1F4C0" w14:textId="77777777" w:rsidR="00C033B5" w:rsidRPr="004F735C" w:rsidRDefault="00C033B5" w:rsidP="00C033B5">
            <w:pPr>
              <w:rPr>
                <w:rFonts w:asciiTheme="majorBidi" w:hAnsiTheme="majorBidi" w:cstheme="majorBidi"/>
              </w:rPr>
            </w:pPr>
            <w:r w:rsidRPr="004F735C">
              <w:rPr>
                <w:rFonts w:asciiTheme="majorBidi" w:hAnsiTheme="majorBidi" w:cstheme="majorBidi"/>
              </w:rPr>
              <w:t>(0.9182)</w:t>
            </w:r>
          </w:p>
        </w:tc>
        <w:tc>
          <w:tcPr>
            <w:tcW w:w="0" w:type="auto"/>
            <w:tcMar>
              <w:top w:w="0" w:type="dxa"/>
              <w:left w:w="115" w:type="dxa"/>
              <w:bottom w:w="0" w:type="dxa"/>
              <w:right w:w="115" w:type="dxa"/>
            </w:tcMar>
            <w:vAlign w:val="center"/>
            <w:hideMark/>
          </w:tcPr>
          <w:p w14:paraId="39D7665B" w14:textId="77777777" w:rsidR="00C033B5" w:rsidRPr="004F735C" w:rsidRDefault="00C033B5" w:rsidP="00C033B5">
            <w:pPr>
              <w:rPr>
                <w:rFonts w:asciiTheme="majorBidi" w:hAnsiTheme="majorBidi" w:cstheme="majorBidi"/>
              </w:rPr>
            </w:pPr>
            <w:r w:rsidRPr="004F735C">
              <w:rPr>
                <w:rFonts w:asciiTheme="majorBidi" w:hAnsiTheme="majorBidi" w:cstheme="majorBidi"/>
              </w:rPr>
              <w:t>(0.1255)</w:t>
            </w:r>
          </w:p>
        </w:tc>
      </w:tr>
      <w:tr w:rsidR="00C033B5" w:rsidRPr="00C033B5" w14:paraId="5533E764" w14:textId="77777777">
        <w:trPr>
          <w:trHeight w:val="143"/>
        </w:trPr>
        <w:tc>
          <w:tcPr>
            <w:tcW w:w="0" w:type="auto"/>
            <w:tcMar>
              <w:top w:w="0" w:type="dxa"/>
              <w:left w:w="115" w:type="dxa"/>
              <w:bottom w:w="0" w:type="dxa"/>
              <w:right w:w="115" w:type="dxa"/>
            </w:tcMar>
            <w:vAlign w:val="center"/>
            <w:hideMark/>
          </w:tcPr>
          <w:p w14:paraId="6D0806B3" w14:textId="77777777" w:rsidR="00C033B5" w:rsidRPr="004F735C" w:rsidRDefault="00C033B5" w:rsidP="00C033B5">
            <w:pPr>
              <w:rPr>
                <w:rFonts w:asciiTheme="majorBidi" w:hAnsiTheme="majorBidi" w:cstheme="majorBidi"/>
              </w:rPr>
            </w:pPr>
            <w:r w:rsidRPr="004F735C">
              <w:rPr>
                <w:rFonts w:asciiTheme="majorBidi" w:hAnsiTheme="majorBidi" w:cstheme="majorBidi"/>
              </w:rPr>
              <w:t>Term</w:t>
            </w:r>
          </w:p>
        </w:tc>
        <w:tc>
          <w:tcPr>
            <w:tcW w:w="0" w:type="auto"/>
            <w:tcMar>
              <w:top w:w="0" w:type="dxa"/>
              <w:left w:w="115" w:type="dxa"/>
              <w:bottom w:w="0" w:type="dxa"/>
              <w:right w:w="115" w:type="dxa"/>
            </w:tcMar>
            <w:hideMark/>
          </w:tcPr>
          <w:p w14:paraId="67F5E3A2" w14:textId="77777777" w:rsidR="00C033B5" w:rsidRPr="004F735C" w:rsidRDefault="00C033B5" w:rsidP="00C033B5">
            <w:pPr>
              <w:rPr>
                <w:rFonts w:asciiTheme="majorBidi" w:hAnsiTheme="majorBidi" w:cstheme="majorBidi"/>
              </w:rPr>
            </w:pPr>
            <w:r w:rsidRPr="004F735C">
              <w:rPr>
                <w:rFonts w:asciiTheme="majorBidi" w:hAnsiTheme="majorBidi" w:cstheme="majorBidi"/>
              </w:rPr>
              <w:t>0.0235***</w:t>
            </w:r>
          </w:p>
        </w:tc>
        <w:tc>
          <w:tcPr>
            <w:tcW w:w="0" w:type="auto"/>
            <w:tcMar>
              <w:top w:w="0" w:type="dxa"/>
              <w:left w:w="115" w:type="dxa"/>
              <w:bottom w:w="0" w:type="dxa"/>
              <w:right w:w="115" w:type="dxa"/>
            </w:tcMar>
            <w:hideMark/>
          </w:tcPr>
          <w:p w14:paraId="5F2A9930"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hideMark/>
          </w:tcPr>
          <w:p w14:paraId="0043B064" w14:textId="77777777" w:rsidR="00C033B5" w:rsidRPr="004F735C" w:rsidRDefault="00C033B5" w:rsidP="00C033B5">
            <w:pPr>
              <w:rPr>
                <w:rFonts w:asciiTheme="majorBidi" w:hAnsiTheme="majorBidi" w:cstheme="majorBidi"/>
              </w:rPr>
            </w:pPr>
            <w:r w:rsidRPr="004F735C">
              <w:rPr>
                <w:rFonts w:asciiTheme="majorBidi" w:hAnsiTheme="majorBidi" w:cstheme="majorBidi"/>
              </w:rPr>
              <w:t>-0.0076***</w:t>
            </w:r>
          </w:p>
        </w:tc>
        <w:tc>
          <w:tcPr>
            <w:tcW w:w="0" w:type="auto"/>
            <w:tcMar>
              <w:top w:w="0" w:type="dxa"/>
              <w:left w:w="115" w:type="dxa"/>
              <w:bottom w:w="0" w:type="dxa"/>
              <w:right w:w="115" w:type="dxa"/>
            </w:tcMar>
            <w:hideMark/>
          </w:tcPr>
          <w:p w14:paraId="3FD299A9"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-0.0011***</w:t>
            </w:r>
          </w:p>
        </w:tc>
        <w:tc>
          <w:tcPr>
            <w:tcW w:w="0" w:type="auto"/>
            <w:tcMar>
              <w:top w:w="0" w:type="dxa"/>
              <w:left w:w="115" w:type="dxa"/>
              <w:bottom w:w="0" w:type="dxa"/>
              <w:right w:w="115" w:type="dxa"/>
            </w:tcMar>
            <w:vAlign w:val="center"/>
            <w:hideMark/>
          </w:tcPr>
          <w:p w14:paraId="0D5DBE1E" w14:textId="77777777" w:rsidR="00C033B5" w:rsidRPr="004F735C" w:rsidRDefault="00C033B5" w:rsidP="00C033B5">
            <w:pPr>
              <w:rPr>
                <w:rFonts w:asciiTheme="majorBidi" w:hAnsiTheme="majorBidi" w:cstheme="majorBidi"/>
              </w:rPr>
            </w:pPr>
            <w:r w:rsidRPr="004F735C">
              <w:rPr>
                <w:rFonts w:asciiTheme="majorBidi" w:hAnsiTheme="majorBidi" w:cstheme="majorBidi"/>
              </w:rPr>
              <w:t>0.8003***</w:t>
            </w:r>
          </w:p>
        </w:tc>
        <w:tc>
          <w:tcPr>
            <w:tcW w:w="0" w:type="auto"/>
            <w:tcMar>
              <w:top w:w="0" w:type="dxa"/>
              <w:left w:w="115" w:type="dxa"/>
              <w:bottom w:w="0" w:type="dxa"/>
              <w:right w:w="115" w:type="dxa"/>
            </w:tcMar>
            <w:vAlign w:val="center"/>
            <w:hideMark/>
          </w:tcPr>
          <w:p w14:paraId="60533EF7"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0.0006***</w:t>
            </w:r>
          </w:p>
        </w:tc>
        <w:tc>
          <w:tcPr>
            <w:tcW w:w="0" w:type="auto"/>
            <w:tcMar>
              <w:top w:w="0" w:type="dxa"/>
              <w:left w:w="115" w:type="dxa"/>
              <w:bottom w:w="0" w:type="dxa"/>
              <w:right w:w="115" w:type="dxa"/>
            </w:tcMar>
            <w:vAlign w:val="center"/>
            <w:hideMark/>
          </w:tcPr>
          <w:p w14:paraId="74A3812A" w14:textId="77777777" w:rsidR="00C033B5" w:rsidRPr="004F735C" w:rsidRDefault="00C033B5" w:rsidP="00C033B5">
            <w:pPr>
              <w:rPr>
                <w:rFonts w:asciiTheme="majorBidi" w:hAnsiTheme="majorBidi" w:cstheme="majorBidi"/>
              </w:rPr>
            </w:pPr>
            <w:r w:rsidRPr="004F735C">
              <w:rPr>
                <w:rFonts w:asciiTheme="majorBidi" w:hAnsiTheme="majorBidi" w:cstheme="majorBidi"/>
              </w:rPr>
              <w:t>-0.0051***</w:t>
            </w:r>
          </w:p>
        </w:tc>
        <w:tc>
          <w:tcPr>
            <w:tcW w:w="0" w:type="auto"/>
            <w:tcMar>
              <w:top w:w="0" w:type="dxa"/>
              <w:left w:w="115" w:type="dxa"/>
              <w:bottom w:w="0" w:type="dxa"/>
              <w:right w:w="115" w:type="dxa"/>
            </w:tcMar>
            <w:vAlign w:val="center"/>
            <w:hideMark/>
          </w:tcPr>
          <w:p w14:paraId="3F9F16A1"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-0.0007***</w:t>
            </w:r>
          </w:p>
        </w:tc>
      </w:tr>
      <w:tr w:rsidR="00C033B5" w:rsidRPr="00C033B5" w14:paraId="09A9C634" w14:textId="77777777">
        <w:trPr>
          <w:trHeight w:val="143"/>
        </w:trPr>
        <w:tc>
          <w:tcPr>
            <w:tcW w:w="0" w:type="auto"/>
            <w:tcMar>
              <w:top w:w="0" w:type="dxa"/>
              <w:left w:w="115" w:type="dxa"/>
              <w:bottom w:w="0" w:type="dxa"/>
              <w:right w:w="115" w:type="dxa"/>
            </w:tcMar>
            <w:vAlign w:val="center"/>
            <w:hideMark/>
          </w:tcPr>
          <w:p w14:paraId="4340DD6A"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2A7B0F8A"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(0.0014)</w:t>
            </w:r>
          </w:p>
        </w:tc>
        <w:tc>
          <w:tcPr>
            <w:tcW w:w="0" w:type="auto"/>
            <w:tcMar>
              <w:top w:w="0" w:type="dxa"/>
              <w:left w:w="115" w:type="dxa"/>
              <w:bottom w:w="0" w:type="dxa"/>
              <w:right w:w="115" w:type="dxa"/>
            </w:tcMar>
            <w:hideMark/>
          </w:tcPr>
          <w:p w14:paraId="4E0FE76A"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hideMark/>
          </w:tcPr>
          <w:p w14:paraId="532DB5E2"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(0.0009)</w:t>
            </w:r>
          </w:p>
        </w:tc>
        <w:tc>
          <w:tcPr>
            <w:tcW w:w="0" w:type="auto"/>
            <w:tcMar>
              <w:top w:w="0" w:type="dxa"/>
              <w:left w:w="115" w:type="dxa"/>
              <w:bottom w:w="0" w:type="dxa"/>
              <w:right w:w="115" w:type="dxa"/>
            </w:tcMar>
            <w:hideMark/>
          </w:tcPr>
          <w:p w14:paraId="1BA779EB"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(0.0001)</w:t>
            </w:r>
          </w:p>
        </w:tc>
        <w:tc>
          <w:tcPr>
            <w:tcW w:w="0" w:type="auto"/>
            <w:tcMar>
              <w:top w:w="0" w:type="dxa"/>
              <w:left w:w="115" w:type="dxa"/>
              <w:bottom w:w="0" w:type="dxa"/>
              <w:right w:w="115" w:type="dxa"/>
            </w:tcMar>
            <w:vAlign w:val="center"/>
            <w:hideMark/>
          </w:tcPr>
          <w:p w14:paraId="02FCE58C" w14:textId="77777777" w:rsidR="00C033B5" w:rsidRPr="004F735C" w:rsidRDefault="00C033B5" w:rsidP="00C033B5">
            <w:pPr>
              <w:rPr>
                <w:rFonts w:asciiTheme="majorBidi" w:hAnsiTheme="majorBidi" w:cstheme="majorBidi"/>
              </w:rPr>
            </w:pPr>
            <w:r w:rsidRPr="004F735C">
              <w:rPr>
                <w:rFonts w:asciiTheme="majorBidi" w:hAnsiTheme="majorBidi" w:cstheme="majorBidi"/>
              </w:rPr>
              <w:t>(0.0299)</w:t>
            </w:r>
          </w:p>
        </w:tc>
        <w:tc>
          <w:tcPr>
            <w:tcW w:w="0" w:type="auto"/>
            <w:tcMar>
              <w:top w:w="0" w:type="dxa"/>
              <w:left w:w="115" w:type="dxa"/>
              <w:bottom w:w="0" w:type="dxa"/>
              <w:right w:w="115" w:type="dxa"/>
            </w:tcMar>
            <w:vAlign w:val="center"/>
            <w:hideMark/>
          </w:tcPr>
          <w:p w14:paraId="3AFECFAD"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5C71F2F2"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(0.0009)</w:t>
            </w:r>
          </w:p>
        </w:tc>
        <w:tc>
          <w:tcPr>
            <w:tcW w:w="0" w:type="auto"/>
            <w:tcMar>
              <w:top w:w="0" w:type="dxa"/>
              <w:left w:w="115" w:type="dxa"/>
              <w:bottom w:w="0" w:type="dxa"/>
              <w:right w:w="115" w:type="dxa"/>
            </w:tcMar>
            <w:vAlign w:val="center"/>
            <w:hideMark/>
          </w:tcPr>
          <w:p w14:paraId="1A820941"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(0.0001)</w:t>
            </w:r>
          </w:p>
        </w:tc>
      </w:tr>
      <w:tr w:rsidR="00C033B5" w:rsidRPr="00C033B5" w14:paraId="65DE8F97" w14:textId="77777777">
        <w:trPr>
          <w:trHeight w:val="143"/>
        </w:trPr>
        <w:tc>
          <w:tcPr>
            <w:tcW w:w="0" w:type="auto"/>
            <w:tcMar>
              <w:top w:w="0" w:type="dxa"/>
              <w:left w:w="115" w:type="dxa"/>
              <w:bottom w:w="0" w:type="dxa"/>
              <w:right w:w="115" w:type="dxa"/>
            </w:tcMar>
            <w:vAlign w:val="center"/>
            <w:hideMark/>
          </w:tcPr>
          <w:p w14:paraId="51256639" w14:textId="77777777" w:rsidR="00C033B5" w:rsidRPr="004F735C" w:rsidRDefault="00C033B5" w:rsidP="00C033B5">
            <w:pPr>
              <w:rPr>
                <w:rFonts w:asciiTheme="majorBidi" w:hAnsiTheme="majorBidi" w:cstheme="majorBidi"/>
              </w:rPr>
            </w:pPr>
            <w:r w:rsidRPr="004F735C">
              <w:rPr>
                <w:rFonts w:asciiTheme="majorBidi" w:hAnsiTheme="majorBidi" w:cstheme="majorBidi"/>
              </w:rPr>
              <w:t>Amount</w:t>
            </w:r>
          </w:p>
        </w:tc>
        <w:tc>
          <w:tcPr>
            <w:tcW w:w="0" w:type="auto"/>
            <w:tcMar>
              <w:top w:w="0" w:type="dxa"/>
              <w:left w:w="115" w:type="dxa"/>
              <w:bottom w:w="0" w:type="dxa"/>
              <w:right w:w="115" w:type="dxa"/>
            </w:tcMar>
            <w:vAlign w:val="center"/>
            <w:hideMark/>
          </w:tcPr>
          <w:p w14:paraId="22CF6E6D"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0ACC1DA6"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539A18CF"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0.0002***</w:t>
            </w:r>
          </w:p>
        </w:tc>
        <w:tc>
          <w:tcPr>
            <w:tcW w:w="0" w:type="auto"/>
            <w:tcMar>
              <w:top w:w="0" w:type="dxa"/>
              <w:left w:w="115" w:type="dxa"/>
              <w:bottom w:w="0" w:type="dxa"/>
              <w:right w:w="115" w:type="dxa"/>
            </w:tcMar>
            <w:vAlign w:val="center"/>
            <w:hideMark/>
          </w:tcPr>
          <w:p w14:paraId="59B69D2E"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4DB8E1B3"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48B770C2"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406DAF6C"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0.0002***</w:t>
            </w:r>
          </w:p>
        </w:tc>
        <w:tc>
          <w:tcPr>
            <w:tcW w:w="0" w:type="auto"/>
            <w:tcMar>
              <w:top w:w="0" w:type="dxa"/>
              <w:left w:w="115" w:type="dxa"/>
              <w:bottom w:w="0" w:type="dxa"/>
              <w:right w:w="115" w:type="dxa"/>
            </w:tcMar>
            <w:vAlign w:val="center"/>
            <w:hideMark/>
          </w:tcPr>
          <w:p w14:paraId="4AEFA01F"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r>
      <w:tr w:rsidR="00C033B5" w:rsidRPr="00C033B5" w14:paraId="50E3423B" w14:textId="77777777">
        <w:trPr>
          <w:trHeight w:val="143"/>
        </w:trPr>
        <w:tc>
          <w:tcPr>
            <w:tcW w:w="0" w:type="auto"/>
            <w:tcMar>
              <w:top w:w="0" w:type="dxa"/>
              <w:left w:w="115" w:type="dxa"/>
              <w:bottom w:w="0" w:type="dxa"/>
              <w:right w:w="115" w:type="dxa"/>
            </w:tcMar>
            <w:vAlign w:val="center"/>
            <w:hideMark/>
          </w:tcPr>
          <w:p w14:paraId="263774E4"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88C0AEC"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6F8BCD22"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6149838A"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5C483E71"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5A9051D0"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6D9F6D74"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1836F3A1"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0F2D1DF7"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r>
      <w:tr w:rsidR="00C033B5" w:rsidRPr="00C033B5" w14:paraId="64AD52BD" w14:textId="77777777">
        <w:trPr>
          <w:trHeight w:val="143"/>
        </w:trPr>
        <w:tc>
          <w:tcPr>
            <w:tcW w:w="0" w:type="auto"/>
            <w:tcMar>
              <w:top w:w="0" w:type="dxa"/>
              <w:left w:w="115" w:type="dxa"/>
              <w:bottom w:w="0" w:type="dxa"/>
              <w:right w:w="115" w:type="dxa"/>
            </w:tcMar>
            <w:vAlign w:val="center"/>
            <w:hideMark/>
          </w:tcPr>
          <w:p w14:paraId="39709F6F"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Riskscore</w:t>
            </w:r>
            <w:proofErr w:type="spellEnd"/>
          </w:p>
        </w:tc>
        <w:tc>
          <w:tcPr>
            <w:tcW w:w="0" w:type="auto"/>
            <w:tcMar>
              <w:top w:w="0" w:type="dxa"/>
              <w:left w:w="115" w:type="dxa"/>
              <w:bottom w:w="0" w:type="dxa"/>
              <w:right w:w="115" w:type="dxa"/>
            </w:tcMar>
            <w:vAlign w:val="center"/>
            <w:hideMark/>
          </w:tcPr>
          <w:p w14:paraId="30A14289" w14:textId="77777777" w:rsidR="00C033B5" w:rsidRPr="004F735C" w:rsidRDefault="00C033B5" w:rsidP="00C033B5">
            <w:pPr>
              <w:rPr>
                <w:rFonts w:asciiTheme="majorBidi" w:hAnsiTheme="majorBidi" w:cstheme="majorBidi"/>
              </w:rPr>
            </w:pPr>
            <w:r w:rsidRPr="004F735C">
              <w:rPr>
                <w:rFonts w:asciiTheme="majorBidi" w:hAnsiTheme="majorBidi" w:cstheme="majorBidi"/>
              </w:rPr>
              <w:t>-1.0370***</w:t>
            </w:r>
          </w:p>
        </w:tc>
        <w:tc>
          <w:tcPr>
            <w:tcW w:w="0" w:type="auto"/>
            <w:tcMar>
              <w:top w:w="0" w:type="dxa"/>
              <w:left w:w="115" w:type="dxa"/>
              <w:bottom w:w="0" w:type="dxa"/>
              <w:right w:w="115" w:type="dxa"/>
            </w:tcMar>
            <w:vAlign w:val="center"/>
            <w:hideMark/>
          </w:tcPr>
          <w:p w14:paraId="35825A1C"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-0.0009***</w:t>
            </w:r>
          </w:p>
        </w:tc>
        <w:tc>
          <w:tcPr>
            <w:tcW w:w="0" w:type="auto"/>
            <w:tcMar>
              <w:top w:w="0" w:type="dxa"/>
              <w:left w:w="115" w:type="dxa"/>
              <w:bottom w:w="0" w:type="dxa"/>
              <w:right w:w="115" w:type="dxa"/>
            </w:tcMar>
            <w:vAlign w:val="center"/>
            <w:hideMark/>
          </w:tcPr>
          <w:p w14:paraId="64C7C3EE" w14:textId="77777777" w:rsidR="00C033B5" w:rsidRPr="004F735C" w:rsidRDefault="00C033B5" w:rsidP="00C033B5">
            <w:pPr>
              <w:rPr>
                <w:rFonts w:asciiTheme="majorBidi" w:hAnsiTheme="majorBidi" w:cstheme="majorBidi"/>
              </w:rPr>
            </w:pPr>
            <w:r w:rsidRPr="004F735C">
              <w:rPr>
                <w:rFonts w:asciiTheme="majorBidi" w:hAnsiTheme="majorBidi" w:cstheme="majorBidi"/>
              </w:rPr>
              <w:t>1.0358***</w:t>
            </w:r>
          </w:p>
        </w:tc>
        <w:tc>
          <w:tcPr>
            <w:tcW w:w="0" w:type="auto"/>
            <w:tcMar>
              <w:top w:w="0" w:type="dxa"/>
              <w:left w:w="115" w:type="dxa"/>
              <w:bottom w:w="0" w:type="dxa"/>
              <w:right w:w="115" w:type="dxa"/>
            </w:tcMar>
            <w:vAlign w:val="center"/>
            <w:hideMark/>
          </w:tcPr>
          <w:p w14:paraId="5EB4608B" w14:textId="77777777" w:rsidR="00C033B5" w:rsidRPr="004F735C" w:rsidRDefault="00C033B5" w:rsidP="00C033B5">
            <w:pPr>
              <w:rPr>
                <w:rFonts w:asciiTheme="majorBidi" w:hAnsiTheme="majorBidi" w:cstheme="majorBidi"/>
              </w:rPr>
            </w:pPr>
            <w:r w:rsidRPr="004F735C">
              <w:rPr>
                <w:rFonts w:asciiTheme="majorBidi" w:hAnsiTheme="majorBidi" w:cstheme="majorBidi"/>
              </w:rPr>
              <w:t>0.1504***</w:t>
            </w:r>
          </w:p>
        </w:tc>
        <w:tc>
          <w:tcPr>
            <w:tcW w:w="0" w:type="auto"/>
            <w:tcMar>
              <w:top w:w="0" w:type="dxa"/>
              <w:left w:w="115" w:type="dxa"/>
              <w:bottom w:w="0" w:type="dxa"/>
              <w:right w:w="115" w:type="dxa"/>
            </w:tcMar>
            <w:vAlign w:val="center"/>
            <w:hideMark/>
          </w:tcPr>
          <w:p w14:paraId="48E8A197" w14:textId="77777777" w:rsidR="00C033B5" w:rsidRPr="004F735C" w:rsidRDefault="00C033B5" w:rsidP="00C033B5">
            <w:pPr>
              <w:rPr>
                <w:rFonts w:asciiTheme="majorBidi" w:hAnsiTheme="majorBidi" w:cstheme="majorBidi"/>
              </w:rPr>
            </w:pPr>
            <w:r w:rsidRPr="004F735C">
              <w:rPr>
                <w:rFonts w:asciiTheme="majorBidi" w:hAnsiTheme="majorBidi" w:cstheme="majorBidi"/>
              </w:rPr>
              <w:t>-1.5550***</w:t>
            </w:r>
          </w:p>
        </w:tc>
        <w:tc>
          <w:tcPr>
            <w:tcW w:w="0" w:type="auto"/>
            <w:tcMar>
              <w:top w:w="0" w:type="dxa"/>
              <w:left w:w="115" w:type="dxa"/>
              <w:bottom w:w="0" w:type="dxa"/>
              <w:right w:w="115" w:type="dxa"/>
            </w:tcMar>
            <w:vAlign w:val="center"/>
            <w:hideMark/>
          </w:tcPr>
          <w:p w14:paraId="1F8C09AE"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-0.0011***</w:t>
            </w:r>
          </w:p>
        </w:tc>
        <w:tc>
          <w:tcPr>
            <w:tcW w:w="0" w:type="auto"/>
            <w:tcMar>
              <w:top w:w="0" w:type="dxa"/>
              <w:left w:w="115" w:type="dxa"/>
              <w:bottom w:w="0" w:type="dxa"/>
              <w:right w:w="115" w:type="dxa"/>
            </w:tcMar>
            <w:vAlign w:val="center"/>
            <w:hideMark/>
          </w:tcPr>
          <w:p w14:paraId="5A5C1A4C" w14:textId="77777777" w:rsidR="00C033B5" w:rsidRPr="004F735C" w:rsidRDefault="00C033B5" w:rsidP="00C033B5">
            <w:pPr>
              <w:rPr>
                <w:rFonts w:asciiTheme="majorBidi" w:hAnsiTheme="majorBidi" w:cstheme="majorBidi"/>
              </w:rPr>
            </w:pPr>
            <w:r w:rsidRPr="004F735C">
              <w:rPr>
                <w:rFonts w:asciiTheme="majorBidi" w:hAnsiTheme="majorBidi" w:cstheme="majorBidi"/>
              </w:rPr>
              <w:t>0.9123***</w:t>
            </w:r>
          </w:p>
        </w:tc>
        <w:tc>
          <w:tcPr>
            <w:tcW w:w="0" w:type="auto"/>
            <w:tcMar>
              <w:top w:w="0" w:type="dxa"/>
              <w:left w:w="115" w:type="dxa"/>
              <w:bottom w:w="0" w:type="dxa"/>
              <w:right w:w="115" w:type="dxa"/>
            </w:tcMar>
            <w:vAlign w:val="center"/>
            <w:hideMark/>
          </w:tcPr>
          <w:p w14:paraId="1A69B765" w14:textId="77777777" w:rsidR="00C033B5" w:rsidRPr="004F735C" w:rsidRDefault="00C033B5" w:rsidP="00C033B5">
            <w:pPr>
              <w:rPr>
                <w:rFonts w:asciiTheme="majorBidi" w:hAnsiTheme="majorBidi" w:cstheme="majorBidi"/>
              </w:rPr>
            </w:pPr>
            <w:r w:rsidRPr="004F735C">
              <w:rPr>
                <w:rFonts w:asciiTheme="majorBidi" w:hAnsiTheme="majorBidi" w:cstheme="majorBidi"/>
              </w:rPr>
              <w:t>0.1248***</w:t>
            </w:r>
          </w:p>
        </w:tc>
      </w:tr>
      <w:tr w:rsidR="00C033B5" w:rsidRPr="00C033B5" w14:paraId="5183B39A" w14:textId="77777777">
        <w:trPr>
          <w:trHeight w:val="143"/>
        </w:trPr>
        <w:tc>
          <w:tcPr>
            <w:tcW w:w="0" w:type="auto"/>
            <w:tcMar>
              <w:top w:w="0" w:type="dxa"/>
              <w:left w:w="115" w:type="dxa"/>
              <w:bottom w:w="0" w:type="dxa"/>
              <w:right w:w="115" w:type="dxa"/>
            </w:tcMar>
            <w:vAlign w:val="center"/>
            <w:hideMark/>
          </w:tcPr>
          <w:p w14:paraId="684C0D93"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8B1B657" w14:textId="77777777" w:rsidR="00C033B5" w:rsidRPr="004F735C" w:rsidRDefault="00C033B5" w:rsidP="00C033B5">
            <w:pPr>
              <w:rPr>
                <w:rFonts w:asciiTheme="majorBidi" w:hAnsiTheme="majorBidi" w:cstheme="majorBidi"/>
              </w:rPr>
            </w:pPr>
            <w:r w:rsidRPr="004F735C">
              <w:rPr>
                <w:rFonts w:asciiTheme="majorBidi" w:hAnsiTheme="majorBidi" w:cstheme="majorBidi"/>
              </w:rPr>
              <w:t>(0.0982)</w:t>
            </w:r>
          </w:p>
        </w:tc>
        <w:tc>
          <w:tcPr>
            <w:tcW w:w="0" w:type="auto"/>
            <w:tcMar>
              <w:top w:w="0" w:type="dxa"/>
              <w:left w:w="115" w:type="dxa"/>
              <w:bottom w:w="0" w:type="dxa"/>
              <w:right w:w="115" w:type="dxa"/>
            </w:tcMar>
            <w:vAlign w:val="center"/>
            <w:hideMark/>
          </w:tcPr>
          <w:p w14:paraId="64ACFDB2"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(0.0001)</w:t>
            </w:r>
          </w:p>
        </w:tc>
        <w:tc>
          <w:tcPr>
            <w:tcW w:w="0" w:type="auto"/>
            <w:tcMar>
              <w:top w:w="0" w:type="dxa"/>
              <w:left w:w="115" w:type="dxa"/>
              <w:bottom w:w="0" w:type="dxa"/>
              <w:right w:w="115" w:type="dxa"/>
            </w:tcMar>
            <w:vAlign w:val="center"/>
            <w:hideMark/>
          </w:tcPr>
          <w:p w14:paraId="5B8D8A8D" w14:textId="77777777" w:rsidR="00C033B5" w:rsidRPr="004F735C" w:rsidRDefault="00C033B5" w:rsidP="00C033B5">
            <w:pPr>
              <w:rPr>
                <w:rFonts w:asciiTheme="majorBidi" w:hAnsiTheme="majorBidi" w:cstheme="majorBidi"/>
              </w:rPr>
            </w:pPr>
            <w:r w:rsidRPr="004F735C">
              <w:rPr>
                <w:rFonts w:asciiTheme="majorBidi" w:hAnsiTheme="majorBidi" w:cstheme="majorBidi"/>
              </w:rPr>
              <w:t>(0.0248)</w:t>
            </w:r>
          </w:p>
        </w:tc>
        <w:tc>
          <w:tcPr>
            <w:tcW w:w="0" w:type="auto"/>
            <w:tcMar>
              <w:top w:w="0" w:type="dxa"/>
              <w:left w:w="115" w:type="dxa"/>
              <w:bottom w:w="0" w:type="dxa"/>
              <w:right w:w="115" w:type="dxa"/>
            </w:tcMar>
            <w:vAlign w:val="center"/>
            <w:hideMark/>
          </w:tcPr>
          <w:p w14:paraId="60092AD9" w14:textId="77777777" w:rsidR="00C033B5" w:rsidRPr="004F735C" w:rsidRDefault="00C033B5" w:rsidP="00C033B5">
            <w:pPr>
              <w:rPr>
                <w:rFonts w:asciiTheme="majorBidi" w:hAnsiTheme="majorBidi" w:cstheme="majorBidi"/>
              </w:rPr>
            </w:pPr>
            <w:r w:rsidRPr="004F735C">
              <w:rPr>
                <w:rFonts w:asciiTheme="majorBidi" w:hAnsiTheme="majorBidi" w:cstheme="majorBidi"/>
              </w:rPr>
              <w:t>(0.0030)</w:t>
            </w:r>
          </w:p>
        </w:tc>
        <w:tc>
          <w:tcPr>
            <w:tcW w:w="0" w:type="auto"/>
            <w:tcMar>
              <w:top w:w="0" w:type="dxa"/>
              <w:left w:w="115" w:type="dxa"/>
              <w:bottom w:w="0" w:type="dxa"/>
              <w:right w:w="115" w:type="dxa"/>
            </w:tcMar>
            <w:vAlign w:val="center"/>
            <w:hideMark/>
          </w:tcPr>
          <w:p w14:paraId="5ABDA8B0" w14:textId="77777777" w:rsidR="00C033B5" w:rsidRPr="004F735C" w:rsidRDefault="00C033B5" w:rsidP="00C033B5">
            <w:pPr>
              <w:rPr>
                <w:rFonts w:asciiTheme="majorBidi" w:hAnsiTheme="majorBidi" w:cstheme="majorBidi"/>
              </w:rPr>
            </w:pPr>
            <w:r w:rsidRPr="004F735C">
              <w:rPr>
                <w:rFonts w:asciiTheme="majorBidi" w:hAnsiTheme="majorBidi" w:cstheme="majorBidi"/>
              </w:rPr>
              <w:t>(0.1133)</w:t>
            </w:r>
          </w:p>
        </w:tc>
        <w:tc>
          <w:tcPr>
            <w:tcW w:w="0" w:type="auto"/>
            <w:tcMar>
              <w:top w:w="0" w:type="dxa"/>
              <w:left w:w="115" w:type="dxa"/>
              <w:bottom w:w="0" w:type="dxa"/>
              <w:right w:w="115" w:type="dxa"/>
            </w:tcMar>
            <w:vAlign w:val="center"/>
            <w:hideMark/>
          </w:tcPr>
          <w:p w14:paraId="38FD4A52"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(0.0001)</w:t>
            </w:r>
          </w:p>
        </w:tc>
        <w:tc>
          <w:tcPr>
            <w:tcW w:w="0" w:type="auto"/>
            <w:tcMar>
              <w:top w:w="0" w:type="dxa"/>
              <w:left w:w="115" w:type="dxa"/>
              <w:bottom w:w="0" w:type="dxa"/>
              <w:right w:w="115" w:type="dxa"/>
            </w:tcMar>
            <w:vAlign w:val="center"/>
            <w:hideMark/>
          </w:tcPr>
          <w:p w14:paraId="6818F238" w14:textId="77777777" w:rsidR="00C033B5" w:rsidRPr="004F735C" w:rsidRDefault="00C033B5" w:rsidP="00C033B5">
            <w:pPr>
              <w:rPr>
                <w:rFonts w:asciiTheme="majorBidi" w:hAnsiTheme="majorBidi" w:cstheme="majorBidi"/>
              </w:rPr>
            </w:pPr>
            <w:r w:rsidRPr="004F735C">
              <w:rPr>
                <w:rFonts w:asciiTheme="majorBidi" w:hAnsiTheme="majorBidi" w:cstheme="majorBidi"/>
              </w:rPr>
              <w:t>(0.0249)</w:t>
            </w:r>
          </w:p>
        </w:tc>
        <w:tc>
          <w:tcPr>
            <w:tcW w:w="0" w:type="auto"/>
            <w:tcMar>
              <w:top w:w="0" w:type="dxa"/>
              <w:left w:w="115" w:type="dxa"/>
              <w:bottom w:w="0" w:type="dxa"/>
              <w:right w:w="115" w:type="dxa"/>
            </w:tcMar>
            <w:vAlign w:val="center"/>
            <w:hideMark/>
          </w:tcPr>
          <w:p w14:paraId="201144A8" w14:textId="77777777" w:rsidR="00C033B5" w:rsidRPr="004F735C" w:rsidRDefault="00C033B5" w:rsidP="00C033B5">
            <w:pPr>
              <w:rPr>
                <w:rFonts w:asciiTheme="majorBidi" w:hAnsiTheme="majorBidi" w:cstheme="majorBidi"/>
              </w:rPr>
            </w:pPr>
            <w:r w:rsidRPr="004F735C">
              <w:rPr>
                <w:rFonts w:asciiTheme="majorBidi" w:hAnsiTheme="majorBidi" w:cstheme="majorBidi"/>
              </w:rPr>
              <w:t>(0.0034)</w:t>
            </w:r>
          </w:p>
        </w:tc>
      </w:tr>
      <w:tr w:rsidR="00C033B5" w:rsidRPr="00C033B5" w14:paraId="58FFE3B4" w14:textId="77777777">
        <w:trPr>
          <w:trHeight w:val="143"/>
        </w:trPr>
        <w:tc>
          <w:tcPr>
            <w:tcW w:w="0" w:type="auto"/>
            <w:tcMar>
              <w:top w:w="0" w:type="dxa"/>
              <w:left w:w="115" w:type="dxa"/>
              <w:bottom w:w="0" w:type="dxa"/>
              <w:right w:w="115" w:type="dxa"/>
            </w:tcMar>
            <w:vAlign w:val="center"/>
            <w:hideMark/>
          </w:tcPr>
          <w:p w14:paraId="448DFB3A" w14:textId="77777777" w:rsidR="00C033B5" w:rsidRPr="004F735C" w:rsidRDefault="00C033B5" w:rsidP="00C033B5">
            <w:pPr>
              <w:rPr>
                <w:rFonts w:asciiTheme="majorBidi" w:hAnsiTheme="majorBidi" w:cstheme="majorBidi"/>
              </w:rPr>
            </w:pPr>
            <w:r w:rsidRPr="004F735C">
              <w:rPr>
                <w:rFonts w:asciiTheme="majorBidi" w:hAnsiTheme="majorBidi" w:cstheme="majorBidi"/>
              </w:rPr>
              <w:t>Interest</w:t>
            </w:r>
          </w:p>
        </w:tc>
        <w:tc>
          <w:tcPr>
            <w:tcW w:w="0" w:type="auto"/>
            <w:tcMar>
              <w:top w:w="0" w:type="dxa"/>
              <w:left w:w="115" w:type="dxa"/>
              <w:bottom w:w="0" w:type="dxa"/>
              <w:right w:w="115" w:type="dxa"/>
            </w:tcMar>
            <w:vAlign w:val="center"/>
            <w:hideMark/>
          </w:tcPr>
          <w:p w14:paraId="15EBC992" w14:textId="77777777" w:rsidR="00C033B5" w:rsidRPr="004F735C" w:rsidRDefault="00C033B5" w:rsidP="00C033B5">
            <w:pPr>
              <w:rPr>
                <w:rFonts w:asciiTheme="majorBidi" w:hAnsiTheme="majorBidi" w:cstheme="majorBidi"/>
              </w:rPr>
            </w:pPr>
            <w:r w:rsidRPr="004F735C">
              <w:rPr>
                <w:rFonts w:asciiTheme="majorBidi" w:hAnsiTheme="majorBidi" w:cstheme="majorBidi"/>
              </w:rPr>
              <w:t>-53.8307***</w:t>
            </w:r>
          </w:p>
        </w:tc>
        <w:tc>
          <w:tcPr>
            <w:tcW w:w="0" w:type="auto"/>
            <w:tcMar>
              <w:top w:w="0" w:type="dxa"/>
              <w:left w:w="115" w:type="dxa"/>
              <w:bottom w:w="0" w:type="dxa"/>
              <w:right w:w="115" w:type="dxa"/>
            </w:tcMar>
            <w:vAlign w:val="center"/>
            <w:hideMark/>
          </w:tcPr>
          <w:p w14:paraId="11A0B64A" w14:textId="77777777" w:rsidR="00C033B5" w:rsidRPr="004F735C" w:rsidRDefault="00C033B5" w:rsidP="00C033B5">
            <w:pPr>
              <w:rPr>
                <w:rFonts w:asciiTheme="majorBidi" w:hAnsiTheme="majorBidi" w:cstheme="majorBidi"/>
              </w:rPr>
            </w:pPr>
            <w:r w:rsidRPr="004F735C">
              <w:rPr>
                <w:rFonts w:asciiTheme="majorBidi" w:hAnsiTheme="majorBidi" w:cstheme="majorBidi"/>
              </w:rPr>
              <w:t>-0.0482***</w:t>
            </w:r>
          </w:p>
        </w:tc>
        <w:tc>
          <w:tcPr>
            <w:tcW w:w="0" w:type="auto"/>
            <w:tcMar>
              <w:top w:w="0" w:type="dxa"/>
              <w:left w:w="115" w:type="dxa"/>
              <w:bottom w:w="0" w:type="dxa"/>
              <w:right w:w="115" w:type="dxa"/>
            </w:tcMar>
            <w:vAlign w:val="center"/>
            <w:hideMark/>
          </w:tcPr>
          <w:p w14:paraId="5D7DFCF6" w14:textId="77777777" w:rsidR="00C033B5" w:rsidRPr="004F735C" w:rsidRDefault="00C033B5" w:rsidP="00C033B5">
            <w:pPr>
              <w:rPr>
                <w:rFonts w:asciiTheme="majorBidi" w:hAnsiTheme="majorBidi" w:cstheme="majorBidi"/>
              </w:rPr>
            </w:pPr>
            <w:r w:rsidRPr="004F735C">
              <w:rPr>
                <w:rFonts w:asciiTheme="majorBidi" w:hAnsiTheme="majorBidi" w:cstheme="majorBidi"/>
              </w:rPr>
              <w:t>6.1626***</w:t>
            </w:r>
          </w:p>
        </w:tc>
        <w:tc>
          <w:tcPr>
            <w:tcW w:w="0" w:type="auto"/>
            <w:tcMar>
              <w:top w:w="0" w:type="dxa"/>
              <w:left w:w="115" w:type="dxa"/>
              <w:bottom w:w="0" w:type="dxa"/>
              <w:right w:w="115" w:type="dxa"/>
            </w:tcMar>
            <w:vAlign w:val="center"/>
            <w:hideMark/>
          </w:tcPr>
          <w:p w14:paraId="455E5F87" w14:textId="77777777" w:rsidR="00C033B5" w:rsidRPr="004F735C" w:rsidRDefault="00C033B5" w:rsidP="00C033B5">
            <w:pPr>
              <w:rPr>
                <w:rFonts w:asciiTheme="majorBidi" w:hAnsiTheme="majorBidi" w:cstheme="majorBidi"/>
              </w:rPr>
            </w:pPr>
            <w:r w:rsidRPr="004F735C">
              <w:rPr>
                <w:rFonts w:asciiTheme="majorBidi" w:hAnsiTheme="majorBidi" w:cstheme="majorBidi"/>
              </w:rPr>
              <w:t>0.8945***</w:t>
            </w:r>
          </w:p>
        </w:tc>
        <w:tc>
          <w:tcPr>
            <w:tcW w:w="0" w:type="auto"/>
            <w:tcMar>
              <w:top w:w="0" w:type="dxa"/>
              <w:left w:w="115" w:type="dxa"/>
              <w:bottom w:w="0" w:type="dxa"/>
              <w:right w:w="115" w:type="dxa"/>
            </w:tcMar>
            <w:vAlign w:val="center"/>
            <w:hideMark/>
          </w:tcPr>
          <w:p w14:paraId="5083A90A" w14:textId="77777777" w:rsidR="00C033B5" w:rsidRPr="004F735C" w:rsidRDefault="00C033B5" w:rsidP="00C033B5">
            <w:pPr>
              <w:rPr>
                <w:rFonts w:asciiTheme="majorBidi" w:hAnsiTheme="majorBidi" w:cstheme="majorBidi"/>
              </w:rPr>
            </w:pPr>
            <w:r w:rsidRPr="004F735C">
              <w:rPr>
                <w:rFonts w:asciiTheme="majorBidi" w:hAnsiTheme="majorBidi" w:cstheme="majorBidi"/>
              </w:rPr>
              <w:t>-42.6756***</w:t>
            </w:r>
          </w:p>
        </w:tc>
        <w:tc>
          <w:tcPr>
            <w:tcW w:w="0" w:type="auto"/>
            <w:tcMar>
              <w:top w:w="0" w:type="dxa"/>
              <w:left w:w="115" w:type="dxa"/>
              <w:bottom w:w="0" w:type="dxa"/>
              <w:right w:w="115" w:type="dxa"/>
            </w:tcMar>
            <w:vAlign w:val="center"/>
            <w:hideMark/>
          </w:tcPr>
          <w:p w14:paraId="65F8CD28" w14:textId="77777777" w:rsidR="00C033B5" w:rsidRPr="004F735C" w:rsidRDefault="00C033B5" w:rsidP="00C033B5">
            <w:pPr>
              <w:rPr>
                <w:rFonts w:asciiTheme="majorBidi" w:hAnsiTheme="majorBidi" w:cstheme="majorBidi"/>
              </w:rPr>
            </w:pPr>
            <w:r w:rsidRPr="004F735C">
              <w:rPr>
                <w:rFonts w:asciiTheme="majorBidi" w:hAnsiTheme="majorBidi" w:cstheme="majorBidi"/>
              </w:rPr>
              <w:t>-0.0293***</w:t>
            </w:r>
          </w:p>
        </w:tc>
        <w:tc>
          <w:tcPr>
            <w:tcW w:w="0" w:type="auto"/>
            <w:tcMar>
              <w:top w:w="0" w:type="dxa"/>
              <w:left w:w="115" w:type="dxa"/>
              <w:bottom w:w="0" w:type="dxa"/>
              <w:right w:w="115" w:type="dxa"/>
            </w:tcMar>
            <w:vAlign w:val="center"/>
            <w:hideMark/>
          </w:tcPr>
          <w:p w14:paraId="14E36049" w14:textId="77777777" w:rsidR="00C033B5" w:rsidRPr="004F735C" w:rsidRDefault="00C033B5" w:rsidP="00C033B5">
            <w:pPr>
              <w:rPr>
                <w:rFonts w:asciiTheme="majorBidi" w:hAnsiTheme="majorBidi" w:cstheme="majorBidi"/>
              </w:rPr>
            </w:pPr>
            <w:r w:rsidRPr="004F735C">
              <w:rPr>
                <w:rFonts w:asciiTheme="majorBidi" w:hAnsiTheme="majorBidi" w:cstheme="majorBidi"/>
              </w:rPr>
              <w:t>8.4032***</w:t>
            </w:r>
          </w:p>
        </w:tc>
        <w:tc>
          <w:tcPr>
            <w:tcW w:w="0" w:type="auto"/>
            <w:tcMar>
              <w:top w:w="0" w:type="dxa"/>
              <w:left w:w="115" w:type="dxa"/>
              <w:bottom w:w="0" w:type="dxa"/>
              <w:right w:w="115" w:type="dxa"/>
            </w:tcMar>
            <w:vAlign w:val="center"/>
            <w:hideMark/>
          </w:tcPr>
          <w:p w14:paraId="71F18172" w14:textId="77777777" w:rsidR="00C033B5" w:rsidRPr="004F735C" w:rsidRDefault="00C033B5" w:rsidP="00C033B5">
            <w:pPr>
              <w:rPr>
                <w:rFonts w:asciiTheme="majorBidi" w:hAnsiTheme="majorBidi" w:cstheme="majorBidi"/>
              </w:rPr>
            </w:pPr>
            <w:r w:rsidRPr="004F735C">
              <w:rPr>
                <w:rFonts w:asciiTheme="majorBidi" w:hAnsiTheme="majorBidi" w:cstheme="majorBidi"/>
              </w:rPr>
              <w:t>1.1494***</w:t>
            </w:r>
          </w:p>
        </w:tc>
      </w:tr>
      <w:tr w:rsidR="00C033B5" w:rsidRPr="00C033B5" w14:paraId="6DF4B114" w14:textId="77777777">
        <w:trPr>
          <w:trHeight w:val="143"/>
        </w:trPr>
        <w:tc>
          <w:tcPr>
            <w:tcW w:w="0" w:type="auto"/>
            <w:tcMar>
              <w:top w:w="0" w:type="dxa"/>
              <w:left w:w="115" w:type="dxa"/>
              <w:bottom w:w="0" w:type="dxa"/>
              <w:right w:w="115" w:type="dxa"/>
            </w:tcMar>
            <w:vAlign w:val="center"/>
            <w:hideMark/>
          </w:tcPr>
          <w:p w14:paraId="6BCF62CE"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E0E60B1" w14:textId="77777777" w:rsidR="00C033B5" w:rsidRPr="004F735C" w:rsidRDefault="00C033B5" w:rsidP="00C033B5">
            <w:pPr>
              <w:rPr>
                <w:rFonts w:asciiTheme="majorBidi" w:hAnsiTheme="majorBidi" w:cstheme="majorBidi"/>
              </w:rPr>
            </w:pPr>
            <w:r w:rsidRPr="004F735C">
              <w:rPr>
                <w:rFonts w:asciiTheme="majorBidi" w:hAnsiTheme="majorBidi" w:cstheme="majorBidi"/>
              </w:rPr>
              <w:t>(2.2404)</w:t>
            </w:r>
          </w:p>
        </w:tc>
        <w:tc>
          <w:tcPr>
            <w:tcW w:w="0" w:type="auto"/>
            <w:tcMar>
              <w:top w:w="0" w:type="dxa"/>
              <w:left w:w="115" w:type="dxa"/>
              <w:bottom w:w="0" w:type="dxa"/>
              <w:right w:w="115" w:type="dxa"/>
            </w:tcMar>
            <w:vAlign w:val="center"/>
            <w:hideMark/>
          </w:tcPr>
          <w:p w14:paraId="58A0107C" w14:textId="77777777" w:rsidR="00C033B5" w:rsidRPr="004F735C" w:rsidRDefault="00C033B5" w:rsidP="00C033B5">
            <w:pPr>
              <w:rPr>
                <w:rFonts w:asciiTheme="majorBidi" w:hAnsiTheme="majorBidi" w:cstheme="majorBidi"/>
              </w:rPr>
            </w:pPr>
            <w:r w:rsidRPr="004F735C">
              <w:rPr>
                <w:rFonts w:asciiTheme="majorBidi" w:hAnsiTheme="majorBidi" w:cstheme="majorBidi"/>
              </w:rPr>
              <w:t>(0.0024)</w:t>
            </w:r>
          </w:p>
        </w:tc>
        <w:tc>
          <w:tcPr>
            <w:tcW w:w="0" w:type="auto"/>
            <w:tcMar>
              <w:top w:w="0" w:type="dxa"/>
              <w:left w:w="115" w:type="dxa"/>
              <w:bottom w:w="0" w:type="dxa"/>
              <w:right w:w="115" w:type="dxa"/>
            </w:tcMar>
            <w:vAlign w:val="center"/>
            <w:hideMark/>
          </w:tcPr>
          <w:p w14:paraId="0FA54901" w14:textId="77777777" w:rsidR="00C033B5" w:rsidRPr="004F735C" w:rsidRDefault="00C033B5" w:rsidP="00C033B5">
            <w:pPr>
              <w:rPr>
                <w:rFonts w:asciiTheme="majorBidi" w:hAnsiTheme="majorBidi" w:cstheme="majorBidi"/>
              </w:rPr>
            </w:pPr>
            <w:r w:rsidRPr="004F735C">
              <w:rPr>
                <w:rFonts w:asciiTheme="majorBidi" w:hAnsiTheme="majorBidi" w:cstheme="majorBidi"/>
              </w:rPr>
              <w:t>(0.4492)</w:t>
            </w:r>
          </w:p>
        </w:tc>
        <w:tc>
          <w:tcPr>
            <w:tcW w:w="0" w:type="auto"/>
            <w:tcMar>
              <w:top w:w="0" w:type="dxa"/>
              <w:left w:w="115" w:type="dxa"/>
              <w:bottom w:w="0" w:type="dxa"/>
              <w:right w:w="115" w:type="dxa"/>
            </w:tcMar>
            <w:vAlign w:val="center"/>
            <w:hideMark/>
          </w:tcPr>
          <w:p w14:paraId="52EE6AAD" w14:textId="77777777" w:rsidR="00C033B5" w:rsidRPr="004F735C" w:rsidRDefault="00C033B5" w:rsidP="00C033B5">
            <w:pPr>
              <w:rPr>
                <w:rFonts w:asciiTheme="majorBidi" w:hAnsiTheme="majorBidi" w:cstheme="majorBidi"/>
              </w:rPr>
            </w:pPr>
            <w:r w:rsidRPr="004F735C">
              <w:rPr>
                <w:rFonts w:asciiTheme="majorBidi" w:hAnsiTheme="majorBidi" w:cstheme="majorBidi"/>
              </w:rPr>
              <w:t>(0.0650)</w:t>
            </w:r>
          </w:p>
        </w:tc>
        <w:tc>
          <w:tcPr>
            <w:tcW w:w="0" w:type="auto"/>
            <w:tcMar>
              <w:top w:w="0" w:type="dxa"/>
              <w:left w:w="115" w:type="dxa"/>
              <w:bottom w:w="0" w:type="dxa"/>
              <w:right w:w="115" w:type="dxa"/>
            </w:tcMar>
            <w:vAlign w:val="center"/>
            <w:hideMark/>
          </w:tcPr>
          <w:p w14:paraId="1F7F5B59" w14:textId="77777777" w:rsidR="00C033B5" w:rsidRPr="004F735C" w:rsidRDefault="00C033B5" w:rsidP="00C033B5">
            <w:pPr>
              <w:rPr>
                <w:rFonts w:asciiTheme="majorBidi" w:hAnsiTheme="majorBidi" w:cstheme="majorBidi"/>
              </w:rPr>
            </w:pPr>
            <w:r w:rsidRPr="004F735C">
              <w:rPr>
                <w:rFonts w:asciiTheme="majorBidi" w:hAnsiTheme="majorBidi" w:cstheme="majorBidi"/>
              </w:rPr>
              <w:t>(2.7614)</w:t>
            </w:r>
          </w:p>
        </w:tc>
        <w:tc>
          <w:tcPr>
            <w:tcW w:w="0" w:type="auto"/>
            <w:tcMar>
              <w:top w:w="0" w:type="dxa"/>
              <w:left w:w="115" w:type="dxa"/>
              <w:bottom w:w="0" w:type="dxa"/>
              <w:right w:w="115" w:type="dxa"/>
            </w:tcMar>
            <w:vAlign w:val="center"/>
            <w:hideMark/>
          </w:tcPr>
          <w:p w14:paraId="73E01968" w14:textId="77777777" w:rsidR="00C033B5" w:rsidRPr="004F735C" w:rsidRDefault="00C033B5" w:rsidP="00C033B5">
            <w:pPr>
              <w:rPr>
                <w:rFonts w:asciiTheme="majorBidi" w:hAnsiTheme="majorBidi" w:cstheme="majorBidi"/>
              </w:rPr>
            </w:pPr>
            <w:r w:rsidRPr="004F735C">
              <w:rPr>
                <w:rFonts w:asciiTheme="majorBidi" w:hAnsiTheme="majorBidi" w:cstheme="majorBidi"/>
              </w:rPr>
              <w:t>(0.0020)</w:t>
            </w:r>
          </w:p>
        </w:tc>
        <w:tc>
          <w:tcPr>
            <w:tcW w:w="0" w:type="auto"/>
            <w:tcMar>
              <w:top w:w="0" w:type="dxa"/>
              <w:left w:w="115" w:type="dxa"/>
              <w:bottom w:w="0" w:type="dxa"/>
              <w:right w:w="115" w:type="dxa"/>
            </w:tcMar>
            <w:vAlign w:val="center"/>
            <w:hideMark/>
          </w:tcPr>
          <w:p w14:paraId="773B8DD5" w14:textId="77777777" w:rsidR="00C033B5" w:rsidRPr="004F735C" w:rsidRDefault="00C033B5" w:rsidP="00C033B5">
            <w:pPr>
              <w:rPr>
                <w:rFonts w:asciiTheme="majorBidi" w:hAnsiTheme="majorBidi" w:cstheme="majorBidi"/>
              </w:rPr>
            </w:pPr>
            <w:r w:rsidRPr="004F735C">
              <w:rPr>
                <w:rFonts w:asciiTheme="majorBidi" w:hAnsiTheme="majorBidi" w:cstheme="majorBidi"/>
              </w:rPr>
              <w:t>(0.4420)</w:t>
            </w:r>
          </w:p>
        </w:tc>
        <w:tc>
          <w:tcPr>
            <w:tcW w:w="0" w:type="auto"/>
            <w:tcMar>
              <w:top w:w="0" w:type="dxa"/>
              <w:left w:w="115" w:type="dxa"/>
              <w:bottom w:w="0" w:type="dxa"/>
              <w:right w:w="115" w:type="dxa"/>
            </w:tcMar>
            <w:vAlign w:val="center"/>
            <w:hideMark/>
          </w:tcPr>
          <w:p w14:paraId="42BD29AD" w14:textId="77777777" w:rsidR="00C033B5" w:rsidRPr="004F735C" w:rsidRDefault="00C033B5" w:rsidP="00C033B5">
            <w:pPr>
              <w:rPr>
                <w:rFonts w:asciiTheme="majorBidi" w:hAnsiTheme="majorBidi" w:cstheme="majorBidi"/>
              </w:rPr>
            </w:pPr>
            <w:r w:rsidRPr="004F735C">
              <w:rPr>
                <w:rFonts w:asciiTheme="majorBidi" w:hAnsiTheme="majorBidi" w:cstheme="majorBidi"/>
              </w:rPr>
              <w:t>(0.0602)</w:t>
            </w:r>
          </w:p>
        </w:tc>
      </w:tr>
      <w:tr w:rsidR="00C033B5" w:rsidRPr="00C033B5" w14:paraId="2CA09A10" w14:textId="77777777">
        <w:trPr>
          <w:trHeight w:val="143"/>
        </w:trPr>
        <w:tc>
          <w:tcPr>
            <w:tcW w:w="0" w:type="auto"/>
            <w:tcMar>
              <w:top w:w="0" w:type="dxa"/>
              <w:left w:w="115" w:type="dxa"/>
              <w:bottom w:w="0" w:type="dxa"/>
              <w:right w:w="115" w:type="dxa"/>
            </w:tcMar>
            <w:vAlign w:val="center"/>
            <w:hideMark/>
          </w:tcPr>
          <w:p w14:paraId="5F3A474C" w14:textId="77777777" w:rsidR="00C033B5" w:rsidRPr="004F735C" w:rsidRDefault="00C033B5" w:rsidP="00C033B5">
            <w:pPr>
              <w:rPr>
                <w:rFonts w:asciiTheme="majorBidi" w:hAnsiTheme="majorBidi" w:cstheme="majorBidi"/>
              </w:rPr>
            </w:pPr>
            <w:r w:rsidRPr="004F735C">
              <w:rPr>
                <w:rFonts w:asciiTheme="majorBidi" w:hAnsiTheme="majorBidi" w:cstheme="majorBidi"/>
              </w:rPr>
              <w:t>Collateral</w:t>
            </w:r>
          </w:p>
        </w:tc>
        <w:tc>
          <w:tcPr>
            <w:tcW w:w="0" w:type="auto"/>
            <w:tcMar>
              <w:top w:w="0" w:type="dxa"/>
              <w:left w:w="115" w:type="dxa"/>
              <w:bottom w:w="0" w:type="dxa"/>
              <w:right w:w="115" w:type="dxa"/>
            </w:tcMar>
            <w:vAlign w:val="center"/>
            <w:hideMark/>
          </w:tcPr>
          <w:p w14:paraId="59CE1256" w14:textId="77777777" w:rsidR="00C033B5" w:rsidRPr="004F735C" w:rsidRDefault="00C033B5" w:rsidP="00C033B5">
            <w:pPr>
              <w:rPr>
                <w:rFonts w:asciiTheme="majorBidi" w:hAnsiTheme="majorBidi" w:cstheme="majorBidi"/>
              </w:rPr>
            </w:pPr>
            <w:r w:rsidRPr="004F735C">
              <w:rPr>
                <w:rFonts w:asciiTheme="majorBidi" w:hAnsiTheme="majorBidi" w:cstheme="majorBidi"/>
              </w:rPr>
              <w:t>0.7593</w:t>
            </w:r>
          </w:p>
        </w:tc>
        <w:tc>
          <w:tcPr>
            <w:tcW w:w="0" w:type="auto"/>
            <w:tcMar>
              <w:top w:w="0" w:type="dxa"/>
              <w:left w:w="115" w:type="dxa"/>
              <w:bottom w:w="0" w:type="dxa"/>
              <w:right w:w="115" w:type="dxa"/>
            </w:tcMar>
            <w:vAlign w:val="center"/>
            <w:hideMark/>
          </w:tcPr>
          <w:p w14:paraId="51A26461"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0.0007</w:t>
            </w:r>
          </w:p>
        </w:tc>
        <w:tc>
          <w:tcPr>
            <w:tcW w:w="0" w:type="auto"/>
            <w:tcMar>
              <w:top w:w="0" w:type="dxa"/>
              <w:left w:w="115" w:type="dxa"/>
              <w:bottom w:w="0" w:type="dxa"/>
              <w:right w:w="115" w:type="dxa"/>
            </w:tcMar>
            <w:vAlign w:val="center"/>
            <w:hideMark/>
          </w:tcPr>
          <w:p w14:paraId="5DF1AFBC" w14:textId="77777777" w:rsidR="00C033B5" w:rsidRPr="004F735C" w:rsidRDefault="00C033B5" w:rsidP="00C033B5">
            <w:pPr>
              <w:rPr>
                <w:rFonts w:asciiTheme="majorBidi" w:hAnsiTheme="majorBidi" w:cstheme="majorBidi"/>
              </w:rPr>
            </w:pPr>
            <w:r w:rsidRPr="004F735C">
              <w:rPr>
                <w:rFonts w:asciiTheme="majorBidi" w:hAnsiTheme="majorBidi" w:cstheme="majorBidi"/>
              </w:rPr>
              <w:t>2.3389***</w:t>
            </w:r>
          </w:p>
        </w:tc>
        <w:tc>
          <w:tcPr>
            <w:tcW w:w="0" w:type="auto"/>
            <w:tcMar>
              <w:top w:w="0" w:type="dxa"/>
              <w:left w:w="115" w:type="dxa"/>
              <w:bottom w:w="0" w:type="dxa"/>
              <w:right w:w="115" w:type="dxa"/>
            </w:tcMar>
            <w:vAlign w:val="center"/>
            <w:hideMark/>
          </w:tcPr>
          <w:p w14:paraId="1BEF989D" w14:textId="77777777" w:rsidR="00C033B5" w:rsidRPr="004F735C" w:rsidRDefault="00C033B5" w:rsidP="00C033B5">
            <w:pPr>
              <w:rPr>
                <w:rFonts w:asciiTheme="majorBidi" w:hAnsiTheme="majorBidi" w:cstheme="majorBidi"/>
              </w:rPr>
            </w:pPr>
            <w:r w:rsidRPr="004F735C">
              <w:rPr>
                <w:rFonts w:asciiTheme="majorBidi" w:hAnsiTheme="majorBidi" w:cstheme="majorBidi"/>
              </w:rPr>
              <w:t>0.3395***</w:t>
            </w:r>
          </w:p>
        </w:tc>
        <w:tc>
          <w:tcPr>
            <w:tcW w:w="0" w:type="auto"/>
            <w:tcMar>
              <w:top w:w="0" w:type="dxa"/>
              <w:left w:w="115" w:type="dxa"/>
              <w:bottom w:w="0" w:type="dxa"/>
              <w:right w:w="115" w:type="dxa"/>
            </w:tcMar>
            <w:vAlign w:val="center"/>
            <w:hideMark/>
          </w:tcPr>
          <w:p w14:paraId="51BE864B" w14:textId="77777777" w:rsidR="00C033B5" w:rsidRPr="004F735C" w:rsidRDefault="00C033B5" w:rsidP="00C033B5">
            <w:pPr>
              <w:rPr>
                <w:rFonts w:asciiTheme="majorBidi" w:hAnsiTheme="majorBidi" w:cstheme="majorBidi"/>
              </w:rPr>
            </w:pPr>
            <w:r w:rsidRPr="004F735C">
              <w:rPr>
                <w:rFonts w:asciiTheme="majorBidi" w:hAnsiTheme="majorBidi" w:cstheme="majorBidi"/>
              </w:rPr>
              <w:t>0.7890***</w:t>
            </w:r>
          </w:p>
        </w:tc>
        <w:tc>
          <w:tcPr>
            <w:tcW w:w="0" w:type="auto"/>
            <w:tcMar>
              <w:top w:w="0" w:type="dxa"/>
              <w:left w:w="115" w:type="dxa"/>
              <w:bottom w:w="0" w:type="dxa"/>
              <w:right w:w="115" w:type="dxa"/>
            </w:tcMar>
            <w:vAlign w:val="center"/>
            <w:hideMark/>
          </w:tcPr>
          <w:p w14:paraId="1532BB1F"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0.0007</w:t>
            </w:r>
          </w:p>
        </w:tc>
        <w:tc>
          <w:tcPr>
            <w:tcW w:w="0" w:type="auto"/>
            <w:tcMar>
              <w:top w:w="0" w:type="dxa"/>
              <w:left w:w="115" w:type="dxa"/>
              <w:bottom w:w="0" w:type="dxa"/>
              <w:right w:w="115" w:type="dxa"/>
            </w:tcMar>
            <w:vAlign w:val="center"/>
            <w:hideMark/>
          </w:tcPr>
          <w:p w14:paraId="56415FDD" w14:textId="77777777" w:rsidR="00C033B5" w:rsidRPr="004F735C" w:rsidRDefault="00C033B5" w:rsidP="00C033B5">
            <w:pPr>
              <w:rPr>
                <w:rFonts w:asciiTheme="majorBidi" w:hAnsiTheme="majorBidi" w:cstheme="majorBidi"/>
              </w:rPr>
            </w:pPr>
            <w:r w:rsidRPr="004F735C">
              <w:rPr>
                <w:rFonts w:asciiTheme="majorBidi" w:hAnsiTheme="majorBidi" w:cstheme="majorBidi"/>
              </w:rPr>
              <w:t>1.7322***</w:t>
            </w:r>
          </w:p>
        </w:tc>
        <w:tc>
          <w:tcPr>
            <w:tcW w:w="0" w:type="auto"/>
            <w:tcMar>
              <w:top w:w="0" w:type="dxa"/>
              <w:left w:w="115" w:type="dxa"/>
              <w:bottom w:w="0" w:type="dxa"/>
              <w:right w:w="115" w:type="dxa"/>
            </w:tcMar>
            <w:vAlign w:val="center"/>
            <w:hideMark/>
          </w:tcPr>
          <w:p w14:paraId="250785B1" w14:textId="77777777" w:rsidR="00C033B5" w:rsidRPr="004F735C" w:rsidRDefault="00C033B5" w:rsidP="00C033B5">
            <w:pPr>
              <w:rPr>
                <w:rFonts w:asciiTheme="majorBidi" w:hAnsiTheme="majorBidi" w:cstheme="majorBidi"/>
              </w:rPr>
            </w:pPr>
            <w:r w:rsidRPr="004F735C">
              <w:rPr>
                <w:rFonts w:asciiTheme="majorBidi" w:hAnsiTheme="majorBidi" w:cstheme="majorBidi"/>
              </w:rPr>
              <w:t>0.2369***</w:t>
            </w:r>
          </w:p>
        </w:tc>
      </w:tr>
      <w:tr w:rsidR="00C033B5" w:rsidRPr="00C033B5" w14:paraId="3AB04B9E" w14:textId="77777777">
        <w:trPr>
          <w:trHeight w:val="143"/>
        </w:trPr>
        <w:tc>
          <w:tcPr>
            <w:tcW w:w="0" w:type="auto"/>
            <w:tcMar>
              <w:top w:w="0" w:type="dxa"/>
              <w:left w:w="115" w:type="dxa"/>
              <w:bottom w:w="0" w:type="dxa"/>
              <w:right w:w="115" w:type="dxa"/>
            </w:tcMar>
            <w:vAlign w:val="center"/>
            <w:hideMark/>
          </w:tcPr>
          <w:p w14:paraId="28432B96"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3EBCFD1" w14:textId="77777777" w:rsidR="00C033B5" w:rsidRPr="004F735C" w:rsidRDefault="00C033B5" w:rsidP="00C033B5">
            <w:pPr>
              <w:rPr>
                <w:rFonts w:asciiTheme="majorBidi" w:hAnsiTheme="majorBidi" w:cstheme="majorBidi"/>
              </w:rPr>
            </w:pPr>
            <w:r w:rsidRPr="004F735C">
              <w:rPr>
                <w:rFonts w:asciiTheme="majorBidi" w:hAnsiTheme="majorBidi" w:cstheme="majorBidi"/>
              </w:rPr>
              <w:t>(0.5381)</w:t>
            </w:r>
          </w:p>
        </w:tc>
        <w:tc>
          <w:tcPr>
            <w:tcW w:w="0" w:type="auto"/>
            <w:tcMar>
              <w:top w:w="0" w:type="dxa"/>
              <w:left w:w="115" w:type="dxa"/>
              <w:bottom w:w="0" w:type="dxa"/>
              <w:right w:w="115" w:type="dxa"/>
            </w:tcMar>
            <w:vAlign w:val="center"/>
            <w:hideMark/>
          </w:tcPr>
          <w:p w14:paraId="789052D9"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(0.0007)</w:t>
            </w:r>
          </w:p>
        </w:tc>
        <w:tc>
          <w:tcPr>
            <w:tcW w:w="0" w:type="auto"/>
            <w:tcMar>
              <w:top w:w="0" w:type="dxa"/>
              <w:left w:w="115" w:type="dxa"/>
              <w:bottom w:w="0" w:type="dxa"/>
              <w:right w:w="115" w:type="dxa"/>
            </w:tcMar>
            <w:vAlign w:val="center"/>
            <w:hideMark/>
          </w:tcPr>
          <w:p w14:paraId="53C74B70" w14:textId="77777777" w:rsidR="00C033B5" w:rsidRPr="004F735C" w:rsidRDefault="00C033B5" w:rsidP="00C033B5">
            <w:pPr>
              <w:rPr>
                <w:rFonts w:asciiTheme="majorBidi" w:hAnsiTheme="majorBidi" w:cstheme="majorBidi"/>
              </w:rPr>
            </w:pPr>
            <w:r w:rsidRPr="004F735C">
              <w:rPr>
                <w:rFonts w:asciiTheme="majorBidi" w:hAnsiTheme="majorBidi" w:cstheme="majorBidi"/>
              </w:rPr>
              <w:t>(0.2765)</w:t>
            </w:r>
          </w:p>
        </w:tc>
        <w:tc>
          <w:tcPr>
            <w:tcW w:w="0" w:type="auto"/>
            <w:tcMar>
              <w:top w:w="0" w:type="dxa"/>
              <w:left w:w="115" w:type="dxa"/>
              <w:bottom w:w="0" w:type="dxa"/>
              <w:right w:w="115" w:type="dxa"/>
            </w:tcMar>
            <w:vAlign w:val="center"/>
            <w:hideMark/>
          </w:tcPr>
          <w:p w14:paraId="1FA5E43A" w14:textId="77777777" w:rsidR="00C033B5" w:rsidRPr="004F735C" w:rsidRDefault="00C033B5" w:rsidP="00C033B5">
            <w:pPr>
              <w:rPr>
                <w:rFonts w:asciiTheme="majorBidi" w:hAnsiTheme="majorBidi" w:cstheme="majorBidi"/>
              </w:rPr>
            </w:pPr>
            <w:r w:rsidRPr="004F735C">
              <w:rPr>
                <w:rFonts w:asciiTheme="majorBidi" w:hAnsiTheme="majorBidi" w:cstheme="majorBidi"/>
              </w:rPr>
              <w:t>(0.0488)</w:t>
            </w:r>
          </w:p>
        </w:tc>
        <w:tc>
          <w:tcPr>
            <w:tcW w:w="0" w:type="auto"/>
            <w:tcMar>
              <w:top w:w="0" w:type="dxa"/>
              <w:left w:w="115" w:type="dxa"/>
              <w:bottom w:w="0" w:type="dxa"/>
              <w:right w:w="115" w:type="dxa"/>
            </w:tcMar>
            <w:vAlign w:val="center"/>
            <w:hideMark/>
          </w:tcPr>
          <w:p w14:paraId="3A31450F" w14:textId="77777777" w:rsidR="00C033B5" w:rsidRPr="004F735C" w:rsidRDefault="00C033B5" w:rsidP="00C033B5">
            <w:pPr>
              <w:rPr>
                <w:rFonts w:asciiTheme="majorBidi" w:hAnsiTheme="majorBidi" w:cstheme="majorBidi"/>
              </w:rPr>
            </w:pPr>
            <w:r w:rsidRPr="004F735C">
              <w:rPr>
                <w:rFonts w:asciiTheme="majorBidi" w:hAnsiTheme="majorBidi" w:cstheme="majorBidi"/>
              </w:rPr>
              <w:t>(0.8761)</w:t>
            </w:r>
          </w:p>
        </w:tc>
        <w:tc>
          <w:tcPr>
            <w:tcW w:w="0" w:type="auto"/>
            <w:tcMar>
              <w:top w:w="0" w:type="dxa"/>
              <w:left w:w="115" w:type="dxa"/>
              <w:bottom w:w="0" w:type="dxa"/>
              <w:right w:w="115" w:type="dxa"/>
            </w:tcMar>
            <w:vAlign w:val="center"/>
            <w:hideMark/>
          </w:tcPr>
          <w:p w14:paraId="0F332EF0"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(0.0010)</w:t>
            </w:r>
          </w:p>
        </w:tc>
        <w:tc>
          <w:tcPr>
            <w:tcW w:w="0" w:type="auto"/>
            <w:tcMar>
              <w:top w:w="0" w:type="dxa"/>
              <w:left w:w="115" w:type="dxa"/>
              <w:bottom w:w="0" w:type="dxa"/>
              <w:right w:w="115" w:type="dxa"/>
            </w:tcMar>
            <w:vAlign w:val="center"/>
            <w:hideMark/>
          </w:tcPr>
          <w:p w14:paraId="399C628A" w14:textId="77777777" w:rsidR="00C033B5" w:rsidRPr="004F735C" w:rsidRDefault="00C033B5" w:rsidP="00C033B5">
            <w:pPr>
              <w:rPr>
                <w:rFonts w:asciiTheme="majorBidi" w:hAnsiTheme="majorBidi" w:cstheme="majorBidi"/>
              </w:rPr>
            </w:pPr>
            <w:r w:rsidRPr="004F735C">
              <w:rPr>
                <w:rFonts w:asciiTheme="majorBidi" w:hAnsiTheme="majorBidi" w:cstheme="majorBidi"/>
              </w:rPr>
              <w:t>(0.2668)</w:t>
            </w:r>
          </w:p>
        </w:tc>
        <w:tc>
          <w:tcPr>
            <w:tcW w:w="0" w:type="auto"/>
            <w:tcMar>
              <w:top w:w="0" w:type="dxa"/>
              <w:left w:w="115" w:type="dxa"/>
              <w:bottom w:w="0" w:type="dxa"/>
              <w:right w:w="115" w:type="dxa"/>
            </w:tcMar>
            <w:vAlign w:val="center"/>
            <w:hideMark/>
          </w:tcPr>
          <w:p w14:paraId="3F7D0832" w14:textId="77777777" w:rsidR="00C033B5" w:rsidRPr="004F735C" w:rsidRDefault="00C033B5" w:rsidP="00C033B5">
            <w:pPr>
              <w:rPr>
                <w:rFonts w:asciiTheme="majorBidi" w:hAnsiTheme="majorBidi" w:cstheme="majorBidi"/>
              </w:rPr>
            </w:pPr>
            <w:r w:rsidRPr="004F735C">
              <w:rPr>
                <w:rFonts w:asciiTheme="majorBidi" w:hAnsiTheme="majorBidi" w:cstheme="majorBidi"/>
              </w:rPr>
              <w:t>(0.0365)</w:t>
            </w:r>
          </w:p>
        </w:tc>
      </w:tr>
      <w:tr w:rsidR="00C033B5" w:rsidRPr="00C033B5" w14:paraId="4029E803" w14:textId="77777777">
        <w:trPr>
          <w:trHeight w:val="143"/>
        </w:trPr>
        <w:tc>
          <w:tcPr>
            <w:tcW w:w="0" w:type="auto"/>
            <w:tcMar>
              <w:top w:w="0" w:type="dxa"/>
              <w:left w:w="115" w:type="dxa"/>
              <w:bottom w:w="0" w:type="dxa"/>
              <w:right w:w="115" w:type="dxa"/>
            </w:tcMar>
            <w:vAlign w:val="center"/>
            <w:hideMark/>
          </w:tcPr>
          <w:p w14:paraId="1851C3FE"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Extsched</w:t>
            </w:r>
            <w:proofErr w:type="spellEnd"/>
          </w:p>
        </w:tc>
        <w:tc>
          <w:tcPr>
            <w:tcW w:w="0" w:type="auto"/>
            <w:tcMar>
              <w:top w:w="0" w:type="dxa"/>
              <w:left w:w="115" w:type="dxa"/>
              <w:bottom w:w="0" w:type="dxa"/>
              <w:right w:w="115" w:type="dxa"/>
            </w:tcMar>
            <w:vAlign w:val="center"/>
            <w:hideMark/>
          </w:tcPr>
          <w:p w14:paraId="13D8A7B7" w14:textId="77777777" w:rsidR="00C033B5" w:rsidRPr="004F735C" w:rsidRDefault="00C033B5" w:rsidP="00C033B5">
            <w:pPr>
              <w:rPr>
                <w:rFonts w:asciiTheme="majorBidi" w:hAnsiTheme="majorBidi" w:cstheme="majorBidi"/>
              </w:rPr>
            </w:pPr>
            <w:r w:rsidRPr="004F735C">
              <w:rPr>
                <w:rFonts w:asciiTheme="majorBidi" w:hAnsiTheme="majorBidi" w:cstheme="majorBidi"/>
              </w:rPr>
              <w:t>0.6514***</w:t>
            </w:r>
          </w:p>
        </w:tc>
        <w:tc>
          <w:tcPr>
            <w:tcW w:w="0" w:type="auto"/>
            <w:tcMar>
              <w:top w:w="0" w:type="dxa"/>
              <w:left w:w="115" w:type="dxa"/>
              <w:bottom w:w="0" w:type="dxa"/>
              <w:right w:w="115" w:type="dxa"/>
            </w:tcMar>
            <w:vAlign w:val="center"/>
            <w:hideMark/>
          </w:tcPr>
          <w:p w14:paraId="79A6D30C"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0.0006***</w:t>
            </w:r>
          </w:p>
        </w:tc>
        <w:tc>
          <w:tcPr>
            <w:tcW w:w="0" w:type="auto"/>
            <w:tcMar>
              <w:top w:w="0" w:type="dxa"/>
              <w:left w:w="115" w:type="dxa"/>
              <w:bottom w:w="0" w:type="dxa"/>
              <w:right w:w="115" w:type="dxa"/>
            </w:tcMar>
            <w:vAlign w:val="center"/>
            <w:hideMark/>
          </w:tcPr>
          <w:p w14:paraId="0FFB5CB6" w14:textId="77777777" w:rsidR="00C033B5" w:rsidRPr="004F735C" w:rsidRDefault="00C033B5" w:rsidP="00C033B5">
            <w:pPr>
              <w:rPr>
                <w:rFonts w:asciiTheme="majorBidi" w:hAnsiTheme="majorBidi" w:cstheme="majorBidi"/>
              </w:rPr>
            </w:pPr>
            <w:r w:rsidRPr="004F735C">
              <w:rPr>
                <w:rFonts w:asciiTheme="majorBidi" w:hAnsiTheme="majorBidi" w:cstheme="majorBidi"/>
              </w:rPr>
              <w:t>1.5403***</w:t>
            </w:r>
          </w:p>
        </w:tc>
        <w:tc>
          <w:tcPr>
            <w:tcW w:w="0" w:type="auto"/>
            <w:tcMar>
              <w:top w:w="0" w:type="dxa"/>
              <w:left w:w="115" w:type="dxa"/>
              <w:bottom w:w="0" w:type="dxa"/>
              <w:right w:w="115" w:type="dxa"/>
            </w:tcMar>
            <w:vAlign w:val="center"/>
            <w:hideMark/>
          </w:tcPr>
          <w:p w14:paraId="39207494" w14:textId="77777777" w:rsidR="00C033B5" w:rsidRPr="004F735C" w:rsidRDefault="00C033B5" w:rsidP="00C033B5">
            <w:pPr>
              <w:rPr>
                <w:rFonts w:asciiTheme="majorBidi" w:hAnsiTheme="majorBidi" w:cstheme="majorBidi"/>
              </w:rPr>
            </w:pPr>
            <w:r w:rsidRPr="004F735C">
              <w:rPr>
                <w:rFonts w:asciiTheme="majorBidi" w:hAnsiTheme="majorBidi" w:cstheme="majorBidi"/>
              </w:rPr>
              <w:t>0.1732***</w:t>
            </w:r>
          </w:p>
        </w:tc>
        <w:tc>
          <w:tcPr>
            <w:tcW w:w="0" w:type="auto"/>
            <w:tcMar>
              <w:top w:w="0" w:type="dxa"/>
              <w:left w:w="115" w:type="dxa"/>
              <w:bottom w:w="0" w:type="dxa"/>
              <w:right w:w="115" w:type="dxa"/>
            </w:tcMar>
            <w:vAlign w:val="center"/>
            <w:hideMark/>
          </w:tcPr>
          <w:p w14:paraId="2D253007" w14:textId="77777777" w:rsidR="00C033B5" w:rsidRPr="004F735C" w:rsidRDefault="00C033B5" w:rsidP="00C033B5">
            <w:pPr>
              <w:rPr>
                <w:rFonts w:asciiTheme="majorBidi" w:hAnsiTheme="majorBidi" w:cstheme="majorBidi"/>
              </w:rPr>
            </w:pPr>
            <w:r w:rsidRPr="004F735C">
              <w:rPr>
                <w:rFonts w:asciiTheme="majorBidi" w:hAnsiTheme="majorBidi" w:cstheme="majorBidi"/>
              </w:rPr>
              <w:t>0.6583***</w:t>
            </w:r>
          </w:p>
        </w:tc>
        <w:tc>
          <w:tcPr>
            <w:tcW w:w="0" w:type="auto"/>
            <w:tcMar>
              <w:top w:w="0" w:type="dxa"/>
              <w:left w:w="115" w:type="dxa"/>
              <w:bottom w:w="0" w:type="dxa"/>
              <w:right w:w="115" w:type="dxa"/>
            </w:tcMar>
            <w:vAlign w:val="center"/>
            <w:hideMark/>
          </w:tcPr>
          <w:p w14:paraId="06B0435B"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0.0004***</w:t>
            </w:r>
          </w:p>
        </w:tc>
        <w:tc>
          <w:tcPr>
            <w:tcW w:w="0" w:type="auto"/>
            <w:tcMar>
              <w:top w:w="0" w:type="dxa"/>
              <w:left w:w="115" w:type="dxa"/>
              <w:bottom w:w="0" w:type="dxa"/>
              <w:right w:w="115" w:type="dxa"/>
            </w:tcMar>
            <w:vAlign w:val="center"/>
            <w:hideMark/>
          </w:tcPr>
          <w:p w14:paraId="3314A020" w14:textId="77777777" w:rsidR="00C033B5" w:rsidRPr="004F735C" w:rsidRDefault="00C033B5" w:rsidP="00C033B5">
            <w:pPr>
              <w:rPr>
                <w:rFonts w:asciiTheme="majorBidi" w:hAnsiTheme="majorBidi" w:cstheme="majorBidi"/>
              </w:rPr>
            </w:pPr>
            <w:r w:rsidRPr="004F735C">
              <w:rPr>
                <w:rFonts w:asciiTheme="majorBidi" w:hAnsiTheme="majorBidi" w:cstheme="majorBidi"/>
              </w:rPr>
              <w:t>1.4524***</w:t>
            </w:r>
          </w:p>
        </w:tc>
        <w:tc>
          <w:tcPr>
            <w:tcW w:w="0" w:type="auto"/>
            <w:tcMar>
              <w:top w:w="0" w:type="dxa"/>
              <w:left w:w="115" w:type="dxa"/>
              <w:bottom w:w="0" w:type="dxa"/>
              <w:right w:w="115" w:type="dxa"/>
            </w:tcMar>
            <w:vAlign w:val="center"/>
            <w:hideMark/>
          </w:tcPr>
          <w:p w14:paraId="394FA997" w14:textId="77777777" w:rsidR="00C033B5" w:rsidRPr="004F735C" w:rsidRDefault="00C033B5" w:rsidP="00C033B5">
            <w:pPr>
              <w:rPr>
                <w:rFonts w:asciiTheme="majorBidi" w:hAnsiTheme="majorBidi" w:cstheme="majorBidi"/>
              </w:rPr>
            </w:pPr>
            <w:r w:rsidRPr="004F735C">
              <w:rPr>
                <w:rFonts w:asciiTheme="majorBidi" w:hAnsiTheme="majorBidi" w:cstheme="majorBidi"/>
              </w:rPr>
              <w:t>0.1570***</w:t>
            </w:r>
          </w:p>
        </w:tc>
      </w:tr>
      <w:tr w:rsidR="00C033B5" w:rsidRPr="00C033B5" w14:paraId="0CE61E58" w14:textId="77777777">
        <w:trPr>
          <w:trHeight w:val="143"/>
        </w:trPr>
        <w:tc>
          <w:tcPr>
            <w:tcW w:w="0" w:type="auto"/>
            <w:tcMar>
              <w:top w:w="0" w:type="dxa"/>
              <w:left w:w="115" w:type="dxa"/>
              <w:bottom w:w="0" w:type="dxa"/>
              <w:right w:w="115" w:type="dxa"/>
            </w:tcMar>
            <w:vAlign w:val="center"/>
            <w:hideMark/>
          </w:tcPr>
          <w:p w14:paraId="22B692FC"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131837F" w14:textId="77777777" w:rsidR="00C033B5" w:rsidRPr="004F735C" w:rsidRDefault="00C033B5" w:rsidP="00C033B5">
            <w:pPr>
              <w:rPr>
                <w:rFonts w:asciiTheme="majorBidi" w:hAnsiTheme="majorBidi" w:cstheme="majorBidi"/>
              </w:rPr>
            </w:pPr>
            <w:r w:rsidRPr="004F735C">
              <w:rPr>
                <w:rFonts w:asciiTheme="majorBidi" w:hAnsiTheme="majorBidi" w:cstheme="majorBidi"/>
              </w:rPr>
              <w:t>(0.1434)</w:t>
            </w:r>
          </w:p>
        </w:tc>
        <w:tc>
          <w:tcPr>
            <w:tcW w:w="0" w:type="auto"/>
            <w:tcMar>
              <w:top w:w="0" w:type="dxa"/>
              <w:left w:w="115" w:type="dxa"/>
              <w:bottom w:w="0" w:type="dxa"/>
              <w:right w:w="115" w:type="dxa"/>
            </w:tcMar>
            <w:vAlign w:val="center"/>
            <w:hideMark/>
          </w:tcPr>
          <w:p w14:paraId="738E7095"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(0.0001)</w:t>
            </w:r>
          </w:p>
        </w:tc>
        <w:tc>
          <w:tcPr>
            <w:tcW w:w="0" w:type="auto"/>
            <w:tcMar>
              <w:top w:w="0" w:type="dxa"/>
              <w:left w:w="115" w:type="dxa"/>
              <w:bottom w:w="0" w:type="dxa"/>
              <w:right w:w="115" w:type="dxa"/>
            </w:tcMar>
            <w:vAlign w:val="center"/>
            <w:hideMark/>
          </w:tcPr>
          <w:p w14:paraId="3A81EEFA" w14:textId="77777777" w:rsidR="00C033B5" w:rsidRPr="004F735C" w:rsidRDefault="00C033B5" w:rsidP="00C033B5">
            <w:pPr>
              <w:rPr>
                <w:rFonts w:asciiTheme="majorBidi" w:hAnsiTheme="majorBidi" w:cstheme="majorBidi"/>
              </w:rPr>
            </w:pPr>
            <w:r w:rsidRPr="004F735C">
              <w:rPr>
                <w:rFonts w:asciiTheme="majorBidi" w:hAnsiTheme="majorBidi" w:cstheme="majorBidi"/>
              </w:rPr>
              <w:t>(0.0406)</w:t>
            </w:r>
          </w:p>
        </w:tc>
        <w:tc>
          <w:tcPr>
            <w:tcW w:w="0" w:type="auto"/>
            <w:tcMar>
              <w:top w:w="0" w:type="dxa"/>
              <w:left w:w="115" w:type="dxa"/>
              <w:bottom w:w="0" w:type="dxa"/>
              <w:right w:w="115" w:type="dxa"/>
            </w:tcMar>
            <w:vAlign w:val="center"/>
            <w:hideMark/>
          </w:tcPr>
          <w:p w14:paraId="25B9C78F" w14:textId="77777777" w:rsidR="00C033B5" w:rsidRPr="004F735C" w:rsidRDefault="00C033B5" w:rsidP="00C033B5">
            <w:pPr>
              <w:rPr>
                <w:rFonts w:asciiTheme="majorBidi" w:hAnsiTheme="majorBidi" w:cstheme="majorBidi"/>
              </w:rPr>
            </w:pPr>
            <w:r w:rsidRPr="004F735C">
              <w:rPr>
                <w:rFonts w:asciiTheme="majorBidi" w:hAnsiTheme="majorBidi" w:cstheme="majorBidi"/>
              </w:rPr>
              <w:t>(0.0034)</w:t>
            </w:r>
          </w:p>
        </w:tc>
        <w:tc>
          <w:tcPr>
            <w:tcW w:w="0" w:type="auto"/>
            <w:tcMar>
              <w:top w:w="0" w:type="dxa"/>
              <w:left w:w="115" w:type="dxa"/>
              <w:bottom w:w="0" w:type="dxa"/>
              <w:right w:w="115" w:type="dxa"/>
            </w:tcMar>
            <w:vAlign w:val="center"/>
            <w:hideMark/>
          </w:tcPr>
          <w:p w14:paraId="63299183" w14:textId="77777777" w:rsidR="00C033B5" w:rsidRPr="004F735C" w:rsidRDefault="00C033B5" w:rsidP="00C033B5">
            <w:pPr>
              <w:rPr>
                <w:rFonts w:asciiTheme="majorBidi" w:hAnsiTheme="majorBidi" w:cstheme="majorBidi"/>
              </w:rPr>
            </w:pPr>
            <w:r w:rsidRPr="004F735C">
              <w:rPr>
                <w:rFonts w:asciiTheme="majorBidi" w:hAnsiTheme="majorBidi" w:cstheme="majorBidi"/>
              </w:rPr>
              <w:t>(0.1271)</w:t>
            </w:r>
          </w:p>
        </w:tc>
        <w:tc>
          <w:tcPr>
            <w:tcW w:w="0" w:type="auto"/>
            <w:tcMar>
              <w:top w:w="0" w:type="dxa"/>
              <w:left w:w="115" w:type="dxa"/>
              <w:bottom w:w="0" w:type="dxa"/>
              <w:right w:w="115" w:type="dxa"/>
            </w:tcMar>
            <w:vAlign w:val="center"/>
            <w:hideMark/>
          </w:tcPr>
          <w:p w14:paraId="4CC04341"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(0.0001)</w:t>
            </w:r>
          </w:p>
        </w:tc>
        <w:tc>
          <w:tcPr>
            <w:tcW w:w="0" w:type="auto"/>
            <w:tcMar>
              <w:top w:w="0" w:type="dxa"/>
              <w:left w:w="115" w:type="dxa"/>
              <w:bottom w:w="0" w:type="dxa"/>
              <w:right w:w="115" w:type="dxa"/>
            </w:tcMar>
            <w:vAlign w:val="center"/>
            <w:hideMark/>
          </w:tcPr>
          <w:p w14:paraId="06E0E757" w14:textId="77777777" w:rsidR="00C033B5" w:rsidRPr="004F735C" w:rsidRDefault="00C033B5" w:rsidP="00C033B5">
            <w:pPr>
              <w:rPr>
                <w:rFonts w:asciiTheme="majorBidi" w:hAnsiTheme="majorBidi" w:cstheme="majorBidi"/>
              </w:rPr>
            </w:pPr>
            <w:r w:rsidRPr="004F735C">
              <w:rPr>
                <w:rFonts w:asciiTheme="majorBidi" w:hAnsiTheme="majorBidi" w:cstheme="majorBidi"/>
              </w:rPr>
              <w:t>(0.0402)</w:t>
            </w:r>
          </w:p>
        </w:tc>
        <w:tc>
          <w:tcPr>
            <w:tcW w:w="0" w:type="auto"/>
            <w:tcMar>
              <w:top w:w="0" w:type="dxa"/>
              <w:left w:w="115" w:type="dxa"/>
              <w:bottom w:w="0" w:type="dxa"/>
              <w:right w:w="115" w:type="dxa"/>
            </w:tcMar>
            <w:vAlign w:val="center"/>
            <w:hideMark/>
          </w:tcPr>
          <w:p w14:paraId="7D179618" w14:textId="77777777" w:rsidR="00C033B5" w:rsidRPr="004F735C" w:rsidRDefault="00C033B5" w:rsidP="00C033B5">
            <w:pPr>
              <w:rPr>
                <w:rFonts w:asciiTheme="majorBidi" w:hAnsiTheme="majorBidi" w:cstheme="majorBidi"/>
              </w:rPr>
            </w:pPr>
            <w:r w:rsidRPr="004F735C">
              <w:rPr>
                <w:rFonts w:asciiTheme="majorBidi" w:hAnsiTheme="majorBidi" w:cstheme="majorBidi"/>
              </w:rPr>
              <w:t>(0.0033)</w:t>
            </w:r>
          </w:p>
        </w:tc>
      </w:tr>
      <w:tr w:rsidR="00C033B5" w:rsidRPr="00C033B5" w14:paraId="766399D9" w14:textId="77777777">
        <w:trPr>
          <w:trHeight w:val="143"/>
        </w:trPr>
        <w:tc>
          <w:tcPr>
            <w:tcW w:w="0" w:type="auto"/>
            <w:tcMar>
              <w:top w:w="0" w:type="dxa"/>
              <w:left w:w="115" w:type="dxa"/>
              <w:bottom w:w="0" w:type="dxa"/>
              <w:right w:w="115" w:type="dxa"/>
            </w:tcMar>
            <w:vAlign w:val="center"/>
            <w:hideMark/>
          </w:tcPr>
          <w:p w14:paraId="7326C0C0"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Loantype</w:t>
            </w:r>
            <w:proofErr w:type="spellEnd"/>
          </w:p>
        </w:tc>
        <w:tc>
          <w:tcPr>
            <w:tcW w:w="0" w:type="auto"/>
            <w:tcMar>
              <w:top w:w="0" w:type="dxa"/>
              <w:left w:w="115" w:type="dxa"/>
              <w:bottom w:w="0" w:type="dxa"/>
              <w:right w:w="115" w:type="dxa"/>
            </w:tcMar>
            <w:vAlign w:val="center"/>
            <w:hideMark/>
          </w:tcPr>
          <w:p w14:paraId="30BD7B17"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027E636"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5B7A30C"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0F6DFE6"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9F83A8C"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2EAC4FC"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393ACE5"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35CB39E" w14:textId="77777777" w:rsidR="00C033B5" w:rsidRPr="004F735C" w:rsidRDefault="00C033B5" w:rsidP="00C033B5">
            <w:pPr>
              <w:rPr>
                <w:rFonts w:asciiTheme="majorBidi" w:hAnsiTheme="majorBidi" w:cstheme="majorBidi"/>
              </w:rPr>
            </w:pPr>
          </w:p>
        </w:tc>
      </w:tr>
      <w:tr w:rsidR="00C033B5" w:rsidRPr="00C033B5" w14:paraId="4F2852C1" w14:textId="77777777">
        <w:trPr>
          <w:trHeight w:val="143"/>
        </w:trPr>
        <w:tc>
          <w:tcPr>
            <w:tcW w:w="0" w:type="auto"/>
            <w:tcMar>
              <w:top w:w="0" w:type="dxa"/>
              <w:left w:w="115" w:type="dxa"/>
              <w:bottom w:w="0" w:type="dxa"/>
              <w:right w:w="115" w:type="dxa"/>
            </w:tcMar>
            <w:vAlign w:val="center"/>
            <w:hideMark/>
          </w:tcPr>
          <w:p w14:paraId="661217C9"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F2760E5"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4BD1A18"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59EC995"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7A8422E"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CFFAB84"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763A165"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433939A"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9B27B12" w14:textId="77777777" w:rsidR="00C033B5" w:rsidRPr="004F735C" w:rsidRDefault="00C033B5" w:rsidP="00C033B5">
            <w:pPr>
              <w:rPr>
                <w:rFonts w:asciiTheme="majorBidi" w:hAnsiTheme="majorBidi" w:cstheme="majorBidi"/>
              </w:rPr>
            </w:pPr>
          </w:p>
        </w:tc>
      </w:tr>
      <w:tr w:rsidR="00C033B5" w:rsidRPr="00C033B5" w14:paraId="0E275F2A" w14:textId="77777777">
        <w:trPr>
          <w:trHeight w:val="143"/>
        </w:trPr>
        <w:tc>
          <w:tcPr>
            <w:tcW w:w="0" w:type="auto"/>
            <w:tcMar>
              <w:top w:w="0" w:type="dxa"/>
              <w:left w:w="115" w:type="dxa"/>
              <w:bottom w:w="0" w:type="dxa"/>
              <w:right w:w="115" w:type="dxa"/>
            </w:tcMar>
            <w:vAlign w:val="center"/>
            <w:hideMark/>
          </w:tcPr>
          <w:p w14:paraId="58FBA1A2" w14:textId="77777777" w:rsidR="00C033B5" w:rsidRPr="004F735C" w:rsidRDefault="00C033B5" w:rsidP="00C033B5">
            <w:pPr>
              <w:rPr>
                <w:rFonts w:asciiTheme="majorBidi" w:hAnsiTheme="majorBidi" w:cstheme="majorBidi"/>
              </w:rPr>
            </w:pPr>
            <w:r w:rsidRPr="004F735C">
              <w:rPr>
                <w:rFonts w:asciiTheme="majorBidi" w:hAnsiTheme="majorBidi" w:cstheme="majorBidi"/>
              </w:rPr>
              <w:t>Agricultural Loan</w:t>
            </w:r>
          </w:p>
        </w:tc>
        <w:tc>
          <w:tcPr>
            <w:tcW w:w="0" w:type="auto"/>
            <w:tcMar>
              <w:top w:w="0" w:type="dxa"/>
              <w:left w:w="115" w:type="dxa"/>
              <w:bottom w:w="0" w:type="dxa"/>
              <w:right w:w="115" w:type="dxa"/>
            </w:tcMar>
            <w:vAlign w:val="center"/>
            <w:hideMark/>
          </w:tcPr>
          <w:p w14:paraId="4874B6CB" w14:textId="77777777" w:rsidR="00C033B5" w:rsidRPr="004F735C" w:rsidRDefault="00C033B5" w:rsidP="00C033B5">
            <w:pPr>
              <w:rPr>
                <w:rFonts w:asciiTheme="majorBidi" w:hAnsiTheme="majorBidi" w:cstheme="majorBidi"/>
              </w:rPr>
            </w:pPr>
            <w:r w:rsidRPr="004F735C">
              <w:rPr>
                <w:rFonts w:asciiTheme="majorBidi" w:hAnsiTheme="majorBidi" w:cstheme="majorBidi"/>
              </w:rPr>
              <w:t>2.9535***</w:t>
            </w:r>
          </w:p>
        </w:tc>
        <w:tc>
          <w:tcPr>
            <w:tcW w:w="0" w:type="auto"/>
            <w:tcMar>
              <w:top w:w="0" w:type="dxa"/>
              <w:left w:w="115" w:type="dxa"/>
              <w:bottom w:w="0" w:type="dxa"/>
              <w:right w:w="115" w:type="dxa"/>
            </w:tcMar>
            <w:vAlign w:val="center"/>
            <w:hideMark/>
          </w:tcPr>
          <w:p w14:paraId="409555A6" w14:textId="77777777" w:rsidR="00C033B5" w:rsidRPr="004F735C" w:rsidRDefault="00C033B5" w:rsidP="00C033B5">
            <w:pPr>
              <w:rPr>
                <w:rFonts w:asciiTheme="majorBidi" w:hAnsiTheme="majorBidi" w:cstheme="majorBidi"/>
              </w:rPr>
            </w:pPr>
            <w:r w:rsidRPr="004F735C">
              <w:rPr>
                <w:rFonts w:asciiTheme="majorBidi" w:hAnsiTheme="majorBidi" w:cstheme="majorBidi"/>
              </w:rPr>
              <w:t>0.0144***</w:t>
            </w:r>
          </w:p>
        </w:tc>
        <w:tc>
          <w:tcPr>
            <w:tcW w:w="0" w:type="auto"/>
            <w:tcMar>
              <w:top w:w="0" w:type="dxa"/>
              <w:left w:w="115" w:type="dxa"/>
              <w:bottom w:w="0" w:type="dxa"/>
              <w:right w:w="115" w:type="dxa"/>
            </w:tcMar>
            <w:vAlign w:val="center"/>
            <w:hideMark/>
          </w:tcPr>
          <w:p w14:paraId="3C039B38" w14:textId="77777777" w:rsidR="00C033B5" w:rsidRPr="004F735C" w:rsidRDefault="00C033B5" w:rsidP="00C033B5">
            <w:pPr>
              <w:rPr>
                <w:rFonts w:asciiTheme="majorBidi" w:hAnsiTheme="majorBidi" w:cstheme="majorBidi"/>
              </w:rPr>
            </w:pPr>
            <w:r w:rsidRPr="004F735C">
              <w:rPr>
                <w:rFonts w:asciiTheme="majorBidi" w:hAnsiTheme="majorBidi" w:cstheme="majorBidi"/>
              </w:rPr>
              <w:t>-</w:t>
            </w:r>
          </w:p>
        </w:tc>
        <w:tc>
          <w:tcPr>
            <w:tcW w:w="0" w:type="auto"/>
            <w:tcMar>
              <w:top w:w="0" w:type="dxa"/>
              <w:left w:w="115" w:type="dxa"/>
              <w:bottom w:w="0" w:type="dxa"/>
              <w:right w:w="115" w:type="dxa"/>
            </w:tcMar>
            <w:vAlign w:val="center"/>
            <w:hideMark/>
          </w:tcPr>
          <w:p w14:paraId="71668BFB" w14:textId="77777777" w:rsidR="00C033B5" w:rsidRPr="004F735C" w:rsidRDefault="00C033B5" w:rsidP="00C033B5">
            <w:pPr>
              <w:rPr>
                <w:rFonts w:asciiTheme="majorBidi" w:hAnsiTheme="majorBidi" w:cstheme="majorBidi"/>
              </w:rPr>
            </w:pPr>
            <w:r w:rsidRPr="004F735C">
              <w:rPr>
                <w:rFonts w:asciiTheme="majorBidi" w:hAnsiTheme="majorBidi" w:cstheme="majorBidi"/>
              </w:rPr>
              <w:t>-</w:t>
            </w:r>
          </w:p>
        </w:tc>
        <w:tc>
          <w:tcPr>
            <w:tcW w:w="0" w:type="auto"/>
            <w:tcMar>
              <w:top w:w="0" w:type="dxa"/>
              <w:left w:w="115" w:type="dxa"/>
              <w:bottom w:w="0" w:type="dxa"/>
              <w:right w:w="115" w:type="dxa"/>
            </w:tcMar>
            <w:vAlign w:val="center"/>
            <w:hideMark/>
          </w:tcPr>
          <w:p w14:paraId="061517D2" w14:textId="77777777" w:rsidR="00C033B5" w:rsidRPr="004F735C" w:rsidRDefault="00C033B5" w:rsidP="00C033B5">
            <w:pPr>
              <w:rPr>
                <w:rFonts w:asciiTheme="majorBidi" w:hAnsiTheme="majorBidi" w:cstheme="majorBidi"/>
              </w:rPr>
            </w:pPr>
            <w:r w:rsidRPr="004F735C">
              <w:rPr>
                <w:rFonts w:asciiTheme="majorBidi" w:hAnsiTheme="majorBidi" w:cstheme="majorBidi"/>
              </w:rPr>
              <w:t>-13.4725***</w:t>
            </w:r>
          </w:p>
        </w:tc>
        <w:tc>
          <w:tcPr>
            <w:tcW w:w="0" w:type="auto"/>
            <w:tcMar>
              <w:top w:w="0" w:type="dxa"/>
              <w:left w:w="115" w:type="dxa"/>
              <w:bottom w:w="0" w:type="dxa"/>
              <w:right w:w="115" w:type="dxa"/>
            </w:tcMar>
            <w:vAlign w:val="center"/>
            <w:hideMark/>
          </w:tcPr>
          <w:p w14:paraId="723F7BAC"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-0.0010***</w:t>
            </w:r>
          </w:p>
        </w:tc>
        <w:tc>
          <w:tcPr>
            <w:tcW w:w="0" w:type="auto"/>
            <w:tcMar>
              <w:top w:w="0" w:type="dxa"/>
              <w:left w:w="115" w:type="dxa"/>
              <w:bottom w:w="0" w:type="dxa"/>
              <w:right w:w="115" w:type="dxa"/>
            </w:tcMar>
            <w:vAlign w:val="center"/>
            <w:hideMark/>
          </w:tcPr>
          <w:p w14:paraId="08787205" w14:textId="77777777" w:rsidR="00C033B5" w:rsidRPr="004F735C" w:rsidRDefault="00C033B5" w:rsidP="00C033B5">
            <w:pPr>
              <w:rPr>
                <w:rFonts w:asciiTheme="majorBidi" w:hAnsiTheme="majorBidi" w:cstheme="majorBidi"/>
              </w:rPr>
            </w:pPr>
            <w:r w:rsidRPr="004F735C">
              <w:rPr>
                <w:rFonts w:asciiTheme="majorBidi" w:hAnsiTheme="majorBidi" w:cstheme="majorBidi"/>
              </w:rPr>
              <w:t>-</w:t>
            </w:r>
          </w:p>
        </w:tc>
        <w:tc>
          <w:tcPr>
            <w:tcW w:w="0" w:type="auto"/>
            <w:tcMar>
              <w:top w:w="0" w:type="dxa"/>
              <w:left w:w="115" w:type="dxa"/>
              <w:bottom w:w="0" w:type="dxa"/>
              <w:right w:w="115" w:type="dxa"/>
            </w:tcMar>
            <w:vAlign w:val="center"/>
            <w:hideMark/>
          </w:tcPr>
          <w:p w14:paraId="0FBAD919" w14:textId="77777777" w:rsidR="00C033B5" w:rsidRPr="004F735C" w:rsidRDefault="00C033B5" w:rsidP="00C033B5">
            <w:pPr>
              <w:rPr>
                <w:rFonts w:asciiTheme="majorBidi" w:hAnsiTheme="majorBidi" w:cstheme="majorBidi"/>
              </w:rPr>
            </w:pPr>
            <w:r w:rsidRPr="004F735C">
              <w:rPr>
                <w:rFonts w:asciiTheme="majorBidi" w:hAnsiTheme="majorBidi" w:cstheme="majorBidi"/>
              </w:rPr>
              <w:t>-</w:t>
            </w:r>
          </w:p>
        </w:tc>
      </w:tr>
      <w:tr w:rsidR="00C033B5" w:rsidRPr="00C033B5" w14:paraId="65C2E66C" w14:textId="77777777">
        <w:trPr>
          <w:trHeight w:val="143"/>
        </w:trPr>
        <w:tc>
          <w:tcPr>
            <w:tcW w:w="0" w:type="auto"/>
            <w:tcMar>
              <w:top w:w="0" w:type="dxa"/>
              <w:left w:w="115" w:type="dxa"/>
              <w:bottom w:w="0" w:type="dxa"/>
              <w:right w:w="115" w:type="dxa"/>
            </w:tcMar>
            <w:hideMark/>
          </w:tcPr>
          <w:p w14:paraId="177A81E3"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51D59AB6" w14:textId="77777777" w:rsidR="00C033B5" w:rsidRPr="004F735C" w:rsidRDefault="00C033B5" w:rsidP="00C033B5">
            <w:pPr>
              <w:rPr>
                <w:rFonts w:asciiTheme="majorBidi" w:hAnsiTheme="majorBidi" w:cstheme="majorBidi"/>
              </w:rPr>
            </w:pPr>
            <w:r w:rsidRPr="004F735C">
              <w:rPr>
                <w:rFonts w:asciiTheme="majorBidi" w:hAnsiTheme="majorBidi" w:cstheme="majorBidi"/>
              </w:rPr>
              <w:t>(0.4810)</w:t>
            </w:r>
          </w:p>
        </w:tc>
        <w:tc>
          <w:tcPr>
            <w:tcW w:w="0" w:type="auto"/>
            <w:tcMar>
              <w:top w:w="0" w:type="dxa"/>
              <w:left w:w="115" w:type="dxa"/>
              <w:bottom w:w="0" w:type="dxa"/>
              <w:right w:w="115" w:type="dxa"/>
            </w:tcMar>
            <w:hideMark/>
          </w:tcPr>
          <w:p w14:paraId="0A9D0945" w14:textId="77777777" w:rsidR="00C033B5" w:rsidRPr="004F735C" w:rsidRDefault="00C033B5" w:rsidP="00C033B5">
            <w:pPr>
              <w:rPr>
                <w:rFonts w:asciiTheme="majorBidi" w:hAnsiTheme="majorBidi" w:cstheme="majorBidi"/>
              </w:rPr>
            </w:pPr>
            <w:r w:rsidRPr="004F735C">
              <w:rPr>
                <w:rFonts w:asciiTheme="majorBidi" w:hAnsiTheme="majorBidi" w:cstheme="majorBidi"/>
              </w:rPr>
              <w:t>(0.0041)</w:t>
            </w:r>
          </w:p>
        </w:tc>
        <w:tc>
          <w:tcPr>
            <w:tcW w:w="0" w:type="auto"/>
            <w:tcMar>
              <w:top w:w="0" w:type="dxa"/>
              <w:left w:w="115" w:type="dxa"/>
              <w:bottom w:w="0" w:type="dxa"/>
              <w:right w:w="115" w:type="dxa"/>
            </w:tcMar>
            <w:vAlign w:val="center"/>
            <w:hideMark/>
          </w:tcPr>
          <w:p w14:paraId="457944AD"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84C8BEB"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BA0A5DE" w14:textId="77777777" w:rsidR="00C033B5" w:rsidRPr="004F735C" w:rsidRDefault="00C033B5" w:rsidP="00C033B5">
            <w:pPr>
              <w:rPr>
                <w:rFonts w:asciiTheme="majorBidi" w:hAnsiTheme="majorBidi" w:cstheme="majorBidi"/>
              </w:rPr>
            </w:pPr>
            <w:r w:rsidRPr="004F735C">
              <w:rPr>
                <w:rFonts w:asciiTheme="majorBidi" w:hAnsiTheme="majorBidi" w:cstheme="majorBidi"/>
              </w:rPr>
              <w:t>(0.6626)</w:t>
            </w:r>
          </w:p>
        </w:tc>
        <w:tc>
          <w:tcPr>
            <w:tcW w:w="0" w:type="auto"/>
            <w:tcMar>
              <w:top w:w="0" w:type="dxa"/>
              <w:left w:w="115" w:type="dxa"/>
              <w:bottom w:w="0" w:type="dxa"/>
              <w:right w:w="115" w:type="dxa"/>
            </w:tcMar>
            <w:vAlign w:val="center"/>
            <w:hideMark/>
          </w:tcPr>
          <w:p w14:paraId="2D07F3EA"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(0.0003)</w:t>
            </w:r>
          </w:p>
        </w:tc>
        <w:tc>
          <w:tcPr>
            <w:tcW w:w="0" w:type="auto"/>
            <w:tcMar>
              <w:top w:w="0" w:type="dxa"/>
              <w:left w:w="115" w:type="dxa"/>
              <w:bottom w:w="0" w:type="dxa"/>
              <w:right w:w="115" w:type="dxa"/>
            </w:tcMar>
            <w:vAlign w:val="center"/>
            <w:hideMark/>
          </w:tcPr>
          <w:p w14:paraId="25252FAD"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EA2C742" w14:textId="77777777" w:rsidR="00C033B5" w:rsidRPr="004F735C" w:rsidRDefault="00C033B5" w:rsidP="00C033B5">
            <w:pPr>
              <w:rPr>
                <w:rFonts w:asciiTheme="majorBidi" w:hAnsiTheme="majorBidi" w:cstheme="majorBidi"/>
              </w:rPr>
            </w:pPr>
          </w:p>
        </w:tc>
      </w:tr>
      <w:tr w:rsidR="00C033B5" w:rsidRPr="00C033B5" w14:paraId="3DC5CBFF" w14:textId="77777777">
        <w:trPr>
          <w:trHeight w:val="143"/>
        </w:trPr>
        <w:tc>
          <w:tcPr>
            <w:tcW w:w="0" w:type="auto"/>
            <w:tcMar>
              <w:top w:w="0" w:type="dxa"/>
              <w:left w:w="115" w:type="dxa"/>
              <w:bottom w:w="0" w:type="dxa"/>
              <w:right w:w="115" w:type="dxa"/>
            </w:tcMar>
            <w:vAlign w:val="center"/>
            <w:hideMark/>
          </w:tcPr>
          <w:p w14:paraId="010EA6F6" w14:textId="77777777" w:rsidR="00C033B5" w:rsidRPr="004F735C" w:rsidRDefault="00C033B5" w:rsidP="00C033B5">
            <w:pPr>
              <w:rPr>
                <w:rFonts w:asciiTheme="majorBidi" w:hAnsiTheme="majorBidi" w:cstheme="majorBidi"/>
              </w:rPr>
            </w:pPr>
            <w:r w:rsidRPr="004F735C">
              <w:rPr>
                <w:rFonts w:asciiTheme="majorBidi" w:hAnsiTheme="majorBidi" w:cstheme="majorBidi"/>
              </w:rPr>
              <w:t>Business Loan</w:t>
            </w:r>
          </w:p>
        </w:tc>
        <w:tc>
          <w:tcPr>
            <w:tcW w:w="0" w:type="auto"/>
            <w:tcMar>
              <w:top w:w="0" w:type="dxa"/>
              <w:left w:w="115" w:type="dxa"/>
              <w:bottom w:w="0" w:type="dxa"/>
              <w:right w:w="115" w:type="dxa"/>
            </w:tcMar>
            <w:vAlign w:val="center"/>
            <w:hideMark/>
          </w:tcPr>
          <w:p w14:paraId="2A27EA29" w14:textId="77777777" w:rsidR="00C033B5" w:rsidRPr="004F735C" w:rsidRDefault="00C033B5" w:rsidP="00C033B5">
            <w:pPr>
              <w:rPr>
                <w:rFonts w:asciiTheme="majorBidi" w:hAnsiTheme="majorBidi" w:cstheme="majorBidi"/>
              </w:rPr>
            </w:pPr>
            <w:r w:rsidRPr="004F735C">
              <w:rPr>
                <w:rFonts w:asciiTheme="majorBidi" w:hAnsiTheme="majorBidi" w:cstheme="majorBidi"/>
              </w:rPr>
              <w:t>-0.1146</w:t>
            </w:r>
          </w:p>
        </w:tc>
        <w:tc>
          <w:tcPr>
            <w:tcW w:w="0" w:type="auto"/>
            <w:tcMar>
              <w:top w:w="0" w:type="dxa"/>
              <w:left w:w="115" w:type="dxa"/>
              <w:bottom w:w="0" w:type="dxa"/>
              <w:right w:w="115" w:type="dxa"/>
            </w:tcMar>
            <w:vAlign w:val="center"/>
            <w:hideMark/>
          </w:tcPr>
          <w:p w14:paraId="584EE29D"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-0.0001</w:t>
            </w:r>
          </w:p>
        </w:tc>
        <w:tc>
          <w:tcPr>
            <w:tcW w:w="0" w:type="auto"/>
            <w:tcMar>
              <w:top w:w="0" w:type="dxa"/>
              <w:left w:w="115" w:type="dxa"/>
              <w:bottom w:w="0" w:type="dxa"/>
              <w:right w:w="115" w:type="dxa"/>
            </w:tcMar>
            <w:vAlign w:val="center"/>
            <w:hideMark/>
          </w:tcPr>
          <w:p w14:paraId="65587D75" w14:textId="77777777" w:rsidR="00C033B5" w:rsidRPr="004F735C" w:rsidRDefault="00C033B5" w:rsidP="00C033B5">
            <w:pPr>
              <w:rPr>
                <w:rFonts w:asciiTheme="majorBidi" w:hAnsiTheme="majorBidi" w:cstheme="majorBidi"/>
              </w:rPr>
            </w:pPr>
            <w:r w:rsidRPr="004F735C">
              <w:rPr>
                <w:rFonts w:asciiTheme="majorBidi" w:hAnsiTheme="majorBidi" w:cstheme="majorBidi"/>
              </w:rPr>
              <w:t>-2.8955*</w:t>
            </w:r>
          </w:p>
        </w:tc>
        <w:tc>
          <w:tcPr>
            <w:tcW w:w="0" w:type="auto"/>
            <w:tcMar>
              <w:top w:w="0" w:type="dxa"/>
              <w:left w:w="115" w:type="dxa"/>
              <w:bottom w:w="0" w:type="dxa"/>
              <w:right w:w="115" w:type="dxa"/>
            </w:tcMar>
            <w:vAlign w:val="center"/>
            <w:hideMark/>
          </w:tcPr>
          <w:p w14:paraId="0ED1E08D" w14:textId="77777777" w:rsidR="00C033B5" w:rsidRPr="004F735C" w:rsidRDefault="00C033B5" w:rsidP="00C033B5">
            <w:pPr>
              <w:rPr>
                <w:rFonts w:asciiTheme="majorBidi" w:hAnsiTheme="majorBidi" w:cstheme="majorBidi"/>
              </w:rPr>
            </w:pPr>
            <w:r w:rsidRPr="004F735C">
              <w:rPr>
                <w:rFonts w:asciiTheme="majorBidi" w:hAnsiTheme="majorBidi" w:cstheme="majorBidi"/>
              </w:rPr>
              <w:t>-0.2068***</w:t>
            </w:r>
          </w:p>
        </w:tc>
        <w:tc>
          <w:tcPr>
            <w:tcW w:w="0" w:type="auto"/>
            <w:tcMar>
              <w:top w:w="0" w:type="dxa"/>
              <w:left w:w="115" w:type="dxa"/>
              <w:bottom w:w="0" w:type="dxa"/>
              <w:right w:w="115" w:type="dxa"/>
            </w:tcMar>
            <w:vAlign w:val="center"/>
            <w:hideMark/>
          </w:tcPr>
          <w:p w14:paraId="24A03C0B" w14:textId="77777777" w:rsidR="00C033B5" w:rsidRPr="004F735C" w:rsidRDefault="00C033B5" w:rsidP="00C033B5">
            <w:pPr>
              <w:rPr>
                <w:rFonts w:asciiTheme="majorBidi" w:hAnsiTheme="majorBidi" w:cstheme="majorBidi"/>
              </w:rPr>
            </w:pPr>
            <w:r w:rsidRPr="004F735C">
              <w:rPr>
                <w:rFonts w:asciiTheme="majorBidi" w:hAnsiTheme="majorBidi" w:cstheme="majorBidi"/>
              </w:rPr>
              <w:t>-0.7249</w:t>
            </w:r>
          </w:p>
        </w:tc>
        <w:tc>
          <w:tcPr>
            <w:tcW w:w="0" w:type="auto"/>
            <w:tcMar>
              <w:top w:w="0" w:type="dxa"/>
              <w:left w:w="115" w:type="dxa"/>
              <w:bottom w:w="0" w:type="dxa"/>
              <w:right w:w="115" w:type="dxa"/>
            </w:tcMar>
            <w:vAlign w:val="center"/>
            <w:hideMark/>
          </w:tcPr>
          <w:p w14:paraId="322C3C07"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-0.0005</w:t>
            </w:r>
          </w:p>
        </w:tc>
        <w:tc>
          <w:tcPr>
            <w:tcW w:w="0" w:type="auto"/>
            <w:tcMar>
              <w:top w:w="0" w:type="dxa"/>
              <w:left w:w="115" w:type="dxa"/>
              <w:bottom w:w="0" w:type="dxa"/>
              <w:right w:w="115" w:type="dxa"/>
            </w:tcMar>
            <w:vAlign w:val="center"/>
            <w:hideMark/>
          </w:tcPr>
          <w:p w14:paraId="66079DB3" w14:textId="77777777" w:rsidR="00C033B5" w:rsidRPr="004F735C" w:rsidRDefault="00C033B5" w:rsidP="00C033B5">
            <w:pPr>
              <w:rPr>
                <w:rFonts w:asciiTheme="majorBidi" w:hAnsiTheme="majorBidi" w:cstheme="majorBidi"/>
              </w:rPr>
            </w:pPr>
            <w:r w:rsidRPr="004F735C">
              <w:rPr>
                <w:rFonts w:asciiTheme="majorBidi" w:hAnsiTheme="majorBidi" w:cstheme="majorBidi"/>
              </w:rPr>
              <w:t>-2.6696**</w:t>
            </w:r>
          </w:p>
        </w:tc>
        <w:tc>
          <w:tcPr>
            <w:tcW w:w="0" w:type="auto"/>
            <w:tcMar>
              <w:top w:w="0" w:type="dxa"/>
              <w:left w:w="115" w:type="dxa"/>
              <w:bottom w:w="0" w:type="dxa"/>
              <w:right w:w="115" w:type="dxa"/>
            </w:tcMar>
            <w:vAlign w:val="center"/>
            <w:hideMark/>
          </w:tcPr>
          <w:p w14:paraId="4D39CEF8" w14:textId="77777777" w:rsidR="00C033B5" w:rsidRPr="004F735C" w:rsidRDefault="00C033B5" w:rsidP="00C033B5">
            <w:pPr>
              <w:rPr>
                <w:rFonts w:asciiTheme="majorBidi" w:hAnsiTheme="majorBidi" w:cstheme="majorBidi"/>
              </w:rPr>
            </w:pPr>
            <w:r w:rsidRPr="004F735C">
              <w:rPr>
                <w:rFonts w:asciiTheme="majorBidi" w:hAnsiTheme="majorBidi" w:cstheme="majorBidi"/>
              </w:rPr>
              <w:t>-0.1660***</w:t>
            </w:r>
          </w:p>
        </w:tc>
      </w:tr>
      <w:tr w:rsidR="00C033B5" w:rsidRPr="00C033B5" w14:paraId="4440DFB9" w14:textId="77777777">
        <w:trPr>
          <w:trHeight w:val="143"/>
        </w:trPr>
        <w:tc>
          <w:tcPr>
            <w:tcW w:w="0" w:type="auto"/>
            <w:tcMar>
              <w:top w:w="0" w:type="dxa"/>
              <w:left w:w="115" w:type="dxa"/>
              <w:bottom w:w="0" w:type="dxa"/>
              <w:right w:w="115" w:type="dxa"/>
            </w:tcMar>
            <w:vAlign w:val="center"/>
            <w:hideMark/>
          </w:tcPr>
          <w:p w14:paraId="682FCF8C"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D3A2CDE" w14:textId="77777777" w:rsidR="00C033B5" w:rsidRPr="004F735C" w:rsidRDefault="00C033B5" w:rsidP="00C033B5">
            <w:pPr>
              <w:rPr>
                <w:rFonts w:asciiTheme="majorBidi" w:hAnsiTheme="majorBidi" w:cstheme="majorBidi"/>
              </w:rPr>
            </w:pPr>
            <w:r w:rsidRPr="004F735C">
              <w:rPr>
                <w:rFonts w:asciiTheme="majorBidi" w:hAnsiTheme="majorBidi" w:cstheme="majorBidi"/>
              </w:rPr>
              <w:t>(0.8139)</w:t>
            </w:r>
          </w:p>
        </w:tc>
        <w:tc>
          <w:tcPr>
            <w:tcW w:w="0" w:type="auto"/>
            <w:tcMar>
              <w:top w:w="0" w:type="dxa"/>
              <w:left w:w="115" w:type="dxa"/>
              <w:bottom w:w="0" w:type="dxa"/>
              <w:right w:w="115" w:type="dxa"/>
            </w:tcMar>
            <w:vAlign w:val="center"/>
            <w:hideMark/>
          </w:tcPr>
          <w:p w14:paraId="0BD7EF8F"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(0.0010)</w:t>
            </w:r>
          </w:p>
        </w:tc>
        <w:tc>
          <w:tcPr>
            <w:tcW w:w="0" w:type="auto"/>
            <w:tcMar>
              <w:top w:w="0" w:type="dxa"/>
              <w:left w:w="115" w:type="dxa"/>
              <w:bottom w:w="0" w:type="dxa"/>
              <w:right w:w="115" w:type="dxa"/>
            </w:tcMar>
            <w:vAlign w:val="center"/>
            <w:hideMark/>
          </w:tcPr>
          <w:p w14:paraId="760DE92F" w14:textId="77777777" w:rsidR="00C033B5" w:rsidRPr="004F735C" w:rsidRDefault="00C033B5" w:rsidP="00C033B5">
            <w:pPr>
              <w:rPr>
                <w:rFonts w:asciiTheme="majorBidi" w:hAnsiTheme="majorBidi" w:cstheme="majorBidi"/>
              </w:rPr>
            </w:pPr>
            <w:r w:rsidRPr="004F735C">
              <w:rPr>
                <w:rFonts w:asciiTheme="majorBidi" w:hAnsiTheme="majorBidi" w:cstheme="majorBidi"/>
              </w:rPr>
              <w:t>(1.5727)</w:t>
            </w:r>
          </w:p>
        </w:tc>
        <w:tc>
          <w:tcPr>
            <w:tcW w:w="0" w:type="auto"/>
            <w:tcMar>
              <w:top w:w="0" w:type="dxa"/>
              <w:left w:w="115" w:type="dxa"/>
              <w:bottom w:w="0" w:type="dxa"/>
              <w:right w:w="115" w:type="dxa"/>
            </w:tcMar>
            <w:vAlign w:val="center"/>
            <w:hideMark/>
          </w:tcPr>
          <w:p w14:paraId="0EB79EAC" w14:textId="77777777" w:rsidR="00C033B5" w:rsidRPr="004F735C" w:rsidRDefault="00C033B5" w:rsidP="00C033B5">
            <w:pPr>
              <w:rPr>
                <w:rFonts w:asciiTheme="majorBidi" w:hAnsiTheme="majorBidi" w:cstheme="majorBidi"/>
              </w:rPr>
            </w:pPr>
            <w:r w:rsidRPr="004F735C">
              <w:rPr>
                <w:rFonts w:asciiTheme="majorBidi" w:hAnsiTheme="majorBidi" w:cstheme="majorBidi"/>
              </w:rPr>
              <w:t>(0.0322)</w:t>
            </w:r>
          </w:p>
        </w:tc>
        <w:tc>
          <w:tcPr>
            <w:tcW w:w="0" w:type="auto"/>
            <w:tcMar>
              <w:top w:w="0" w:type="dxa"/>
              <w:left w:w="115" w:type="dxa"/>
              <w:bottom w:w="0" w:type="dxa"/>
              <w:right w:w="115" w:type="dxa"/>
            </w:tcMar>
            <w:vAlign w:val="center"/>
            <w:hideMark/>
          </w:tcPr>
          <w:p w14:paraId="354EE3DB" w14:textId="77777777" w:rsidR="00C033B5" w:rsidRPr="004F735C" w:rsidRDefault="00C033B5" w:rsidP="00C033B5">
            <w:pPr>
              <w:rPr>
                <w:rFonts w:asciiTheme="majorBidi" w:hAnsiTheme="majorBidi" w:cstheme="majorBidi"/>
              </w:rPr>
            </w:pPr>
            <w:r w:rsidRPr="004F735C">
              <w:rPr>
                <w:rFonts w:asciiTheme="majorBidi" w:hAnsiTheme="majorBidi" w:cstheme="majorBidi"/>
              </w:rPr>
              <w:t>(0.7733)</w:t>
            </w:r>
          </w:p>
        </w:tc>
        <w:tc>
          <w:tcPr>
            <w:tcW w:w="0" w:type="auto"/>
            <w:tcMar>
              <w:top w:w="0" w:type="dxa"/>
              <w:left w:w="115" w:type="dxa"/>
              <w:bottom w:w="0" w:type="dxa"/>
              <w:right w:w="115" w:type="dxa"/>
            </w:tcMar>
            <w:vAlign w:val="center"/>
            <w:hideMark/>
          </w:tcPr>
          <w:p w14:paraId="2E882B51"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(0.0005)</w:t>
            </w:r>
          </w:p>
        </w:tc>
        <w:tc>
          <w:tcPr>
            <w:tcW w:w="0" w:type="auto"/>
            <w:tcMar>
              <w:top w:w="0" w:type="dxa"/>
              <w:left w:w="115" w:type="dxa"/>
              <w:bottom w:w="0" w:type="dxa"/>
              <w:right w:w="115" w:type="dxa"/>
            </w:tcMar>
            <w:vAlign w:val="center"/>
            <w:hideMark/>
          </w:tcPr>
          <w:p w14:paraId="38F28556" w14:textId="77777777" w:rsidR="00C033B5" w:rsidRPr="004F735C" w:rsidRDefault="00C033B5" w:rsidP="00C033B5">
            <w:pPr>
              <w:rPr>
                <w:rFonts w:asciiTheme="majorBidi" w:hAnsiTheme="majorBidi" w:cstheme="majorBidi"/>
              </w:rPr>
            </w:pPr>
            <w:r w:rsidRPr="004F735C">
              <w:rPr>
                <w:rFonts w:asciiTheme="majorBidi" w:hAnsiTheme="majorBidi" w:cstheme="majorBidi"/>
              </w:rPr>
              <w:t>(1.3076)</w:t>
            </w:r>
          </w:p>
        </w:tc>
        <w:tc>
          <w:tcPr>
            <w:tcW w:w="0" w:type="auto"/>
            <w:tcMar>
              <w:top w:w="0" w:type="dxa"/>
              <w:left w:w="115" w:type="dxa"/>
              <w:bottom w:w="0" w:type="dxa"/>
              <w:right w:w="115" w:type="dxa"/>
            </w:tcMar>
            <w:vAlign w:val="center"/>
            <w:hideMark/>
          </w:tcPr>
          <w:p w14:paraId="4AF215F3" w14:textId="77777777" w:rsidR="00C033B5" w:rsidRPr="004F735C" w:rsidRDefault="00C033B5" w:rsidP="00C033B5">
            <w:pPr>
              <w:rPr>
                <w:rFonts w:asciiTheme="majorBidi" w:hAnsiTheme="majorBidi" w:cstheme="majorBidi"/>
              </w:rPr>
            </w:pPr>
            <w:r w:rsidRPr="004F735C">
              <w:rPr>
                <w:rFonts w:asciiTheme="majorBidi" w:hAnsiTheme="majorBidi" w:cstheme="majorBidi"/>
              </w:rPr>
              <w:t>(0.0241)</w:t>
            </w:r>
          </w:p>
        </w:tc>
      </w:tr>
      <w:tr w:rsidR="00C033B5" w:rsidRPr="00C033B5" w14:paraId="6A1BB5B2" w14:textId="77777777">
        <w:trPr>
          <w:trHeight w:val="143"/>
        </w:trPr>
        <w:tc>
          <w:tcPr>
            <w:tcW w:w="0" w:type="auto"/>
            <w:tcMar>
              <w:top w:w="0" w:type="dxa"/>
              <w:left w:w="115" w:type="dxa"/>
              <w:bottom w:w="0" w:type="dxa"/>
              <w:right w:w="115" w:type="dxa"/>
            </w:tcMar>
            <w:vAlign w:val="center"/>
            <w:hideMark/>
          </w:tcPr>
          <w:p w14:paraId="07D38AE3" w14:textId="77777777" w:rsidR="00C033B5" w:rsidRPr="004F735C" w:rsidRDefault="00C033B5" w:rsidP="00C033B5">
            <w:pPr>
              <w:rPr>
                <w:rFonts w:asciiTheme="majorBidi" w:hAnsiTheme="majorBidi" w:cstheme="majorBidi"/>
              </w:rPr>
            </w:pPr>
            <w:r w:rsidRPr="004F735C">
              <w:rPr>
                <w:rFonts w:asciiTheme="majorBidi" w:hAnsiTheme="majorBidi" w:cstheme="majorBidi"/>
              </w:rPr>
              <w:t>Car Loan</w:t>
            </w:r>
          </w:p>
        </w:tc>
        <w:tc>
          <w:tcPr>
            <w:tcW w:w="0" w:type="auto"/>
            <w:tcMar>
              <w:top w:w="0" w:type="dxa"/>
              <w:left w:w="115" w:type="dxa"/>
              <w:bottom w:w="0" w:type="dxa"/>
              <w:right w:w="115" w:type="dxa"/>
            </w:tcMar>
            <w:vAlign w:val="center"/>
            <w:hideMark/>
          </w:tcPr>
          <w:p w14:paraId="5983CF4D" w14:textId="77777777" w:rsidR="00C033B5" w:rsidRPr="004F735C" w:rsidRDefault="00C033B5" w:rsidP="00C033B5">
            <w:pPr>
              <w:rPr>
                <w:rFonts w:asciiTheme="majorBidi" w:hAnsiTheme="majorBidi" w:cstheme="majorBidi"/>
              </w:rPr>
            </w:pPr>
            <w:r w:rsidRPr="004F735C">
              <w:rPr>
                <w:rFonts w:asciiTheme="majorBidi" w:hAnsiTheme="majorBidi" w:cstheme="majorBidi"/>
              </w:rPr>
              <w:t>-1.0508*</w:t>
            </w:r>
          </w:p>
        </w:tc>
        <w:tc>
          <w:tcPr>
            <w:tcW w:w="0" w:type="auto"/>
            <w:tcMar>
              <w:top w:w="0" w:type="dxa"/>
              <w:left w:w="115" w:type="dxa"/>
              <w:bottom w:w="0" w:type="dxa"/>
              <w:right w:w="115" w:type="dxa"/>
            </w:tcMar>
            <w:vAlign w:val="center"/>
            <w:hideMark/>
          </w:tcPr>
          <w:p w14:paraId="30B49697"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-0.0009</w:t>
            </w:r>
          </w:p>
        </w:tc>
        <w:tc>
          <w:tcPr>
            <w:tcW w:w="0" w:type="auto"/>
            <w:tcMar>
              <w:top w:w="0" w:type="dxa"/>
              <w:left w:w="115" w:type="dxa"/>
              <w:bottom w:w="0" w:type="dxa"/>
              <w:right w:w="115" w:type="dxa"/>
            </w:tcMar>
            <w:vAlign w:val="center"/>
            <w:hideMark/>
          </w:tcPr>
          <w:p w14:paraId="1B01DBA0" w14:textId="77777777" w:rsidR="00C033B5" w:rsidRPr="004F735C" w:rsidRDefault="00C033B5" w:rsidP="00C033B5">
            <w:pPr>
              <w:rPr>
                <w:rFonts w:asciiTheme="majorBidi" w:hAnsiTheme="majorBidi" w:cstheme="majorBidi"/>
              </w:rPr>
            </w:pPr>
            <w:r w:rsidRPr="004F735C">
              <w:rPr>
                <w:rFonts w:asciiTheme="majorBidi" w:hAnsiTheme="majorBidi" w:cstheme="majorBidi"/>
              </w:rPr>
              <w:t>-3.0311***</w:t>
            </w:r>
          </w:p>
        </w:tc>
        <w:tc>
          <w:tcPr>
            <w:tcW w:w="0" w:type="auto"/>
            <w:tcMar>
              <w:top w:w="0" w:type="dxa"/>
              <w:left w:w="115" w:type="dxa"/>
              <w:bottom w:w="0" w:type="dxa"/>
              <w:right w:w="115" w:type="dxa"/>
            </w:tcMar>
            <w:vAlign w:val="center"/>
            <w:hideMark/>
          </w:tcPr>
          <w:p w14:paraId="31534884" w14:textId="77777777" w:rsidR="00C033B5" w:rsidRPr="004F735C" w:rsidRDefault="00C033B5" w:rsidP="00C033B5">
            <w:pPr>
              <w:rPr>
                <w:rFonts w:asciiTheme="majorBidi" w:hAnsiTheme="majorBidi" w:cstheme="majorBidi"/>
              </w:rPr>
            </w:pPr>
            <w:r w:rsidRPr="004F735C">
              <w:rPr>
                <w:rFonts w:asciiTheme="majorBidi" w:hAnsiTheme="majorBidi" w:cstheme="majorBidi"/>
              </w:rPr>
              <w:t>-0.2094***</w:t>
            </w:r>
          </w:p>
        </w:tc>
        <w:tc>
          <w:tcPr>
            <w:tcW w:w="0" w:type="auto"/>
            <w:tcMar>
              <w:top w:w="0" w:type="dxa"/>
              <w:left w:w="115" w:type="dxa"/>
              <w:bottom w:w="0" w:type="dxa"/>
              <w:right w:w="115" w:type="dxa"/>
            </w:tcMar>
            <w:vAlign w:val="center"/>
            <w:hideMark/>
          </w:tcPr>
          <w:p w14:paraId="6311BD0D" w14:textId="77777777" w:rsidR="00C033B5" w:rsidRPr="004F735C" w:rsidRDefault="00C033B5" w:rsidP="00C033B5">
            <w:pPr>
              <w:rPr>
                <w:rFonts w:asciiTheme="majorBidi" w:hAnsiTheme="majorBidi" w:cstheme="majorBidi"/>
              </w:rPr>
            </w:pPr>
            <w:r w:rsidRPr="004F735C">
              <w:rPr>
                <w:rFonts w:asciiTheme="majorBidi" w:hAnsiTheme="majorBidi" w:cstheme="majorBidi"/>
              </w:rPr>
              <w:t>-0.0444</w:t>
            </w:r>
          </w:p>
        </w:tc>
        <w:tc>
          <w:tcPr>
            <w:tcW w:w="0" w:type="auto"/>
            <w:tcMar>
              <w:top w:w="0" w:type="dxa"/>
              <w:left w:w="115" w:type="dxa"/>
              <w:bottom w:w="0" w:type="dxa"/>
              <w:right w:w="115" w:type="dxa"/>
            </w:tcMar>
            <w:vAlign w:val="center"/>
            <w:hideMark/>
          </w:tcPr>
          <w:p w14:paraId="3A8E9867"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0B798ADA" w14:textId="77777777" w:rsidR="00C033B5" w:rsidRPr="004F735C" w:rsidRDefault="00C033B5" w:rsidP="00C033B5">
            <w:pPr>
              <w:rPr>
                <w:rFonts w:asciiTheme="majorBidi" w:hAnsiTheme="majorBidi" w:cstheme="majorBidi"/>
              </w:rPr>
            </w:pPr>
            <w:r w:rsidRPr="004F735C">
              <w:rPr>
                <w:rFonts w:asciiTheme="majorBidi" w:hAnsiTheme="majorBidi" w:cstheme="majorBidi"/>
              </w:rPr>
              <w:t>-2.7301***</w:t>
            </w:r>
          </w:p>
        </w:tc>
        <w:tc>
          <w:tcPr>
            <w:tcW w:w="0" w:type="auto"/>
            <w:tcMar>
              <w:top w:w="0" w:type="dxa"/>
              <w:left w:w="115" w:type="dxa"/>
              <w:bottom w:w="0" w:type="dxa"/>
              <w:right w:w="115" w:type="dxa"/>
            </w:tcMar>
            <w:vAlign w:val="center"/>
            <w:hideMark/>
          </w:tcPr>
          <w:p w14:paraId="50D08218" w14:textId="77777777" w:rsidR="00C033B5" w:rsidRPr="004F735C" w:rsidRDefault="00C033B5" w:rsidP="00C033B5">
            <w:pPr>
              <w:rPr>
                <w:rFonts w:asciiTheme="majorBidi" w:hAnsiTheme="majorBidi" w:cstheme="majorBidi"/>
              </w:rPr>
            </w:pPr>
            <w:r w:rsidRPr="004F735C">
              <w:rPr>
                <w:rFonts w:asciiTheme="majorBidi" w:hAnsiTheme="majorBidi" w:cstheme="majorBidi"/>
              </w:rPr>
              <w:t>-0.1670***</w:t>
            </w:r>
          </w:p>
        </w:tc>
      </w:tr>
      <w:tr w:rsidR="00C033B5" w:rsidRPr="00C033B5" w14:paraId="0329393E" w14:textId="77777777">
        <w:trPr>
          <w:trHeight w:val="143"/>
        </w:trPr>
        <w:tc>
          <w:tcPr>
            <w:tcW w:w="0" w:type="auto"/>
            <w:tcMar>
              <w:top w:w="0" w:type="dxa"/>
              <w:left w:w="115" w:type="dxa"/>
              <w:bottom w:w="0" w:type="dxa"/>
              <w:right w:w="115" w:type="dxa"/>
            </w:tcMar>
            <w:vAlign w:val="center"/>
            <w:hideMark/>
          </w:tcPr>
          <w:p w14:paraId="44166BD8"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B3412D0" w14:textId="77777777" w:rsidR="00C033B5" w:rsidRPr="004F735C" w:rsidRDefault="00C033B5" w:rsidP="00C033B5">
            <w:pPr>
              <w:rPr>
                <w:rFonts w:asciiTheme="majorBidi" w:hAnsiTheme="majorBidi" w:cstheme="majorBidi"/>
              </w:rPr>
            </w:pPr>
            <w:r w:rsidRPr="004F735C">
              <w:rPr>
                <w:rFonts w:asciiTheme="majorBidi" w:hAnsiTheme="majorBidi" w:cstheme="majorBidi"/>
              </w:rPr>
              <w:t>(0.5753)</w:t>
            </w:r>
          </w:p>
        </w:tc>
        <w:tc>
          <w:tcPr>
            <w:tcW w:w="0" w:type="auto"/>
            <w:tcMar>
              <w:top w:w="0" w:type="dxa"/>
              <w:left w:w="115" w:type="dxa"/>
              <w:bottom w:w="0" w:type="dxa"/>
              <w:right w:w="115" w:type="dxa"/>
            </w:tcMar>
            <w:vAlign w:val="center"/>
            <w:hideMark/>
          </w:tcPr>
          <w:p w14:paraId="07C28B22"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(0.0006)</w:t>
            </w:r>
          </w:p>
        </w:tc>
        <w:tc>
          <w:tcPr>
            <w:tcW w:w="0" w:type="auto"/>
            <w:tcMar>
              <w:top w:w="0" w:type="dxa"/>
              <w:left w:w="115" w:type="dxa"/>
              <w:bottom w:w="0" w:type="dxa"/>
              <w:right w:w="115" w:type="dxa"/>
            </w:tcMar>
            <w:vAlign w:val="center"/>
            <w:hideMark/>
          </w:tcPr>
          <w:p w14:paraId="4D605B76" w14:textId="77777777" w:rsidR="00C033B5" w:rsidRPr="004F735C" w:rsidRDefault="00C033B5" w:rsidP="00C033B5">
            <w:pPr>
              <w:rPr>
                <w:rFonts w:asciiTheme="majorBidi" w:hAnsiTheme="majorBidi" w:cstheme="majorBidi"/>
              </w:rPr>
            </w:pPr>
            <w:r w:rsidRPr="004F735C">
              <w:rPr>
                <w:rFonts w:asciiTheme="majorBidi" w:hAnsiTheme="majorBidi" w:cstheme="majorBidi"/>
              </w:rPr>
              <w:t>(0.2722)</w:t>
            </w:r>
          </w:p>
        </w:tc>
        <w:tc>
          <w:tcPr>
            <w:tcW w:w="0" w:type="auto"/>
            <w:tcMar>
              <w:top w:w="0" w:type="dxa"/>
              <w:left w:w="115" w:type="dxa"/>
              <w:bottom w:w="0" w:type="dxa"/>
              <w:right w:w="115" w:type="dxa"/>
            </w:tcMar>
            <w:vAlign w:val="center"/>
            <w:hideMark/>
          </w:tcPr>
          <w:p w14:paraId="04A19BFB" w14:textId="77777777" w:rsidR="00C033B5" w:rsidRPr="004F735C" w:rsidRDefault="00C033B5" w:rsidP="00C033B5">
            <w:pPr>
              <w:rPr>
                <w:rFonts w:asciiTheme="majorBidi" w:hAnsiTheme="majorBidi" w:cstheme="majorBidi"/>
              </w:rPr>
            </w:pPr>
            <w:r w:rsidRPr="004F735C">
              <w:rPr>
                <w:rFonts w:asciiTheme="majorBidi" w:hAnsiTheme="majorBidi" w:cstheme="majorBidi"/>
              </w:rPr>
              <w:t>(0.0136)</w:t>
            </w:r>
          </w:p>
        </w:tc>
        <w:tc>
          <w:tcPr>
            <w:tcW w:w="0" w:type="auto"/>
            <w:tcMar>
              <w:top w:w="0" w:type="dxa"/>
              <w:left w:w="115" w:type="dxa"/>
              <w:bottom w:w="0" w:type="dxa"/>
              <w:right w:w="115" w:type="dxa"/>
            </w:tcMar>
            <w:vAlign w:val="center"/>
            <w:hideMark/>
          </w:tcPr>
          <w:p w14:paraId="46E9A50E" w14:textId="77777777" w:rsidR="00C033B5" w:rsidRPr="004F735C" w:rsidRDefault="00C033B5" w:rsidP="00C033B5">
            <w:pPr>
              <w:rPr>
                <w:rFonts w:asciiTheme="majorBidi" w:hAnsiTheme="majorBidi" w:cstheme="majorBidi"/>
              </w:rPr>
            </w:pPr>
            <w:r w:rsidRPr="004F735C">
              <w:rPr>
                <w:rFonts w:asciiTheme="majorBidi" w:hAnsiTheme="majorBidi" w:cstheme="majorBidi"/>
              </w:rPr>
              <w:t>(0.8992)</w:t>
            </w:r>
          </w:p>
        </w:tc>
        <w:tc>
          <w:tcPr>
            <w:tcW w:w="0" w:type="auto"/>
            <w:tcMar>
              <w:top w:w="0" w:type="dxa"/>
              <w:left w:w="115" w:type="dxa"/>
              <w:bottom w:w="0" w:type="dxa"/>
              <w:right w:w="115" w:type="dxa"/>
            </w:tcMar>
            <w:vAlign w:val="center"/>
            <w:hideMark/>
          </w:tcPr>
          <w:p w14:paraId="0C6DDEC2"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(0.0008)</w:t>
            </w:r>
          </w:p>
        </w:tc>
        <w:tc>
          <w:tcPr>
            <w:tcW w:w="0" w:type="auto"/>
            <w:tcMar>
              <w:top w:w="0" w:type="dxa"/>
              <w:left w:w="115" w:type="dxa"/>
              <w:bottom w:w="0" w:type="dxa"/>
              <w:right w:w="115" w:type="dxa"/>
            </w:tcMar>
            <w:vAlign w:val="center"/>
            <w:hideMark/>
          </w:tcPr>
          <w:p w14:paraId="6E0775B1" w14:textId="77777777" w:rsidR="00C033B5" w:rsidRPr="004F735C" w:rsidRDefault="00C033B5" w:rsidP="00C033B5">
            <w:pPr>
              <w:rPr>
                <w:rFonts w:asciiTheme="majorBidi" w:hAnsiTheme="majorBidi" w:cstheme="majorBidi"/>
              </w:rPr>
            </w:pPr>
            <w:r w:rsidRPr="004F735C">
              <w:rPr>
                <w:rFonts w:asciiTheme="majorBidi" w:hAnsiTheme="majorBidi" w:cstheme="majorBidi"/>
              </w:rPr>
              <w:t>(0.2660)</w:t>
            </w:r>
          </w:p>
        </w:tc>
        <w:tc>
          <w:tcPr>
            <w:tcW w:w="0" w:type="auto"/>
            <w:tcMar>
              <w:top w:w="0" w:type="dxa"/>
              <w:left w:w="115" w:type="dxa"/>
              <w:bottom w:w="0" w:type="dxa"/>
              <w:right w:w="115" w:type="dxa"/>
            </w:tcMar>
            <w:vAlign w:val="center"/>
            <w:hideMark/>
          </w:tcPr>
          <w:p w14:paraId="2F3AF080" w14:textId="77777777" w:rsidR="00C033B5" w:rsidRPr="004F735C" w:rsidRDefault="00C033B5" w:rsidP="00C033B5">
            <w:pPr>
              <w:rPr>
                <w:rFonts w:asciiTheme="majorBidi" w:hAnsiTheme="majorBidi" w:cstheme="majorBidi"/>
              </w:rPr>
            </w:pPr>
            <w:r w:rsidRPr="004F735C">
              <w:rPr>
                <w:rFonts w:asciiTheme="majorBidi" w:hAnsiTheme="majorBidi" w:cstheme="majorBidi"/>
              </w:rPr>
              <w:t>(0.0128)</w:t>
            </w:r>
          </w:p>
        </w:tc>
      </w:tr>
      <w:tr w:rsidR="00C033B5" w:rsidRPr="00C033B5" w14:paraId="4E835E5B" w14:textId="77777777">
        <w:trPr>
          <w:trHeight w:val="143"/>
        </w:trPr>
        <w:tc>
          <w:tcPr>
            <w:tcW w:w="0" w:type="auto"/>
            <w:tcMar>
              <w:top w:w="0" w:type="dxa"/>
              <w:left w:w="115" w:type="dxa"/>
              <w:bottom w:w="0" w:type="dxa"/>
              <w:right w:w="115" w:type="dxa"/>
            </w:tcMar>
            <w:vAlign w:val="center"/>
            <w:hideMark/>
          </w:tcPr>
          <w:p w14:paraId="5F85B1B9" w14:textId="77777777" w:rsidR="00C033B5" w:rsidRPr="004F735C" w:rsidRDefault="00C033B5" w:rsidP="00C033B5">
            <w:pPr>
              <w:rPr>
                <w:rFonts w:asciiTheme="majorBidi" w:hAnsiTheme="majorBidi" w:cstheme="majorBidi"/>
              </w:rPr>
            </w:pPr>
            <w:r w:rsidRPr="004F735C">
              <w:rPr>
                <w:rFonts w:asciiTheme="majorBidi" w:hAnsiTheme="majorBidi" w:cstheme="majorBidi"/>
              </w:rPr>
              <w:t>Mortgage Loan</w:t>
            </w:r>
          </w:p>
        </w:tc>
        <w:tc>
          <w:tcPr>
            <w:tcW w:w="0" w:type="auto"/>
            <w:tcMar>
              <w:top w:w="0" w:type="dxa"/>
              <w:left w:w="115" w:type="dxa"/>
              <w:bottom w:w="0" w:type="dxa"/>
              <w:right w:w="115" w:type="dxa"/>
            </w:tcMar>
            <w:vAlign w:val="center"/>
            <w:hideMark/>
          </w:tcPr>
          <w:p w14:paraId="26FFFAE0" w14:textId="77777777" w:rsidR="00C033B5" w:rsidRPr="004F735C" w:rsidRDefault="00C033B5" w:rsidP="00C033B5">
            <w:pPr>
              <w:rPr>
                <w:rFonts w:asciiTheme="majorBidi" w:hAnsiTheme="majorBidi" w:cstheme="majorBidi"/>
              </w:rPr>
            </w:pPr>
            <w:r w:rsidRPr="004F735C">
              <w:rPr>
                <w:rFonts w:asciiTheme="majorBidi" w:hAnsiTheme="majorBidi" w:cstheme="majorBidi"/>
              </w:rPr>
              <w:t>-2.5382***</w:t>
            </w:r>
          </w:p>
        </w:tc>
        <w:tc>
          <w:tcPr>
            <w:tcW w:w="0" w:type="auto"/>
            <w:tcMar>
              <w:top w:w="0" w:type="dxa"/>
              <w:left w:w="115" w:type="dxa"/>
              <w:bottom w:w="0" w:type="dxa"/>
              <w:right w:w="115" w:type="dxa"/>
            </w:tcMar>
            <w:vAlign w:val="center"/>
            <w:hideMark/>
          </w:tcPr>
          <w:p w14:paraId="454826BC"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-0.0013***</w:t>
            </w:r>
          </w:p>
        </w:tc>
        <w:tc>
          <w:tcPr>
            <w:tcW w:w="0" w:type="auto"/>
            <w:tcMar>
              <w:top w:w="0" w:type="dxa"/>
              <w:left w:w="115" w:type="dxa"/>
              <w:bottom w:w="0" w:type="dxa"/>
              <w:right w:w="115" w:type="dxa"/>
            </w:tcMar>
            <w:vAlign w:val="center"/>
            <w:hideMark/>
          </w:tcPr>
          <w:p w14:paraId="7C02DF72" w14:textId="77777777" w:rsidR="00C033B5" w:rsidRPr="004F735C" w:rsidRDefault="00C033B5" w:rsidP="00C033B5">
            <w:pPr>
              <w:rPr>
                <w:rFonts w:asciiTheme="majorBidi" w:hAnsiTheme="majorBidi" w:cstheme="majorBidi"/>
              </w:rPr>
            </w:pPr>
            <w:r w:rsidRPr="004F735C">
              <w:rPr>
                <w:rFonts w:asciiTheme="majorBidi" w:hAnsiTheme="majorBidi" w:cstheme="majorBidi"/>
              </w:rPr>
              <w:t>-5.0771***</w:t>
            </w:r>
          </w:p>
        </w:tc>
        <w:tc>
          <w:tcPr>
            <w:tcW w:w="0" w:type="auto"/>
            <w:tcMar>
              <w:top w:w="0" w:type="dxa"/>
              <w:left w:w="115" w:type="dxa"/>
              <w:bottom w:w="0" w:type="dxa"/>
              <w:right w:w="115" w:type="dxa"/>
            </w:tcMar>
            <w:vAlign w:val="center"/>
            <w:hideMark/>
          </w:tcPr>
          <w:p w14:paraId="154320DD" w14:textId="77777777" w:rsidR="00C033B5" w:rsidRPr="004F735C" w:rsidRDefault="00C033B5" w:rsidP="00C033B5">
            <w:pPr>
              <w:rPr>
                <w:rFonts w:asciiTheme="majorBidi" w:hAnsiTheme="majorBidi" w:cstheme="majorBidi"/>
              </w:rPr>
            </w:pPr>
            <w:r w:rsidRPr="004F735C">
              <w:rPr>
                <w:rFonts w:asciiTheme="majorBidi" w:hAnsiTheme="majorBidi" w:cstheme="majorBidi"/>
              </w:rPr>
              <w:t>-0.2272***</w:t>
            </w:r>
          </w:p>
        </w:tc>
        <w:tc>
          <w:tcPr>
            <w:tcW w:w="0" w:type="auto"/>
            <w:tcMar>
              <w:top w:w="0" w:type="dxa"/>
              <w:left w:w="115" w:type="dxa"/>
              <w:bottom w:w="0" w:type="dxa"/>
              <w:right w:w="115" w:type="dxa"/>
            </w:tcMar>
            <w:vAlign w:val="center"/>
            <w:hideMark/>
          </w:tcPr>
          <w:p w14:paraId="4B5068EB" w14:textId="77777777" w:rsidR="00C033B5" w:rsidRPr="004F735C" w:rsidRDefault="00C033B5" w:rsidP="00C033B5">
            <w:pPr>
              <w:rPr>
                <w:rFonts w:asciiTheme="majorBidi" w:hAnsiTheme="majorBidi" w:cstheme="majorBidi"/>
              </w:rPr>
            </w:pPr>
            <w:r w:rsidRPr="004F735C">
              <w:rPr>
                <w:rFonts w:asciiTheme="majorBidi" w:hAnsiTheme="majorBidi" w:cstheme="majorBidi"/>
              </w:rPr>
              <w:t>-1.3541</w:t>
            </w:r>
          </w:p>
        </w:tc>
        <w:tc>
          <w:tcPr>
            <w:tcW w:w="0" w:type="auto"/>
            <w:tcMar>
              <w:top w:w="0" w:type="dxa"/>
              <w:left w:w="115" w:type="dxa"/>
              <w:bottom w:w="0" w:type="dxa"/>
              <w:right w:w="115" w:type="dxa"/>
            </w:tcMar>
            <w:vAlign w:val="center"/>
            <w:hideMark/>
          </w:tcPr>
          <w:p w14:paraId="66D5E6C5"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-0.0007</w:t>
            </w:r>
          </w:p>
        </w:tc>
        <w:tc>
          <w:tcPr>
            <w:tcW w:w="0" w:type="auto"/>
            <w:tcMar>
              <w:top w:w="0" w:type="dxa"/>
              <w:left w:w="115" w:type="dxa"/>
              <w:bottom w:w="0" w:type="dxa"/>
              <w:right w:w="115" w:type="dxa"/>
            </w:tcMar>
            <w:vAlign w:val="center"/>
            <w:hideMark/>
          </w:tcPr>
          <w:p w14:paraId="370306E2" w14:textId="77777777" w:rsidR="00C033B5" w:rsidRPr="004F735C" w:rsidRDefault="00C033B5" w:rsidP="00C033B5">
            <w:pPr>
              <w:rPr>
                <w:rFonts w:asciiTheme="majorBidi" w:hAnsiTheme="majorBidi" w:cstheme="majorBidi"/>
              </w:rPr>
            </w:pPr>
            <w:r w:rsidRPr="004F735C">
              <w:rPr>
                <w:rFonts w:asciiTheme="majorBidi" w:hAnsiTheme="majorBidi" w:cstheme="majorBidi"/>
              </w:rPr>
              <w:t>-4.1588***</w:t>
            </w:r>
          </w:p>
        </w:tc>
        <w:tc>
          <w:tcPr>
            <w:tcW w:w="0" w:type="auto"/>
            <w:tcMar>
              <w:top w:w="0" w:type="dxa"/>
              <w:left w:w="115" w:type="dxa"/>
              <w:bottom w:w="0" w:type="dxa"/>
              <w:right w:w="115" w:type="dxa"/>
            </w:tcMar>
            <w:vAlign w:val="center"/>
            <w:hideMark/>
          </w:tcPr>
          <w:p w14:paraId="0A2BD47C" w14:textId="77777777" w:rsidR="00C033B5" w:rsidRPr="004F735C" w:rsidRDefault="00C033B5" w:rsidP="00C033B5">
            <w:pPr>
              <w:rPr>
                <w:rFonts w:asciiTheme="majorBidi" w:hAnsiTheme="majorBidi" w:cstheme="majorBidi"/>
              </w:rPr>
            </w:pPr>
            <w:r w:rsidRPr="004F735C">
              <w:rPr>
                <w:rFonts w:asciiTheme="majorBidi" w:hAnsiTheme="majorBidi" w:cstheme="majorBidi"/>
              </w:rPr>
              <w:t>-0.1807***</w:t>
            </w:r>
          </w:p>
        </w:tc>
      </w:tr>
      <w:tr w:rsidR="00C033B5" w:rsidRPr="00C033B5" w14:paraId="39FA730B" w14:textId="77777777">
        <w:trPr>
          <w:trHeight w:val="143"/>
        </w:trPr>
        <w:tc>
          <w:tcPr>
            <w:tcW w:w="0" w:type="auto"/>
            <w:tcMar>
              <w:top w:w="0" w:type="dxa"/>
              <w:left w:w="115" w:type="dxa"/>
              <w:bottom w:w="0" w:type="dxa"/>
              <w:right w:w="115" w:type="dxa"/>
            </w:tcMar>
            <w:vAlign w:val="center"/>
            <w:hideMark/>
          </w:tcPr>
          <w:p w14:paraId="20C7A393"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5DB0211" w14:textId="77777777" w:rsidR="00C033B5" w:rsidRPr="004F735C" w:rsidRDefault="00C033B5" w:rsidP="00C033B5">
            <w:pPr>
              <w:rPr>
                <w:rFonts w:asciiTheme="majorBidi" w:hAnsiTheme="majorBidi" w:cstheme="majorBidi"/>
              </w:rPr>
            </w:pPr>
            <w:r w:rsidRPr="004F735C">
              <w:rPr>
                <w:rFonts w:asciiTheme="majorBidi" w:hAnsiTheme="majorBidi" w:cstheme="majorBidi"/>
              </w:rPr>
              <w:t>(0.9890)</w:t>
            </w:r>
          </w:p>
        </w:tc>
        <w:tc>
          <w:tcPr>
            <w:tcW w:w="0" w:type="auto"/>
            <w:tcMar>
              <w:top w:w="0" w:type="dxa"/>
              <w:left w:w="115" w:type="dxa"/>
              <w:bottom w:w="0" w:type="dxa"/>
              <w:right w:w="115" w:type="dxa"/>
            </w:tcMar>
            <w:vAlign w:val="center"/>
            <w:hideMark/>
          </w:tcPr>
          <w:p w14:paraId="5DEAFA79"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(0.0005)</w:t>
            </w:r>
          </w:p>
        </w:tc>
        <w:tc>
          <w:tcPr>
            <w:tcW w:w="0" w:type="auto"/>
            <w:tcMar>
              <w:top w:w="0" w:type="dxa"/>
              <w:left w:w="115" w:type="dxa"/>
              <w:bottom w:w="0" w:type="dxa"/>
              <w:right w:w="115" w:type="dxa"/>
            </w:tcMar>
            <w:vAlign w:val="center"/>
            <w:hideMark/>
          </w:tcPr>
          <w:p w14:paraId="1A97EBEB" w14:textId="77777777" w:rsidR="00C033B5" w:rsidRPr="004F735C" w:rsidRDefault="00C033B5" w:rsidP="00C033B5">
            <w:pPr>
              <w:rPr>
                <w:rFonts w:asciiTheme="majorBidi" w:hAnsiTheme="majorBidi" w:cstheme="majorBidi"/>
              </w:rPr>
            </w:pPr>
            <w:r w:rsidRPr="004F735C">
              <w:rPr>
                <w:rFonts w:asciiTheme="majorBidi" w:hAnsiTheme="majorBidi" w:cstheme="majorBidi"/>
              </w:rPr>
              <w:t>(1.0686)</w:t>
            </w:r>
          </w:p>
        </w:tc>
        <w:tc>
          <w:tcPr>
            <w:tcW w:w="0" w:type="auto"/>
            <w:tcMar>
              <w:top w:w="0" w:type="dxa"/>
              <w:left w:w="115" w:type="dxa"/>
              <w:bottom w:w="0" w:type="dxa"/>
              <w:right w:w="115" w:type="dxa"/>
            </w:tcMar>
            <w:vAlign w:val="center"/>
            <w:hideMark/>
          </w:tcPr>
          <w:p w14:paraId="514268CB" w14:textId="77777777" w:rsidR="00C033B5" w:rsidRPr="004F735C" w:rsidRDefault="00C033B5" w:rsidP="00C033B5">
            <w:pPr>
              <w:rPr>
                <w:rFonts w:asciiTheme="majorBidi" w:hAnsiTheme="majorBidi" w:cstheme="majorBidi"/>
              </w:rPr>
            </w:pPr>
            <w:r w:rsidRPr="004F735C">
              <w:rPr>
                <w:rFonts w:asciiTheme="majorBidi" w:hAnsiTheme="majorBidi" w:cstheme="majorBidi"/>
              </w:rPr>
              <w:t>(0.0126)</w:t>
            </w:r>
          </w:p>
        </w:tc>
        <w:tc>
          <w:tcPr>
            <w:tcW w:w="0" w:type="auto"/>
            <w:tcMar>
              <w:top w:w="0" w:type="dxa"/>
              <w:left w:w="115" w:type="dxa"/>
              <w:bottom w:w="0" w:type="dxa"/>
              <w:right w:w="115" w:type="dxa"/>
            </w:tcMar>
            <w:vAlign w:val="center"/>
            <w:hideMark/>
          </w:tcPr>
          <w:p w14:paraId="7BBB0617" w14:textId="77777777" w:rsidR="00C033B5" w:rsidRPr="004F735C" w:rsidRDefault="00C033B5" w:rsidP="00C033B5">
            <w:pPr>
              <w:rPr>
                <w:rFonts w:asciiTheme="majorBidi" w:hAnsiTheme="majorBidi" w:cstheme="majorBidi"/>
              </w:rPr>
            </w:pPr>
            <w:r w:rsidRPr="004F735C">
              <w:rPr>
                <w:rFonts w:asciiTheme="majorBidi" w:hAnsiTheme="majorBidi" w:cstheme="majorBidi"/>
              </w:rPr>
              <w:t>(1.0594)</w:t>
            </w:r>
          </w:p>
        </w:tc>
        <w:tc>
          <w:tcPr>
            <w:tcW w:w="0" w:type="auto"/>
            <w:tcMar>
              <w:top w:w="0" w:type="dxa"/>
              <w:left w:w="115" w:type="dxa"/>
              <w:bottom w:w="0" w:type="dxa"/>
              <w:right w:w="115" w:type="dxa"/>
            </w:tcMar>
            <w:vAlign w:val="center"/>
            <w:hideMark/>
          </w:tcPr>
          <w:p w14:paraId="50E59219"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(0.0005)</w:t>
            </w:r>
          </w:p>
        </w:tc>
        <w:tc>
          <w:tcPr>
            <w:tcW w:w="0" w:type="auto"/>
            <w:tcMar>
              <w:top w:w="0" w:type="dxa"/>
              <w:left w:w="115" w:type="dxa"/>
              <w:bottom w:w="0" w:type="dxa"/>
              <w:right w:w="115" w:type="dxa"/>
            </w:tcMar>
            <w:vAlign w:val="center"/>
            <w:hideMark/>
          </w:tcPr>
          <w:p w14:paraId="122298BC" w14:textId="77777777" w:rsidR="00C033B5" w:rsidRPr="004F735C" w:rsidRDefault="00C033B5" w:rsidP="00C033B5">
            <w:pPr>
              <w:rPr>
                <w:rFonts w:asciiTheme="majorBidi" w:hAnsiTheme="majorBidi" w:cstheme="majorBidi"/>
              </w:rPr>
            </w:pPr>
            <w:r w:rsidRPr="004F735C">
              <w:rPr>
                <w:rFonts w:asciiTheme="majorBidi" w:hAnsiTheme="majorBidi" w:cstheme="majorBidi"/>
              </w:rPr>
              <w:t>(1.0500)</w:t>
            </w:r>
          </w:p>
        </w:tc>
        <w:tc>
          <w:tcPr>
            <w:tcW w:w="0" w:type="auto"/>
            <w:tcMar>
              <w:top w:w="0" w:type="dxa"/>
              <w:left w:w="115" w:type="dxa"/>
              <w:bottom w:w="0" w:type="dxa"/>
              <w:right w:w="115" w:type="dxa"/>
            </w:tcMar>
            <w:vAlign w:val="center"/>
            <w:hideMark/>
          </w:tcPr>
          <w:p w14:paraId="544A1AFE" w14:textId="77777777" w:rsidR="00C033B5" w:rsidRPr="004F735C" w:rsidRDefault="00C033B5" w:rsidP="00C033B5">
            <w:pPr>
              <w:rPr>
                <w:rFonts w:asciiTheme="majorBidi" w:hAnsiTheme="majorBidi" w:cstheme="majorBidi"/>
              </w:rPr>
            </w:pPr>
            <w:r w:rsidRPr="004F735C">
              <w:rPr>
                <w:rFonts w:asciiTheme="majorBidi" w:hAnsiTheme="majorBidi" w:cstheme="majorBidi"/>
              </w:rPr>
              <w:t>(0.0123)</w:t>
            </w:r>
          </w:p>
        </w:tc>
      </w:tr>
      <w:tr w:rsidR="00C033B5" w:rsidRPr="00C033B5" w14:paraId="115AFD9D" w14:textId="77777777">
        <w:trPr>
          <w:trHeight w:val="143"/>
        </w:trPr>
        <w:tc>
          <w:tcPr>
            <w:tcW w:w="0" w:type="auto"/>
            <w:tcMar>
              <w:top w:w="0" w:type="dxa"/>
              <w:left w:w="115" w:type="dxa"/>
              <w:bottom w:w="0" w:type="dxa"/>
              <w:right w:w="115" w:type="dxa"/>
            </w:tcMar>
            <w:vAlign w:val="center"/>
            <w:hideMark/>
          </w:tcPr>
          <w:p w14:paraId="581C2EA2" w14:textId="77777777" w:rsidR="00C033B5" w:rsidRPr="004F735C" w:rsidRDefault="00C033B5" w:rsidP="00C033B5">
            <w:pPr>
              <w:rPr>
                <w:rFonts w:asciiTheme="majorBidi" w:hAnsiTheme="majorBidi" w:cstheme="majorBidi"/>
              </w:rPr>
            </w:pPr>
            <w:r w:rsidRPr="004F735C">
              <w:rPr>
                <w:rFonts w:asciiTheme="majorBidi" w:hAnsiTheme="majorBidi" w:cstheme="majorBidi"/>
              </w:rPr>
              <w:t>Pawnbroking Loan</w:t>
            </w:r>
          </w:p>
        </w:tc>
        <w:tc>
          <w:tcPr>
            <w:tcW w:w="0" w:type="auto"/>
            <w:tcMar>
              <w:top w:w="0" w:type="dxa"/>
              <w:left w:w="115" w:type="dxa"/>
              <w:bottom w:w="0" w:type="dxa"/>
              <w:right w:w="115" w:type="dxa"/>
            </w:tcMar>
            <w:vAlign w:val="center"/>
            <w:hideMark/>
          </w:tcPr>
          <w:p w14:paraId="4C35DB30" w14:textId="77777777" w:rsidR="00C033B5" w:rsidRPr="004F735C" w:rsidRDefault="00C033B5" w:rsidP="00C033B5">
            <w:pPr>
              <w:rPr>
                <w:rFonts w:asciiTheme="majorBidi" w:hAnsiTheme="majorBidi" w:cstheme="majorBidi"/>
              </w:rPr>
            </w:pPr>
            <w:r w:rsidRPr="004F735C">
              <w:rPr>
                <w:rFonts w:asciiTheme="majorBidi" w:hAnsiTheme="majorBidi" w:cstheme="majorBidi"/>
              </w:rPr>
              <w:t>-4.0592***</w:t>
            </w:r>
          </w:p>
        </w:tc>
        <w:tc>
          <w:tcPr>
            <w:tcW w:w="0" w:type="auto"/>
            <w:tcMar>
              <w:top w:w="0" w:type="dxa"/>
              <w:left w:w="115" w:type="dxa"/>
              <w:bottom w:w="0" w:type="dxa"/>
              <w:right w:w="115" w:type="dxa"/>
            </w:tcMar>
            <w:vAlign w:val="center"/>
            <w:hideMark/>
          </w:tcPr>
          <w:p w14:paraId="49268E36"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-0.0014***</w:t>
            </w:r>
          </w:p>
        </w:tc>
        <w:tc>
          <w:tcPr>
            <w:tcW w:w="0" w:type="auto"/>
            <w:tcMar>
              <w:top w:w="0" w:type="dxa"/>
              <w:left w:w="115" w:type="dxa"/>
              <w:bottom w:w="0" w:type="dxa"/>
              <w:right w:w="115" w:type="dxa"/>
            </w:tcMar>
            <w:vAlign w:val="center"/>
            <w:hideMark/>
          </w:tcPr>
          <w:p w14:paraId="672A9C49" w14:textId="77777777" w:rsidR="00C033B5" w:rsidRPr="004F735C" w:rsidRDefault="00C033B5" w:rsidP="00C033B5">
            <w:pPr>
              <w:rPr>
                <w:rFonts w:asciiTheme="majorBidi" w:hAnsiTheme="majorBidi" w:cstheme="majorBidi"/>
              </w:rPr>
            </w:pPr>
            <w:r w:rsidRPr="004F735C">
              <w:rPr>
                <w:rFonts w:asciiTheme="majorBidi" w:hAnsiTheme="majorBidi" w:cstheme="majorBidi"/>
              </w:rPr>
              <w:t>-1.4652***</w:t>
            </w:r>
          </w:p>
        </w:tc>
        <w:tc>
          <w:tcPr>
            <w:tcW w:w="0" w:type="auto"/>
            <w:tcMar>
              <w:top w:w="0" w:type="dxa"/>
              <w:left w:w="115" w:type="dxa"/>
              <w:bottom w:w="0" w:type="dxa"/>
              <w:right w:w="115" w:type="dxa"/>
            </w:tcMar>
            <w:vAlign w:val="center"/>
            <w:hideMark/>
          </w:tcPr>
          <w:p w14:paraId="68BA8139" w14:textId="77777777" w:rsidR="00C033B5" w:rsidRPr="004F735C" w:rsidRDefault="00C033B5" w:rsidP="00C033B5">
            <w:pPr>
              <w:rPr>
                <w:rFonts w:asciiTheme="majorBidi" w:hAnsiTheme="majorBidi" w:cstheme="majorBidi"/>
              </w:rPr>
            </w:pPr>
            <w:r w:rsidRPr="004F735C">
              <w:rPr>
                <w:rFonts w:asciiTheme="majorBidi" w:hAnsiTheme="majorBidi" w:cstheme="majorBidi"/>
              </w:rPr>
              <w:t>-0.1520***</w:t>
            </w:r>
          </w:p>
        </w:tc>
        <w:tc>
          <w:tcPr>
            <w:tcW w:w="0" w:type="auto"/>
            <w:tcMar>
              <w:top w:w="0" w:type="dxa"/>
              <w:left w:w="115" w:type="dxa"/>
              <w:bottom w:w="0" w:type="dxa"/>
              <w:right w:w="115" w:type="dxa"/>
            </w:tcMar>
            <w:vAlign w:val="center"/>
            <w:hideMark/>
          </w:tcPr>
          <w:p w14:paraId="55FC4657" w14:textId="77777777" w:rsidR="00C033B5" w:rsidRPr="004F735C" w:rsidRDefault="00C033B5" w:rsidP="00C033B5">
            <w:pPr>
              <w:rPr>
                <w:rFonts w:asciiTheme="majorBidi" w:hAnsiTheme="majorBidi" w:cstheme="majorBidi"/>
              </w:rPr>
            </w:pPr>
            <w:r w:rsidRPr="004F735C">
              <w:rPr>
                <w:rFonts w:asciiTheme="majorBidi" w:hAnsiTheme="majorBidi" w:cstheme="majorBidi"/>
              </w:rPr>
              <w:t>-4.1308***</w:t>
            </w:r>
          </w:p>
        </w:tc>
        <w:tc>
          <w:tcPr>
            <w:tcW w:w="0" w:type="auto"/>
            <w:tcMar>
              <w:top w:w="0" w:type="dxa"/>
              <w:left w:w="115" w:type="dxa"/>
              <w:bottom w:w="0" w:type="dxa"/>
              <w:right w:w="115" w:type="dxa"/>
            </w:tcMar>
            <w:vAlign w:val="center"/>
            <w:hideMark/>
          </w:tcPr>
          <w:p w14:paraId="4A236141"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-0.0010***</w:t>
            </w:r>
          </w:p>
        </w:tc>
        <w:tc>
          <w:tcPr>
            <w:tcW w:w="0" w:type="auto"/>
            <w:tcMar>
              <w:top w:w="0" w:type="dxa"/>
              <w:left w:w="115" w:type="dxa"/>
              <w:bottom w:w="0" w:type="dxa"/>
              <w:right w:w="115" w:type="dxa"/>
            </w:tcMar>
            <w:vAlign w:val="center"/>
            <w:hideMark/>
          </w:tcPr>
          <w:p w14:paraId="4A56D8CC" w14:textId="77777777" w:rsidR="00C033B5" w:rsidRPr="004F735C" w:rsidRDefault="00C033B5" w:rsidP="00C033B5">
            <w:pPr>
              <w:rPr>
                <w:rFonts w:asciiTheme="majorBidi" w:hAnsiTheme="majorBidi" w:cstheme="majorBidi"/>
              </w:rPr>
            </w:pPr>
            <w:r w:rsidRPr="004F735C">
              <w:rPr>
                <w:rFonts w:asciiTheme="majorBidi" w:hAnsiTheme="majorBidi" w:cstheme="majorBidi"/>
              </w:rPr>
              <w:t>-0.6958***</w:t>
            </w:r>
          </w:p>
        </w:tc>
        <w:tc>
          <w:tcPr>
            <w:tcW w:w="0" w:type="auto"/>
            <w:tcMar>
              <w:top w:w="0" w:type="dxa"/>
              <w:left w:w="115" w:type="dxa"/>
              <w:bottom w:w="0" w:type="dxa"/>
              <w:right w:w="115" w:type="dxa"/>
            </w:tcMar>
            <w:vAlign w:val="center"/>
            <w:hideMark/>
          </w:tcPr>
          <w:p w14:paraId="00C7F051" w14:textId="77777777" w:rsidR="00C033B5" w:rsidRPr="004F735C" w:rsidRDefault="00C033B5" w:rsidP="00C033B5">
            <w:pPr>
              <w:rPr>
                <w:rFonts w:asciiTheme="majorBidi" w:hAnsiTheme="majorBidi" w:cstheme="majorBidi"/>
              </w:rPr>
            </w:pPr>
            <w:r w:rsidRPr="004F735C">
              <w:rPr>
                <w:rFonts w:asciiTheme="majorBidi" w:hAnsiTheme="majorBidi" w:cstheme="majorBidi"/>
              </w:rPr>
              <w:t>-0.0776***</w:t>
            </w:r>
          </w:p>
        </w:tc>
      </w:tr>
      <w:tr w:rsidR="00C033B5" w:rsidRPr="00C033B5" w14:paraId="24573874" w14:textId="77777777">
        <w:trPr>
          <w:trHeight w:val="143"/>
        </w:trPr>
        <w:tc>
          <w:tcPr>
            <w:tcW w:w="0" w:type="auto"/>
            <w:tcMar>
              <w:top w:w="0" w:type="dxa"/>
              <w:left w:w="115" w:type="dxa"/>
              <w:bottom w:w="0" w:type="dxa"/>
              <w:right w:w="115" w:type="dxa"/>
            </w:tcMar>
            <w:vAlign w:val="center"/>
            <w:hideMark/>
          </w:tcPr>
          <w:p w14:paraId="6AC02DA0"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9A3444D" w14:textId="77777777" w:rsidR="00C033B5" w:rsidRPr="004F735C" w:rsidRDefault="00C033B5" w:rsidP="00C033B5">
            <w:pPr>
              <w:rPr>
                <w:rFonts w:asciiTheme="majorBidi" w:hAnsiTheme="majorBidi" w:cstheme="majorBidi"/>
              </w:rPr>
            </w:pPr>
            <w:r w:rsidRPr="004F735C">
              <w:rPr>
                <w:rFonts w:asciiTheme="majorBidi" w:hAnsiTheme="majorBidi" w:cstheme="majorBidi"/>
              </w:rPr>
              <w:t>(0.7587)</w:t>
            </w:r>
          </w:p>
        </w:tc>
        <w:tc>
          <w:tcPr>
            <w:tcW w:w="0" w:type="auto"/>
            <w:tcMar>
              <w:top w:w="0" w:type="dxa"/>
              <w:left w:w="115" w:type="dxa"/>
              <w:bottom w:w="0" w:type="dxa"/>
              <w:right w:w="115" w:type="dxa"/>
            </w:tcMar>
            <w:vAlign w:val="center"/>
            <w:hideMark/>
          </w:tcPr>
          <w:p w14:paraId="37803928"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(0.0005)</w:t>
            </w:r>
          </w:p>
        </w:tc>
        <w:tc>
          <w:tcPr>
            <w:tcW w:w="0" w:type="auto"/>
            <w:tcMar>
              <w:top w:w="0" w:type="dxa"/>
              <w:left w:w="115" w:type="dxa"/>
              <w:bottom w:w="0" w:type="dxa"/>
              <w:right w:w="115" w:type="dxa"/>
            </w:tcMar>
            <w:vAlign w:val="center"/>
            <w:hideMark/>
          </w:tcPr>
          <w:p w14:paraId="4D1D7EAF" w14:textId="77777777" w:rsidR="00C033B5" w:rsidRPr="004F735C" w:rsidRDefault="00C033B5" w:rsidP="00C033B5">
            <w:pPr>
              <w:rPr>
                <w:rFonts w:asciiTheme="majorBidi" w:hAnsiTheme="majorBidi" w:cstheme="majorBidi"/>
              </w:rPr>
            </w:pPr>
            <w:r w:rsidRPr="004F735C">
              <w:rPr>
                <w:rFonts w:asciiTheme="majorBidi" w:hAnsiTheme="majorBidi" w:cstheme="majorBidi"/>
              </w:rPr>
              <w:t>(0.2806)</w:t>
            </w:r>
          </w:p>
        </w:tc>
        <w:tc>
          <w:tcPr>
            <w:tcW w:w="0" w:type="auto"/>
            <w:tcMar>
              <w:top w:w="0" w:type="dxa"/>
              <w:left w:w="115" w:type="dxa"/>
              <w:bottom w:w="0" w:type="dxa"/>
              <w:right w:w="115" w:type="dxa"/>
            </w:tcMar>
            <w:vAlign w:val="center"/>
            <w:hideMark/>
          </w:tcPr>
          <w:p w14:paraId="7F91E087" w14:textId="77777777" w:rsidR="00C033B5" w:rsidRPr="004F735C" w:rsidRDefault="00C033B5" w:rsidP="00C033B5">
            <w:pPr>
              <w:rPr>
                <w:rFonts w:asciiTheme="majorBidi" w:hAnsiTheme="majorBidi" w:cstheme="majorBidi"/>
              </w:rPr>
            </w:pPr>
            <w:r w:rsidRPr="004F735C">
              <w:rPr>
                <w:rFonts w:asciiTheme="majorBidi" w:hAnsiTheme="majorBidi" w:cstheme="majorBidi"/>
              </w:rPr>
              <w:t>(0.0214)</w:t>
            </w:r>
          </w:p>
        </w:tc>
        <w:tc>
          <w:tcPr>
            <w:tcW w:w="0" w:type="auto"/>
            <w:tcMar>
              <w:top w:w="0" w:type="dxa"/>
              <w:left w:w="115" w:type="dxa"/>
              <w:bottom w:w="0" w:type="dxa"/>
              <w:right w:w="115" w:type="dxa"/>
            </w:tcMar>
            <w:vAlign w:val="center"/>
            <w:hideMark/>
          </w:tcPr>
          <w:p w14:paraId="1A5F9CE5" w14:textId="77777777" w:rsidR="00C033B5" w:rsidRPr="004F735C" w:rsidRDefault="00C033B5" w:rsidP="00C033B5">
            <w:pPr>
              <w:rPr>
                <w:rFonts w:asciiTheme="majorBidi" w:hAnsiTheme="majorBidi" w:cstheme="majorBidi"/>
              </w:rPr>
            </w:pPr>
            <w:r w:rsidRPr="004F735C">
              <w:rPr>
                <w:rFonts w:asciiTheme="majorBidi" w:hAnsiTheme="majorBidi" w:cstheme="majorBidi"/>
              </w:rPr>
              <w:t>(1.0603)</w:t>
            </w:r>
          </w:p>
        </w:tc>
        <w:tc>
          <w:tcPr>
            <w:tcW w:w="0" w:type="auto"/>
            <w:tcMar>
              <w:top w:w="0" w:type="dxa"/>
              <w:left w:w="115" w:type="dxa"/>
              <w:bottom w:w="0" w:type="dxa"/>
              <w:right w:w="115" w:type="dxa"/>
            </w:tcMar>
            <w:vAlign w:val="center"/>
            <w:hideMark/>
          </w:tcPr>
          <w:p w14:paraId="6112CEC9"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(0.0003)</w:t>
            </w:r>
          </w:p>
        </w:tc>
        <w:tc>
          <w:tcPr>
            <w:tcW w:w="0" w:type="auto"/>
            <w:tcMar>
              <w:top w:w="0" w:type="dxa"/>
              <w:left w:w="115" w:type="dxa"/>
              <w:bottom w:w="0" w:type="dxa"/>
              <w:right w:w="115" w:type="dxa"/>
            </w:tcMar>
            <w:vAlign w:val="center"/>
            <w:hideMark/>
          </w:tcPr>
          <w:p w14:paraId="2993EDCE" w14:textId="77777777" w:rsidR="00C033B5" w:rsidRPr="004F735C" w:rsidRDefault="00C033B5" w:rsidP="00C033B5">
            <w:pPr>
              <w:rPr>
                <w:rFonts w:asciiTheme="majorBidi" w:hAnsiTheme="majorBidi" w:cstheme="majorBidi"/>
              </w:rPr>
            </w:pPr>
            <w:r w:rsidRPr="004F735C">
              <w:rPr>
                <w:rFonts w:asciiTheme="majorBidi" w:hAnsiTheme="majorBidi" w:cstheme="majorBidi"/>
              </w:rPr>
              <w:t>(0.2714)</w:t>
            </w:r>
          </w:p>
        </w:tc>
        <w:tc>
          <w:tcPr>
            <w:tcW w:w="0" w:type="auto"/>
            <w:tcMar>
              <w:top w:w="0" w:type="dxa"/>
              <w:left w:w="115" w:type="dxa"/>
              <w:bottom w:w="0" w:type="dxa"/>
              <w:right w:w="115" w:type="dxa"/>
            </w:tcMar>
            <w:vAlign w:val="center"/>
            <w:hideMark/>
          </w:tcPr>
          <w:p w14:paraId="2B16CA2F" w14:textId="77777777" w:rsidR="00C033B5" w:rsidRPr="004F735C" w:rsidRDefault="00C033B5" w:rsidP="00C033B5">
            <w:pPr>
              <w:rPr>
                <w:rFonts w:asciiTheme="majorBidi" w:hAnsiTheme="majorBidi" w:cstheme="majorBidi"/>
              </w:rPr>
            </w:pPr>
            <w:r w:rsidRPr="004F735C">
              <w:rPr>
                <w:rFonts w:asciiTheme="majorBidi" w:hAnsiTheme="majorBidi" w:cstheme="majorBidi"/>
              </w:rPr>
              <w:t>(0.0265)</w:t>
            </w:r>
          </w:p>
        </w:tc>
      </w:tr>
      <w:tr w:rsidR="00C033B5" w:rsidRPr="00C033B5" w14:paraId="6FF964A0" w14:textId="77777777">
        <w:trPr>
          <w:trHeight w:val="143"/>
        </w:trPr>
        <w:tc>
          <w:tcPr>
            <w:tcW w:w="0" w:type="auto"/>
            <w:tcMar>
              <w:top w:w="0" w:type="dxa"/>
              <w:left w:w="115" w:type="dxa"/>
              <w:bottom w:w="0" w:type="dxa"/>
              <w:right w:w="115" w:type="dxa"/>
            </w:tcMar>
            <w:vAlign w:val="center"/>
            <w:hideMark/>
          </w:tcPr>
          <w:p w14:paraId="411D89A4" w14:textId="77777777" w:rsidR="00C033B5" w:rsidRPr="004F735C" w:rsidRDefault="00C033B5" w:rsidP="00C033B5">
            <w:pPr>
              <w:rPr>
                <w:rFonts w:asciiTheme="majorBidi" w:hAnsiTheme="majorBidi" w:cstheme="majorBidi"/>
              </w:rPr>
            </w:pPr>
            <w:r w:rsidRPr="004F735C">
              <w:rPr>
                <w:rFonts w:asciiTheme="majorBidi" w:hAnsiTheme="majorBidi" w:cstheme="majorBidi"/>
              </w:rPr>
              <w:t>Personal Loan</w:t>
            </w:r>
          </w:p>
        </w:tc>
        <w:tc>
          <w:tcPr>
            <w:tcW w:w="0" w:type="auto"/>
            <w:tcMar>
              <w:top w:w="0" w:type="dxa"/>
              <w:left w:w="115" w:type="dxa"/>
              <w:bottom w:w="0" w:type="dxa"/>
              <w:right w:w="115" w:type="dxa"/>
            </w:tcMar>
            <w:vAlign w:val="center"/>
            <w:hideMark/>
          </w:tcPr>
          <w:p w14:paraId="253627B4" w14:textId="77777777" w:rsidR="00C033B5" w:rsidRPr="004F735C" w:rsidRDefault="00C033B5" w:rsidP="00C033B5">
            <w:pPr>
              <w:rPr>
                <w:rFonts w:asciiTheme="majorBidi" w:hAnsiTheme="majorBidi" w:cstheme="majorBidi"/>
              </w:rPr>
            </w:pPr>
            <w:r w:rsidRPr="004F735C">
              <w:rPr>
                <w:rFonts w:asciiTheme="majorBidi" w:hAnsiTheme="majorBidi" w:cstheme="majorBidi"/>
              </w:rPr>
              <w:t>0.3169**</w:t>
            </w:r>
          </w:p>
        </w:tc>
        <w:tc>
          <w:tcPr>
            <w:tcW w:w="0" w:type="auto"/>
            <w:tcMar>
              <w:top w:w="0" w:type="dxa"/>
              <w:left w:w="115" w:type="dxa"/>
              <w:bottom w:w="0" w:type="dxa"/>
              <w:right w:w="115" w:type="dxa"/>
            </w:tcMar>
            <w:vAlign w:val="center"/>
            <w:hideMark/>
          </w:tcPr>
          <w:p w14:paraId="299DF70A"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0.0005**</w:t>
            </w:r>
          </w:p>
        </w:tc>
        <w:tc>
          <w:tcPr>
            <w:tcW w:w="0" w:type="auto"/>
            <w:tcMar>
              <w:top w:w="0" w:type="dxa"/>
              <w:left w:w="115" w:type="dxa"/>
              <w:bottom w:w="0" w:type="dxa"/>
              <w:right w:w="115" w:type="dxa"/>
            </w:tcMar>
            <w:vAlign w:val="center"/>
            <w:hideMark/>
          </w:tcPr>
          <w:p w14:paraId="2C1AFB86" w14:textId="77777777" w:rsidR="00C033B5" w:rsidRPr="004F735C" w:rsidRDefault="00C033B5" w:rsidP="00C033B5">
            <w:pPr>
              <w:rPr>
                <w:rFonts w:asciiTheme="majorBidi" w:hAnsiTheme="majorBidi" w:cstheme="majorBidi"/>
              </w:rPr>
            </w:pPr>
            <w:r w:rsidRPr="004F735C">
              <w:rPr>
                <w:rFonts w:asciiTheme="majorBidi" w:hAnsiTheme="majorBidi" w:cstheme="majorBidi"/>
              </w:rPr>
              <w:t>0.3822***</w:t>
            </w:r>
          </w:p>
        </w:tc>
        <w:tc>
          <w:tcPr>
            <w:tcW w:w="0" w:type="auto"/>
            <w:tcMar>
              <w:top w:w="0" w:type="dxa"/>
              <w:left w:w="115" w:type="dxa"/>
              <w:bottom w:w="0" w:type="dxa"/>
              <w:right w:w="115" w:type="dxa"/>
            </w:tcMar>
            <w:vAlign w:val="center"/>
            <w:hideMark/>
          </w:tcPr>
          <w:p w14:paraId="223002B2" w14:textId="77777777" w:rsidR="00C033B5" w:rsidRPr="004F735C" w:rsidRDefault="00C033B5" w:rsidP="00C033B5">
            <w:pPr>
              <w:rPr>
                <w:rFonts w:asciiTheme="majorBidi" w:hAnsiTheme="majorBidi" w:cstheme="majorBidi"/>
              </w:rPr>
            </w:pPr>
            <w:r w:rsidRPr="004F735C">
              <w:rPr>
                <w:rFonts w:asciiTheme="majorBidi" w:hAnsiTheme="majorBidi" w:cstheme="majorBidi"/>
              </w:rPr>
              <w:t>0.0616***</w:t>
            </w:r>
          </w:p>
        </w:tc>
        <w:tc>
          <w:tcPr>
            <w:tcW w:w="0" w:type="auto"/>
            <w:tcMar>
              <w:top w:w="0" w:type="dxa"/>
              <w:left w:w="115" w:type="dxa"/>
              <w:bottom w:w="0" w:type="dxa"/>
              <w:right w:w="115" w:type="dxa"/>
            </w:tcMar>
            <w:vAlign w:val="center"/>
            <w:hideMark/>
          </w:tcPr>
          <w:p w14:paraId="26E4374A" w14:textId="77777777" w:rsidR="00C033B5" w:rsidRPr="004F735C" w:rsidRDefault="00C033B5" w:rsidP="00C033B5">
            <w:pPr>
              <w:rPr>
                <w:rFonts w:asciiTheme="majorBidi" w:hAnsiTheme="majorBidi" w:cstheme="majorBidi"/>
              </w:rPr>
            </w:pPr>
            <w:r w:rsidRPr="004F735C">
              <w:rPr>
                <w:rFonts w:asciiTheme="majorBidi" w:hAnsiTheme="majorBidi" w:cstheme="majorBidi"/>
              </w:rPr>
              <w:t>-0.4587***</w:t>
            </w:r>
          </w:p>
        </w:tc>
        <w:tc>
          <w:tcPr>
            <w:tcW w:w="0" w:type="auto"/>
            <w:tcMar>
              <w:top w:w="0" w:type="dxa"/>
              <w:left w:w="115" w:type="dxa"/>
              <w:bottom w:w="0" w:type="dxa"/>
              <w:right w:w="115" w:type="dxa"/>
            </w:tcMar>
            <w:vAlign w:val="center"/>
            <w:hideMark/>
          </w:tcPr>
          <w:p w14:paraId="1C29D672"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-0.0004**</w:t>
            </w:r>
          </w:p>
        </w:tc>
        <w:tc>
          <w:tcPr>
            <w:tcW w:w="0" w:type="auto"/>
            <w:tcMar>
              <w:top w:w="0" w:type="dxa"/>
              <w:left w:w="115" w:type="dxa"/>
              <w:bottom w:w="0" w:type="dxa"/>
              <w:right w:w="115" w:type="dxa"/>
            </w:tcMar>
            <w:vAlign w:val="center"/>
            <w:hideMark/>
          </w:tcPr>
          <w:p w14:paraId="0C148E9C" w14:textId="77777777" w:rsidR="00C033B5" w:rsidRPr="004F735C" w:rsidRDefault="00C033B5" w:rsidP="00C033B5">
            <w:pPr>
              <w:rPr>
                <w:rFonts w:asciiTheme="majorBidi" w:hAnsiTheme="majorBidi" w:cstheme="majorBidi"/>
              </w:rPr>
            </w:pPr>
            <w:r w:rsidRPr="004F735C">
              <w:rPr>
                <w:rFonts w:asciiTheme="majorBidi" w:hAnsiTheme="majorBidi" w:cstheme="majorBidi"/>
              </w:rPr>
              <w:t>0.4219***</w:t>
            </w:r>
          </w:p>
        </w:tc>
        <w:tc>
          <w:tcPr>
            <w:tcW w:w="0" w:type="auto"/>
            <w:tcMar>
              <w:top w:w="0" w:type="dxa"/>
              <w:left w:w="115" w:type="dxa"/>
              <w:bottom w:w="0" w:type="dxa"/>
              <w:right w:w="115" w:type="dxa"/>
            </w:tcMar>
            <w:vAlign w:val="center"/>
            <w:hideMark/>
          </w:tcPr>
          <w:p w14:paraId="0BAFBD2F" w14:textId="77777777" w:rsidR="00C033B5" w:rsidRPr="004F735C" w:rsidRDefault="00C033B5" w:rsidP="00C033B5">
            <w:pPr>
              <w:rPr>
                <w:rFonts w:asciiTheme="majorBidi" w:hAnsiTheme="majorBidi" w:cstheme="majorBidi"/>
              </w:rPr>
            </w:pPr>
            <w:r w:rsidRPr="004F735C">
              <w:rPr>
                <w:rFonts w:asciiTheme="majorBidi" w:hAnsiTheme="majorBidi" w:cstheme="majorBidi"/>
              </w:rPr>
              <w:t>0.0642***</w:t>
            </w:r>
          </w:p>
        </w:tc>
      </w:tr>
      <w:tr w:rsidR="00C033B5" w:rsidRPr="00C033B5" w14:paraId="6D7BF139" w14:textId="77777777">
        <w:trPr>
          <w:trHeight w:val="143"/>
        </w:trPr>
        <w:tc>
          <w:tcPr>
            <w:tcW w:w="0" w:type="auto"/>
            <w:tcMar>
              <w:top w:w="0" w:type="dxa"/>
              <w:left w:w="115" w:type="dxa"/>
              <w:bottom w:w="0" w:type="dxa"/>
              <w:right w:w="115" w:type="dxa"/>
            </w:tcMar>
            <w:vAlign w:val="center"/>
            <w:hideMark/>
          </w:tcPr>
          <w:p w14:paraId="4D9642F0"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892D1EC" w14:textId="77777777" w:rsidR="00C033B5" w:rsidRPr="004F735C" w:rsidRDefault="00C033B5" w:rsidP="00C033B5">
            <w:pPr>
              <w:rPr>
                <w:rFonts w:asciiTheme="majorBidi" w:hAnsiTheme="majorBidi" w:cstheme="majorBidi"/>
              </w:rPr>
            </w:pPr>
            <w:r w:rsidRPr="004F735C">
              <w:rPr>
                <w:rFonts w:asciiTheme="majorBidi" w:hAnsiTheme="majorBidi" w:cstheme="majorBidi"/>
              </w:rPr>
              <w:t>(0.1481)</w:t>
            </w:r>
          </w:p>
        </w:tc>
        <w:tc>
          <w:tcPr>
            <w:tcW w:w="0" w:type="auto"/>
            <w:tcMar>
              <w:top w:w="0" w:type="dxa"/>
              <w:left w:w="115" w:type="dxa"/>
              <w:bottom w:w="0" w:type="dxa"/>
              <w:right w:w="115" w:type="dxa"/>
            </w:tcMar>
            <w:vAlign w:val="center"/>
            <w:hideMark/>
          </w:tcPr>
          <w:p w14:paraId="538C1151"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(0.0002)</w:t>
            </w:r>
          </w:p>
        </w:tc>
        <w:tc>
          <w:tcPr>
            <w:tcW w:w="0" w:type="auto"/>
            <w:tcMar>
              <w:top w:w="0" w:type="dxa"/>
              <w:left w:w="115" w:type="dxa"/>
              <w:bottom w:w="0" w:type="dxa"/>
              <w:right w:w="115" w:type="dxa"/>
            </w:tcMar>
            <w:vAlign w:val="center"/>
            <w:hideMark/>
          </w:tcPr>
          <w:p w14:paraId="3F812E50" w14:textId="77777777" w:rsidR="00C033B5" w:rsidRPr="004F735C" w:rsidRDefault="00C033B5" w:rsidP="00C033B5">
            <w:pPr>
              <w:rPr>
                <w:rFonts w:asciiTheme="majorBidi" w:hAnsiTheme="majorBidi" w:cstheme="majorBidi"/>
              </w:rPr>
            </w:pPr>
            <w:r w:rsidRPr="004F735C">
              <w:rPr>
                <w:rFonts w:asciiTheme="majorBidi" w:hAnsiTheme="majorBidi" w:cstheme="majorBidi"/>
              </w:rPr>
              <w:t>(0.0233)</w:t>
            </w:r>
          </w:p>
        </w:tc>
        <w:tc>
          <w:tcPr>
            <w:tcW w:w="0" w:type="auto"/>
            <w:tcMar>
              <w:top w:w="0" w:type="dxa"/>
              <w:left w:w="115" w:type="dxa"/>
              <w:bottom w:w="0" w:type="dxa"/>
              <w:right w:w="115" w:type="dxa"/>
            </w:tcMar>
            <w:vAlign w:val="center"/>
            <w:hideMark/>
          </w:tcPr>
          <w:p w14:paraId="59DA7D64" w14:textId="77777777" w:rsidR="00C033B5" w:rsidRPr="004F735C" w:rsidRDefault="00C033B5" w:rsidP="00C033B5">
            <w:pPr>
              <w:rPr>
                <w:rFonts w:asciiTheme="majorBidi" w:hAnsiTheme="majorBidi" w:cstheme="majorBidi"/>
              </w:rPr>
            </w:pPr>
            <w:r w:rsidRPr="004F735C">
              <w:rPr>
                <w:rFonts w:asciiTheme="majorBidi" w:hAnsiTheme="majorBidi" w:cstheme="majorBidi"/>
              </w:rPr>
              <w:t>(0.0040)</w:t>
            </w:r>
          </w:p>
        </w:tc>
        <w:tc>
          <w:tcPr>
            <w:tcW w:w="0" w:type="auto"/>
            <w:tcMar>
              <w:top w:w="0" w:type="dxa"/>
              <w:left w:w="115" w:type="dxa"/>
              <w:bottom w:w="0" w:type="dxa"/>
              <w:right w:w="115" w:type="dxa"/>
            </w:tcMar>
            <w:vAlign w:val="center"/>
            <w:hideMark/>
          </w:tcPr>
          <w:p w14:paraId="2E09465D" w14:textId="77777777" w:rsidR="00C033B5" w:rsidRPr="004F735C" w:rsidRDefault="00C033B5" w:rsidP="00C033B5">
            <w:pPr>
              <w:rPr>
                <w:rFonts w:asciiTheme="majorBidi" w:hAnsiTheme="majorBidi" w:cstheme="majorBidi"/>
              </w:rPr>
            </w:pPr>
            <w:r w:rsidRPr="004F735C">
              <w:rPr>
                <w:rFonts w:asciiTheme="majorBidi" w:hAnsiTheme="majorBidi" w:cstheme="majorBidi"/>
              </w:rPr>
              <w:t>(0.1444)</w:t>
            </w:r>
          </w:p>
        </w:tc>
        <w:tc>
          <w:tcPr>
            <w:tcW w:w="0" w:type="auto"/>
            <w:tcMar>
              <w:top w:w="0" w:type="dxa"/>
              <w:left w:w="115" w:type="dxa"/>
              <w:bottom w:w="0" w:type="dxa"/>
              <w:right w:w="115" w:type="dxa"/>
            </w:tcMar>
            <w:vAlign w:val="center"/>
            <w:hideMark/>
          </w:tcPr>
          <w:p w14:paraId="34DD19E1"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(0.0002)</w:t>
            </w:r>
          </w:p>
        </w:tc>
        <w:tc>
          <w:tcPr>
            <w:tcW w:w="0" w:type="auto"/>
            <w:tcMar>
              <w:top w:w="0" w:type="dxa"/>
              <w:left w:w="115" w:type="dxa"/>
              <w:bottom w:w="0" w:type="dxa"/>
              <w:right w:w="115" w:type="dxa"/>
            </w:tcMar>
            <w:vAlign w:val="center"/>
            <w:hideMark/>
          </w:tcPr>
          <w:p w14:paraId="21369A24" w14:textId="77777777" w:rsidR="00C033B5" w:rsidRPr="004F735C" w:rsidRDefault="00C033B5" w:rsidP="00C033B5">
            <w:pPr>
              <w:rPr>
                <w:rFonts w:asciiTheme="majorBidi" w:hAnsiTheme="majorBidi" w:cstheme="majorBidi"/>
              </w:rPr>
            </w:pPr>
            <w:r w:rsidRPr="004F735C">
              <w:rPr>
                <w:rFonts w:asciiTheme="majorBidi" w:hAnsiTheme="majorBidi" w:cstheme="majorBidi"/>
              </w:rPr>
              <w:t>(0.0233)</w:t>
            </w:r>
          </w:p>
        </w:tc>
        <w:tc>
          <w:tcPr>
            <w:tcW w:w="0" w:type="auto"/>
            <w:tcMar>
              <w:top w:w="0" w:type="dxa"/>
              <w:left w:w="115" w:type="dxa"/>
              <w:bottom w:w="0" w:type="dxa"/>
              <w:right w:w="115" w:type="dxa"/>
            </w:tcMar>
            <w:vAlign w:val="center"/>
            <w:hideMark/>
          </w:tcPr>
          <w:p w14:paraId="46C422E8" w14:textId="77777777" w:rsidR="00C033B5" w:rsidRPr="004F735C" w:rsidRDefault="00C033B5" w:rsidP="00C033B5">
            <w:pPr>
              <w:rPr>
                <w:rFonts w:asciiTheme="majorBidi" w:hAnsiTheme="majorBidi" w:cstheme="majorBidi"/>
              </w:rPr>
            </w:pPr>
            <w:r w:rsidRPr="004F735C">
              <w:rPr>
                <w:rFonts w:asciiTheme="majorBidi" w:hAnsiTheme="majorBidi" w:cstheme="majorBidi"/>
              </w:rPr>
              <w:t>(0.0036)</w:t>
            </w:r>
          </w:p>
        </w:tc>
      </w:tr>
      <w:tr w:rsidR="00C033B5" w:rsidRPr="00C033B5" w14:paraId="7CD8CBE3" w14:textId="77777777">
        <w:trPr>
          <w:trHeight w:val="143"/>
        </w:trPr>
        <w:tc>
          <w:tcPr>
            <w:tcW w:w="0" w:type="auto"/>
            <w:tcMar>
              <w:top w:w="0" w:type="dxa"/>
              <w:left w:w="115" w:type="dxa"/>
              <w:bottom w:w="0" w:type="dxa"/>
              <w:right w:w="115" w:type="dxa"/>
            </w:tcMar>
            <w:vAlign w:val="center"/>
            <w:hideMark/>
          </w:tcPr>
          <w:p w14:paraId="46E21AD5" w14:textId="77777777" w:rsidR="00C033B5" w:rsidRPr="004F735C" w:rsidRDefault="00C033B5" w:rsidP="00C033B5">
            <w:pPr>
              <w:rPr>
                <w:rFonts w:asciiTheme="majorBidi" w:hAnsiTheme="majorBidi" w:cstheme="majorBidi"/>
              </w:rPr>
            </w:pPr>
            <w:r w:rsidRPr="004F735C">
              <w:rPr>
                <w:rFonts w:asciiTheme="majorBidi" w:hAnsiTheme="majorBidi" w:cstheme="majorBidi"/>
              </w:rPr>
              <w:t>Age</w:t>
            </w:r>
          </w:p>
        </w:tc>
        <w:tc>
          <w:tcPr>
            <w:tcW w:w="0" w:type="auto"/>
            <w:tcMar>
              <w:top w:w="0" w:type="dxa"/>
              <w:left w:w="115" w:type="dxa"/>
              <w:bottom w:w="0" w:type="dxa"/>
              <w:right w:w="115" w:type="dxa"/>
            </w:tcMar>
            <w:vAlign w:val="center"/>
            <w:hideMark/>
          </w:tcPr>
          <w:p w14:paraId="6B2C326C" w14:textId="77777777" w:rsidR="00C033B5" w:rsidRPr="004F735C" w:rsidRDefault="00C033B5" w:rsidP="00C033B5">
            <w:pPr>
              <w:rPr>
                <w:rFonts w:asciiTheme="majorBidi" w:hAnsiTheme="majorBidi" w:cstheme="majorBidi"/>
              </w:rPr>
            </w:pPr>
            <w:r w:rsidRPr="004F735C">
              <w:rPr>
                <w:rFonts w:asciiTheme="majorBidi" w:hAnsiTheme="majorBidi" w:cstheme="majorBidi"/>
              </w:rPr>
              <w:t>-1.7745***</w:t>
            </w:r>
          </w:p>
        </w:tc>
        <w:tc>
          <w:tcPr>
            <w:tcW w:w="0" w:type="auto"/>
            <w:tcMar>
              <w:top w:w="0" w:type="dxa"/>
              <w:left w:w="115" w:type="dxa"/>
              <w:bottom w:w="0" w:type="dxa"/>
              <w:right w:w="115" w:type="dxa"/>
            </w:tcMar>
            <w:vAlign w:val="center"/>
            <w:hideMark/>
          </w:tcPr>
          <w:p w14:paraId="1997394C"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-0.0016***</w:t>
            </w:r>
          </w:p>
        </w:tc>
        <w:tc>
          <w:tcPr>
            <w:tcW w:w="0" w:type="auto"/>
            <w:tcMar>
              <w:top w:w="0" w:type="dxa"/>
              <w:left w:w="115" w:type="dxa"/>
              <w:bottom w:w="0" w:type="dxa"/>
              <w:right w:w="115" w:type="dxa"/>
            </w:tcMar>
            <w:vAlign w:val="center"/>
            <w:hideMark/>
          </w:tcPr>
          <w:p w14:paraId="597DC6FD" w14:textId="77777777" w:rsidR="00C033B5" w:rsidRPr="004F735C" w:rsidRDefault="00C033B5" w:rsidP="00C033B5">
            <w:pPr>
              <w:rPr>
                <w:rFonts w:asciiTheme="majorBidi" w:hAnsiTheme="majorBidi" w:cstheme="majorBidi"/>
              </w:rPr>
            </w:pPr>
            <w:r w:rsidRPr="004F735C">
              <w:rPr>
                <w:rFonts w:asciiTheme="majorBidi" w:hAnsiTheme="majorBidi" w:cstheme="majorBidi"/>
              </w:rPr>
              <w:t>-0.1082***</w:t>
            </w:r>
          </w:p>
        </w:tc>
        <w:tc>
          <w:tcPr>
            <w:tcW w:w="0" w:type="auto"/>
            <w:tcMar>
              <w:top w:w="0" w:type="dxa"/>
              <w:left w:w="115" w:type="dxa"/>
              <w:bottom w:w="0" w:type="dxa"/>
              <w:right w:w="115" w:type="dxa"/>
            </w:tcMar>
            <w:vAlign w:val="center"/>
            <w:hideMark/>
          </w:tcPr>
          <w:p w14:paraId="4947C275" w14:textId="77777777" w:rsidR="00C033B5" w:rsidRPr="004F735C" w:rsidRDefault="00C033B5" w:rsidP="00C033B5">
            <w:pPr>
              <w:rPr>
                <w:rFonts w:asciiTheme="majorBidi" w:hAnsiTheme="majorBidi" w:cstheme="majorBidi"/>
              </w:rPr>
            </w:pPr>
            <w:r w:rsidRPr="004F735C">
              <w:rPr>
                <w:rFonts w:asciiTheme="majorBidi" w:hAnsiTheme="majorBidi" w:cstheme="majorBidi"/>
              </w:rPr>
              <w:t>-0.0157***</w:t>
            </w:r>
          </w:p>
        </w:tc>
        <w:tc>
          <w:tcPr>
            <w:tcW w:w="0" w:type="auto"/>
            <w:tcMar>
              <w:top w:w="0" w:type="dxa"/>
              <w:left w:w="115" w:type="dxa"/>
              <w:bottom w:w="0" w:type="dxa"/>
              <w:right w:w="115" w:type="dxa"/>
            </w:tcMar>
            <w:vAlign w:val="center"/>
            <w:hideMark/>
          </w:tcPr>
          <w:p w14:paraId="60FBE795" w14:textId="77777777" w:rsidR="00C033B5" w:rsidRPr="004F735C" w:rsidRDefault="00C033B5" w:rsidP="00C033B5">
            <w:pPr>
              <w:rPr>
                <w:rFonts w:asciiTheme="majorBidi" w:hAnsiTheme="majorBidi" w:cstheme="majorBidi"/>
              </w:rPr>
            </w:pPr>
            <w:r w:rsidRPr="004F735C">
              <w:rPr>
                <w:rFonts w:asciiTheme="majorBidi" w:hAnsiTheme="majorBidi" w:cstheme="majorBidi"/>
              </w:rPr>
              <w:t>-0.1555***</w:t>
            </w:r>
          </w:p>
        </w:tc>
        <w:tc>
          <w:tcPr>
            <w:tcW w:w="0" w:type="auto"/>
            <w:tcMar>
              <w:top w:w="0" w:type="dxa"/>
              <w:left w:w="115" w:type="dxa"/>
              <w:bottom w:w="0" w:type="dxa"/>
              <w:right w:w="115" w:type="dxa"/>
            </w:tcMar>
            <w:vAlign w:val="center"/>
            <w:hideMark/>
          </w:tcPr>
          <w:p w14:paraId="3AF01A3E"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-0.0001***</w:t>
            </w:r>
          </w:p>
        </w:tc>
        <w:tc>
          <w:tcPr>
            <w:tcW w:w="0" w:type="auto"/>
            <w:tcMar>
              <w:top w:w="0" w:type="dxa"/>
              <w:left w:w="115" w:type="dxa"/>
              <w:bottom w:w="0" w:type="dxa"/>
              <w:right w:w="115" w:type="dxa"/>
            </w:tcMar>
            <w:vAlign w:val="center"/>
            <w:hideMark/>
          </w:tcPr>
          <w:p w14:paraId="282B9192" w14:textId="77777777" w:rsidR="00C033B5" w:rsidRPr="004F735C" w:rsidRDefault="00C033B5" w:rsidP="00C033B5">
            <w:pPr>
              <w:rPr>
                <w:rFonts w:asciiTheme="majorBidi" w:hAnsiTheme="majorBidi" w:cstheme="majorBidi"/>
              </w:rPr>
            </w:pPr>
            <w:r w:rsidRPr="004F735C">
              <w:rPr>
                <w:rFonts w:asciiTheme="majorBidi" w:hAnsiTheme="majorBidi" w:cstheme="majorBidi"/>
              </w:rPr>
              <w:t>-0.0723***</w:t>
            </w:r>
          </w:p>
        </w:tc>
        <w:tc>
          <w:tcPr>
            <w:tcW w:w="0" w:type="auto"/>
            <w:tcMar>
              <w:top w:w="0" w:type="dxa"/>
              <w:left w:w="115" w:type="dxa"/>
              <w:bottom w:w="0" w:type="dxa"/>
              <w:right w:w="115" w:type="dxa"/>
            </w:tcMar>
            <w:vAlign w:val="center"/>
            <w:hideMark/>
          </w:tcPr>
          <w:p w14:paraId="2A7C47BC" w14:textId="77777777" w:rsidR="00C033B5" w:rsidRPr="004F735C" w:rsidRDefault="00C033B5" w:rsidP="00C033B5">
            <w:pPr>
              <w:rPr>
                <w:rFonts w:asciiTheme="majorBidi" w:hAnsiTheme="majorBidi" w:cstheme="majorBidi"/>
              </w:rPr>
            </w:pPr>
            <w:r w:rsidRPr="004F735C">
              <w:rPr>
                <w:rFonts w:asciiTheme="majorBidi" w:hAnsiTheme="majorBidi" w:cstheme="majorBidi"/>
              </w:rPr>
              <w:t>-0.0099***</w:t>
            </w:r>
          </w:p>
        </w:tc>
      </w:tr>
      <w:tr w:rsidR="00C033B5" w:rsidRPr="00C033B5" w14:paraId="5D3E23CF" w14:textId="77777777">
        <w:trPr>
          <w:trHeight w:val="143"/>
        </w:trPr>
        <w:tc>
          <w:tcPr>
            <w:tcW w:w="0" w:type="auto"/>
            <w:tcMar>
              <w:top w:w="0" w:type="dxa"/>
              <w:left w:w="115" w:type="dxa"/>
              <w:bottom w:w="0" w:type="dxa"/>
              <w:right w:w="115" w:type="dxa"/>
            </w:tcMar>
            <w:vAlign w:val="center"/>
            <w:hideMark/>
          </w:tcPr>
          <w:p w14:paraId="2412C671"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F53A401" w14:textId="77777777" w:rsidR="00C033B5" w:rsidRPr="004F735C" w:rsidRDefault="00C033B5" w:rsidP="00C033B5">
            <w:pPr>
              <w:rPr>
                <w:rFonts w:asciiTheme="majorBidi" w:hAnsiTheme="majorBidi" w:cstheme="majorBidi"/>
              </w:rPr>
            </w:pPr>
            <w:r w:rsidRPr="004F735C">
              <w:rPr>
                <w:rFonts w:asciiTheme="majorBidi" w:hAnsiTheme="majorBidi" w:cstheme="majorBidi"/>
              </w:rPr>
              <w:t>(0.2596)</w:t>
            </w:r>
          </w:p>
        </w:tc>
        <w:tc>
          <w:tcPr>
            <w:tcW w:w="0" w:type="auto"/>
            <w:tcMar>
              <w:top w:w="0" w:type="dxa"/>
              <w:left w:w="115" w:type="dxa"/>
              <w:bottom w:w="0" w:type="dxa"/>
              <w:right w:w="115" w:type="dxa"/>
            </w:tcMar>
            <w:vAlign w:val="center"/>
            <w:hideMark/>
          </w:tcPr>
          <w:p w14:paraId="46C7BB17"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(0.0002)</w:t>
            </w:r>
          </w:p>
        </w:tc>
        <w:tc>
          <w:tcPr>
            <w:tcW w:w="0" w:type="auto"/>
            <w:tcMar>
              <w:top w:w="0" w:type="dxa"/>
              <w:left w:w="115" w:type="dxa"/>
              <w:bottom w:w="0" w:type="dxa"/>
              <w:right w:w="115" w:type="dxa"/>
            </w:tcMar>
            <w:vAlign w:val="center"/>
            <w:hideMark/>
          </w:tcPr>
          <w:p w14:paraId="77613D97" w14:textId="77777777" w:rsidR="00C033B5" w:rsidRPr="004F735C" w:rsidRDefault="00C033B5" w:rsidP="00C033B5">
            <w:pPr>
              <w:rPr>
                <w:rFonts w:asciiTheme="majorBidi" w:hAnsiTheme="majorBidi" w:cstheme="majorBidi"/>
              </w:rPr>
            </w:pPr>
            <w:r w:rsidRPr="004F735C">
              <w:rPr>
                <w:rFonts w:asciiTheme="majorBidi" w:hAnsiTheme="majorBidi" w:cstheme="majorBidi"/>
              </w:rPr>
              <w:t>(0.0239)</w:t>
            </w:r>
          </w:p>
        </w:tc>
        <w:tc>
          <w:tcPr>
            <w:tcW w:w="0" w:type="auto"/>
            <w:tcMar>
              <w:top w:w="0" w:type="dxa"/>
              <w:left w:w="115" w:type="dxa"/>
              <w:bottom w:w="0" w:type="dxa"/>
              <w:right w:w="115" w:type="dxa"/>
            </w:tcMar>
            <w:vAlign w:val="center"/>
            <w:hideMark/>
          </w:tcPr>
          <w:p w14:paraId="6884BAB2" w14:textId="77777777" w:rsidR="00C033B5" w:rsidRPr="004F735C" w:rsidRDefault="00C033B5" w:rsidP="00C033B5">
            <w:pPr>
              <w:rPr>
                <w:rFonts w:asciiTheme="majorBidi" w:hAnsiTheme="majorBidi" w:cstheme="majorBidi"/>
              </w:rPr>
            </w:pPr>
            <w:r w:rsidRPr="004F735C">
              <w:rPr>
                <w:rFonts w:asciiTheme="majorBidi" w:hAnsiTheme="majorBidi" w:cstheme="majorBidi"/>
              </w:rPr>
              <w:t>(0.0035)</w:t>
            </w:r>
          </w:p>
        </w:tc>
        <w:tc>
          <w:tcPr>
            <w:tcW w:w="0" w:type="auto"/>
            <w:tcMar>
              <w:top w:w="0" w:type="dxa"/>
              <w:left w:w="115" w:type="dxa"/>
              <w:bottom w:w="0" w:type="dxa"/>
              <w:right w:w="115" w:type="dxa"/>
            </w:tcMar>
            <w:vAlign w:val="center"/>
            <w:hideMark/>
          </w:tcPr>
          <w:p w14:paraId="46FB2DC8" w14:textId="77777777" w:rsidR="00C033B5" w:rsidRPr="004F735C" w:rsidRDefault="00C033B5" w:rsidP="00C033B5">
            <w:pPr>
              <w:rPr>
                <w:rFonts w:asciiTheme="majorBidi" w:hAnsiTheme="majorBidi" w:cstheme="majorBidi"/>
              </w:rPr>
            </w:pPr>
            <w:r w:rsidRPr="004F735C">
              <w:rPr>
                <w:rFonts w:asciiTheme="majorBidi" w:hAnsiTheme="majorBidi" w:cstheme="majorBidi"/>
              </w:rPr>
              <w:t>(0.0186)</w:t>
            </w:r>
          </w:p>
        </w:tc>
        <w:tc>
          <w:tcPr>
            <w:tcW w:w="0" w:type="auto"/>
            <w:tcMar>
              <w:top w:w="0" w:type="dxa"/>
              <w:left w:w="115" w:type="dxa"/>
              <w:bottom w:w="0" w:type="dxa"/>
              <w:right w:w="115" w:type="dxa"/>
            </w:tcMar>
            <w:vAlign w:val="center"/>
            <w:hideMark/>
          </w:tcPr>
          <w:p w14:paraId="2D1839CF"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156E801C" w14:textId="77777777" w:rsidR="00C033B5" w:rsidRPr="004F735C" w:rsidRDefault="00C033B5" w:rsidP="00C033B5">
            <w:pPr>
              <w:rPr>
                <w:rFonts w:asciiTheme="majorBidi" w:hAnsiTheme="majorBidi" w:cstheme="majorBidi"/>
              </w:rPr>
            </w:pPr>
            <w:r w:rsidRPr="004F735C">
              <w:rPr>
                <w:rFonts w:asciiTheme="majorBidi" w:hAnsiTheme="majorBidi" w:cstheme="majorBidi"/>
              </w:rPr>
              <w:t>(0.0287)</w:t>
            </w:r>
          </w:p>
        </w:tc>
        <w:tc>
          <w:tcPr>
            <w:tcW w:w="0" w:type="auto"/>
            <w:tcMar>
              <w:top w:w="0" w:type="dxa"/>
              <w:left w:w="115" w:type="dxa"/>
              <w:bottom w:w="0" w:type="dxa"/>
              <w:right w:w="115" w:type="dxa"/>
            </w:tcMar>
            <w:vAlign w:val="center"/>
            <w:hideMark/>
          </w:tcPr>
          <w:p w14:paraId="4B3577B4" w14:textId="77777777" w:rsidR="00C033B5" w:rsidRPr="004F735C" w:rsidRDefault="00C033B5" w:rsidP="00C033B5">
            <w:pPr>
              <w:rPr>
                <w:rFonts w:asciiTheme="majorBidi" w:hAnsiTheme="majorBidi" w:cstheme="majorBidi"/>
              </w:rPr>
            </w:pPr>
            <w:r w:rsidRPr="004F735C">
              <w:rPr>
                <w:rFonts w:asciiTheme="majorBidi" w:hAnsiTheme="majorBidi" w:cstheme="majorBidi"/>
              </w:rPr>
              <w:t>(0.0039)</w:t>
            </w:r>
          </w:p>
        </w:tc>
      </w:tr>
      <w:tr w:rsidR="00C033B5" w:rsidRPr="00C033B5" w14:paraId="3C6543F4" w14:textId="77777777">
        <w:trPr>
          <w:trHeight w:val="143"/>
        </w:trPr>
        <w:tc>
          <w:tcPr>
            <w:tcW w:w="0" w:type="auto"/>
            <w:tcMar>
              <w:top w:w="0" w:type="dxa"/>
              <w:left w:w="115" w:type="dxa"/>
              <w:bottom w:w="0" w:type="dxa"/>
              <w:right w:w="115" w:type="dxa"/>
            </w:tcMar>
            <w:vAlign w:val="center"/>
            <w:hideMark/>
          </w:tcPr>
          <w:p w14:paraId="33F099DC"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Loanport</w:t>
            </w:r>
            <w:proofErr w:type="spellEnd"/>
          </w:p>
        </w:tc>
        <w:tc>
          <w:tcPr>
            <w:tcW w:w="0" w:type="auto"/>
            <w:tcMar>
              <w:top w:w="0" w:type="dxa"/>
              <w:left w:w="115" w:type="dxa"/>
              <w:bottom w:w="0" w:type="dxa"/>
              <w:right w:w="115" w:type="dxa"/>
            </w:tcMar>
            <w:vAlign w:val="center"/>
            <w:hideMark/>
          </w:tcPr>
          <w:p w14:paraId="304B68B6"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57FCD526"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1989F424"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5C67BAAE"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1271887E" w14:textId="77777777" w:rsidR="00C033B5" w:rsidRPr="004F735C" w:rsidRDefault="00C033B5" w:rsidP="00C033B5">
            <w:pPr>
              <w:rPr>
                <w:rFonts w:asciiTheme="majorBidi" w:hAnsiTheme="majorBidi" w:cstheme="majorBidi"/>
              </w:rPr>
            </w:pPr>
            <w:r w:rsidRPr="004F735C">
              <w:rPr>
                <w:rFonts w:asciiTheme="majorBidi" w:hAnsiTheme="majorBidi" w:cstheme="majorBidi"/>
              </w:rPr>
              <w:t>0.4291***</w:t>
            </w:r>
          </w:p>
        </w:tc>
        <w:tc>
          <w:tcPr>
            <w:tcW w:w="0" w:type="auto"/>
            <w:tcMar>
              <w:top w:w="0" w:type="dxa"/>
              <w:left w:w="115" w:type="dxa"/>
              <w:bottom w:w="0" w:type="dxa"/>
              <w:right w:w="115" w:type="dxa"/>
            </w:tcMar>
            <w:vAlign w:val="center"/>
            <w:hideMark/>
          </w:tcPr>
          <w:p w14:paraId="288E171A"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0.0003***</w:t>
            </w:r>
          </w:p>
        </w:tc>
        <w:tc>
          <w:tcPr>
            <w:tcW w:w="0" w:type="auto"/>
            <w:tcMar>
              <w:top w:w="0" w:type="dxa"/>
              <w:left w:w="115" w:type="dxa"/>
              <w:bottom w:w="0" w:type="dxa"/>
              <w:right w:w="115" w:type="dxa"/>
            </w:tcMar>
            <w:vAlign w:val="center"/>
            <w:hideMark/>
          </w:tcPr>
          <w:p w14:paraId="6E19054D"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50ED5867"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r>
      <w:tr w:rsidR="00C033B5" w:rsidRPr="00C033B5" w14:paraId="7E841C83" w14:textId="77777777">
        <w:trPr>
          <w:trHeight w:val="143"/>
        </w:trPr>
        <w:tc>
          <w:tcPr>
            <w:tcW w:w="0" w:type="auto"/>
            <w:tcMar>
              <w:top w:w="0" w:type="dxa"/>
              <w:left w:w="115" w:type="dxa"/>
              <w:bottom w:w="0" w:type="dxa"/>
              <w:right w:w="115" w:type="dxa"/>
            </w:tcMar>
            <w:vAlign w:val="center"/>
            <w:hideMark/>
          </w:tcPr>
          <w:p w14:paraId="13ECCDFF"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EA767C1"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77445930"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141E6CDE"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6E433FCF"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24F3ED20" w14:textId="77777777" w:rsidR="00C033B5" w:rsidRPr="004F735C" w:rsidRDefault="00C033B5" w:rsidP="00C033B5">
            <w:pPr>
              <w:rPr>
                <w:rFonts w:asciiTheme="majorBidi" w:hAnsiTheme="majorBidi" w:cstheme="majorBidi"/>
              </w:rPr>
            </w:pPr>
            <w:r w:rsidRPr="004F735C">
              <w:rPr>
                <w:rFonts w:asciiTheme="majorBidi" w:hAnsiTheme="majorBidi" w:cstheme="majorBidi"/>
              </w:rPr>
              <w:t>(0.0627)</w:t>
            </w:r>
          </w:p>
        </w:tc>
        <w:tc>
          <w:tcPr>
            <w:tcW w:w="0" w:type="auto"/>
            <w:tcMar>
              <w:top w:w="0" w:type="dxa"/>
              <w:left w:w="115" w:type="dxa"/>
              <w:bottom w:w="0" w:type="dxa"/>
              <w:right w:w="115" w:type="dxa"/>
            </w:tcMar>
            <w:vAlign w:val="center"/>
            <w:hideMark/>
          </w:tcPr>
          <w:p w14:paraId="3CDCA118"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771CDF98"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c>
          <w:tcPr>
            <w:tcW w:w="0" w:type="auto"/>
            <w:tcMar>
              <w:top w:w="0" w:type="dxa"/>
              <w:left w:w="115" w:type="dxa"/>
              <w:bottom w:w="0" w:type="dxa"/>
              <w:right w:w="115" w:type="dxa"/>
            </w:tcMar>
            <w:vAlign w:val="center"/>
            <w:hideMark/>
          </w:tcPr>
          <w:p w14:paraId="29BACE2B"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(0.0000)</w:t>
            </w:r>
          </w:p>
        </w:tc>
      </w:tr>
      <w:tr w:rsidR="00C033B5" w:rsidRPr="00C033B5" w14:paraId="496B13D4" w14:textId="77777777">
        <w:trPr>
          <w:trHeight w:val="143"/>
        </w:trPr>
        <w:tc>
          <w:tcPr>
            <w:tcW w:w="0" w:type="auto"/>
            <w:tcMar>
              <w:top w:w="0" w:type="dxa"/>
              <w:left w:w="115" w:type="dxa"/>
              <w:bottom w:w="0" w:type="dxa"/>
              <w:right w:w="115" w:type="dxa"/>
            </w:tcMar>
            <w:vAlign w:val="center"/>
            <w:hideMark/>
          </w:tcPr>
          <w:p w14:paraId="2D46C613" w14:textId="77777777" w:rsidR="00C033B5" w:rsidRPr="004F735C" w:rsidRDefault="00C033B5" w:rsidP="00C033B5">
            <w:pPr>
              <w:rPr>
                <w:rFonts w:asciiTheme="majorBidi" w:hAnsiTheme="majorBidi" w:cstheme="majorBidi"/>
              </w:rPr>
            </w:pPr>
            <w:r w:rsidRPr="004F735C">
              <w:rPr>
                <w:rFonts w:asciiTheme="majorBidi" w:hAnsiTheme="majorBidi" w:cstheme="majorBidi"/>
              </w:rPr>
              <w:lastRenderedPageBreak/>
              <w:t>Country Fixed effects</w:t>
            </w:r>
          </w:p>
        </w:tc>
        <w:tc>
          <w:tcPr>
            <w:tcW w:w="0" w:type="auto"/>
            <w:tcMar>
              <w:top w:w="0" w:type="dxa"/>
              <w:left w:w="115" w:type="dxa"/>
              <w:bottom w:w="0" w:type="dxa"/>
              <w:right w:w="115" w:type="dxa"/>
            </w:tcMar>
            <w:vAlign w:val="center"/>
            <w:hideMark/>
          </w:tcPr>
          <w:p w14:paraId="0F29A3BE" w14:textId="77777777" w:rsidR="00C033B5" w:rsidRPr="004F735C" w:rsidRDefault="00C033B5" w:rsidP="00C033B5">
            <w:pPr>
              <w:rPr>
                <w:rFonts w:asciiTheme="majorBidi" w:hAnsiTheme="majorBidi" w:cstheme="majorBidi"/>
              </w:rPr>
            </w:pPr>
            <w:r w:rsidRPr="004F735C">
              <w:rPr>
                <w:rFonts w:asciiTheme="majorBidi" w:hAnsiTheme="majorBidi" w:cstheme="majorBidi"/>
              </w:rPr>
              <w:t>Yes</w:t>
            </w:r>
          </w:p>
        </w:tc>
        <w:tc>
          <w:tcPr>
            <w:tcW w:w="0" w:type="auto"/>
            <w:tcMar>
              <w:top w:w="0" w:type="dxa"/>
              <w:left w:w="115" w:type="dxa"/>
              <w:bottom w:w="0" w:type="dxa"/>
              <w:right w:w="115" w:type="dxa"/>
            </w:tcMar>
            <w:vAlign w:val="center"/>
            <w:hideMark/>
          </w:tcPr>
          <w:p w14:paraId="4B7B6586" w14:textId="77777777" w:rsidR="00C033B5" w:rsidRPr="004F735C" w:rsidRDefault="00C033B5" w:rsidP="00C033B5">
            <w:pPr>
              <w:rPr>
                <w:rFonts w:asciiTheme="majorBidi" w:hAnsiTheme="majorBidi" w:cstheme="majorBidi"/>
              </w:rPr>
            </w:pPr>
            <w:r w:rsidRPr="004F735C">
              <w:rPr>
                <w:rFonts w:asciiTheme="majorBidi" w:hAnsiTheme="majorBidi" w:cstheme="majorBidi"/>
              </w:rPr>
              <w:t>Yes</w:t>
            </w:r>
          </w:p>
        </w:tc>
        <w:tc>
          <w:tcPr>
            <w:tcW w:w="0" w:type="auto"/>
            <w:tcMar>
              <w:top w:w="0" w:type="dxa"/>
              <w:left w:w="115" w:type="dxa"/>
              <w:bottom w:w="0" w:type="dxa"/>
              <w:right w:w="115" w:type="dxa"/>
            </w:tcMar>
            <w:vAlign w:val="center"/>
            <w:hideMark/>
          </w:tcPr>
          <w:p w14:paraId="57F293AE" w14:textId="77777777" w:rsidR="00C033B5" w:rsidRPr="004F735C" w:rsidRDefault="00C033B5" w:rsidP="00C033B5">
            <w:pPr>
              <w:rPr>
                <w:rFonts w:asciiTheme="majorBidi" w:hAnsiTheme="majorBidi" w:cstheme="majorBidi"/>
              </w:rPr>
            </w:pPr>
            <w:r w:rsidRPr="004F735C">
              <w:rPr>
                <w:rFonts w:asciiTheme="majorBidi" w:hAnsiTheme="majorBidi" w:cstheme="majorBidi"/>
              </w:rPr>
              <w:t>Yes</w:t>
            </w:r>
          </w:p>
        </w:tc>
        <w:tc>
          <w:tcPr>
            <w:tcW w:w="0" w:type="auto"/>
            <w:tcMar>
              <w:top w:w="0" w:type="dxa"/>
              <w:left w:w="115" w:type="dxa"/>
              <w:bottom w:w="0" w:type="dxa"/>
              <w:right w:w="115" w:type="dxa"/>
            </w:tcMar>
            <w:vAlign w:val="center"/>
            <w:hideMark/>
          </w:tcPr>
          <w:p w14:paraId="1018576D"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10DEA294" w14:textId="77777777" w:rsidR="00C033B5" w:rsidRPr="004F735C" w:rsidRDefault="00C033B5" w:rsidP="00C033B5">
            <w:pPr>
              <w:rPr>
                <w:rFonts w:asciiTheme="majorBidi" w:hAnsiTheme="majorBidi" w:cstheme="majorBidi"/>
              </w:rPr>
            </w:pPr>
            <w:r w:rsidRPr="004F735C">
              <w:rPr>
                <w:rFonts w:asciiTheme="majorBidi" w:hAnsiTheme="majorBidi" w:cstheme="majorBidi"/>
              </w:rPr>
              <w:t>Yes</w:t>
            </w:r>
          </w:p>
        </w:tc>
        <w:tc>
          <w:tcPr>
            <w:tcW w:w="0" w:type="auto"/>
            <w:tcMar>
              <w:top w:w="0" w:type="dxa"/>
              <w:left w:w="115" w:type="dxa"/>
              <w:bottom w:w="0" w:type="dxa"/>
              <w:right w:w="115" w:type="dxa"/>
            </w:tcMar>
            <w:hideMark/>
          </w:tcPr>
          <w:p w14:paraId="480FC129" w14:textId="77777777" w:rsidR="00C033B5" w:rsidRPr="004F735C" w:rsidRDefault="00C033B5" w:rsidP="00C033B5">
            <w:pPr>
              <w:rPr>
                <w:rFonts w:asciiTheme="majorBidi" w:hAnsiTheme="majorBidi" w:cstheme="majorBidi"/>
              </w:rPr>
            </w:pPr>
            <w:r w:rsidRPr="004F735C">
              <w:rPr>
                <w:rFonts w:asciiTheme="majorBidi" w:hAnsiTheme="majorBidi" w:cstheme="majorBidi"/>
              </w:rPr>
              <w:t>Yes</w:t>
            </w:r>
          </w:p>
        </w:tc>
        <w:tc>
          <w:tcPr>
            <w:tcW w:w="0" w:type="auto"/>
            <w:tcMar>
              <w:top w:w="0" w:type="dxa"/>
              <w:left w:w="115" w:type="dxa"/>
              <w:bottom w:w="0" w:type="dxa"/>
              <w:right w:w="115" w:type="dxa"/>
            </w:tcMar>
            <w:hideMark/>
          </w:tcPr>
          <w:p w14:paraId="1F7220FB" w14:textId="77777777" w:rsidR="00C033B5" w:rsidRPr="004F735C" w:rsidRDefault="00C033B5" w:rsidP="00C033B5">
            <w:pPr>
              <w:rPr>
                <w:rFonts w:asciiTheme="majorBidi" w:hAnsiTheme="majorBidi" w:cstheme="majorBidi"/>
              </w:rPr>
            </w:pPr>
            <w:r w:rsidRPr="004F735C">
              <w:rPr>
                <w:rFonts w:asciiTheme="majorBidi" w:hAnsiTheme="majorBidi" w:cstheme="majorBidi"/>
              </w:rPr>
              <w:t>Yes</w:t>
            </w:r>
          </w:p>
        </w:tc>
        <w:tc>
          <w:tcPr>
            <w:tcW w:w="0" w:type="auto"/>
            <w:tcMar>
              <w:top w:w="0" w:type="dxa"/>
              <w:left w:w="115" w:type="dxa"/>
              <w:bottom w:w="0" w:type="dxa"/>
              <w:right w:w="115" w:type="dxa"/>
            </w:tcMar>
            <w:hideMark/>
          </w:tcPr>
          <w:p w14:paraId="786803EA" w14:textId="77777777" w:rsidR="00C033B5" w:rsidRPr="004F735C" w:rsidRDefault="00C033B5" w:rsidP="00C033B5">
            <w:pPr>
              <w:rPr>
                <w:rFonts w:asciiTheme="majorBidi" w:hAnsiTheme="majorBidi" w:cstheme="majorBidi"/>
              </w:rPr>
            </w:pPr>
            <w:r w:rsidRPr="004F735C">
              <w:rPr>
                <w:rFonts w:asciiTheme="majorBidi" w:hAnsiTheme="majorBidi" w:cstheme="majorBidi"/>
              </w:rPr>
              <w:t>Yes</w:t>
            </w:r>
          </w:p>
        </w:tc>
      </w:tr>
      <w:tr w:rsidR="00C033B5" w:rsidRPr="00C033B5" w14:paraId="2336E5E4" w14:textId="77777777">
        <w:trPr>
          <w:trHeight w:val="143"/>
        </w:trPr>
        <w:tc>
          <w:tcPr>
            <w:tcW w:w="0" w:type="auto"/>
            <w:tcMar>
              <w:top w:w="0" w:type="dxa"/>
              <w:left w:w="115" w:type="dxa"/>
              <w:bottom w:w="0" w:type="dxa"/>
              <w:right w:w="115" w:type="dxa"/>
            </w:tcMar>
            <w:vAlign w:val="center"/>
            <w:hideMark/>
          </w:tcPr>
          <w:p w14:paraId="2BE4948B"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B235AE1"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6626765"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82558B2"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BC877B0"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4A4584E"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FDC791B"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81EF9AA"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75CEE82" w14:textId="77777777" w:rsidR="00C033B5" w:rsidRPr="004F735C" w:rsidRDefault="00C033B5" w:rsidP="00C033B5">
            <w:pPr>
              <w:rPr>
                <w:rFonts w:asciiTheme="majorBidi" w:hAnsiTheme="majorBidi" w:cstheme="majorBidi"/>
              </w:rPr>
            </w:pPr>
          </w:p>
        </w:tc>
      </w:tr>
      <w:tr w:rsidR="00C033B5" w:rsidRPr="00C033B5" w14:paraId="51EDB051" w14:textId="77777777">
        <w:trPr>
          <w:trHeight w:val="143"/>
        </w:trPr>
        <w:tc>
          <w:tcPr>
            <w:tcW w:w="0" w:type="auto"/>
            <w:tcMar>
              <w:top w:w="0" w:type="dxa"/>
              <w:left w:w="115" w:type="dxa"/>
              <w:bottom w:w="0" w:type="dxa"/>
              <w:right w:w="115" w:type="dxa"/>
            </w:tcMar>
            <w:vAlign w:val="center"/>
            <w:hideMark/>
          </w:tcPr>
          <w:p w14:paraId="0C1E2E8D"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Unemplymt</w:t>
            </w:r>
            <w:proofErr w:type="spellEnd"/>
          </w:p>
        </w:tc>
        <w:tc>
          <w:tcPr>
            <w:tcW w:w="0" w:type="auto"/>
            <w:tcMar>
              <w:top w:w="0" w:type="dxa"/>
              <w:left w:w="115" w:type="dxa"/>
              <w:bottom w:w="0" w:type="dxa"/>
              <w:right w:w="115" w:type="dxa"/>
            </w:tcMar>
            <w:vAlign w:val="center"/>
            <w:hideMark/>
          </w:tcPr>
          <w:p w14:paraId="7CEC9F13" w14:textId="77777777" w:rsidR="00C033B5" w:rsidRPr="004F735C" w:rsidRDefault="00C033B5" w:rsidP="00C033B5">
            <w:pPr>
              <w:rPr>
                <w:rFonts w:asciiTheme="majorBidi" w:hAnsiTheme="majorBidi" w:cstheme="majorBidi"/>
              </w:rPr>
            </w:pPr>
            <w:r w:rsidRPr="004F735C">
              <w:rPr>
                <w:rFonts w:asciiTheme="majorBidi" w:hAnsiTheme="majorBidi" w:cstheme="majorBidi"/>
              </w:rPr>
              <w:t>1.3843***</w:t>
            </w:r>
          </w:p>
        </w:tc>
        <w:tc>
          <w:tcPr>
            <w:tcW w:w="0" w:type="auto"/>
            <w:tcMar>
              <w:top w:w="0" w:type="dxa"/>
              <w:left w:w="115" w:type="dxa"/>
              <w:bottom w:w="0" w:type="dxa"/>
              <w:right w:w="115" w:type="dxa"/>
            </w:tcMar>
            <w:vAlign w:val="center"/>
            <w:hideMark/>
          </w:tcPr>
          <w:p w14:paraId="1C9FA386"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0.0012***</w:t>
            </w:r>
          </w:p>
        </w:tc>
        <w:tc>
          <w:tcPr>
            <w:tcW w:w="0" w:type="auto"/>
            <w:tcMar>
              <w:top w:w="0" w:type="dxa"/>
              <w:left w:w="115" w:type="dxa"/>
              <w:bottom w:w="0" w:type="dxa"/>
              <w:right w:w="115" w:type="dxa"/>
            </w:tcMar>
            <w:vAlign w:val="center"/>
            <w:hideMark/>
          </w:tcPr>
          <w:p w14:paraId="33511CD4" w14:textId="77777777" w:rsidR="00C033B5" w:rsidRPr="004F735C" w:rsidRDefault="00C033B5" w:rsidP="00C033B5">
            <w:pPr>
              <w:rPr>
                <w:rFonts w:asciiTheme="majorBidi" w:hAnsiTheme="majorBidi" w:cstheme="majorBidi"/>
              </w:rPr>
            </w:pPr>
            <w:r w:rsidRPr="004F735C">
              <w:rPr>
                <w:rFonts w:asciiTheme="majorBidi" w:hAnsiTheme="majorBidi" w:cstheme="majorBidi"/>
              </w:rPr>
              <w:t>1.4288***</w:t>
            </w:r>
          </w:p>
        </w:tc>
        <w:tc>
          <w:tcPr>
            <w:tcW w:w="0" w:type="auto"/>
            <w:tcMar>
              <w:top w:w="0" w:type="dxa"/>
              <w:left w:w="115" w:type="dxa"/>
              <w:bottom w:w="0" w:type="dxa"/>
              <w:right w:w="115" w:type="dxa"/>
            </w:tcMar>
            <w:vAlign w:val="center"/>
            <w:hideMark/>
          </w:tcPr>
          <w:p w14:paraId="49CBBFFD" w14:textId="77777777" w:rsidR="00C033B5" w:rsidRPr="004F735C" w:rsidRDefault="00C033B5" w:rsidP="00C033B5">
            <w:pPr>
              <w:rPr>
                <w:rFonts w:asciiTheme="majorBidi" w:hAnsiTheme="majorBidi" w:cstheme="majorBidi"/>
              </w:rPr>
            </w:pPr>
            <w:r w:rsidRPr="004F735C">
              <w:rPr>
                <w:rFonts w:asciiTheme="majorBidi" w:hAnsiTheme="majorBidi" w:cstheme="majorBidi"/>
              </w:rPr>
              <w:t>0.2074***</w:t>
            </w:r>
          </w:p>
        </w:tc>
        <w:tc>
          <w:tcPr>
            <w:tcW w:w="0" w:type="auto"/>
            <w:tcMar>
              <w:top w:w="0" w:type="dxa"/>
              <w:left w:w="115" w:type="dxa"/>
              <w:bottom w:w="0" w:type="dxa"/>
              <w:right w:w="115" w:type="dxa"/>
            </w:tcMar>
            <w:vAlign w:val="center"/>
            <w:hideMark/>
          </w:tcPr>
          <w:p w14:paraId="289137FC" w14:textId="77777777" w:rsidR="00C033B5" w:rsidRPr="004F735C" w:rsidRDefault="00C033B5" w:rsidP="00C033B5">
            <w:pPr>
              <w:rPr>
                <w:rFonts w:asciiTheme="majorBidi" w:hAnsiTheme="majorBidi" w:cstheme="majorBidi"/>
              </w:rPr>
            </w:pPr>
            <w:r w:rsidRPr="004F735C">
              <w:rPr>
                <w:rFonts w:asciiTheme="majorBidi" w:hAnsiTheme="majorBidi" w:cstheme="majorBidi"/>
              </w:rPr>
              <w:t>-140.7415***</w:t>
            </w:r>
          </w:p>
        </w:tc>
        <w:tc>
          <w:tcPr>
            <w:tcW w:w="0" w:type="auto"/>
            <w:tcMar>
              <w:top w:w="0" w:type="dxa"/>
              <w:left w:w="115" w:type="dxa"/>
              <w:bottom w:w="0" w:type="dxa"/>
              <w:right w:w="115" w:type="dxa"/>
            </w:tcMar>
            <w:vAlign w:val="center"/>
            <w:hideMark/>
          </w:tcPr>
          <w:p w14:paraId="661D87AD" w14:textId="77777777" w:rsidR="00C033B5" w:rsidRPr="004F735C" w:rsidRDefault="00C033B5" w:rsidP="00C033B5">
            <w:pPr>
              <w:rPr>
                <w:rFonts w:asciiTheme="majorBidi" w:hAnsiTheme="majorBidi" w:cstheme="majorBidi"/>
              </w:rPr>
            </w:pPr>
            <w:r w:rsidRPr="004F735C">
              <w:rPr>
                <w:rFonts w:asciiTheme="majorBidi" w:hAnsiTheme="majorBidi" w:cstheme="majorBidi"/>
              </w:rPr>
              <w:t>-0.0968***</w:t>
            </w:r>
          </w:p>
        </w:tc>
        <w:tc>
          <w:tcPr>
            <w:tcW w:w="0" w:type="auto"/>
            <w:tcMar>
              <w:top w:w="0" w:type="dxa"/>
              <w:left w:w="115" w:type="dxa"/>
              <w:bottom w:w="0" w:type="dxa"/>
              <w:right w:w="115" w:type="dxa"/>
            </w:tcMar>
            <w:vAlign w:val="center"/>
            <w:hideMark/>
          </w:tcPr>
          <w:p w14:paraId="15EADC7B" w14:textId="77777777" w:rsidR="00C033B5" w:rsidRPr="004F735C" w:rsidRDefault="00C033B5" w:rsidP="00C033B5">
            <w:pPr>
              <w:rPr>
                <w:rFonts w:asciiTheme="majorBidi" w:hAnsiTheme="majorBidi" w:cstheme="majorBidi"/>
              </w:rPr>
            </w:pPr>
            <w:r w:rsidRPr="004F735C">
              <w:rPr>
                <w:rFonts w:asciiTheme="majorBidi" w:hAnsiTheme="majorBidi" w:cstheme="majorBidi"/>
              </w:rPr>
              <w:t>1.5258***</w:t>
            </w:r>
          </w:p>
        </w:tc>
        <w:tc>
          <w:tcPr>
            <w:tcW w:w="0" w:type="auto"/>
            <w:tcMar>
              <w:top w:w="0" w:type="dxa"/>
              <w:left w:w="115" w:type="dxa"/>
              <w:bottom w:w="0" w:type="dxa"/>
              <w:right w:w="115" w:type="dxa"/>
            </w:tcMar>
            <w:vAlign w:val="center"/>
            <w:hideMark/>
          </w:tcPr>
          <w:p w14:paraId="6E190BFC" w14:textId="77777777" w:rsidR="00C033B5" w:rsidRPr="004F735C" w:rsidRDefault="00C033B5" w:rsidP="00C033B5">
            <w:pPr>
              <w:rPr>
                <w:rFonts w:asciiTheme="majorBidi" w:hAnsiTheme="majorBidi" w:cstheme="majorBidi"/>
              </w:rPr>
            </w:pPr>
            <w:r w:rsidRPr="004F735C">
              <w:rPr>
                <w:rFonts w:asciiTheme="majorBidi" w:hAnsiTheme="majorBidi" w:cstheme="majorBidi"/>
              </w:rPr>
              <w:t>0.2087***</w:t>
            </w:r>
          </w:p>
        </w:tc>
      </w:tr>
      <w:tr w:rsidR="00C033B5" w:rsidRPr="00C033B5" w14:paraId="12553671" w14:textId="77777777">
        <w:trPr>
          <w:trHeight w:val="143"/>
        </w:trPr>
        <w:tc>
          <w:tcPr>
            <w:tcW w:w="0" w:type="auto"/>
            <w:tcMar>
              <w:top w:w="0" w:type="dxa"/>
              <w:left w:w="115" w:type="dxa"/>
              <w:bottom w:w="0" w:type="dxa"/>
              <w:right w:w="115" w:type="dxa"/>
            </w:tcMar>
            <w:vAlign w:val="center"/>
            <w:hideMark/>
          </w:tcPr>
          <w:p w14:paraId="2691F150"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7E35464" w14:textId="77777777" w:rsidR="00C033B5" w:rsidRPr="004F735C" w:rsidRDefault="00C033B5" w:rsidP="00C033B5">
            <w:pPr>
              <w:rPr>
                <w:rFonts w:asciiTheme="majorBidi" w:hAnsiTheme="majorBidi" w:cstheme="majorBidi"/>
              </w:rPr>
            </w:pPr>
            <w:r w:rsidRPr="004F735C">
              <w:rPr>
                <w:rFonts w:asciiTheme="majorBidi" w:hAnsiTheme="majorBidi" w:cstheme="majorBidi"/>
              </w:rPr>
              <w:t>(0.1727)</w:t>
            </w:r>
          </w:p>
        </w:tc>
        <w:tc>
          <w:tcPr>
            <w:tcW w:w="0" w:type="auto"/>
            <w:tcMar>
              <w:top w:w="0" w:type="dxa"/>
              <w:left w:w="115" w:type="dxa"/>
              <w:bottom w:w="0" w:type="dxa"/>
              <w:right w:w="115" w:type="dxa"/>
            </w:tcMar>
            <w:vAlign w:val="center"/>
            <w:hideMark/>
          </w:tcPr>
          <w:p w14:paraId="7729615B"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(0.0002)</w:t>
            </w:r>
          </w:p>
        </w:tc>
        <w:tc>
          <w:tcPr>
            <w:tcW w:w="0" w:type="auto"/>
            <w:tcMar>
              <w:top w:w="0" w:type="dxa"/>
              <w:left w:w="115" w:type="dxa"/>
              <w:bottom w:w="0" w:type="dxa"/>
              <w:right w:w="115" w:type="dxa"/>
            </w:tcMar>
            <w:vAlign w:val="center"/>
            <w:hideMark/>
          </w:tcPr>
          <w:p w14:paraId="0988E8E2" w14:textId="77777777" w:rsidR="00C033B5" w:rsidRPr="004F735C" w:rsidRDefault="00C033B5" w:rsidP="00C033B5">
            <w:pPr>
              <w:rPr>
                <w:rFonts w:asciiTheme="majorBidi" w:hAnsiTheme="majorBidi" w:cstheme="majorBidi"/>
              </w:rPr>
            </w:pPr>
            <w:r w:rsidRPr="004F735C">
              <w:rPr>
                <w:rFonts w:asciiTheme="majorBidi" w:hAnsiTheme="majorBidi" w:cstheme="majorBidi"/>
              </w:rPr>
              <w:t>(0.0431)</w:t>
            </w:r>
          </w:p>
        </w:tc>
        <w:tc>
          <w:tcPr>
            <w:tcW w:w="0" w:type="auto"/>
            <w:tcMar>
              <w:top w:w="0" w:type="dxa"/>
              <w:left w:w="115" w:type="dxa"/>
              <w:bottom w:w="0" w:type="dxa"/>
              <w:right w:w="115" w:type="dxa"/>
            </w:tcMar>
            <w:vAlign w:val="center"/>
            <w:hideMark/>
          </w:tcPr>
          <w:p w14:paraId="645ACD4A" w14:textId="77777777" w:rsidR="00C033B5" w:rsidRPr="004F735C" w:rsidRDefault="00C033B5" w:rsidP="00C033B5">
            <w:pPr>
              <w:rPr>
                <w:rFonts w:asciiTheme="majorBidi" w:hAnsiTheme="majorBidi" w:cstheme="majorBidi"/>
              </w:rPr>
            </w:pPr>
            <w:r w:rsidRPr="004F735C">
              <w:rPr>
                <w:rFonts w:asciiTheme="majorBidi" w:hAnsiTheme="majorBidi" w:cstheme="majorBidi"/>
              </w:rPr>
              <w:t>(0.0062)</w:t>
            </w:r>
          </w:p>
        </w:tc>
        <w:tc>
          <w:tcPr>
            <w:tcW w:w="0" w:type="auto"/>
            <w:tcMar>
              <w:top w:w="0" w:type="dxa"/>
              <w:left w:w="115" w:type="dxa"/>
              <w:bottom w:w="0" w:type="dxa"/>
              <w:right w:w="115" w:type="dxa"/>
            </w:tcMar>
            <w:vAlign w:val="center"/>
            <w:hideMark/>
          </w:tcPr>
          <w:p w14:paraId="0A8269A7" w14:textId="77777777" w:rsidR="00C033B5" w:rsidRPr="004F735C" w:rsidRDefault="00C033B5" w:rsidP="00C033B5">
            <w:pPr>
              <w:rPr>
                <w:rFonts w:asciiTheme="majorBidi" w:hAnsiTheme="majorBidi" w:cstheme="majorBidi"/>
              </w:rPr>
            </w:pPr>
            <w:r w:rsidRPr="004F735C">
              <w:rPr>
                <w:rFonts w:asciiTheme="majorBidi" w:hAnsiTheme="majorBidi" w:cstheme="majorBidi"/>
              </w:rPr>
              <w:t>(6.3201)</w:t>
            </w:r>
          </w:p>
        </w:tc>
        <w:tc>
          <w:tcPr>
            <w:tcW w:w="0" w:type="auto"/>
            <w:tcMar>
              <w:top w:w="0" w:type="dxa"/>
              <w:left w:w="115" w:type="dxa"/>
              <w:bottom w:w="0" w:type="dxa"/>
              <w:right w:w="115" w:type="dxa"/>
            </w:tcMar>
            <w:vAlign w:val="center"/>
            <w:hideMark/>
          </w:tcPr>
          <w:p w14:paraId="481BD002" w14:textId="77777777" w:rsidR="00C033B5" w:rsidRPr="004F735C" w:rsidRDefault="00C033B5" w:rsidP="00C033B5">
            <w:pPr>
              <w:rPr>
                <w:rFonts w:asciiTheme="majorBidi" w:hAnsiTheme="majorBidi" w:cstheme="majorBidi"/>
              </w:rPr>
            </w:pPr>
            <w:r w:rsidRPr="004F735C">
              <w:rPr>
                <w:rFonts w:asciiTheme="majorBidi" w:hAnsiTheme="majorBidi" w:cstheme="majorBidi"/>
              </w:rPr>
              <w:t>(0.0052)</w:t>
            </w:r>
          </w:p>
        </w:tc>
        <w:tc>
          <w:tcPr>
            <w:tcW w:w="0" w:type="auto"/>
            <w:tcMar>
              <w:top w:w="0" w:type="dxa"/>
              <w:left w:w="115" w:type="dxa"/>
              <w:bottom w:w="0" w:type="dxa"/>
              <w:right w:w="115" w:type="dxa"/>
            </w:tcMar>
            <w:vAlign w:val="center"/>
            <w:hideMark/>
          </w:tcPr>
          <w:p w14:paraId="6E07BA3C" w14:textId="77777777" w:rsidR="00C033B5" w:rsidRPr="004F735C" w:rsidRDefault="00C033B5" w:rsidP="00C033B5">
            <w:pPr>
              <w:rPr>
                <w:rFonts w:asciiTheme="majorBidi" w:hAnsiTheme="majorBidi" w:cstheme="majorBidi"/>
              </w:rPr>
            </w:pPr>
            <w:r w:rsidRPr="004F735C">
              <w:rPr>
                <w:rFonts w:asciiTheme="majorBidi" w:hAnsiTheme="majorBidi" w:cstheme="majorBidi"/>
              </w:rPr>
              <w:t>(0.043-)</w:t>
            </w:r>
          </w:p>
        </w:tc>
        <w:tc>
          <w:tcPr>
            <w:tcW w:w="0" w:type="auto"/>
            <w:tcMar>
              <w:top w:w="0" w:type="dxa"/>
              <w:left w:w="115" w:type="dxa"/>
              <w:bottom w:w="0" w:type="dxa"/>
              <w:right w:w="115" w:type="dxa"/>
            </w:tcMar>
            <w:vAlign w:val="center"/>
            <w:hideMark/>
          </w:tcPr>
          <w:p w14:paraId="39808403" w14:textId="77777777" w:rsidR="00C033B5" w:rsidRPr="004F735C" w:rsidRDefault="00C033B5" w:rsidP="00C033B5">
            <w:pPr>
              <w:rPr>
                <w:rFonts w:asciiTheme="majorBidi" w:hAnsiTheme="majorBidi" w:cstheme="majorBidi"/>
              </w:rPr>
            </w:pPr>
            <w:r w:rsidRPr="004F735C">
              <w:rPr>
                <w:rFonts w:asciiTheme="majorBidi" w:hAnsiTheme="majorBidi" w:cstheme="majorBidi"/>
              </w:rPr>
              <w:t>(0.0059)</w:t>
            </w:r>
          </w:p>
        </w:tc>
      </w:tr>
      <w:tr w:rsidR="00C033B5" w:rsidRPr="00C033B5" w14:paraId="0D7829BF" w14:textId="77777777">
        <w:trPr>
          <w:trHeight w:val="143"/>
        </w:trPr>
        <w:tc>
          <w:tcPr>
            <w:tcW w:w="0" w:type="auto"/>
            <w:tcMar>
              <w:top w:w="0" w:type="dxa"/>
              <w:left w:w="115" w:type="dxa"/>
              <w:bottom w:w="0" w:type="dxa"/>
              <w:right w:w="115" w:type="dxa"/>
            </w:tcMar>
            <w:vAlign w:val="center"/>
            <w:hideMark/>
          </w:tcPr>
          <w:p w14:paraId="6A164E3C" w14:textId="77777777" w:rsidR="00C033B5" w:rsidRPr="004F735C" w:rsidRDefault="00C033B5" w:rsidP="00C033B5">
            <w:pPr>
              <w:rPr>
                <w:rFonts w:asciiTheme="majorBidi" w:hAnsiTheme="majorBidi" w:cstheme="majorBidi"/>
              </w:rPr>
            </w:pPr>
            <w:proofErr w:type="spellStart"/>
            <w:r w:rsidRPr="004F735C">
              <w:rPr>
                <w:rFonts w:asciiTheme="majorBidi" w:hAnsiTheme="majorBidi" w:cstheme="majorBidi"/>
              </w:rPr>
              <w:t>Govtbond</w:t>
            </w:r>
            <w:proofErr w:type="spellEnd"/>
          </w:p>
        </w:tc>
        <w:tc>
          <w:tcPr>
            <w:tcW w:w="0" w:type="auto"/>
            <w:tcMar>
              <w:top w:w="0" w:type="dxa"/>
              <w:left w:w="115" w:type="dxa"/>
              <w:bottom w:w="0" w:type="dxa"/>
              <w:right w:w="115" w:type="dxa"/>
            </w:tcMar>
            <w:vAlign w:val="center"/>
            <w:hideMark/>
          </w:tcPr>
          <w:p w14:paraId="74C4550C" w14:textId="77777777" w:rsidR="00C033B5" w:rsidRPr="004F735C" w:rsidRDefault="00C033B5" w:rsidP="00C033B5">
            <w:pPr>
              <w:rPr>
                <w:rFonts w:asciiTheme="majorBidi" w:hAnsiTheme="majorBidi" w:cstheme="majorBidi"/>
              </w:rPr>
            </w:pPr>
            <w:r w:rsidRPr="004F735C">
              <w:rPr>
                <w:rFonts w:asciiTheme="majorBidi" w:hAnsiTheme="majorBidi" w:cstheme="majorBidi"/>
              </w:rPr>
              <w:t>-0.5495</w:t>
            </w:r>
          </w:p>
        </w:tc>
        <w:tc>
          <w:tcPr>
            <w:tcW w:w="0" w:type="auto"/>
            <w:tcMar>
              <w:top w:w="0" w:type="dxa"/>
              <w:left w:w="115" w:type="dxa"/>
              <w:bottom w:w="0" w:type="dxa"/>
              <w:right w:w="115" w:type="dxa"/>
            </w:tcMar>
            <w:vAlign w:val="center"/>
            <w:hideMark/>
          </w:tcPr>
          <w:p w14:paraId="2AFF93DD" w14:textId="77777777" w:rsidR="00C033B5" w:rsidRPr="004F735C" w:rsidRDefault="00C033B5" w:rsidP="00C033B5">
            <w:pPr>
              <w:rPr>
                <w:rFonts w:asciiTheme="majorBidi" w:hAnsiTheme="majorBidi" w:cstheme="majorBidi"/>
              </w:rPr>
            </w:pPr>
            <w:r w:rsidRPr="004F735C">
              <w:rPr>
                <w:rFonts w:asciiTheme="majorBidi" w:hAnsiTheme="majorBidi" w:cstheme="majorBidi"/>
              </w:rPr>
              <w:t>-0.0005</w:t>
            </w:r>
          </w:p>
        </w:tc>
        <w:tc>
          <w:tcPr>
            <w:tcW w:w="0" w:type="auto"/>
            <w:tcMar>
              <w:top w:w="0" w:type="dxa"/>
              <w:left w:w="115" w:type="dxa"/>
              <w:bottom w:w="0" w:type="dxa"/>
              <w:right w:w="115" w:type="dxa"/>
            </w:tcMar>
            <w:vAlign w:val="center"/>
            <w:hideMark/>
          </w:tcPr>
          <w:p w14:paraId="29D84B58" w14:textId="77777777" w:rsidR="00C033B5" w:rsidRPr="004F735C" w:rsidRDefault="00C033B5" w:rsidP="00C033B5">
            <w:pPr>
              <w:rPr>
                <w:rFonts w:asciiTheme="majorBidi" w:hAnsiTheme="majorBidi" w:cstheme="majorBidi"/>
              </w:rPr>
            </w:pPr>
            <w:r w:rsidRPr="004F735C">
              <w:rPr>
                <w:rFonts w:asciiTheme="majorBidi" w:hAnsiTheme="majorBidi" w:cstheme="majorBidi"/>
              </w:rPr>
              <w:t>-0.0168</w:t>
            </w:r>
          </w:p>
        </w:tc>
        <w:tc>
          <w:tcPr>
            <w:tcW w:w="0" w:type="auto"/>
            <w:tcMar>
              <w:top w:w="0" w:type="dxa"/>
              <w:left w:w="115" w:type="dxa"/>
              <w:bottom w:w="0" w:type="dxa"/>
              <w:right w:w="115" w:type="dxa"/>
            </w:tcMar>
            <w:vAlign w:val="center"/>
            <w:hideMark/>
          </w:tcPr>
          <w:p w14:paraId="69CF4270" w14:textId="77777777" w:rsidR="00C033B5" w:rsidRPr="004F735C" w:rsidRDefault="00C033B5" w:rsidP="00C033B5">
            <w:pPr>
              <w:rPr>
                <w:rFonts w:asciiTheme="majorBidi" w:hAnsiTheme="majorBidi" w:cstheme="majorBidi"/>
              </w:rPr>
            </w:pPr>
            <w:r w:rsidRPr="004F735C">
              <w:rPr>
                <w:rFonts w:asciiTheme="majorBidi" w:hAnsiTheme="majorBidi" w:cstheme="majorBidi"/>
              </w:rPr>
              <w:t>-0.0024</w:t>
            </w:r>
          </w:p>
        </w:tc>
        <w:tc>
          <w:tcPr>
            <w:tcW w:w="0" w:type="auto"/>
            <w:tcMar>
              <w:top w:w="0" w:type="dxa"/>
              <w:left w:w="115" w:type="dxa"/>
              <w:bottom w:w="0" w:type="dxa"/>
              <w:right w:w="115" w:type="dxa"/>
            </w:tcMar>
            <w:vAlign w:val="center"/>
            <w:hideMark/>
          </w:tcPr>
          <w:p w14:paraId="4F34A9DD" w14:textId="77777777" w:rsidR="00C033B5" w:rsidRPr="004F735C" w:rsidRDefault="00C033B5" w:rsidP="00C033B5">
            <w:pPr>
              <w:rPr>
                <w:rFonts w:asciiTheme="majorBidi" w:hAnsiTheme="majorBidi" w:cstheme="majorBidi"/>
              </w:rPr>
            </w:pPr>
            <w:r w:rsidRPr="004F735C">
              <w:rPr>
                <w:rFonts w:asciiTheme="majorBidi" w:hAnsiTheme="majorBidi" w:cstheme="majorBidi"/>
              </w:rPr>
              <w:t>46.8467***</w:t>
            </w:r>
          </w:p>
        </w:tc>
        <w:tc>
          <w:tcPr>
            <w:tcW w:w="0" w:type="auto"/>
            <w:tcMar>
              <w:top w:w="0" w:type="dxa"/>
              <w:left w:w="115" w:type="dxa"/>
              <w:bottom w:w="0" w:type="dxa"/>
              <w:right w:w="115" w:type="dxa"/>
            </w:tcMar>
            <w:vAlign w:val="center"/>
            <w:hideMark/>
          </w:tcPr>
          <w:p w14:paraId="326561B2" w14:textId="77777777" w:rsidR="00C033B5" w:rsidRPr="004F735C" w:rsidRDefault="00C033B5" w:rsidP="00C033B5">
            <w:pPr>
              <w:rPr>
                <w:rFonts w:asciiTheme="majorBidi" w:hAnsiTheme="majorBidi" w:cstheme="majorBidi"/>
              </w:rPr>
            </w:pPr>
            <w:r w:rsidRPr="004F735C">
              <w:rPr>
                <w:rFonts w:asciiTheme="majorBidi" w:hAnsiTheme="majorBidi" w:cstheme="majorBidi"/>
              </w:rPr>
              <w:t>0.0322***</w:t>
            </w:r>
          </w:p>
        </w:tc>
        <w:tc>
          <w:tcPr>
            <w:tcW w:w="0" w:type="auto"/>
            <w:tcMar>
              <w:top w:w="0" w:type="dxa"/>
              <w:left w:w="115" w:type="dxa"/>
              <w:bottom w:w="0" w:type="dxa"/>
              <w:right w:w="115" w:type="dxa"/>
            </w:tcMar>
            <w:vAlign w:val="center"/>
            <w:hideMark/>
          </w:tcPr>
          <w:p w14:paraId="7661BE68" w14:textId="77777777" w:rsidR="00C033B5" w:rsidRPr="004F735C" w:rsidRDefault="00C033B5" w:rsidP="00C033B5">
            <w:pPr>
              <w:rPr>
                <w:rFonts w:asciiTheme="majorBidi" w:hAnsiTheme="majorBidi" w:cstheme="majorBidi"/>
              </w:rPr>
            </w:pPr>
            <w:r w:rsidRPr="004F735C">
              <w:rPr>
                <w:rFonts w:asciiTheme="majorBidi" w:hAnsiTheme="majorBidi" w:cstheme="majorBidi"/>
              </w:rPr>
              <w:t>-0.1907***</w:t>
            </w:r>
          </w:p>
        </w:tc>
        <w:tc>
          <w:tcPr>
            <w:tcW w:w="0" w:type="auto"/>
            <w:tcMar>
              <w:top w:w="0" w:type="dxa"/>
              <w:left w:w="115" w:type="dxa"/>
              <w:bottom w:w="0" w:type="dxa"/>
              <w:right w:w="115" w:type="dxa"/>
            </w:tcMar>
            <w:vAlign w:val="center"/>
            <w:hideMark/>
          </w:tcPr>
          <w:p w14:paraId="1ED28655" w14:textId="77777777" w:rsidR="00C033B5" w:rsidRPr="004F735C" w:rsidRDefault="00C033B5" w:rsidP="00C033B5">
            <w:pPr>
              <w:rPr>
                <w:rFonts w:asciiTheme="majorBidi" w:hAnsiTheme="majorBidi" w:cstheme="majorBidi"/>
              </w:rPr>
            </w:pPr>
            <w:r w:rsidRPr="004F735C">
              <w:rPr>
                <w:rFonts w:asciiTheme="majorBidi" w:hAnsiTheme="majorBidi" w:cstheme="majorBidi"/>
              </w:rPr>
              <w:t>-0.0261***</w:t>
            </w:r>
          </w:p>
        </w:tc>
      </w:tr>
      <w:tr w:rsidR="00C033B5" w:rsidRPr="00C033B5" w14:paraId="413CF818" w14:textId="77777777">
        <w:trPr>
          <w:trHeight w:val="143"/>
        </w:trPr>
        <w:tc>
          <w:tcPr>
            <w:tcW w:w="0" w:type="auto"/>
            <w:tcMar>
              <w:top w:w="0" w:type="dxa"/>
              <w:left w:w="115" w:type="dxa"/>
              <w:bottom w:w="0" w:type="dxa"/>
              <w:right w:w="115" w:type="dxa"/>
            </w:tcMar>
            <w:vAlign w:val="center"/>
            <w:hideMark/>
          </w:tcPr>
          <w:p w14:paraId="55E64712"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E4170B3" w14:textId="77777777" w:rsidR="00C033B5" w:rsidRPr="004F735C" w:rsidRDefault="00C033B5" w:rsidP="00C033B5">
            <w:pPr>
              <w:rPr>
                <w:rFonts w:asciiTheme="majorBidi" w:hAnsiTheme="majorBidi" w:cstheme="majorBidi"/>
              </w:rPr>
            </w:pPr>
            <w:r w:rsidRPr="004F735C">
              <w:rPr>
                <w:rFonts w:asciiTheme="majorBidi" w:hAnsiTheme="majorBidi" w:cstheme="majorBidi"/>
              </w:rPr>
              <w:t>(5.6406)</w:t>
            </w:r>
          </w:p>
        </w:tc>
        <w:tc>
          <w:tcPr>
            <w:tcW w:w="0" w:type="auto"/>
            <w:tcMar>
              <w:top w:w="0" w:type="dxa"/>
              <w:left w:w="115" w:type="dxa"/>
              <w:bottom w:w="0" w:type="dxa"/>
              <w:right w:w="115" w:type="dxa"/>
            </w:tcMar>
            <w:vAlign w:val="center"/>
            <w:hideMark/>
          </w:tcPr>
          <w:p w14:paraId="2F8D8A33" w14:textId="77777777" w:rsidR="00C033B5" w:rsidRPr="004F735C" w:rsidRDefault="00C033B5" w:rsidP="00C033B5">
            <w:pPr>
              <w:rPr>
                <w:rFonts w:asciiTheme="majorBidi" w:hAnsiTheme="majorBidi" w:cstheme="majorBidi"/>
              </w:rPr>
            </w:pPr>
            <w:r w:rsidRPr="004F735C">
              <w:rPr>
                <w:rFonts w:asciiTheme="majorBidi" w:hAnsiTheme="majorBidi" w:cstheme="majorBidi"/>
              </w:rPr>
              <w:t>(0.0050)</w:t>
            </w:r>
          </w:p>
        </w:tc>
        <w:tc>
          <w:tcPr>
            <w:tcW w:w="0" w:type="auto"/>
            <w:tcMar>
              <w:top w:w="0" w:type="dxa"/>
              <w:left w:w="115" w:type="dxa"/>
              <w:bottom w:w="0" w:type="dxa"/>
              <w:right w:w="115" w:type="dxa"/>
            </w:tcMar>
            <w:vAlign w:val="center"/>
            <w:hideMark/>
          </w:tcPr>
          <w:p w14:paraId="63FB9414" w14:textId="77777777" w:rsidR="00C033B5" w:rsidRPr="004F735C" w:rsidRDefault="00C033B5" w:rsidP="00C033B5">
            <w:pPr>
              <w:rPr>
                <w:rFonts w:asciiTheme="majorBidi" w:hAnsiTheme="majorBidi" w:cstheme="majorBidi"/>
              </w:rPr>
            </w:pPr>
            <w:r w:rsidRPr="004F735C">
              <w:rPr>
                <w:rFonts w:asciiTheme="majorBidi" w:hAnsiTheme="majorBidi" w:cstheme="majorBidi"/>
              </w:rPr>
              <w:t>(0.0136)</w:t>
            </w:r>
          </w:p>
        </w:tc>
        <w:tc>
          <w:tcPr>
            <w:tcW w:w="0" w:type="auto"/>
            <w:tcMar>
              <w:top w:w="0" w:type="dxa"/>
              <w:left w:w="115" w:type="dxa"/>
              <w:bottom w:w="0" w:type="dxa"/>
              <w:right w:w="115" w:type="dxa"/>
            </w:tcMar>
            <w:vAlign w:val="center"/>
            <w:hideMark/>
          </w:tcPr>
          <w:p w14:paraId="456C9D08" w14:textId="77777777" w:rsidR="00C033B5" w:rsidRPr="004F735C" w:rsidRDefault="00C033B5" w:rsidP="00C033B5">
            <w:pPr>
              <w:rPr>
                <w:rFonts w:asciiTheme="majorBidi" w:hAnsiTheme="majorBidi" w:cstheme="majorBidi"/>
              </w:rPr>
            </w:pPr>
            <w:r w:rsidRPr="004F735C">
              <w:rPr>
                <w:rFonts w:asciiTheme="majorBidi" w:hAnsiTheme="majorBidi" w:cstheme="majorBidi"/>
              </w:rPr>
              <w:t>(0.0020)</w:t>
            </w:r>
          </w:p>
        </w:tc>
        <w:tc>
          <w:tcPr>
            <w:tcW w:w="0" w:type="auto"/>
            <w:tcMar>
              <w:top w:w="0" w:type="dxa"/>
              <w:left w:w="115" w:type="dxa"/>
              <w:bottom w:w="0" w:type="dxa"/>
              <w:right w:w="115" w:type="dxa"/>
            </w:tcMar>
            <w:vAlign w:val="center"/>
            <w:hideMark/>
          </w:tcPr>
          <w:p w14:paraId="72D1069B" w14:textId="77777777" w:rsidR="00C033B5" w:rsidRPr="004F735C" w:rsidRDefault="00C033B5" w:rsidP="00C033B5">
            <w:pPr>
              <w:rPr>
                <w:rFonts w:asciiTheme="majorBidi" w:hAnsiTheme="majorBidi" w:cstheme="majorBidi"/>
              </w:rPr>
            </w:pPr>
            <w:r w:rsidRPr="004F735C">
              <w:rPr>
                <w:rFonts w:asciiTheme="majorBidi" w:hAnsiTheme="majorBidi" w:cstheme="majorBidi"/>
              </w:rPr>
              <w:t>(5.4298)</w:t>
            </w:r>
          </w:p>
        </w:tc>
        <w:tc>
          <w:tcPr>
            <w:tcW w:w="0" w:type="auto"/>
            <w:tcMar>
              <w:top w:w="0" w:type="dxa"/>
              <w:left w:w="115" w:type="dxa"/>
              <w:bottom w:w="0" w:type="dxa"/>
              <w:right w:w="115" w:type="dxa"/>
            </w:tcMar>
            <w:vAlign w:val="center"/>
            <w:hideMark/>
          </w:tcPr>
          <w:p w14:paraId="57F76C2E" w14:textId="77777777" w:rsidR="00C033B5" w:rsidRPr="004F735C" w:rsidRDefault="00C033B5" w:rsidP="00C033B5">
            <w:pPr>
              <w:rPr>
                <w:rFonts w:asciiTheme="majorBidi" w:hAnsiTheme="majorBidi" w:cstheme="majorBidi"/>
              </w:rPr>
            </w:pPr>
            <w:r w:rsidRPr="004F735C">
              <w:rPr>
                <w:rFonts w:asciiTheme="majorBidi" w:hAnsiTheme="majorBidi" w:cstheme="majorBidi"/>
              </w:rPr>
              <w:t>(0.0038)</w:t>
            </w:r>
          </w:p>
        </w:tc>
        <w:tc>
          <w:tcPr>
            <w:tcW w:w="0" w:type="auto"/>
            <w:tcMar>
              <w:top w:w="0" w:type="dxa"/>
              <w:left w:w="115" w:type="dxa"/>
              <w:bottom w:w="0" w:type="dxa"/>
              <w:right w:w="115" w:type="dxa"/>
            </w:tcMar>
            <w:vAlign w:val="center"/>
            <w:hideMark/>
          </w:tcPr>
          <w:p w14:paraId="49FE14ED" w14:textId="77777777" w:rsidR="00C033B5" w:rsidRPr="004F735C" w:rsidRDefault="00C033B5" w:rsidP="00C033B5">
            <w:pPr>
              <w:rPr>
                <w:rFonts w:asciiTheme="majorBidi" w:hAnsiTheme="majorBidi" w:cstheme="majorBidi"/>
              </w:rPr>
            </w:pPr>
            <w:r w:rsidRPr="004F735C">
              <w:rPr>
                <w:rFonts w:asciiTheme="majorBidi" w:hAnsiTheme="majorBidi" w:cstheme="majorBidi"/>
              </w:rPr>
              <w:t>(0.0139)</w:t>
            </w:r>
          </w:p>
        </w:tc>
        <w:tc>
          <w:tcPr>
            <w:tcW w:w="0" w:type="auto"/>
            <w:tcMar>
              <w:top w:w="0" w:type="dxa"/>
              <w:left w:w="115" w:type="dxa"/>
              <w:bottom w:w="0" w:type="dxa"/>
              <w:right w:w="115" w:type="dxa"/>
            </w:tcMar>
            <w:vAlign w:val="center"/>
            <w:hideMark/>
          </w:tcPr>
          <w:p w14:paraId="3375975F" w14:textId="77777777" w:rsidR="00C033B5" w:rsidRPr="004F735C" w:rsidRDefault="00C033B5" w:rsidP="00C033B5">
            <w:pPr>
              <w:rPr>
                <w:rFonts w:asciiTheme="majorBidi" w:hAnsiTheme="majorBidi" w:cstheme="majorBidi"/>
              </w:rPr>
            </w:pPr>
            <w:r w:rsidRPr="004F735C">
              <w:rPr>
                <w:rFonts w:asciiTheme="majorBidi" w:hAnsiTheme="majorBidi" w:cstheme="majorBidi"/>
              </w:rPr>
              <w:t>(0.0019)</w:t>
            </w:r>
          </w:p>
        </w:tc>
      </w:tr>
      <w:tr w:rsidR="00C033B5" w:rsidRPr="00C033B5" w14:paraId="3FC7B4F5" w14:textId="77777777">
        <w:trPr>
          <w:trHeight w:val="143"/>
        </w:trPr>
        <w:tc>
          <w:tcPr>
            <w:tcW w:w="0" w:type="auto"/>
            <w:tcMar>
              <w:top w:w="0" w:type="dxa"/>
              <w:left w:w="115" w:type="dxa"/>
              <w:bottom w:w="0" w:type="dxa"/>
              <w:right w:w="115" w:type="dxa"/>
            </w:tcMar>
            <w:vAlign w:val="center"/>
            <w:hideMark/>
          </w:tcPr>
          <w:p w14:paraId="5B068FBA" w14:textId="77777777" w:rsidR="00C033B5" w:rsidRPr="004F735C" w:rsidRDefault="00C033B5" w:rsidP="00C033B5">
            <w:pPr>
              <w:rPr>
                <w:rFonts w:asciiTheme="majorBidi" w:hAnsiTheme="majorBidi" w:cstheme="majorBidi"/>
              </w:rPr>
            </w:pPr>
            <w:r w:rsidRPr="004F735C">
              <w:rPr>
                <w:rFonts w:asciiTheme="majorBidi" w:hAnsiTheme="majorBidi" w:cstheme="majorBidi"/>
              </w:rPr>
              <w:t>_cons</w:t>
            </w:r>
          </w:p>
        </w:tc>
        <w:tc>
          <w:tcPr>
            <w:tcW w:w="0" w:type="auto"/>
            <w:tcMar>
              <w:top w:w="0" w:type="dxa"/>
              <w:left w:w="115" w:type="dxa"/>
              <w:bottom w:w="0" w:type="dxa"/>
              <w:right w:w="115" w:type="dxa"/>
            </w:tcMar>
            <w:vAlign w:val="center"/>
            <w:hideMark/>
          </w:tcPr>
          <w:p w14:paraId="25C4B8B3" w14:textId="77777777" w:rsidR="00C033B5" w:rsidRPr="004F735C" w:rsidRDefault="00C033B5" w:rsidP="00C033B5">
            <w:pPr>
              <w:rPr>
                <w:rFonts w:asciiTheme="majorBidi" w:hAnsiTheme="majorBidi" w:cstheme="majorBidi"/>
              </w:rPr>
            </w:pPr>
            <w:r w:rsidRPr="004F735C">
              <w:rPr>
                <w:rFonts w:asciiTheme="majorBidi" w:hAnsiTheme="majorBidi" w:cstheme="majorBidi"/>
              </w:rPr>
              <w:t>7.2549***</w:t>
            </w:r>
          </w:p>
        </w:tc>
        <w:tc>
          <w:tcPr>
            <w:tcW w:w="0" w:type="auto"/>
            <w:tcMar>
              <w:top w:w="0" w:type="dxa"/>
              <w:left w:w="115" w:type="dxa"/>
              <w:bottom w:w="0" w:type="dxa"/>
              <w:right w:w="115" w:type="dxa"/>
            </w:tcMar>
            <w:vAlign w:val="center"/>
            <w:hideMark/>
          </w:tcPr>
          <w:p w14:paraId="06EE749C"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4FC4663" w14:textId="77777777" w:rsidR="00C033B5" w:rsidRPr="004F735C" w:rsidRDefault="00C033B5" w:rsidP="00C033B5">
            <w:pPr>
              <w:rPr>
                <w:rFonts w:asciiTheme="majorBidi" w:hAnsiTheme="majorBidi" w:cstheme="majorBidi"/>
              </w:rPr>
            </w:pPr>
            <w:r w:rsidRPr="004F735C">
              <w:rPr>
                <w:rFonts w:asciiTheme="majorBidi" w:hAnsiTheme="majorBidi" w:cstheme="majorBidi"/>
              </w:rPr>
              <w:t>-8.2909***</w:t>
            </w:r>
          </w:p>
        </w:tc>
        <w:tc>
          <w:tcPr>
            <w:tcW w:w="0" w:type="auto"/>
            <w:tcMar>
              <w:top w:w="0" w:type="dxa"/>
              <w:left w:w="115" w:type="dxa"/>
              <w:bottom w:w="0" w:type="dxa"/>
              <w:right w:w="115" w:type="dxa"/>
            </w:tcMar>
            <w:vAlign w:val="center"/>
            <w:hideMark/>
          </w:tcPr>
          <w:p w14:paraId="5D2502E7"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FED47EF" w14:textId="77777777" w:rsidR="00C033B5" w:rsidRPr="004F735C" w:rsidRDefault="00C033B5" w:rsidP="00C033B5">
            <w:pPr>
              <w:rPr>
                <w:rFonts w:asciiTheme="majorBidi" w:hAnsiTheme="majorBidi" w:cstheme="majorBidi"/>
              </w:rPr>
            </w:pPr>
            <w:r w:rsidRPr="004F735C">
              <w:rPr>
                <w:rFonts w:asciiTheme="majorBidi" w:hAnsiTheme="majorBidi" w:cstheme="majorBidi"/>
              </w:rPr>
              <w:t>18.1541***</w:t>
            </w:r>
          </w:p>
        </w:tc>
        <w:tc>
          <w:tcPr>
            <w:tcW w:w="0" w:type="auto"/>
            <w:tcMar>
              <w:top w:w="0" w:type="dxa"/>
              <w:left w:w="115" w:type="dxa"/>
              <w:bottom w:w="0" w:type="dxa"/>
              <w:right w:w="115" w:type="dxa"/>
            </w:tcMar>
            <w:vAlign w:val="center"/>
            <w:hideMark/>
          </w:tcPr>
          <w:p w14:paraId="7CED8ADD"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FF547FB" w14:textId="77777777" w:rsidR="00C033B5" w:rsidRPr="004F735C" w:rsidRDefault="00C033B5" w:rsidP="00C033B5">
            <w:pPr>
              <w:rPr>
                <w:rFonts w:asciiTheme="majorBidi" w:hAnsiTheme="majorBidi" w:cstheme="majorBidi"/>
              </w:rPr>
            </w:pPr>
            <w:r w:rsidRPr="004F735C">
              <w:rPr>
                <w:rFonts w:asciiTheme="majorBidi" w:hAnsiTheme="majorBidi" w:cstheme="majorBidi"/>
              </w:rPr>
              <w:t>-8.0017***</w:t>
            </w:r>
          </w:p>
        </w:tc>
        <w:tc>
          <w:tcPr>
            <w:tcW w:w="0" w:type="auto"/>
            <w:tcMar>
              <w:top w:w="0" w:type="dxa"/>
              <w:left w:w="115" w:type="dxa"/>
              <w:bottom w:w="0" w:type="dxa"/>
              <w:right w:w="115" w:type="dxa"/>
            </w:tcMar>
            <w:vAlign w:val="center"/>
            <w:hideMark/>
          </w:tcPr>
          <w:p w14:paraId="3FD7403A" w14:textId="77777777" w:rsidR="00C033B5" w:rsidRPr="004F735C" w:rsidRDefault="00C033B5" w:rsidP="00C033B5">
            <w:pPr>
              <w:rPr>
                <w:rFonts w:asciiTheme="majorBidi" w:hAnsiTheme="majorBidi" w:cstheme="majorBidi"/>
              </w:rPr>
            </w:pPr>
          </w:p>
        </w:tc>
      </w:tr>
      <w:tr w:rsidR="00C033B5" w:rsidRPr="00C033B5" w14:paraId="450A3AA5" w14:textId="77777777">
        <w:trPr>
          <w:trHeight w:val="143"/>
        </w:trPr>
        <w:tc>
          <w:tcPr>
            <w:tcW w:w="0" w:type="auto"/>
            <w:tcMar>
              <w:top w:w="0" w:type="dxa"/>
              <w:left w:w="115" w:type="dxa"/>
              <w:bottom w:w="0" w:type="dxa"/>
              <w:right w:w="115" w:type="dxa"/>
            </w:tcMar>
            <w:vAlign w:val="center"/>
            <w:hideMark/>
          </w:tcPr>
          <w:p w14:paraId="6B75E435"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4C0B0DA" w14:textId="77777777" w:rsidR="00C033B5" w:rsidRPr="004F735C" w:rsidRDefault="00C033B5" w:rsidP="00C033B5">
            <w:pPr>
              <w:rPr>
                <w:rFonts w:asciiTheme="majorBidi" w:hAnsiTheme="majorBidi" w:cstheme="majorBidi"/>
              </w:rPr>
            </w:pPr>
            <w:r w:rsidRPr="004F735C">
              <w:rPr>
                <w:rFonts w:asciiTheme="majorBidi" w:hAnsiTheme="majorBidi" w:cstheme="majorBidi"/>
              </w:rPr>
              <w:t>(1.1786)</w:t>
            </w:r>
          </w:p>
        </w:tc>
        <w:tc>
          <w:tcPr>
            <w:tcW w:w="0" w:type="auto"/>
            <w:tcMar>
              <w:top w:w="0" w:type="dxa"/>
              <w:left w:w="115" w:type="dxa"/>
              <w:bottom w:w="0" w:type="dxa"/>
              <w:right w:w="115" w:type="dxa"/>
            </w:tcMar>
            <w:vAlign w:val="center"/>
            <w:hideMark/>
          </w:tcPr>
          <w:p w14:paraId="0F4D6EBE"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89E36CE" w14:textId="77777777" w:rsidR="00C033B5" w:rsidRPr="004F735C" w:rsidRDefault="00C033B5" w:rsidP="00C033B5">
            <w:pPr>
              <w:rPr>
                <w:rFonts w:asciiTheme="majorBidi" w:hAnsiTheme="majorBidi" w:cstheme="majorBidi"/>
              </w:rPr>
            </w:pPr>
            <w:r w:rsidRPr="004F735C">
              <w:rPr>
                <w:rFonts w:asciiTheme="majorBidi" w:hAnsiTheme="majorBidi" w:cstheme="majorBidi"/>
              </w:rPr>
              <w:t>(0.1980)</w:t>
            </w:r>
          </w:p>
        </w:tc>
        <w:tc>
          <w:tcPr>
            <w:tcW w:w="0" w:type="auto"/>
            <w:tcMar>
              <w:top w:w="0" w:type="dxa"/>
              <w:left w:w="115" w:type="dxa"/>
              <w:bottom w:w="0" w:type="dxa"/>
              <w:right w:w="115" w:type="dxa"/>
            </w:tcMar>
            <w:vAlign w:val="center"/>
            <w:hideMark/>
          </w:tcPr>
          <w:p w14:paraId="58A95720"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3803BBE" w14:textId="77777777" w:rsidR="00C033B5" w:rsidRPr="004F735C" w:rsidRDefault="00C033B5" w:rsidP="00C033B5">
            <w:pPr>
              <w:rPr>
                <w:rFonts w:asciiTheme="majorBidi" w:hAnsiTheme="majorBidi" w:cstheme="majorBidi"/>
              </w:rPr>
            </w:pPr>
            <w:r w:rsidRPr="004F735C">
              <w:rPr>
                <w:rFonts w:asciiTheme="majorBidi" w:hAnsiTheme="majorBidi" w:cstheme="majorBidi"/>
              </w:rPr>
              <w:t>(1.5538)</w:t>
            </w:r>
          </w:p>
        </w:tc>
        <w:tc>
          <w:tcPr>
            <w:tcW w:w="0" w:type="auto"/>
            <w:tcMar>
              <w:top w:w="0" w:type="dxa"/>
              <w:left w:w="115" w:type="dxa"/>
              <w:bottom w:w="0" w:type="dxa"/>
              <w:right w:w="115" w:type="dxa"/>
            </w:tcMar>
            <w:vAlign w:val="center"/>
            <w:hideMark/>
          </w:tcPr>
          <w:p w14:paraId="1980CF0D"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D93F644" w14:textId="77777777" w:rsidR="00C033B5" w:rsidRPr="004F735C" w:rsidRDefault="00C033B5" w:rsidP="00C033B5">
            <w:pPr>
              <w:rPr>
                <w:rFonts w:asciiTheme="majorBidi" w:hAnsiTheme="majorBidi" w:cstheme="majorBidi"/>
              </w:rPr>
            </w:pPr>
            <w:r w:rsidRPr="004F735C">
              <w:rPr>
                <w:rFonts w:asciiTheme="majorBidi" w:hAnsiTheme="majorBidi" w:cstheme="majorBidi"/>
              </w:rPr>
              <w:t>(0.1970)</w:t>
            </w:r>
          </w:p>
        </w:tc>
        <w:tc>
          <w:tcPr>
            <w:tcW w:w="0" w:type="auto"/>
            <w:tcMar>
              <w:top w:w="0" w:type="dxa"/>
              <w:left w:w="115" w:type="dxa"/>
              <w:bottom w:w="0" w:type="dxa"/>
              <w:right w:w="115" w:type="dxa"/>
            </w:tcMar>
            <w:vAlign w:val="center"/>
            <w:hideMark/>
          </w:tcPr>
          <w:p w14:paraId="305B9906" w14:textId="77777777" w:rsidR="00C033B5" w:rsidRPr="004F735C" w:rsidRDefault="00C033B5" w:rsidP="00C033B5">
            <w:pPr>
              <w:rPr>
                <w:rFonts w:asciiTheme="majorBidi" w:hAnsiTheme="majorBidi" w:cstheme="majorBidi"/>
              </w:rPr>
            </w:pPr>
          </w:p>
        </w:tc>
      </w:tr>
      <w:tr w:rsidR="00C033B5" w:rsidRPr="00C033B5" w14:paraId="23F186BA" w14:textId="77777777">
        <w:trPr>
          <w:trHeight w:val="143"/>
        </w:trPr>
        <w:tc>
          <w:tcPr>
            <w:tcW w:w="0" w:type="auto"/>
            <w:tcMar>
              <w:top w:w="0" w:type="dxa"/>
              <w:left w:w="115" w:type="dxa"/>
              <w:bottom w:w="0" w:type="dxa"/>
              <w:right w:w="115" w:type="dxa"/>
            </w:tcMar>
            <w:vAlign w:val="center"/>
            <w:hideMark/>
          </w:tcPr>
          <w:p w14:paraId="3478A003" w14:textId="77777777" w:rsidR="00C033B5" w:rsidRPr="004F735C" w:rsidRDefault="00C033B5" w:rsidP="00C033B5">
            <w:pPr>
              <w:rPr>
                <w:rFonts w:asciiTheme="majorBidi" w:hAnsiTheme="majorBidi" w:cstheme="majorBidi"/>
              </w:rPr>
            </w:pPr>
            <w:r w:rsidRPr="004F735C">
              <w:rPr>
                <w:rFonts w:asciiTheme="majorBidi" w:hAnsiTheme="majorBidi" w:cstheme="majorBidi"/>
              </w:rPr>
              <w:t>Pseudo - r squared</w:t>
            </w:r>
          </w:p>
        </w:tc>
        <w:tc>
          <w:tcPr>
            <w:tcW w:w="0" w:type="auto"/>
            <w:tcMar>
              <w:top w:w="0" w:type="dxa"/>
              <w:left w:w="115" w:type="dxa"/>
              <w:bottom w:w="0" w:type="dxa"/>
              <w:right w:w="115" w:type="dxa"/>
            </w:tcMar>
            <w:vAlign w:val="center"/>
            <w:hideMark/>
          </w:tcPr>
          <w:p w14:paraId="129F654A" w14:textId="77777777" w:rsidR="00C033B5" w:rsidRPr="004F735C" w:rsidRDefault="00C033B5" w:rsidP="00C033B5">
            <w:pPr>
              <w:rPr>
                <w:rFonts w:asciiTheme="majorBidi" w:hAnsiTheme="majorBidi" w:cstheme="majorBidi"/>
              </w:rPr>
            </w:pPr>
            <w:r w:rsidRPr="004F735C">
              <w:rPr>
                <w:rFonts w:asciiTheme="majorBidi" w:hAnsiTheme="majorBidi" w:cstheme="majorBidi"/>
              </w:rPr>
              <w:t>0.2927</w:t>
            </w:r>
          </w:p>
        </w:tc>
        <w:tc>
          <w:tcPr>
            <w:tcW w:w="0" w:type="auto"/>
            <w:tcMar>
              <w:top w:w="0" w:type="dxa"/>
              <w:left w:w="115" w:type="dxa"/>
              <w:bottom w:w="0" w:type="dxa"/>
              <w:right w:w="115" w:type="dxa"/>
            </w:tcMar>
            <w:vAlign w:val="center"/>
            <w:hideMark/>
          </w:tcPr>
          <w:p w14:paraId="07FD8554"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3F098E5" w14:textId="77777777" w:rsidR="00C033B5" w:rsidRPr="004F735C" w:rsidRDefault="00C033B5" w:rsidP="00C033B5">
            <w:pPr>
              <w:rPr>
                <w:rFonts w:asciiTheme="majorBidi" w:hAnsiTheme="majorBidi" w:cstheme="majorBidi"/>
              </w:rPr>
            </w:pPr>
            <w:r w:rsidRPr="004F735C">
              <w:rPr>
                <w:rFonts w:asciiTheme="majorBidi" w:hAnsiTheme="majorBidi" w:cstheme="majorBidi"/>
              </w:rPr>
              <w:t>0.0518</w:t>
            </w:r>
          </w:p>
        </w:tc>
        <w:tc>
          <w:tcPr>
            <w:tcW w:w="0" w:type="auto"/>
            <w:tcMar>
              <w:top w:w="0" w:type="dxa"/>
              <w:left w:w="115" w:type="dxa"/>
              <w:bottom w:w="0" w:type="dxa"/>
              <w:right w:w="115" w:type="dxa"/>
            </w:tcMar>
            <w:vAlign w:val="center"/>
            <w:hideMark/>
          </w:tcPr>
          <w:p w14:paraId="60265791"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9FA2F5E" w14:textId="77777777" w:rsidR="00C033B5" w:rsidRPr="004F735C" w:rsidRDefault="00C033B5" w:rsidP="00C033B5">
            <w:pPr>
              <w:rPr>
                <w:rFonts w:asciiTheme="majorBidi" w:hAnsiTheme="majorBidi" w:cstheme="majorBidi"/>
              </w:rPr>
            </w:pPr>
            <w:r w:rsidRPr="004F735C">
              <w:rPr>
                <w:rFonts w:asciiTheme="majorBidi" w:hAnsiTheme="majorBidi" w:cstheme="majorBidi"/>
              </w:rPr>
              <w:t>0.2962</w:t>
            </w:r>
          </w:p>
        </w:tc>
        <w:tc>
          <w:tcPr>
            <w:tcW w:w="0" w:type="auto"/>
            <w:tcMar>
              <w:top w:w="0" w:type="dxa"/>
              <w:left w:w="115" w:type="dxa"/>
              <w:bottom w:w="0" w:type="dxa"/>
              <w:right w:w="115" w:type="dxa"/>
            </w:tcMar>
            <w:vAlign w:val="center"/>
            <w:hideMark/>
          </w:tcPr>
          <w:p w14:paraId="4DF7ECE2" w14:textId="77777777" w:rsidR="00C033B5" w:rsidRPr="004F735C"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B477BBC" w14:textId="77777777" w:rsidR="00C033B5" w:rsidRPr="004F735C" w:rsidRDefault="00C033B5" w:rsidP="00C033B5">
            <w:pPr>
              <w:rPr>
                <w:rFonts w:asciiTheme="majorBidi" w:hAnsiTheme="majorBidi" w:cstheme="majorBidi"/>
              </w:rPr>
            </w:pPr>
            <w:r w:rsidRPr="004F735C">
              <w:rPr>
                <w:rFonts w:asciiTheme="majorBidi" w:hAnsiTheme="majorBidi" w:cstheme="majorBidi"/>
              </w:rPr>
              <w:t>0.0583</w:t>
            </w:r>
          </w:p>
        </w:tc>
        <w:tc>
          <w:tcPr>
            <w:tcW w:w="0" w:type="auto"/>
            <w:tcMar>
              <w:top w:w="0" w:type="dxa"/>
              <w:left w:w="115" w:type="dxa"/>
              <w:bottom w:w="0" w:type="dxa"/>
              <w:right w:w="115" w:type="dxa"/>
            </w:tcMar>
            <w:vAlign w:val="center"/>
            <w:hideMark/>
          </w:tcPr>
          <w:p w14:paraId="4062A8C6" w14:textId="77777777" w:rsidR="00C033B5" w:rsidRPr="004F735C" w:rsidRDefault="00C033B5" w:rsidP="00C033B5">
            <w:pPr>
              <w:rPr>
                <w:rFonts w:asciiTheme="majorBidi" w:hAnsiTheme="majorBidi" w:cstheme="majorBidi"/>
              </w:rPr>
            </w:pPr>
          </w:p>
        </w:tc>
      </w:tr>
      <w:tr w:rsidR="00C033B5" w:rsidRPr="00C033B5" w14:paraId="7F65C10E" w14:textId="77777777">
        <w:trPr>
          <w:trHeight w:val="143"/>
        </w:trPr>
        <w:tc>
          <w:tcPr>
            <w:tcW w:w="0" w:type="auto"/>
            <w:tcBorders>
              <w:bottom w:val="single" w:sz="4" w:space="0" w:color="000000"/>
            </w:tcBorders>
            <w:tcMar>
              <w:top w:w="0" w:type="dxa"/>
              <w:left w:w="115" w:type="dxa"/>
              <w:bottom w:w="0" w:type="dxa"/>
              <w:right w:w="115" w:type="dxa"/>
            </w:tcMar>
            <w:vAlign w:val="center"/>
            <w:hideMark/>
          </w:tcPr>
          <w:p w14:paraId="03CA5C66" w14:textId="77777777" w:rsidR="00C033B5" w:rsidRPr="004F735C" w:rsidRDefault="00C033B5" w:rsidP="00C033B5">
            <w:pPr>
              <w:rPr>
                <w:rFonts w:asciiTheme="majorBidi" w:hAnsiTheme="majorBidi" w:cstheme="majorBidi"/>
              </w:rPr>
            </w:pPr>
            <w:r w:rsidRPr="004F735C">
              <w:rPr>
                <w:rFonts w:asciiTheme="majorBidi" w:hAnsiTheme="majorBidi" w:cstheme="majorBidi"/>
              </w:rPr>
              <w:t>N</w:t>
            </w:r>
          </w:p>
        </w:tc>
        <w:tc>
          <w:tcPr>
            <w:tcW w:w="0" w:type="auto"/>
            <w:tcBorders>
              <w:bottom w:val="single" w:sz="4" w:space="0" w:color="000000"/>
            </w:tcBorders>
            <w:tcMar>
              <w:top w:w="0" w:type="dxa"/>
              <w:left w:w="115" w:type="dxa"/>
              <w:bottom w:w="0" w:type="dxa"/>
              <w:right w:w="115" w:type="dxa"/>
            </w:tcMar>
            <w:vAlign w:val="center"/>
            <w:hideMark/>
          </w:tcPr>
          <w:p w14:paraId="05476BD5" w14:textId="77777777" w:rsidR="00C033B5" w:rsidRPr="004F735C" w:rsidRDefault="00C033B5" w:rsidP="00C033B5">
            <w:pPr>
              <w:rPr>
                <w:rFonts w:asciiTheme="majorBidi" w:hAnsiTheme="majorBidi" w:cstheme="majorBidi"/>
              </w:rPr>
            </w:pPr>
            <w:r w:rsidRPr="004F735C">
              <w:rPr>
                <w:rFonts w:asciiTheme="majorBidi" w:hAnsiTheme="majorBidi" w:cstheme="majorBidi"/>
              </w:rPr>
              <w:t>1,404,090</w:t>
            </w:r>
          </w:p>
        </w:tc>
        <w:tc>
          <w:tcPr>
            <w:tcW w:w="0" w:type="auto"/>
            <w:tcBorders>
              <w:bottom w:val="single" w:sz="4" w:space="0" w:color="000000"/>
            </w:tcBorders>
            <w:tcMar>
              <w:top w:w="0" w:type="dxa"/>
              <w:left w:w="115" w:type="dxa"/>
              <w:bottom w:w="0" w:type="dxa"/>
              <w:right w:w="115" w:type="dxa"/>
            </w:tcMar>
            <w:vAlign w:val="center"/>
            <w:hideMark/>
          </w:tcPr>
          <w:p w14:paraId="20007564" w14:textId="77777777" w:rsidR="00C033B5" w:rsidRPr="004F735C" w:rsidRDefault="00C033B5" w:rsidP="00C033B5">
            <w:pPr>
              <w:rPr>
                <w:rFonts w:asciiTheme="majorBidi" w:hAnsiTheme="majorBidi" w:cstheme="majorBidi"/>
              </w:rPr>
            </w:pPr>
            <w:r w:rsidRPr="004F735C">
              <w:rPr>
                <w:rFonts w:asciiTheme="majorBidi" w:hAnsiTheme="majorBidi" w:cstheme="majorBidi"/>
              </w:rPr>
              <w:t>1,404,090</w:t>
            </w:r>
          </w:p>
        </w:tc>
        <w:tc>
          <w:tcPr>
            <w:tcW w:w="0" w:type="auto"/>
            <w:tcBorders>
              <w:bottom w:val="single" w:sz="4" w:space="0" w:color="000000"/>
            </w:tcBorders>
            <w:tcMar>
              <w:top w:w="0" w:type="dxa"/>
              <w:left w:w="115" w:type="dxa"/>
              <w:bottom w:w="0" w:type="dxa"/>
              <w:right w:w="115" w:type="dxa"/>
            </w:tcMar>
            <w:vAlign w:val="center"/>
            <w:hideMark/>
          </w:tcPr>
          <w:p w14:paraId="4CA43AD8" w14:textId="77777777" w:rsidR="00C033B5" w:rsidRPr="004F735C" w:rsidRDefault="00C033B5" w:rsidP="00C033B5">
            <w:pPr>
              <w:rPr>
                <w:rFonts w:asciiTheme="majorBidi" w:hAnsiTheme="majorBidi" w:cstheme="majorBidi"/>
              </w:rPr>
            </w:pPr>
            <w:r w:rsidRPr="004F735C">
              <w:rPr>
                <w:rFonts w:asciiTheme="majorBidi" w:hAnsiTheme="majorBidi" w:cstheme="majorBidi"/>
              </w:rPr>
              <w:t>213,088</w:t>
            </w:r>
          </w:p>
        </w:tc>
        <w:tc>
          <w:tcPr>
            <w:tcW w:w="0" w:type="auto"/>
            <w:tcBorders>
              <w:bottom w:val="single" w:sz="4" w:space="0" w:color="000000"/>
            </w:tcBorders>
            <w:tcMar>
              <w:top w:w="0" w:type="dxa"/>
              <w:left w:w="115" w:type="dxa"/>
              <w:bottom w:w="0" w:type="dxa"/>
              <w:right w:w="115" w:type="dxa"/>
            </w:tcMar>
            <w:vAlign w:val="center"/>
            <w:hideMark/>
          </w:tcPr>
          <w:p w14:paraId="53724F2D" w14:textId="77777777" w:rsidR="00C033B5" w:rsidRPr="004F735C" w:rsidRDefault="00C033B5" w:rsidP="00C033B5">
            <w:pPr>
              <w:rPr>
                <w:rFonts w:asciiTheme="majorBidi" w:hAnsiTheme="majorBidi" w:cstheme="majorBidi"/>
              </w:rPr>
            </w:pPr>
            <w:r w:rsidRPr="004F735C">
              <w:rPr>
                <w:rFonts w:asciiTheme="majorBidi" w:hAnsiTheme="majorBidi" w:cstheme="majorBidi"/>
              </w:rPr>
              <w:t>213,088</w:t>
            </w:r>
          </w:p>
        </w:tc>
        <w:tc>
          <w:tcPr>
            <w:tcW w:w="0" w:type="auto"/>
            <w:tcBorders>
              <w:bottom w:val="single" w:sz="4" w:space="0" w:color="000000"/>
            </w:tcBorders>
            <w:tcMar>
              <w:top w:w="0" w:type="dxa"/>
              <w:left w:w="115" w:type="dxa"/>
              <w:bottom w:w="0" w:type="dxa"/>
              <w:right w:w="115" w:type="dxa"/>
            </w:tcMar>
            <w:vAlign w:val="center"/>
            <w:hideMark/>
          </w:tcPr>
          <w:p w14:paraId="635461F7" w14:textId="77777777" w:rsidR="00C033B5" w:rsidRPr="004F735C" w:rsidRDefault="00C033B5" w:rsidP="00C033B5">
            <w:pPr>
              <w:rPr>
                <w:rFonts w:asciiTheme="majorBidi" w:hAnsiTheme="majorBidi" w:cstheme="majorBidi"/>
              </w:rPr>
            </w:pPr>
            <w:r w:rsidRPr="004F735C">
              <w:rPr>
                <w:rFonts w:asciiTheme="majorBidi" w:hAnsiTheme="majorBidi" w:cstheme="majorBidi"/>
              </w:rPr>
              <w:t>1,404,090</w:t>
            </w:r>
          </w:p>
        </w:tc>
        <w:tc>
          <w:tcPr>
            <w:tcW w:w="0" w:type="auto"/>
            <w:tcBorders>
              <w:bottom w:val="single" w:sz="4" w:space="0" w:color="000000"/>
            </w:tcBorders>
            <w:tcMar>
              <w:top w:w="0" w:type="dxa"/>
              <w:left w:w="115" w:type="dxa"/>
              <w:bottom w:w="0" w:type="dxa"/>
              <w:right w:w="115" w:type="dxa"/>
            </w:tcMar>
            <w:vAlign w:val="center"/>
            <w:hideMark/>
          </w:tcPr>
          <w:p w14:paraId="373F1ACC" w14:textId="77777777" w:rsidR="00C033B5" w:rsidRPr="004F735C" w:rsidRDefault="00C033B5" w:rsidP="00C033B5">
            <w:pPr>
              <w:rPr>
                <w:rFonts w:asciiTheme="majorBidi" w:hAnsiTheme="majorBidi" w:cstheme="majorBidi"/>
              </w:rPr>
            </w:pPr>
            <w:r w:rsidRPr="004F735C">
              <w:rPr>
                <w:rFonts w:asciiTheme="majorBidi" w:hAnsiTheme="majorBidi" w:cstheme="majorBidi"/>
              </w:rPr>
              <w:t>1,404,090</w:t>
            </w:r>
          </w:p>
        </w:tc>
        <w:tc>
          <w:tcPr>
            <w:tcW w:w="0" w:type="auto"/>
            <w:tcBorders>
              <w:bottom w:val="single" w:sz="4" w:space="0" w:color="000000"/>
            </w:tcBorders>
            <w:tcMar>
              <w:top w:w="0" w:type="dxa"/>
              <w:left w:w="115" w:type="dxa"/>
              <w:bottom w:w="0" w:type="dxa"/>
              <w:right w:w="115" w:type="dxa"/>
            </w:tcMar>
            <w:vAlign w:val="center"/>
            <w:hideMark/>
          </w:tcPr>
          <w:p w14:paraId="0AF3C454" w14:textId="77777777" w:rsidR="00C033B5" w:rsidRPr="004F735C" w:rsidRDefault="00C033B5" w:rsidP="00C033B5">
            <w:pPr>
              <w:rPr>
                <w:rFonts w:asciiTheme="majorBidi" w:hAnsiTheme="majorBidi" w:cstheme="majorBidi"/>
              </w:rPr>
            </w:pPr>
            <w:r w:rsidRPr="004F735C">
              <w:rPr>
                <w:rFonts w:asciiTheme="majorBidi" w:hAnsiTheme="majorBidi" w:cstheme="majorBidi"/>
              </w:rPr>
              <w:t>213,088</w:t>
            </w:r>
          </w:p>
        </w:tc>
        <w:tc>
          <w:tcPr>
            <w:tcW w:w="0" w:type="auto"/>
            <w:tcBorders>
              <w:bottom w:val="single" w:sz="4" w:space="0" w:color="000000"/>
            </w:tcBorders>
            <w:tcMar>
              <w:top w:w="0" w:type="dxa"/>
              <w:left w:w="115" w:type="dxa"/>
              <w:bottom w:w="0" w:type="dxa"/>
              <w:right w:w="115" w:type="dxa"/>
            </w:tcMar>
            <w:vAlign w:val="center"/>
            <w:hideMark/>
          </w:tcPr>
          <w:p w14:paraId="44BF712E" w14:textId="77777777" w:rsidR="00C033B5" w:rsidRPr="004F735C" w:rsidRDefault="00C033B5" w:rsidP="00C033B5">
            <w:pPr>
              <w:rPr>
                <w:rFonts w:asciiTheme="majorBidi" w:hAnsiTheme="majorBidi" w:cstheme="majorBidi"/>
              </w:rPr>
            </w:pPr>
            <w:r w:rsidRPr="004F735C">
              <w:rPr>
                <w:rFonts w:asciiTheme="majorBidi" w:hAnsiTheme="majorBidi" w:cstheme="majorBidi"/>
              </w:rPr>
              <w:t>213,088</w:t>
            </w:r>
          </w:p>
        </w:tc>
      </w:tr>
      <w:tr w:rsidR="00C033B5" w:rsidRPr="00C033B5" w14:paraId="54B98F09" w14:textId="77777777">
        <w:trPr>
          <w:trHeight w:val="143"/>
        </w:trPr>
        <w:tc>
          <w:tcPr>
            <w:tcW w:w="0" w:type="auto"/>
            <w:gridSpan w:val="9"/>
            <w:tcBorders>
              <w:top w:val="single" w:sz="4" w:space="0" w:color="000000"/>
            </w:tcBorders>
            <w:tcMar>
              <w:top w:w="0" w:type="dxa"/>
              <w:left w:w="115" w:type="dxa"/>
              <w:bottom w:w="0" w:type="dxa"/>
              <w:right w:w="115" w:type="dxa"/>
            </w:tcMar>
            <w:vAlign w:val="center"/>
            <w:hideMark/>
          </w:tcPr>
          <w:p w14:paraId="7DAC43FF" w14:textId="77777777" w:rsidR="00C033B5" w:rsidRPr="004F735C" w:rsidRDefault="00C033B5" w:rsidP="00C033B5">
            <w:pPr>
              <w:rPr>
                <w:rFonts w:asciiTheme="majorBidi" w:hAnsiTheme="majorBidi" w:cstheme="majorBidi"/>
              </w:rPr>
            </w:pPr>
            <w:r w:rsidRPr="004F735C">
              <w:rPr>
                <w:rFonts w:asciiTheme="majorBidi" w:hAnsiTheme="majorBidi" w:cstheme="majorBidi"/>
                <w:i/>
                <w:iCs/>
              </w:rPr>
              <w:t>Note: The table reports the logit regression and fractional regression analysis for the impact of skin in the game on likelihood of default and severity of default respectively. The results for likelihood of default and severity of default are reported in Panel A and Panel B respectively. Specification (1a) and Specification (2a) in Panel A reports the logit coefficients for claims and notes respectively for likelihood of default. Specification (1b) and Specification (2b) reports the margins for claims and notes respectively for likelihood of default. Specification (3a) and Specification (4a) in Panel B reports the fractional logit coefficients for claims and notes respectively for severity of default. Specification (3b) and Specification (4b) reports the margins for claims and notes respectively for severity of default.  All specifications of the model employ robust standard errors in parentheses. *, **, *** indicate significance at 10%, 5%, and 1% levels respectively.</w:t>
            </w:r>
          </w:p>
        </w:tc>
      </w:tr>
    </w:tbl>
    <w:p w14:paraId="30FFEEA5" w14:textId="77777777" w:rsidR="00746567" w:rsidRDefault="00C033B5" w:rsidP="00746567">
      <w:r w:rsidRPr="00C033B5">
        <w:br/>
      </w:r>
      <w:r w:rsidRPr="00C033B5">
        <w:br/>
      </w:r>
    </w:p>
    <w:p w14:paraId="58B4862A" w14:textId="77777777" w:rsidR="00CC0525" w:rsidRDefault="00CC0525" w:rsidP="00746567"/>
    <w:p w14:paraId="334488AE" w14:textId="77777777" w:rsidR="00CC0525" w:rsidRDefault="00CC0525" w:rsidP="00746567"/>
    <w:p w14:paraId="0FF0ECE6" w14:textId="77777777" w:rsidR="00CC0525" w:rsidRDefault="00CC0525" w:rsidP="00746567"/>
    <w:p w14:paraId="440F23CE" w14:textId="02CDECBE" w:rsidR="00C033B5" w:rsidRPr="00746567" w:rsidRDefault="00C033B5" w:rsidP="00746567">
      <w:pPr>
        <w:jc w:val="center"/>
        <w:rPr>
          <w:rFonts w:asciiTheme="majorBidi" w:hAnsiTheme="majorBidi" w:cstheme="majorBidi"/>
        </w:rPr>
      </w:pPr>
      <w:r w:rsidRPr="00746567">
        <w:rPr>
          <w:rFonts w:asciiTheme="majorBidi" w:hAnsiTheme="majorBidi" w:cstheme="majorBidi"/>
          <w:b/>
          <w:bCs/>
        </w:rPr>
        <w:t>Appendix Table A7</w:t>
      </w:r>
      <w:r w:rsidRPr="00746567">
        <w:rPr>
          <w:rFonts w:asciiTheme="majorBidi" w:hAnsiTheme="majorBidi" w:cstheme="majorBidi"/>
        </w:rPr>
        <w:t>: Testing for equality of coefficients</w:t>
      </w:r>
    </w:p>
    <w:tbl>
      <w:tblPr>
        <w:tblW w:w="0" w:type="auto"/>
        <w:jc w:val="right"/>
        <w:tblCellMar>
          <w:top w:w="15" w:type="dxa"/>
          <w:left w:w="15" w:type="dxa"/>
          <w:bottom w:w="15" w:type="dxa"/>
          <w:right w:w="15" w:type="dxa"/>
        </w:tblCellMar>
        <w:tblLook w:val="04A0" w:firstRow="1" w:lastRow="0" w:firstColumn="1" w:lastColumn="0" w:noHBand="0" w:noVBand="1"/>
      </w:tblPr>
      <w:tblGrid>
        <w:gridCol w:w="1423"/>
        <w:gridCol w:w="1254"/>
        <w:gridCol w:w="1576"/>
        <w:gridCol w:w="1185"/>
        <w:gridCol w:w="1576"/>
        <w:gridCol w:w="2012"/>
      </w:tblGrid>
      <w:tr w:rsidR="00C033B5" w:rsidRPr="00746567" w14:paraId="5DB06C5E" w14:textId="77777777">
        <w:trPr>
          <w:trHeight w:val="20"/>
          <w:jc w:val="right"/>
        </w:trPr>
        <w:tc>
          <w:tcPr>
            <w:tcW w:w="0" w:type="auto"/>
            <w:tcBorders>
              <w:top w:val="single" w:sz="4" w:space="0" w:color="000000"/>
              <w:bottom w:val="single" w:sz="4" w:space="0" w:color="000000"/>
            </w:tcBorders>
            <w:tcMar>
              <w:top w:w="0" w:type="dxa"/>
              <w:left w:w="115" w:type="dxa"/>
              <w:bottom w:w="0" w:type="dxa"/>
              <w:right w:w="115" w:type="dxa"/>
            </w:tcMar>
            <w:hideMark/>
          </w:tcPr>
          <w:p w14:paraId="13DD6616"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lastRenderedPageBreak/>
              <w:t>Variables</w:t>
            </w:r>
          </w:p>
        </w:tc>
        <w:tc>
          <w:tcPr>
            <w:tcW w:w="0" w:type="auto"/>
            <w:tcBorders>
              <w:top w:val="single" w:sz="4" w:space="0" w:color="000000"/>
              <w:bottom w:val="single" w:sz="4" w:space="0" w:color="000000"/>
            </w:tcBorders>
            <w:tcMar>
              <w:top w:w="0" w:type="dxa"/>
              <w:left w:w="115" w:type="dxa"/>
              <w:bottom w:w="0" w:type="dxa"/>
              <w:right w:w="115" w:type="dxa"/>
            </w:tcMar>
            <w:hideMark/>
          </w:tcPr>
          <w:p w14:paraId="2FA22213"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Claims</w:t>
            </w:r>
          </w:p>
        </w:tc>
        <w:tc>
          <w:tcPr>
            <w:tcW w:w="0" w:type="auto"/>
            <w:tcBorders>
              <w:top w:val="single" w:sz="4" w:space="0" w:color="000000"/>
              <w:bottom w:val="single" w:sz="4" w:space="0" w:color="000000"/>
            </w:tcBorders>
            <w:tcMar>
              <w:top w:w="0" w:type="dxa"/>
              <w:left w:w="115" w:type="dxa"/>
              <w:bottom w:w="0" w:type="dxa"/>
              <w:right w:w="115" w:type="dxa"/>
            </w:tcMar>
            <w:hideMark/>
          </w:tcPr>
          <w:p w14:paraId="7A0202B3"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Coefficient</w:t>
            </w:r>
          </w:p>
        </w:tc>
        <w:tc>
          <w:tcPr>
            <w:tcW w:w="0" w:type="auto"/>
            <w:tcBorders>
              <w:top w:val="single" w:sz="4" w:space="0" w:color="000000"/>
              <w:bottom w:val="single" w:sz="4" w:space="0" w:color="000000"/>
            </w:tcBorders>
            <w:tcMar>
              <w:top w:w="0" w:type="dxa"/>
              <w:left w:w="115" w:type="dxa"/>
              <w:bottom w:w="0" w:type="dxa"/>
              <w:right w:w="115" w:type="dxa"/>
            </w:tcMar>
            <w:hideMark/>
          </w:tcPr>
          <w:p w14:paraId="3A2E7807"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Notes</w:t>
            </w:r>
          </w:p>
        </w:tc>
        <w:tc>
          <w:tcPr>
            <w:tcW w:w="0" w:type="auto"/>
            <w:tcBorders>
              <w:top w:val="single" w:sz="4" w:space="0" w:color="000000"/>
              <w:bottom w:val="single" w:sz="4" w:space="0" w:color="000000"/>
            </w:tcBorders>
            <w:tcMar>
              <w:top w:w="0" w:type="dxa"/>
              <w:left w:w="115" w:type="dxa"/>
              <w:bottom w:w="0" w:type="dxa"/>
              <w:right w:w="115" w:type="dxa"/>
            </w:tcMar>
            <w:hideMark/>
          </w:tcPr>
          <w:p w14:paraId="23BF66B5"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Coefficient</w:t>
            </w:r>
          </w:p>
        </w:tc>
        <w:tc>
          <w:tcPr>
            <w:tcW w:w="0" w:type="auto"/>
            <w:tcBorders>
              <w:top w:val="single" w:sz="4" w:space="0" w:color="000000"/>
              <w:bottom w:val="single" w:sz="4" w:space="0" w:color="000000"/>
            </w:tcBorders>
            <w:tcMar>
              <w:top w:w="0" w:type="dxa"/>
              <w:left w:w="115" w:type="dxa"/>
              <w:bottom w:w="0" w:type="dxa"/>
              <w:right w:w="115" w:type="dxa"/>
            </w:tcMar>
            <w:hideMark/>
          </w:tcPr>
          <w:p w14:paraId="00D3F025"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Chi-square statistic (X</w:t>
            </w:r>
            <w:r w:rsidRPr="00746567">
              <w:rPr>
                <w:rFonts w:asciiTheme="majorBidi" w:hAnsiTheme="majorBidi" w:cstheme="majorBidi"/>
                <w:b/>
                <w:bCs/>
                <w:vertAlign w:val="superscript"/>
              </w:rPr>
              <w:t>2</w:t>
            </w:r>
            <w:r w:rsidRPr="00746567">
              <w:rPr>
                <w:rFonts w:asciiTheme="majorBidi" w:hAnsiTheme="majorBidi" w:cstheme="majorBidi"/>
                <w:b/>
                <w:bCs/>
              </w:rPr>
              <w:t>)</w:t>
            </w:r>
          </w:p>
        </w:tc>
      </w:tr>
      <w:tr w:rsidR="00C033B5" w:rsidRPr="00746567" w14:paraId="649F4947" w14:textId="77777777">
        <w:trPr>
          <w:trHeight w:val="20"/>
          <w:jc w:val="right"/>
        </w:trPr>
        <w:tc>
          <w:tcPr>
            <w:tcW w:w="0" w:type="auto"/>
            <w:tcBorders>
              <w:top w:val="single" w:sz="4" w:space="0" w:color="000000"/>
            </w:tcBorders>
            <w:tcMar>
              <w:top w:w="0" w:type="dxa"/>
              <w:left w:w="115" w:type="dxa"/>
              <w:bottom w:w="0" w:type="dxa"/>
              <w:right w:w="115" w:type="dxa"/>
            </w:tcMar>
            <w:hideMark/>
          </w:tcPr>
          <w:p w14:paraId="543A4371"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Panel A</w:t>
            </w:r>
          </w:p>
        </w:tc>
        <w:tc>
          <w:tcPr>
            <w:tcW w:w="0" w:type="auto"/>
            <w:tcBorders>
              <w:top w:val="single" w:sz="4" w:space="0" w:color="000000"/>
            </w:tcBorders>
            <w:tcMar>
              <w:top w:w="0" w:type="dxa"/>
              <w:left w:w="115" w:type="dxa"/>
              <w:bottom w:w="0" w:type="dxa"/>
              <w:right w:w="115" w:type="dxa"/>
            </w:tcMar>
            <w:hideMark/>
          </w:tcPr>
          <w:p w14:paraId="5A3A1D91" w14:textId="77777777" w:rsidR="00C033B5" w:rsidRPr="00746567" w:rsidRDefault="00C033B5" w:rsidP="00C033B5">
            <w:pPr>
              <w:rPr>
                <w:rFonts w:asciiTheme="majorBidi" w:hAnsiTheme="majorBidi" w:cstheme="majorBidi"/>
              </w:rPr>
            </w:pPr>
          </w:p>
        </w:tc>
        <w:tc>
          <w:tcPr>
            <w:tcW w:w="0" w:type="auto"/>
            <w:tcBorders>
              <w:top w:val="single" w:sz="4" w:space="0" w:color="000000"/>
            </w:tcBorders>
            <w:tcMar>
              <w:top w:w="0" w:type="dxa"/>
              <w:left w:w="115" w:type="dxa"/>
              <w:bottom w:w="0" w:type="dxa"/>
              <w:right w:w="115" w:type="dxa"/>
            </w:tcMar>
            <w:hideMark/>
          </w:tcPr>
          <w:p w14:paraId="028D2383" w14:textId="77777777" w:rsidR="00C033B5" w:rsidRPr="00746567" w:rsidRDefault="00C033B5" w:rsidP="00C033B5">
            <w:pPr>
              <w:rPr>
                <w:rFonts w:asciiTheme="majorBidi" w:hAnsiTheme="majorBidi" w:cstheme="majorBidi"/>
              </w:rPr>
            </w:pPr>
          </w:p>
        </w:tc>
        <w:tc>
          <w:tcPr>
            <w:tcW w:w="0" w:type="auto"/>
            <w:tcBorders>
              <w:top w:val="single" w:sz="4" w:space="0" w:color="000000"/>
            </w:tcBorders>
            <w:tcMar>
              <w:top w:w="0" w:type="dxa"/>
              <w:left w:w="115" w:type="dxa"/>
              <w:bottom w:w="0" w:type="dxa"/>
              <w:right w:w="115" w:type="dxa"/>
            </w:tcMar>
            <w:hideMark/>
          </w:tcPr>
          <w:p w14:paraId="7B981847" w14:textId="77777777" w:rsidR="00C033B5" w:rsidRPr="00746567" w:rsidRDefault="00C033B5" w:rsidP="00C033B5">
            <w:pPr>
              <w:rPr>
                <w:rFonts w:asciiTheme="majorBidi" w:hAnsiTheme="majorBidi" w:cstheme="majorBidi"/>
              </w:rPr>
            </w:pPr>
          </w:p>
        </w:tc>
        <w:tc>
          <w:tcPr>
            <w:tcW w:w="0" w:type="auto"/>
            <w:tcBorders>
              <w:top w:val="single" w:sz="4" w:space="0" w:color="000000"/>
            </w:tcBorders>
            <w:tcMar>
              <w:top w:w="0" w:type="dxa"/>
              <w:left w:w="115" w:type="dxa"/>
              <w:bottom w:w="0" w:type="dxa"/>
              <w:right w:w="115" w:type="dxa"/>
            </w:tcMar>
            <w:hideMark/>
          </w:tcPr>
          <w:p w14:paraId="14E844C6" w14:textId="77777777" w:rsidR="00C033B5" w:rsidRPr="00746567" w:rsidRDefault="00C033B5" w:rsidP="00C033B5">
            <w:pPr>
              <w:rPr>
                <w:rFonts w:asciiTheme="majorBidi" w:hAnsiTheme="majorBidi" w:cstheme="majorBidi"/>
              </w:rPr>
            </w:pPr>
          </w:p>
        </w:tc>
        <w:tc>
          <w:tcPr>
            <w:tcW w:w="0" w:type="auto"/>
            <w:tcBorders>
              <w:top w:val="single" w:sz="4" w:space="0" w:color="000000"/>
            </w:tcBorders>
            <w:tcMar>
              <w:top w:w="0" w:type="dxa"/>
              <w:left w:w="115" w:type="dxa"/>
              <w:bottom w:w="0" w:type="dxa"/>
              <w:right w:w="115" w:type="dxa"/>
            </w:tcMar>
            <w:hideMark/>
          </w:tcPr>
          <w:p w14:paraId="2DA31667" w14:textId="77777777" w:rsidR="00C033B5" w:rsidRPr="00746567" w:rsidRDefault="00C033B5" w:rsidP="00C033B5">
            <w:pPr>
              <w:rPr>
                <w:rFonts w:asciiTheme="majorBidi" w:hAnsiTheme="majorBidi" w:cstheme="majorBidi"/>
              </w:rPr>
            </w:pPr>
          </w:p>
        </w:tc>
      </w:tr>
      <w:tr w:rsidR="00C033B5" w:rsidRPr="00746567" w14:paraId="5FA5A0BE" w14:textId="77777777">
        <w:trPr>
          <w:trHeight w:val="20"/>
          <w:jc w:val="right"/>
        </w:trPr>
        <w:tc>
          <w:tcPr>
            <w:tcW w:w="0" w:type="auto"/>
            <w:tcMar>
              <w:top w:w="0" w:type="dxa"/>
              <w:left w:w="115" w:type="dxa"/>
              <w:bottom w:w="0" w:type="dxa"/>
              <w:right w:w="115" w:type="dxa"/>
            </w:tcMar>
            <w:hideMark/>
          </w:tcPr>
          <w:p w14:paraId="4DCB1D28" w14:textId="77777777" w:rsidR="00C033B5" w:rsidRPr="00746567" w:rsidRDefault="00C033B5" w:rsidP="00C033B5">
            <w:pPr>
              <w:rPr>
                <w:rFonts w:asciiTheme="majorBidi" w:hAnsiTheme="majorBidi" w:cstheme="majorBidi"/>
              </w:rPr>
            </w:pPr>
            <w:r w:rsidRPr="00746567">
              <w:rPr>
                <w:rFonts w:asciiTheme="majorBidi" w:hAnsiTheme="majorBidi" w:cstheme="majorBidi"/>
              </w:rPr>
              <w:t>Interest</w:t>
            </w:r>
          </w:p>
        </w:tc>
        <w:tc>
          <w:tcPr>
            <w:tcW w:w="0" w:type="auto"/>
            <w:tcMar>
              <w:top w:w="0" w:type="dxa"/>
              <w:left w:w="115" w:type="dxa"/>
              <w:bottom w:w="0" w:type="dxa"/>
              <w:right w:w="115" w:type="dxa"/>
            </w:tcMar>
            <w:hideMark/>
          </w:tcPr>
          <w:p w14:paraId="042A64BF" w14:textId="77777777" w:rsidR="00C033B5" w:rsidRPr="00746567" w:rsidRDefault="00C033B5" w:rsidP="00C033B5">
            <w:pPr>
              <w:rPr>
                <w:rFonts w:asciiTheme="majorBidi" w:hAnsiTheme="majorBidi" w:cstheme="majorBidi"/>
              </w:rPr>
            </w:pPr>
            <w:r w:rsidRPr="00746567">
              <w:rPr>
                <w:rFonts w:asciiTheme="majorBidi" w:hAnsiTheme="majorBidi" w:cstheme="majorBidi"/>
              </w:rPr>
              <w:t>1452900</w:t>
            </w:r>
          </w:p>
        </w:tc>
        <w:tc>
          <w:tcPr>
            <w:tcW w:w="0" w:type="auto"/>
            <w:tcMar>
              <w:top w:w="0" w:type="dxa"/>
              <w:left w:w="115" w:type="dxa"/>
              <w:bottom w:w="0" w:type="dxa"/>
              <w:right w:w="115" w:type="dxa"/>
            </w:tcMar>
            <w:hideMark/>
          </w:tcPr>
          <w:p w14:paraId="6967A55D" w14:textId="77777777" w:rsidR="00C033B5" w:rsidRPr="00746567" w:rsidRDefault="00C033B5" w:rsidP="00C033B5">
            <w:pPr>
              <w:rPr>
                <w:rFonts w:asciiTheme="majorBidi" w:hAnsiTheme="majorBidi" w:cstheme="majorBidi"/>
              </w:rPr>
            </w:pPr>
            <w:r w:rsidRPr="00746567">
              <w:rPr>
                <w:rFonts w:asciiTheme="majorBidi" w:hAnsiTheme="majorBidi" w:cstheme="majorBidi"/>
              </w:rPr>
              <w:t>-0.06</w:t>
            </w:r>
          </w:p>
        </w:tc>
        <w:tc>
          <w:tcPr>
            <w:tcW w:w="0" w:type="auto"/>
            <w:tcMar>
              <w:top w:w="0" w:type="dxa"/>
              <w:left w:w="115" w:type="dxa"/>
              <w:bottom w:w="0" w:type="dxa"/>
              <w:right w:w="115" w:type="dxa"/>
            </w:tcMar>
            <w:hideMark/>
          </w:tcPr>
          <w:p w14:paraId="483FC08B" w14:textId="77777777" w:rsidR="00C033B5" w:rsidRPr="00746567" w:rsidRDefault="00C033B5" w:rsidP="00C033B5">
            <w:pPr>
              <w:rPr>
                <w:rFonts w:asciiTheme="majorBidi" w:hAnsiTheme="majorBidi" w:cstheme="majorBidi"/>
              </w:rPr>
            </w:pPr>
            <w:r w:rsidRPr="00746567">
              <w:rPr>
                <w:rFonts w:asciiTheme="majorBidi" w:hAnsiTheme="majorBidi" w:cstheme="majorBidi"/>
              </w:rPr>
              <w:t>530,434</w:t>
            </w:r>
          </w:p>
        </w:tc>
        <w:tc>
          <w:tcPr>
            <w:tcW w:w="0" w:type="auto"/>
            <w:tcMar>
              <w:top w:w="0" w:type="dxa"/>
              <w:left w:w="115" w:type="dxa"/>
              <w:bottom w:w="0" w:type="dxa"/>
              <w:right w:w="115" w:type="dxa"/>
            </w:tcMar>
            <w:hideMark/>
          </w:tcPr>
          <w:p w14:paraId="50CA7394" w14:textId="77777777" w:rsidR="00C033B5" w:rsidRPr="00746567" w:rsidRDefault="00C033B5" w:rsidP="00C033B5">
            <w:pPr>
              <w:rPr>
                <w:rFonts w:asciiTheme="majorBidi" w:hAnsiTheme="majorBidi" w:cstheme="majorBidi"/>
              </w:rPr>
            </w:pPr>
            <w:r w:rsidRPr="00746567">
              <w:rPr>
                <w:rFonts w:asciiTheme="majorBidi" w:hAnsiTheme="majorBidi" w:cstheme="majorBidi"/>
              </w:rPr>
              <w:t>-0.44</w:t>
            </w:r>
          </w:p>
        </w:tc>
        <w:tc>
          <w:tcPr>
            <w:tcW w:w="0" w:type="auto"/>
            <w:tcMar>
              <w:top w:w="0" w:type="dxa"/>
              <w:left w:w="115" w:type="dxa"/>
              <w:bottom w:w="0" w:type="dxa"/>
              <w:right w:w="115" w:type="dxa"/>
            </w:tcMar>
            <w:hideMark/>
          </w:tcPr>
          <w:p w14:paraId="01C0E1DE" w14:textId="77777777" w:rsidR="00C033B5" w:rsidRPr="00746567" w:rsidRDefault="00C033B5" w:rsidP="00C033B5">
            <w:pPr>
              <w:rPr>
                <w:rFonts w:asciiTheme="majorBidi" w:hAnsiTheme="majorBidi" w:cstheme="majorBidi"/>
              </w:rPr>
            </w:pPr>
            <w:r w:rsidRPr="00746567">
              <w:rPr>
                <w:rFonts w:asciiTheme="majorBidi" w:hAnsiTheme="majorBidi" w:cstheme="majorBidi"/>
              </w:rPr>
              <w:t>4106.29***</w:t>
            </w:r>
          </w:p>
        </w:tc>
      </w:tr>
      <w:tr w:rsidR="00C033B5" w:rsidRPr="00746567" w14:paraId="73F43E01" w14:textId="77777777">
        <w:trPr>
          <w:trHeight w:val="20"/>
          <w:jc w:val="right"/>
        </w:trPr>
        <w:tc>
          <w:tcPr>
            <w:tcW w:w="0" w:type="auto"/>
            <w:tcMar>
              <w:top w:w="0" w:type="dxa"/>
              <w:left w:w="115" w:type="dxa"/>
              <w:bottom w:w="0" w:type="dxa"/>
              <w:right w:w="115" w:type="dxa"/>
            </w:tcMar>
            <w:hideMark/>
          </w:tcPr>
          <w:p w14:paraId="70148179" w14:textId="77777777" w:rsidR="00C033B5" w:rsidRPr="00746567" w:rsidRDefault="00C033B5" w:rsidP="00C033B5">
            <w:pPr>
              <w:rPr>
                <w:rFonts w:asciiTheme="majorBidi" w:hAnsiTheme="majorBidi" w:cstheme="majorBidi"/>
              </w:rPr>
            </w:pPr>
            <w:r w:rsidRPr="00746567">
              <w:rPr>
                <w:rFonts w:asciiTheme="majorBidi" w:hAnsiTheme="majorBidi" w:cstheme="majorBidi"/>
              </w:rPr>
              <w:t>Default</w:t>
            </w:r>
          </w:p>
        </w:tc>
        <w:tc>
          <w:tcPr>
            <w:tcW w:w="0" w:type="auto"/>
            <w:tcMar>
              <w:top w:w="0" w:type="dxa"/>
              <w:left w:w="115" w:type="dxa"/>
              <w:bottom w:w="0" w:type="dxa"/>
              <w:right w:w="115" w:type="dxa"/>
            </w:tcMar>
            <w:hideMark/>
          </w:tcPr>
          <w:p w14:paraId="5DB7F7BD" w14:textId="77777777" w:rsidR="00C033B5" w:rsidRPr="00746567" w:rsidRDefault="00C033B5" w:rsidP="00C033B5">
            <w:pPr>
              <w:rPr>
                <w:rFonts w:asciiTheme="majorBidi" w:hAnsiTheme="majorBidi" w:cstheme="majorBidi"/>
              </w:rPr>
            </w:pPr>
            <w:r w:rsidRPr="00746567">
              <w:rPr>
                <w:rFonts w:asciiTheme="majorBidi" w:hAnsiTheme="majorBidi" w:cstheme="majorBidi"/>
              </w:rPr>
              <w:t>1404090</w:t>
            </w:r>
          </w:p>
        </w:tc>
        <w:tc>
          <w:tcPr>
            <w:tcW w:w="0" w:type="auto"/>
            <w:tcMar>
              <w:top w:w="0" w:type="dxa"/>
              <w:left w:w="115" w:type="dxa"/>
              <w:bottom w:w="0" w:type="dxa"/>
              <w:right w:w="115" w:type="dxa"/>
            </w:tcMar>
            <w:hideMark/>
          </w:tcPr>
          <w:p w14:paraId="75A8065E" w14:textId="77777777" w:rsidR="00C033B5" w:rsidRPr="00746567" w:rsidRDefault="00C033B5" w:rsidP="00C033B5">
            <w:pPr>
              <w:rPr>
                <w:rFonts w:asciiTheme="majorBidi" w:hAnsiTheme="majorBidi" w:cstheme="majorBidi"/>
              </w:rPr>
            </w:pPr>
            <w:r w:rsidRPr="00746567">
              <w:rPr>
                <w:rFonts w:asciiTheme="majorBidi" w:hAnsiTheme="majorBidi" w:cstheme="majorBidi"/>
              </w:rPr>
              <w:t>-32.09</w:t>
            </w:r>
          </w:p>
        </w:tc>
        <w:tc>
          <w:tcPr>
            <w:tcW w:w="0" w:type="auto"/>
            <w:tcMar>
              <w:top w:w="0" w:type="dxa"/>
              <w:left w:w="115" w:type="dxa"/>
              <w:bottom w:w="0" w:type="dxa"/>
              <w:right w:w="115" w:type="dxa"/>
            </w:tcMar>
            <w:hideMark/>
          </w:tcPr>
          <w:p w14:paraId="4A0935E4" w14:textId="77777777" w:rsidR="00C033B5" w:rsidRPr="00746567" w:rsidRDefault="00C033B5" w:rsidP="00C033B5">
            <w:pPr>
              <w:rPr>
                <w:rFonts w:asciiTheme="majorBidi" w:hAnsiTheme="majorBidi" w:cstheme="majorBidi"/>
              </w:rPr>
            </w:pPr>
            <w:r w:rsidRPr="00746567">
              <w:rPr>
                <w:rFonts w:asciiTheme="majorBidi" w:hAnsiTheme="majorBidi" w:cstheme="majorBidi"/>
              </w:rPr>
              <w:t>213,088</w:t>
            </w:r>
          </w:p>
        </w:tc>
        <w:tc>
          <w:tcPr>
            <w:tcW w:w="0" w:type="auto"/>
            <w:tcMar>
              <w:top w:w="0" w:type="dxa"/>
              <w:left w:w="115" w:type="dxa"/>
              <w:bottom w:w="0" w:type="dxa"/>
              <w:right w:w="115" w:type="dxa"/>
            </w:tcMar>
            <w:hideMark/>
          </w:tcPr>
          <w:p w14:paraId="5E653B7A" w14:textId="77777777" w:rsidR="00C033B5" w:rsidRPr="00746567" w:rsidRDefault="00C033B5" w:rsidP="00C033B5">
            <w:pPr>
              <w:rPr>
                <w:rFonts w:asciiTheme="majorBidi" w:hAnsiTheme="majorBidi" w:cstheme="majorBidi"/>
              </w:rPr>
            </w:pPr>
            <w:r w:rsidRPr="00746567">
              <w:rPr>
                <w:rFonts w:asciiTheme="majorBidi" w:hAnsiTheme="majorBidi" w:cstheme="majorBidi"/>
              </w:rPr>
              <w:t>-6.15</w:t>
            </w:r>
          </w:p>
        </w:tc>
        <w:tc>
          <w:tcPr>
            <w:tcW w:w="0" w:type="auto"/>
            <w:tcMar>
              <w:top w:w="0" w:type="dxa"/>
              <w:left w:w="115" w:type="dxa"/>
              <w:bottom w:w="0" w:type="dxa"/>
              <w:right w:w="115" w:type="dxa"/>
            </w:tcMar>
            <w:hideMark/>
          </w:tcPr>
          <w:p w14:paraId="6CA79461" w14:textId="77777777" w:rsidR="00C033B5" w:rsidRPr="00746567" w:rsidRDefault="00C033B5" w:rsidP="00C033B5">
            <w:pPr>
              <w:rPr>
                <w:rFonts w:asciiTheme="majorBidi" w:hAnsiTheme="majorBidi" w:cstheme="majorBidi"/>
              </w:rPr>
            </w:pPr>
            <w:r w:rsidRPr="00746567">
              <w:rPr>
                <w:rFonts w:asciiTheme="majorBidi" w:hAnsiTheme="majorBidi" w:cstheme="majorBidi"/>
              </w:rPr>
              <w:t>19.09***</w:t>
            </w:r>
          </w:p>
        </w:tc>
      </w:tr>
      <w:tr w:rsidR="00C033B5" w:rsidRPr="00746567" w14:paraId="792B6B25" w14:textId="77777777">
        <w:trPr>
          <w:trHeight w:val="20"/>
          <w:jc w:val="right"/>
        </w:trPr>
        <w:tc>
          <w:tcPr>
            <w:tcW w:w="0" w:type="auto"/>
            <w:tcBorders>
              <w:bottom w:val="single" w:sz="4" w:space="0" w:color="000000"/>
            </w:tcBorders>
            <w:tcMar>
              <w:top w:w="0" w:type="dxa"/>
              <w:left w:w="115" w:type="dxa"/>
              <w:bottom w:w="0" w:type="dxa"/>
              <w:right w:w="115" w:type="dxa"/>
            </w:tcMar>
            <w:hideMark/>
          </w:tcPr>
          <w:p w14:paraId="7BFB946F"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Sevdef</w:t>
            </w:r>
            <w:proofErr w:type="spellEnd"/>
          </w:p>
        </w:tc>
        <w:tc>
          <w:tcPr>
            <w:tcW w:w="0" w:type="auto"/>
            <w:tcBorders>
              <w:bottom w:val="single" w:sz="4" w:space="0" w:color="000000"/>
            </w:tcBorders>
            <w:tcMar>
              <w:top w:w="0" w:type="dxa"/>
              <w:left w:w="115" w:type="dxa"/>
              <w:bottom w:w="0" w:type="dxa"/>
              <w:right w:w="115" w:type="dxa"/>
            </w:tcMar>
            <w:hideMark/>
          </w:tcPr>
          <w:p w14:paraId="7D7A7210" w14:textId="77777777" w:rsidR="00C033B5" w:rsidRPr="00746567" w:rsidRDefault="00C033B5" w:rsidP="00C033B5">
            <w:pPr>
              <w:rPr>
                <w:rFonts w:asciiTheme="majorBidi" w:hAnsiTheme="majorBidi" w:cstheme="majorBidi"/>
              </w:rPr>
            </w:pPr>
            <w:r w:rsidRPr="00746567">
              <w:rPr>
                <w:rFonts w:asciiTheme="majorBidi" w:hAnsiTheme="majorBidi" w:cstheme="majorBidi"/>
              </w:rPr>
              <w:t>1404090</w:t>
            </w:r>
          </w:p>
        </w:tc>
        <w:tc>
          <w:tcPr>
            <w:tcW w:w="0" w:type="auto"/>
            <w:tcBorders>
              <w:bottom w:val="single" w:sz="4" w:space="0" w:color="000000"/>
            </w:tcBorders>
            <w:tcMar>
              <w:top w:w="0" w:type="dxa"/>
              <w:left w:w="115" w:type="dxa"/>
              <w:bottom w:w="0" w:type="dxa"/>
              <w:right w:w="115" w:type="dxa"/>
            </w:tcMar>
            <w:hideMark/>
          </w:tcPr>
          <w:p w14:paraId="5D76C6DF" w14:textId="77777777" w:rsidR="00C033B5" w:rsidRPr="00746567" w:rsidRDefault="00C033B5" w:rsidP="00C033B5">
            <w:pPr>
              <w:rPr>
                <w:rFonts w:asciiTheme="majorBidi" w:hAnsiTheme="majorBidi" w:cstheme="majorBidi"/>
              </w:rPr>
            </w:pPr>
            <w:r w:rsidRPr="00746567">
              <w:rPr>
                <w:rFonts w:asciiTheme="majorBidi" w:hAnsiTheme="majorBidi" w:cstheme="majorBidi"/>
              </w:rPr>
              <w:t>-12.55</w:t>
            </w:r>
          </w:p>
        </w:tc>
        <w:tc>
          <w:tcPr>
            <w:tcW w:w="0" w:type="auto"/>
            <w:tcBorders>
              <w:bottom w:val="single" w:sz="4" w:space="0" w:color="000000"/>
            </w:tcBorders>
            <w:tcMar>
              <w:top w:w="0" w:type="dxa"/>
              <w:left w:w="115" w:type="dxa"/>
              <w:bottom w:w="0" w:type="dxa"/>
              <w:right w:w="115" w:type="dxa"/>
            </w:tcMar>
            <w:hideMark/>
          </w:tcPr>
          <w:p w14:paraId="30B84AFB" w14:textId="77777777" w:rsidR="00C033B5" w:rsidRPr="00746567" w:rsidRDefault="00C033B5" w:rsidP="00C033B5">
            <w:pPr>
              <w:rPr>
                <w:rFonts w:asciiTheme="majorBidi" w:hAnsiTheme="majorBidi" w:cstheme="majorBidi"/>
              </w:rPr>
            </w:pPr>
            <w:r w:rsidRPr="00746567">
              <w:rPr>
                <w:rFonts w:asciiTheme="majorBidi" w:hAnsiTheme="majorBidi" w:cstheme="majorBidi"/>
              </w:rPr>
              <w:t>213,088</w:t>
            </w:r>
          </w:p>
        </w:tc>
        <w:tc>
          <w:tcPr>
            <w:tcW w:w="0" w:type="auto"/>
            <w:tcBorders>
              <w:bottom w:val="single" w:sz="4" w:space="0" w:color="000000"/>
            </w:tcBorders>
            <w:tcMar>
              <w:top w:w="0" w:type="dxa"/>
              <w:left w:w="115" w:type="dxa"/>
              <w:bottom w:w="0" w:type="dxa"/>
              <w:right w:w="115" w:type="dxa"/>
            </w:tcMar>
            <w:hideMark/>
          </w:tcPr>
          <w:p w14:paraId="29213D3A" w14:textId="77777777" w:rsidR="00C033B5" w:rsidRPr="00746567" w:rsidRDefault="00C033B5" w:rsidP="00C033B5">
            <w:pPr>
              <w:rPr>
                <w:rFonts w:asciiTheme="majorBidi" w:hAnsiTheme="majorBidi" w:cstheme="majorBidi"/>
              </w:rPr>
            </w:pPr>
            <w:r w:rsidRPr="00746567">
              <w:rPr>
                <w:rFonts w:asciiTheme="majorBidi" w:hAnsiTheme="majorBidi" w:cstheme="majorBidi"/>
              </w:rPr>
              <w:t>-3.59</w:t>
            </w:r>
          </w:p>
        </w:tc>
        <w:tc>
          <w:tcPr>
            <w:tcW w:w="0" w:type="auto"/>
            <w:tcBorders>
              <w:bottom w:val="single" w:sz="4" w:space="0" w:color="000000"/>
            </w:tcBorders>
            <w:tcMar>
              <w:top w:w="0" w:type="dxa"/>
              <w:left w:w="115" w:type="dxa"/>
              <w:bottom w:w="0" w:type="dxa"/>
              <w:right w:w="115" w:type="dxa"/>
            </w:tcMar>
            <w:hideMark/>
          </w:tcPr>
          <w:p w14:paraId="7B369CD4" w14:textId="77777777" w:rsidR="00C033B5" w:rsidRPr="00746567" w:rsidRDefault="00C033B5" w:rsidP="00C033B5">
            <w:pPr>
              <w:rPr>
                <w:rFonts w:asciiTheme="majorBidi" w:hAnsiTheme="majorBidi" w:cstheme="majorBidi"/>
              </w:rPr>
            </w:pPr>
            <w:r w:rsidRPr="00746567">
              <w:rPr>
                <w:rFonts w:asciiTheme="majorBidi" w:hAnsiTheme="majorBidi" w:cstheme="majorBidi"/>
              </w:rPr>
              <w:t>5.10**</w:t>
            </w:r>
          </w:p>
        </w:tc>
      </w:tr>
      <w:tr w:rsidR="00C033B5" w:rsidRPr="00746567" w14:paraId="450ACB72" w14:textId="77777777">
        <w:trPr>
          <w:trHeight w:val="20"/>
          <w:jc w:val="right"/>
        </w:trPr>
        <w:tc>
          <w:tcPr>
            <w:tcW w:w="0" w:type="auto"/>
            <w:tcBorders>
              <w:top w:val="single" w:sz="4" w:space="0" w:color="000000"/>
            </w:tcBorders>
            <w:tcMar>
              <w:top w:w="0" w:type="dxa"/>
              <w:left w:w="115" w:type="dxa"/>
              <w:bottom w:w="0" w:type="dxa"/>
              <w:right w:w="115" w:type="dxa"/>
            </w:tcMar>
            <w:hideMark/>
          </w:tcPr>
          <w:p w14:paraId="11BA6DA5" w14:textId="77777777" w:rsidR="00C033B5" w:rsidRPr="00746567"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hideMark/>
          </w:tcPr>
          <w:p w14:paraId="380D0884"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Claims</w:t>
            </w:r>
          </w:p>
        </w:tc>
        <w:tc>
          <w:tcPr>
            <w:tcW w:w="0" w:type="auto"/>
            <w:tcBorders>
              <w:top w:val="single" w:sz="4" w:space="0" w:color="000000"/>
              <w:bottom w:val="single" w:sz="4" w:space="0" w:color="000000"/>
            </w:tcBorders>
            <w:tcMar>
              <w:top w:w="0" w:type="dxa"/>
              <w:left w:w="115" w:type="dxa"/>
              <w:bottom w:w="0" w:type="dxa"/>
              <w:right w:w="115" w:type="dxa"/>
            </w:tcMar>
            <w:hideMark/>
          </w:tcPr>
          <w:p w14:paraId="670C84EB"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Coefficient</w:t>
            </w:r>
          </w:p>
        </w:tc>
        <w:tc>
          <w:tcPr>
            <w:tcW w:w="0" w:type="auto"/>
            <w:tcBorders>
              <w:top w:val="single" w:sz="4" w:space="0" w:color="000000"/>
              <w:bottom w:val="single" w:sz="4" w:space="0" w:color="000000"/>
            </w:tcBorders>
            <w:tcMar>
              <w:top w:w="0" w:type="dxa"/>
              <w:left w:w="115" w:type="dxa"/>
              <w:bottom w:w="0" w:type="dxa"/>
              <w:right w:w="115" w:type="dxa"/>
            </w:tcMar>
            <w:hideMark/>
          </w:tcPr>
          <w:p w14:paraId="66542AD2"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Notes</w:t>
            </w:r>
          </w:p>
        </w:tc>
        <w:tc>
          <w:tcPr>
            <w:tcW w:w="0" w:type="auto"/>
            <w:tcBorders>
              <w:top w:val="single" w:sz="4" w:space="0" w:color="000000"/>
              <w:bottom w:val="single" w:sz="4" w:space="0" w:color="000000"/>
            </w:tcBorders>
            <w:tcMar>
              <w:top w:w="0" w:type="dxa"/>
              <w:left w:w="115" w:type="dxa"/>
              <w:bottom w:w="0" w:type="dxa"/>
              <w:right w:w="115" w:type="dxa"/>
            </w:tcMar>
            <w:hideMark/>
          </w:tcPr>
          <w:p w14:paraId="45FBB95E"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Coefficient</w:t>
            </w:r>
          </w:p>
        </w:tc>
        <w:tc>
          <w:tcPr>
            <w:tcW w:w="0" w:type="auto"/>
            <w:tcBorders>
              <w:top w:val="single" w:sz="4" w:space="0" w:color="000000"/>
              <w:bottom w:val="single" w:sz="4" w:space="0" w:color="000000"/>
            </w:tcBorders>
            <w:tcMar>
              <w:top w:w="0" w:type="dxa"/>
              <w:left w:w="115" w:type="dxa"/>
              <w:bottom w:w="0" w:type="dxa"/>
              <w:right w:w="115" w:type="dxa"/>
            </w:tcMar>
            <w:hideMark/>
          </w:tcPr>
          <w:p w14:paraId="65032762"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Z statistic</w:t>
            </w:r>
          </w:p>
        </w:tc>
      </w:tr>
      <w:tr w:rsidR="00C033B5" w:rsidRPr="00746567" w14:paraId="26CC3912" w14:textId="77777777">
        <w:trPr>
          <w:trHeight w:val="20"/>
          <w:jc w:val="right"/>
        </w:trPr>
        <w:tc>
          <w:tcPr>
            <w:tcW w:w="0" w:type="auto"/>
            <w:tcMar>
              <w:top w:w="0" w:type="dxa"/>
              <w:left w:w="115" w:type="dxa"/>
              <w:bottom w:w="0" w:type="dxa"/>
              <w:right w:w="115" w:type="dxa"/>
            </w:tcMar>
            <w:hideMark/>
          </w:tcPr>
          <w:p w14:paraId="4A2B9D05"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Panel B</w:t>
            </w:r>
          </w:p>
        </w:tc>
        <w:tc>
          <w:tcPr>
            <w:tcW w:w="0" w:type="auto"/>
            <w:tcBorders>
              <w:top w:val="single" w:sz="4" w:space="0" w:color="000000"/>
            </w:tcBorders>
            <w:tcMar>
              <w:top w:w="0" w:type="dxa"/>
              <w:left w:w="115" w:type="dxa"/>
              <w:bottom w:w="0" w:type="dxa"/>
              <w:right w:w="115" w:type="dxa"/>
            </w:tcMar>
            <w:hideMark/>
          </w:tcPr>
          <w:p w14:paraId="0633A309" w14:textId="77777777" w:rsidR="00C033B5" w:rsidRPr="00746567" w:rsidRDefault="00C033B5" w:rsidP="00C033B5">
            <w:pPr>
              <w:rPr>
                <w:rFonts w:asciiTheme="majorBidi" w:hAnsiTheme="majorBidi" w:cstheme="majorBidi"/>
              </w:rPr>
            </w:pPr>
          </w:p>
        </w:tc>
        <w:tc>
          <w:tcPr>
            <w:tcW w:w="0" w:type="auto"/>
            <w:tcBorders>
              <w:top w:val="single" w:sz="4" w:space="0" w:color="000000"/>
            </w:tcBorders>
            <w:tcMar>
              <w:top w:w="0" w:type="dxa"/>
              <w:left w:w="115" w:type="dxa"/>
              <w:bottom w:w="0" w:type="dxa"/>
              <w:right w:w="115" w:type="dxa"/>
            </w:tcMar>
            <w:hideMark/>
          </w:tcPr>
          <w:p w14:paraId="0602380F" w14:textId="77777777" w:rsidR="00C033B5" w:rsidRPr="00746567" w:rsidRDefault="00C033B5" w:rsidP="00C033B5">
            <w:pPr>
              <w:rPr>
                <w:rFonts w:asciiTheme="majorBidi" w:hAnsiTheme="majorBidi" w:cstheme="majorBidi"/>
              </w:rPr>
            </w:pPr>
          </w:p>
        </w:tc>
        <w:tc>
          <w:tcPr>
            <w:tcW w:w="0" w:type="auto"/>
            <w:tcBorders>
              <w:top w:val="single" w:sz="4" w:space="0" w:color="000000"/>
            </w:tcBorders>
            <w:tcMar>
              <w:top w:w="0" w:type="dxa"/>
              <w:left w:w="115" w:type="dxa"/>
              <w:bottom w:w="0" w:type="dxa"/>
              <w:right w:w="115" w:type="dxa"/>
            </w:tcMar>
            <w:hideMark/>
          </w:tcPr>
          <w:p w14:paraId="1E2D5C3C" w14:textId="77777777" w:rsidR="00C033B5" w:rsidRPr="00746567" w:rsidRDefault="00C033B5" w:rsidP="00C033B5">
            <w:pPr>
              <w:rPr>
                <w:rFonts w:asciiTheme="majorBidi" w:hAnsiTheme="majorBidi" w:cstheme="majorBidi"/>
              </w:rPr>
            </w:pPr>
          </w:p>
        </w:tc>
        <w:tc>
          <w:tcPr>
            <w:tcW w:w="0" w:type="auto"/>
            <w:tcBorders>
              <w:top w:val="single" w:sz="4" w:space="0" w:color="000000"/>
            </w:tcBorders>
            <w:tcMar>
              <w:top w:w="0" w:type="dxa"/>
              <w:left w:w="115" w:type="dxa"/>
              <w:bottom w:w="0" w:type="dxa"/>
              <w:right w:w="115" w:type="dxa"/>
            </w:tcMar>
            <w:hideMark/>
          </w:tcPr>
          <w:p w14:paraId="4D3839E5" w14:textId="77777777" w:rsidR="00C033B5" w:rsidRPr="00746567" w:rsidRDefault="00C033B5" w:rsidP="00C033B5">
            <w:pPr>
              <w:rPr>
                <w:rFonts w:asciiTheme="majorBidi" w:hAnsiTheme="majorBidi" w:cstheme="majorBidi"/>
              </w:rPr>
            </w:pPr>
          </w:p>
        </w:tc>
        <w:tc>
          <w:tcPr>
            <w:tcW w:w="0" w:type="auto"/>
            <w:tcBorders>
              <w:top w:val="single" w:sz="4" w:space="0" w:color="000000"/>
            </w:tcBorders>
            <w:tcMar>
              <w:top w:w="0" w:type="dxa"/>
              <w:left w:w="115" w:type="dxa"/>
              <w:bottom w:w="0" w:type="dxa"/>
              <w:right w:w="115" w:type="dxa"/>
            </w:tcMar>
            <w:hideMark/>
          </w:tcPr>
          <w:p w14:paraId="0111E6B4" w14:textId="77777777" w:rsidR="00C033B5" w:rsidRPr="00746567" w:rsidRDefault="00C033B5" w:rsidP="00C033B5">
            <w:pPr>
              <w:rPr>
                <w:rFonts w:asciiTheme="majorBidi" w:hAnsiTheme="majorBidi" w:cstheme="majorBidi"/>
              </w:rPr>
            </w:pPr>
          </w:p>
        </w:tc>
      </w:tr>
      <w:tr w:rsidR="00C033B5" w:rsidRPr="00746567" w14:paraId="2D5A93B4" w14:textId="77777777">
        <w:trPr>
          <w:trHeight w:val="20"/>
          <w:jc w:val="right"/>
        </w:trPr>
        <w:tc>
          <w:tcPr>
            <w:tcW w:w="0" w:type="auto"/>
            <w:tcMar>
              <w:top w:w="0" w:type="dxa"/>
              <w:left w:w="115" w:type="dxa"/>
              <w:bottom w:w="0" w:type="dxa"/>
              <w:right w:w="115" w:type="dxa"/>
            </w:tcMar>
            <w:hideMark/>
          </w:tcPr>
          <w:p w14:paraId="03B62B6E" w14:textId="77777777" w:rsidR="00C033B5" w:rsidRPr="00746567" w:rsidRDefault="00C033B5" w:rsidP="00C033B5">
            <w:pPr>
              <w:rPr>
                <w:rFonts w:asciiTheme="majorBidi" w:hAnsiTheme="majorBidi" w:cstheme="majorBidi"/>
              </w:rPr>
            </w:pPr>
            <w:r w:rsidRPr="00746567">
              <w:rPr>
                <w:rFonts w:asciiTheme="majorBidi" w:hAnsiTheme="majorBidi" w:cstheme="majorBidi"/>
              </w:rPr>
              <w:t>Default</w:t>
            </w:r>
          </w:p>
        </w:tc>
        <w:tc>
          <w:tcPr>
            <w:tcW w:w="0" w:type="auto"/>
            <w:tcMar>
              <w:top w:w="0" w:type="dxa"/>
              <w:left w:w="115" w:type="dxa"/>
              <w:bottom w:w="0" w:type="dxa"/>
              <w:right w:w="115" w:type="dxa"/>
            </w:tcMar>
            <w:hideMark/>
          </w:tcPr>
          <w:p w14:paraId="7EACC94D" w14:textId="77777777" w:rsidR="00C033B5" w:rsidRPr="00746567" w:rsidRDefault="00C033B5" w:rsidP="00C033B5">
            <w:pPr>
              <w:rPr>
                <w:rFonts w:asciiTheme="majorBidi" w:hAnsiTheme="majorBidi" w:cstheme="majorBidi"/>
              </w:rPr>
            </w:pPr>
            <w:r w:rsidRPr="00746567">
              <w:rPr>
                <w:rFonts w:asciiTheme="majorBidi" w:hAnsiTheme="majorBidi" w:cstheme="majorBidi"/>
              </w:rPr>
              <w:t>1404090</w:t>
            </w:r>
          </w:p>
        </w:tc>
        <w:tc>
          <w:tcPr>
            <w:tcW w:w="0" w:type="auto"/>
            <w:tcMar>
              <w:top w:w="0" w:type="dxa"/>
              <w:left w:w="115" w:type="dxa"/>
              <w:bottom w:w="0" w:type="dxa"/>
              <w:right w:w="115" w:type="dxa"/>
            </w:tcMar>
            <w:hideMark/>
          </w:tcPr>
          <w:p w14:paraId="45B38938" w14:textId="77777777" w:rsidR="00C033B5" w:rsidRPr="00746567" w:rsidRDefault="00C033B5" w:rsidP="00C033B5">
            <w:pPr>
              <w:rPr>
                <w:rFonts w:asciiTheme="majorBidi" w:hAnsiTheme="majorBidi" w:cstheme="majorBidi"/>
              </w:rPr>
            </w:pPr>
            <w:r w:rsidRPr="00746567">
              <w:rPr>
                <w:rFonts w:asciiTheme="majorBidi" w:hAnsiTheme="majorBidi" w:cstheme="majorBidi"/>
              </w:rPr>
              <w:t>-0.03</w:t>
            </w:r>
          </w:p>
        </w:tc>
        <w:tc>
          <w:tcPr>
            <w:tcW w:w="0" w:type="auto"/>
            <w:tcMar>
              <w:top w:w="0" w:type="dxa"/>
              <w:left w:w="115" w:type="dxa"/>
              <w:bottom w:w="0" w:type="dxa"/>
              <w:right w:w="115" w:type="dxa"/>
            </w:tcMar>
            <w:hideMark/>
          </w:tcPr>
          <w:p w14:paraId="13A3FD57" w14:textId="77777777" w:rsidR="00C033B5" w:rsidRPr="00746567" w:rsidRDefault="00C033B5" w:rsidP="00C033B5">
            <w:pPr>
              <w:rPr>
                <w:rFonts w:asciiTheme="majorBidi" w:hAnsiTheme="majorBidi" w:cstheme="majorBidi"/>
              </w:rPr>
            </w:pPr>
            <w:r w:rsidRPr="00746567">
              <w:rPr>
                <w:rFonts w:asciiTheme="majorBidi" w:hAnsiTheme="majorBidi" w:cstheme="majorBidi"/>
              </w:rPr>
              <w:t>213,088</w:t>
            </w:r>
          </w:p>
        </w:tc>
        <w:tc>
          <w:tcPr>
            <w:tcW w:w="0" w:type="auto"/>
            <w:tcMar>
              <w:top w:w="0" w:type="dxa"/>
              <w:left w:w="115" w:type="dxa"/>
              <w:bottom w:w="0" w:type="dxa"/>
              <w:right w:w="115" w:type="dxa"/>
            </w:tcMar>
            <w:hideMark/>
          </w:tcPr>
          <w:p w14:paraId="153ABDD6" w14:textId="77777777" w:rsidR="00C033B5" w:rsidRPr="00746567" w:rsidRDefault="00C033B5" w:rsidP="00C033B5">
            <w:pPr>
              <w:rPr>
                <w:rFonts w:asciiTheme="majorBidi" w:hAnsiTheme="majorBidi" w:cstheme="majorBidi"/>
              </w:rPr>
            </w:pPr>
            <w:r w:rsidRPr="00746567">
              <w:rPr>
                <w:rFonts w:asciiTheme="majorBidi" w:hAnsiTheme="majorBidi" w:cstheme="majorBidi"/>
              </w:rPr>
              <w:t>-0.89</w:t>
            </w:r>
          </w:p>
        </w:tc>
        <w:tc>
          <w:tcPr>
            <w:tcW w:w="0" w:type="auto"/>
            <w:tcMar>
              <w:top w:w="0" w:type="dxa"/>
              <w:left w:w="115" w:type="dxa"/>
              <w:bottom w:w="0" w:type="dxa"/>
              <w:right w:w="115" w:type="dxa"/>
            </w:tcMar>
            <w:hideMark/>
          </w:tcPr>
          <w:p w14:paraId="09917C4F" w14:textId="77777777" w:rsidR="00C033B5" w:rsidRPr="00746567" w:rsidRDefault="00C033B5" w:rsidP="00C033B5">
            <w:pPr>
              <w:rPr>
                <w:rFonts w:asciiTheme="majorBidi" w:hAnsiTheme="majorBidi" w:cstheme="majorBidi"/>
              </w:rPr>
            </w:pPr>
            <w:r w:rsidRPr="00746567">
              <w:rPr>
                <w:rFonts w:asciiTheme="majorBidi" w:hAnsiTheme="majorBidi" w:cstheme="majorBidi"/>
              </w:rPr>
              <w:t>-6.40***</w:t>
            </w:r>
          </w:p>
        </w:tc>
      </w:tr>
      <w:tr w:rsidR="00C033B5" w:rsidRPr="00746567" w14:paraId="01BDEB6C" w14:textId="77777777">
        <w:trPr>
          <w:trHeight w:val="20"/>
          <w:jc w:val="right"/>
        </w:trPr>
        <w:tc>
          <w:tcPr>
            <w:tcW w:w="0" w:type="auto"/>
            <w:tcBorders>
              <w:bottom w:val="single" w:sz="4" w:space="0" w:color="000000"/>
            </w:tcBorders>
            <w:tcMar>
              <w:top w:w="0" w:type="dxa"/>
              <w:left w:w="115" w:type="dxa"/>
              <w:bottom w:w="0" w:type="dxa"/>
              <w:right w:w="115" w:type="dxa"/>
            </w:tcMar>
            <w:hideMark/>
          </w:tcPr>
          <w:p w14:paraId="06E1324B"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Sevdef</w:t>
            </w:r>
            <w:proofErr w:type="spellEnd"/>
          </w:p>
        </w:tc>
        <w:tc>
          <w:tcPr>
            <w:tcW w:w="0" w:type="auto"/>
            <w:tcBorders>
              <w:bottom w:val="single" w:sz="4" w:space="0" w:color="000000"/>
            </w:tcBorders>
            <w:tcMar>
              <w:top w:w="0" w:type="dxa"/>
              <w:left w:w="115" w:type="dxa"/>
              <w:bottom w:w="0" w:type="dxa"/>
              <w:right w:w="115" w:type="dxa"/>
            </w:tcMar>
            <w:hideMark/>
          </w:tcPr>
          <w:p w14:paraId="085308D1" w14:textId="77777777" w:rsidR="00C033B5" w:rsidRPr="00746567" w:rsidRDefault="00C033B5" w:rsidP="00C033B5">
            <w:pPr>
              <w:rPr>
                <w:rFonts w:asciiTheme="majorBidi" w:hAnsiTheme="majorBidi" w:cstheme="majorBidi"/>
              </w:rPr>
            </w:pPr>
            <w:r w:rsidRPr="00746567">
              <w:rPr>
                <w:rFonts w:asciiTheme="majorBidi" w:hAnsiTheme="majorBidi" w:cstheme="majorBidi"/>
              </w:rPr>
              <w:t>1404090</w:t>
            </w:r>
          </w:p>
        </w:tc>
        <w:tc>
          <w:tcPr>
            <w:tcW w:w="0" w:type="auto"/>
            <w:tcBorders>
              <w:bottom w:val="single" w:sz="4" w:space="0" w:color="000000"/>
            </w:tcBorders>
            <w:tcMar>
              <w:top w:w="0" w:type="dxa"/>
              <w:left w:w="115" w:type="dxa"/>
              <w:bottom w:w="0" w:type="dxa"/>
              <w:right w:w="115" w:type="dxa"/>
            </w:tcMar>
            <w:hideMark/>
          </w:tcPr>
          <w:p w14:paraId="7485FBC9" w14:textId="77777777" w:rsidR="00C033B5" w:rsidRPr="00746567" w:rsidRDefault="00C033B5" w:rsidP="00C033B5">
            <w:pPr>
              <w:rPr>
                <w:rFonts w:asciiTheme="majorBidi" w:hAnsiTheme="majorBidi" w:cstheme="majorBidi"/>
              </w:rPr>
            </w:pPr>
            <w:r w:rsidRPr="00746567">
              <w:rPr>
                <w:rFonts w:asciiTheme="majorBidi" w:hAnsiTheme="majorBidi" w:cstheme="majorBidi"/>
              </w:rPr>
              <w:t>-0.01</w:t>
            </w:r>
          </w:p>
        </w:tc>
        <w:tc>
          <w:tcPr>
            <w:tcW w:w="0" w:type="auto"/>
            <w:tcBorders>
              <w:bottom w:val="single" w:sz="4" w:space="0" w:color="000000"/>
            </w:tcBorders>
            <w:tcMar>
              <w:top w:w="0" w:type="dxa"/>
              <w:left w:w="115" w:type="dxa"/>
              <w:bottom w:w="0" w:type="dxa"/>
              <w:right w:w="115" w:type="dxa"/>
            </w:tcMar>
            <w:hideMark/>
          </w:tcPr>
          <w:p w14:paraId="53194142" w14:textId="77777777" w:rsidR="00C033B5" w:rsidRPr="00746567" w:rsidRDefault="00C033B5" w:rsidP="00C033B5">
            <w:pPr>
              <w:rPr>
                <w:rFonts w:asciiTheme="majorBidi" w:hAnsiTheme="majorBidi" w:cstheme="majorBidi"/>
              </w:rPr>
            </w:pPr>
            <w:r w:rsidRPr="00746567">
              <w:rPr>
                <w:rFonts w:asciiTheme="majorBidi" w:hAnsiTheme="majorBidi" w:cstheme="majorBidi"/>
              </w:rPr>
              <w:t>213,088</w:t>
            </w:r>
          </w:p>
        </w:tc>
        <w:tc>
          <w:tcPr>
            <w:tcW w:w="0" w:type="auto"/>
            <w:tcBorders>
              <w:bottom w:val="single" w:sz="4" w:space="0" w:color="000000"/>
            </w:tcBorders>
            <w:tcMar>
              <w:top w:w="0" w:type="dxa"/>
              <w:left w:w="115" w:type="dxa"/>
              <w:bottom w:w="0" w:type="dxa"/>
              <w:right w:w="115" w:type="dxa"/>
            </w:tcMar>
            <w:hideMark/>
          </w:tcPr>
          <w:p w14:paraId="0AE968E8" w14:textId="77777777" w:rsidR="00C033B5" w:rsidRPr="00746567" w:rsidRDefault="00C033B5" w:rsidP="00C033B5">
            <w:pPr>
              <w:rPr>
                <w:rFonts w:asciiTheme="majorBidi" w:hAnsiTheme="majorBidi" w:cstheme="majorBidi"/>
              </w:rPr>
            </w:pPr>
            <w:r w:rsidRPr="00746567">
              <w:rPr>
                <w:rFonts w:asciiTheme="majorBidi" w:hAnsiTheme="majorBidi" w:cstheme="majorBidi"/>
              </w:rPr>
              <w:t>-0.49</w:t>
            </w:r>
          </w:p>
        </w:tc>
        <w:tc>
          <w:tcPr>
            <w:tcW w:w="0" w:type="auto"/>
            <w:tcBorders>
              <w:bottom w:val="single" w:sz="4" w:space="0" w:color="000000"/>
            </w:tcBorders>
            <w:tcMar>
              <w:top w:w="0" w:type="dxa"/>
              <w:left w:w="115" w:type="dxa"/>
              <w:bottom w:w="0" w:type="dxa"/>
              <w:right w:w="115" w:type="dxa"/>
            </w:tcMar>
            <w:hideMark/>
          </w:tcPr>
          <w:p w14:paraId="376A3D49" w14:textId="77777777" w:rsidR="00C033B5" w:rsidRPr="00746567" w:rsidRDefault="00C033B5" w:rsidP="00C033B5">
            <w:pPr>
              <w:rPr>
                <w:rFonts w:asciiTheme="majorBidi" w:hAnsiTheme="majorBidi" w:cstheme="majorBidi"/>
              </w:rPr>
            </w:pPr>
            <w:r w:rsidRPr="00746567">
              <w:rPr>
                <w:rFonts w:asciiTheme="majorBidi" w:hAnsiTheme="majorBidi" w:cstheme="majorBidi"/>
              </w:rPr>
              <w:t>-3.31***</w:t>
            </w:r>
          </w:p>
        </w:tc>
      </w:tr>
      <w:tr w:rsidR="00C033B5" w:rsidRPr="00746567" w14:paraId="251FB3B4" w14:textId="77777777">
        <w:trPr>
          <w:trHeight w:val="20"/>
          <w:jc w:val="right"/>
        </w:trPr>
        <w:tc>
          <w:tcPr>
            <w:tcW w:w="0" w:type="auto"/>
            <w:gridSpan w:val="6"/>
            <w:tcBorders>
              <w:top w:val="single" w:sz="4" w:space="0" w:color="000000"/>
            </w:tcBorders>
            <w:tcMar>
              <w:top w:w="0" w:type="dxa"/>
              <w:left w:w="115" w:type="dxa"/>
              <w:bottom w:w="0" w:type="dxa"/>
              <w:right w:w="115" w:type="dxa"/>
            </w:tcMar>
            <w:hideMark/>
          </w:tcPr>
          <w:p w14:paraId="6DFD2FCD" w14:textId="77777777" w:rsidR="00C033B5" w:rsidRPr="00746567" w:rsidRDefault="00C033B5" w:rsidP="00C033B5">
            <w:pPr>
              <w:rPr>
                <w:rFonts w:asciiTheme="majorBidi" w:hAnsiTheme="majorBidi" w:cstheme="majorBidi"/>
              </w:rPr>
            </w:pPr>
            <w:r w:rsidRPr="00746567">
              <w:rPr>
                <w:rFonts w:asciiTheme="majorBidi" w:hAnsiTheme="majorBidi" w:cstheme="majorBidi"/>
                <w:i/>
                <w:iCs/>
              </w:rPr>
              <w:t>Note: The table reports the statistical difference between two coefficients (Claims and Notes) for three dependent research questions in our study. Panel A represents the results of chow test with a null hypothesis of equality of coefficients. Panel B represents the test of equality of coefficients for the respective margins of logit and fractional response regression coefficients, i.e. Default and severity of default. *, **, *** indicate significance at 10%, 5%, and 1% levels respectively.</w:t>
            </w:r>
          </w:p>
        </w:tc>
      </w:tr>
    </w:tbl>
    <w:p w14:paraId="4C3DBDE8" w14:textId="77777777" w:rsidR="00C033B5" w:rsidRPr="00C033B5" w:rsidRDefault="00C033B5" w:rsidP="00C033B5"/>
    <w:p w14:paraId="77AB4BFD" w14:textId="77777777" w:rsidR="00C033B5" w:rsidRPr="00746567" w:rsidRDefault="00C033B5" w:rsidP="00746567">
      <w:pPr>
        <w:jc w:val="center"/>
        <w:rPr>
          <w:rFonts w:asciiTheme="majorBidi" w:hAnsiTheme="majorBidi" w:cstheme="majorBidi"/>
        </w:rPr>
      </w:pPr>
      <w:r w:rsidRPr="00746567">
        <w:rPr>
          <w:rFonts w:asciiTheme="majorBidi" w:hAnsiTheme="majorBidi" w:cstheme="majorBidi"/>
          <w:b/>
          <w:bCs/>
        </w:rPr>
        <w:t>Appendix Table A8</w:t>
      </w:r>
      <w:r w:rsidRPr="00746567">
        <w:rPr>
          <w:rFonts w:asciiTheme="majorBidi" w:hAnsiTheme="majorBidi" w:cstheme="majorBidi"/>
        </w:rPr>
        <w:t>: Robustness Test: Bootstrap resampling</w:t>
      </w:r>
    </w:p>
    <w:tbl>
      <w:tblPr>
        <w:tblW w:w="0" w:type="auto"/>
        <w:jc w:val="center"/>
        <w:tblCellMar>
          <w:top w:w="15" w:type="dxa"/>
          <w:left w:w="15" w:type="dxa"/>
          <w:bottom w:w="15" w:type="dxa"/>
          <w:right w:w="15" w:type="dxa"/>
        </w:tblCellMar>
        <w:tblLook w:val="04A0" w:firstRow="1" w:lastRow="0" w:firstColumn="1" w:lastColumn="0" w:noHBand="0" w:noVBand="1"/>
      </w:tblPr>
      <w:tblGrid>
        <w:gridCol w:w="2497"/>
        <w:gridCol w:w="3272"/>
        <w:gridCol w:w="3257"/>
      </w:tblGrid>
      <w:tr w:rsidR="00C033B5" w:rsidRPr="00746567" w14:paraId="3543FC59" w14:textId="77777777">
        <w:trPr>
          <w:trHeight w:val="20"/>
          <w:jc w:val="center"/>
        </w:trPr>
        <w:tc>
          <w:tcPr>
            <w:tcW w:w="0" w:type="auto"/>
            <w:tcBorders>
              <w:top w:val="single" w:sz="4" w:space="0" w:color="000000"/>
            </w:tcBorders>
            <w:tcMar>
              <w:top w:w="0" w:type="dxa"/>
              <w:left w:w="115" w:type="dxa"/>
              <w:bottom w:w="0" w:type="dxa"/>
              <w:right w:w="115" w:type="dxa"/>
            </w:tcMar>
            <w:hideMark/>
          </w:tcPr>
          <w:p w14:paraId="018F1988"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Variable</w:t>
            </w:r>
          </w:p>
        </w:tc>
        <w:tc>
          <w:tcPr>
            <w:tcW w:w="0" w:type="auto"/>
            <w:tcBorders>
              <w:top w:val="single" w:sz="4" w:space="0" w:color="000000"/>
            </w:tcBorders>
            <w:tcMar>
              <w:top w:w="0" w:type="dxa"/>
              <w:left w:w="115" w:type="dxa"/>
              <w:bottom w:w="0" w:type="dxa"/>
              <w:right w:w="115" w:type="dxa"/>
            </w:tcMar>
            <w:hideMark/>
          </w:tcPr>
          <w:p w14:paraId="69D32A2E"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Observed Bootstrap Coefficient</w:t>
            </w:r>
          </w:p>
        </w:tc>
        <w:tc>
          <w:tcPr>
            <w:tcW w:w="0" w:type="auto"/>
            <w:tcBorders>
              <w:top w:val="single" w:sz="4" w:space="0" w:color="000000"/>
            </w:tcBorders>
            <w:tcMar>
              <w:top w:w="0" w:type="dxa"/>
              <w:left w:w="115" w:type="dxa"/>
              <w:bottom w:w="0" w:type="dxa"/>
              <w:right w:w="115" w:type="dxa"/>
            </w:tcMar>
            <w:hideMark/>
          </w:tcPr>
          <w:p w14:paraId="65061441"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Observed Bootstrap Coefficient</w:t>
            </w:r>
          </w:p>
        </w:tc>
      </w:tr>
      <w:tr w:rsidR="00C033B5" w:rsidRPr="00746567" w14:paraId="50577764" w14:textId="77777777">
        <w:trPr>
          <w:trHeight w:val="20"/>
          <w:jc w:val="center"/>
        </w:trPr>
        <w:tc>
          <w:tcPr>
            <w:tcW w:w="0" w:type="auto"/>
            <w:tcBorders>
              <w:bottom w:val="single" w:sz="4" w:space="0" w:color="000000"/>
            </w:tcBorders>
            <w:tcMar>
              <w:top w:w="0" w:type="dxa"/>
              <w:left w:w="115" w:type="dxa"/>
              <w:bottom w:w="0" w:type="dxa"/>
              <w:right w:w="115" w:type="dxa"/>
            </w:tcMar>
            <w:hideMark/>
          </w:tcPr>
          <w:p w14:paraId="0C34AA0B" w14:textId="77777777" w:rsidR="00C033B5" w:rsidRPr="00746567" w:rsidRDefault="00C033B5" w:rsidP="00C033B5">
            <w:pPr>
              <w:rPr>
                <w:rFonts w:asciiTheme="majorBidi" w:hAnsiTheme="majorBidi" w:cstheme="majorBidi"/>
              </w:rPr>
            </w:pPr>
          </w:p>
        </w:tc>
        <w:tc>
          <w:tcPr>
            <w:tcW w:w="0" w:type="auto"/>
            <w:tcBorders>
              <w:bottom w:val="single" w:sz="4" w:space="0" w:color="000000"/>
            </w:tcBorders>
            <w:tcMar>
              <w:top w:w="0" w:type="dxa"/>
              <w:left w:w="115" w:type="dxa"/>
              <w:bottom w:w="0" w:type="dxa"/>
              <w:right w:w="115" w:type="dxa"/>
            </w:tcMar>
            <w:hideMark/>
          </w:tcPr>
          <w:p w14:paraId="5B6C14F4"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1a)</w:t>
            </w:r>
          </w:p>
        </w:tc>
        <w:tc>
          <w:tcPr>
            <w:tcW w:w="0" w:type="auto"/>
            <w:tcBorders>
              <w:bottom w:val="single" w:sz="4" w:space="0" w:color="000000"/>
            </w:tcBorders>
            <w:tcMar>
              <w:top w:w="0" w:type="dxa"/>
              <w:left w:w="115" w:type="dxa"/>
              <w:bottom w:w="0" w:type="dxa"/>
              <w:right w:w="115" w:type="dxa"/>
            </w:tcMar>
            <w:hideMark/>
          </w:tcPr>
          <w:p w14:paraId="5C6CADE1"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2a)</w:t>
            </w:r>
          </w:p>
        </w:tc>
      </w:tr>
      <w:tr w:rsidR="00C033B5" w:rsidRPr="00746567" w14:paraId="4D83B9A0" w14:textId="77777777">
        <w:trPr>
          <w:trHeight w:val="20"/>
          <w:jc w:val="center"/>
        </w:trPr>
        <w:tc>
          <w:tcPr>
            <w:tcW w:w="0" w:type="auto"/>
            <w:tcBorders>
              <w:top w:val="single" w:sz="4" w:space="0" w:color="000000"/>
            </w:tcBorders>
            <w:tcMar>
              <w:top w:w="0" w:type="dxa"/>
              <w:left w:w="115" w:type="dxa"/>
              <w:bottom w:w="0" w:type="dxa"/>
              <w:right w:w="115" w:type="dxa"/>
            </w:tcMar>
            <w:hideMark/>
          </w:tcPr>
          <w:p w14:paraId="468C0B53"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Panel A : Default</w:t>
            </w:r>
          </w:p>
        </w:tc>
        <w:tc>
          <w:tcPr>
            <w:tcW w:w="0" w:type="auto"/>
            <w:tcBorders>
              <w:top w:val="single" w:sz="4" w:space="0" w:color="000000"/>
            </w:tcBorders>
            <w:tcMar>
              <w:top w:w="0" w:type="dxa"/>
              <w:left w:w="115" w:type="dxa"/>
              <w:bottom w:w="0" w:type="dxa"/>
              <w:right w:w="115" w:type="dxa"/>
            </w:tcMar>
            <w:hideMark/>
          </w:tcPr>
          <w:p w14:paraId="059B3A62" w14:textId="77777777" w:rsidR="00C033B5" w:rsidRPr="00746567" w:rsidRDefault="00C033B5" w:rsidP="00C033B5">
            <w:pPr>
              <w:rPr>
                <w:rFonts w:asciiTheme="majorBidi" w:hAnsiTheme="majorBidi" w:cstheme="majorBidi"/>
              </w:rPr>
            </w:pPr>
          </w:p>
        </w:tc>
        <w:tc>
          <w:tcPr>
            <w:tcW w:w="0" w:type="auto"/>
            <w:tcBorders>
              <w:top w:val="single" w:sz="4" w:space="0" w:color="000000"/>
            </w:tcBorders>
            <w:tcMar>
              <w:top w:w="0" w:type="dxa"/>
              <w:left w:w="115" w:type="dxa"/>
              <w:bottom w:w="0" w:type="dxa"/>
              <w:right w:w="115" w:type="dxa"/>
            </w:tcMar>
            <w:hideMark/>
          </w:tcPr>
          <w:p w14:paraId="2F1B832A" w14:textId="77777777" w:rsidR="00C033B5" w:rsidRPr="00746567" w:rsidRDefault="00C033B5" w:rsidP="00C033B5">
            <w:pPr>
              <w:rPr>
                <w:rFonts w:asciiTheme="majorBidi" w:hAnsiTheme="majorBidi" w:cstheme="majorBidi"/>
              </w:rPr>
            </w:pPr>
          </w:p>
        </w:tc>
      </w:tr>
      <w:tr w:rsidR="00C033B5" w:rsidRPr="00746567" w14:paraId="76732AEE" w14:textId="77777777">
        <w:trPr>
          <w:trHeight w:val="20"/>
          <w:jc w:val="center"/>
        </w:trPr>
        <w:tc>
          <w:tcPr>
            <w:tcW w:w="0" w:type="auto"/>
            <w:tcMar>
              <w:top w:w="0" w:type="dxa"/>
              <w:left w:w="115" w:type="dxa"/>
              <w:bottom w:w="0" w:type="dxa"/>
              <w:right w:w="115" w:type="dxa"/>
            </w:tcMar>
            <w:hideMark/>
          </w:tcPr>
          <w:p w14:paraId="51750105" w14:textId="77777777" w:rsidR="00C033B5" w:rsidRPr="00746567" w:rsidRDefault="00C033B5" w:rsidP="00C033B5">
            <w:pPr>
              <w:rPr>
                <w:rFonts w:asciiTheme="majorBidi" w:hAnsiTheme="majorBidi" w:cstheme="majorBidi"/>
              </w:rPr>
            </w:pPr>
            <w:r w:rsidRPr="00746567">
              <w:rPr>
                <w:rFonts w:asciiTheme="majorBidi" w:hAnsiTheme="majorBidi" w:cstheme="majorBidi"/>
              </w:rPr>
              <w:t>SITG</w:t>
            </w:r>
          </w:p>
        </w:tc>
        <w:tc>
          <w:tcPr>
            <w:tcW w:w="0" w:type="auto"/>
            <w:tcMar>
              <w:top w:w="0" w:type="dxa"/>
              <w:left w:w="115" w:type="dxa"/>
              <w:bottom w:w="0" w:type="dxa"/>
              <w:right w:w="115" w:type="dxa"/>
            </w:tcMar>
            <w:hideMark/>
          </w:tcPr>
          <w:p w14:paraId="10B50B1D" w14:textId="77777777" w:rsidR="00C033B5" w:rsidRPr="00746567" w:rsidRDefault="00C033B5" w:rsidP="00C033B5">
            <w:pPr>
              <w:rPr>
                <w:rFonts w:asciiTheme="majorBidi" w:hAnsiTheme="majorBidi" w:cstheme="majorBidi"/>
              </w:rPr>
            </w:pPr>
            <w:r w:rsidRPr="00746567">
              <w:rPr>
                <w:rFonts w:asciiTheme="majorBidi" w:hAnsiTheme="majorBidi" w:cstheme="majorBidi"/>
              </w:rPr>
              <w:t>-32.0922***</w:t>
            </w:r>
          </w:p>
        </w:tc>
        <w:tc>
          <w:tcPr>
            <w:tcW w:w="0" w:type="auto"/>
            <w:tcMar>
              <w:top w:w="0" w:type="dxa"/>
              <w:left w:w="115" w:type="dxa"/>
              <w:bottom w:w="0" w:type="dxa"/>
              <w:right w:w="115" w:type="dxa"/>
            </w:tcMar>
            <w:hideMark/>
          </w:tcPr>
          <w:p w14:paraId="0C781967" w14:textId="77777777" w:rsidR="00C033B5" w:rsidRPr="00746567" w:rsidRDefault="00C033B5" w:rsidP="00C033B5">
            <w:pPr>
              <w:rPr>
                <w:rFonts w:asciiTheme="majorBidi" w:hAnsiTheme="majorBidi" w:cstheme="majorBidi"/>
              </w:rPr>
            </w:pPr>
            <w:r w:rsidRPr="00746567">
              <w:rPr>
                <w:rFonts w:asciiTheme="majorBidi" w:hAnsiTheme="majorBidi" w:cstheme="majorBidi"/>
              </w:rPr>
              <w:t>-6.1535***</w:t>
            </w:r>
          </w:p>
        </w:tc>
      </w:tr>
      <w:tr w:rsidR="00C033B5" w:rsidRPr="00746567" w14:paraId="0A96F2B6" w14:textId="77777777">
        <w:trPr>
          <w:trHeight w:val="20"/>
          <w:jc w:val="center"/>
        </w:trPr>
        <w:tc>
          <w:tcPr>
            <w:tcW w:w="0" w:type="auto"/>
            <w:tcMar>
              <w:top w:w="0" w:type="dxa"/>
              <w:left w:w="115" w:type="dxa"/>
              <w:bottom w:w="0" w:type="dxa"/>
              <w:right w:w="115" w:type="dxa"/>
            </w:tcMar>
            <w:hideMark/>
          </w:tcPr>
          <w:p w14:paraId="3B42D43D"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0DD4F1AB" w14:textId="77777777" w:rsidR="00C033B5" w:rsidRPr="00746567" w:rsidRDefault="00C033B5" w:rsidP="00C033B5">
            <w:pPr>
              <w:rPr>
                <w:rFonts w:asciiTheme="majorBidi" w:hAnsiTheme="majorBidi" w:cstheme="majorBidi"/>
              </w:rPr>
            </w:pPr>
            <w:r w:rsidRPr="00746567">
              <w:rPr>
                <w:rFonts w:asciiTheme="majorBidi" w:hAnsiTheme="majorBidi" w:cstheme="majorBidi"/>
              </w:rPr>
              <w:t>(6.0299)</w:t>
            </w:r>
          </w:p>
        </w:tc>
        <w:tc>
          <w:tcPr>
            <w:tcW w:w="0" w:type="auto"/>
            <w:tcMar>
              <w:top w:w="0" w:type="dxa"/>
              <w:left w:w="115" w:type="dxa"/>
              <w:bottom w:w="0" w:type="dxa"/>
              <w:right w:w="115" w:type="dxa"/>
            </w:tcMar>
            <w:hideMark/>
          </w:tcPr>
          <w:p w14:paraId="3D47E7DE" w14:textId="77777777" w:rsidR="00C033B5" w:rsidRPr="00746567" w:rsidRDefault="00C033B5" w:rsidP="00C033B5">
            <w:pPr>
              <w:rPr>
                <w:rFonts w:asciiTheme="majorBidi" w:hAnsiTheme="majorBidi" w:cstheme="majorBidi"/>
              </w:rPr>
            </w:pPr>
            <w:r w:rsidRPr="00746567">
              <w:rPr>
                <w:rFonts w:asciiTheme="majorBidi" w:hAnsiTheme="majorBidi" w:cstheme="majorBidi"/>
              </w:rPr>
              <w:t>(0.9399)</w:t>
            </w:r>
          </w:p>
        </w:tc>
      </w:tr>
      <w:tr w:rsidR="00C033B5" w:rsidRPr="00746567" w14:paraId="51949893" w14:textId="77777777">
        <w:trPr>
          <w:trHeight w:val="20"/>
          <w:jc w:val="center"/>
        </w:trPr>
        <w:tc>
          <w:tcPr>
            <w:tcW w:w="0" w:type="auto"/>
            <w:tcMar>
              <w:top w:w="0" w:type="dxa"/>
              <w:left w:w="115" w:type="dxa"/>
              <w:bottom w:w="0" w:type="dxa"/>
              <w:right w:w="115" w:type="dxa"/>
            </w:tcMar>
            <w:hideMark/>
          </w:tcPr>
          <w:p w14:paraId="5BE9F965" w14:textId="77777777" w:rsidR="00C033B5" w:rsidRPr="00746567" w:rsidRDefault="00C033B5" w:rsidP="00C033B5">
            <w:pPr>
              <w:rPr>
                <w:rFonts w:asciiTheme="majorBidi" w:hAnsiTheme="majorBidi" w:cstheme="majorBidi"/>
              </w:rPr>
            </w:pPr>
            <w:r w:rsidRPr="00746567">
              <w:rPr>
                <w:rFonts w:asciiTheme="majorBidi" w:hAnsiTheme="majorBidi" w:cstheme="majorBidi"/>
              </w:rPr>
              <w:t>No. of replications</w:t>
            </w:r>
          </w:p>
        </w:tc>
        <w:tc>
          <w:tcPr>
            <w:tcW w:w="0" w:type="auto"/>
            <w:tcMar>
              <w:top w:w="0" w:type="dxa"/>
              <w:left w:w="115" w:type="dxa"/>
              <w:bottom w:w="0" w:type="dxa"/>
              <w:right w:w="115" w:type="dxa"/>
            </w:tcMar>
            <w:hideMark/>
          </w:tcPr>
          <w:p w14:paraId="3A118A42" w14:textId="77777777" w:rsidR="00C033B5" w:rsidRPr="00746567" w:rsidRDefault="00C033B5" w:rsidP="00C033B5">
            <w:pPr>
              <w:rPr>
                <w:rFonts w:asciiTheme="majorBidi" w:hAnsiTheme="majorBidi" w:cstheme="majorBidi"/>
              </w:rPr>
            </w:pPr>
            <w:r w:rsidRPr="00746567">
              <w:rPr>
                <w:rFonts w:asciiTheme="majorBidi" w:hAnsiTheme="majorBidi" w:cstheme="majorBidi"/>
              </w:rPr>
              <w:t>200</w:t>
            </w:r>
          </w:p>
        </w:tc>
        <w:tc>
          <w:tcPr>
            <w:tcW w:w="0" w:type="auto"/>
            <w:tcMar>
              <w:top w:w="0" w:type="dxa"/>
              <w:left w:w="115" w:type="dxa"/>
              <w:bottom w:w="0" w:type="dxa"/>
              <w:right w:w="115" w:type="dxa"/>
            </w:tcMar>
            <w:hideMark/>
          </w:tcPr>
          <w:p w14:paraId="4DF1D566" w14:textId="77777777" w:rsidR="00C033B5" w:rsidRPr="00746567" w:rsidRDefault="00C033B5" w:rsidP="00C033B5">
            <w:pPr>
              <w:rPr>
                <w:rFonts w:asciiTheme="majorBidi" w:hAnsiTheme="majorBidi" w:cstheme="majorBidi"/>
              </w:rPr>
            </w:pPr>
            <w:r w:rsidRPr="00746567">
              <w:rPr>
                <w:rFonts w:asciiTheme="majorBidi" w:hAnsiTheme="majorBidi" w:cstheme="majorBidi"/>
              </w:rPr>
              <w:t>200</w:t>
            </w:r>
          </w:p>
        </w:tc>
      </w:tr>
      <w:tr w:rsidR="00C033B5" w:rsidRPr="00746567" w14:paraId="082D5180" w14:textId="77777777">
        <w:trPr>
          <w:trHeight w:val="20"/>
          <w:jc w:val="center"/>
        </w:trPr>
        <w:tc>
          <w:tcPr>
            <w:tcW w:w="0" w:type="auto"/>
            <w:tcBorders>
              <w:bottom w:val="single" w:sz="4" w:space="0" w:color="000000"/>
            </w:tcBorders>
            <w:tcMar>
              <w:top w:w="0" w:type="dxa"/>
              <w:left w:w="115" w:type="dxa"/>
              <w:bottom w:w="0" w:type="dxa"/>
              <w:right w:w="115" w:type="dxa"/>
            </w:tcMar>
            <w:hideMark/>
          </w:tcPr>
          <w:p w14:paraId="4CAE162B" w14:textId="77777777" w:rsidR="00C033B5" w:rsidRPr="00746567" w:rsidRDefault="00C033B5" w:rsidP="00C033B5">
            <w:pPr>
              <w:rPr>
                <w:rFonts w:asciiTheme="majorBidi" w:hAnsiTheme="majorBidi" w:cstheme="majorBidi"/>
              </w:rPr>
            </w:pPr>
            <w:r w:rsidRPr="00746567">
              <w:rPr>
                <w:rFonts w:asciiTheme="majorBidi" w:hAnsiTheme="majorBidi" w:cstheme="majorBidi"/>
              </w:rPr>
              <w:t>No. of observations</w:t>
            </w:r>
          </w:p>
        </w:tc>
        <w:tc>
          <w:tcPr>
            <w:tcW w:w="0" w:type="auto"/>
            <w:tcBorders>
              <w:bottom w:val="single" w:sz="4" w:space="0" w:color="000000"/>
            </w:tcBorders>
            <w:tcMar>
              <w:top w:w="0" w:type="dxa"/>
              <w:left w:w="115" w:type="dxa"/>
              <w:bottom w:w="0" w:type="dxa"/>
              <w:right w:w="115" w:type="dxa"/>
            </w:tcMar>
            <w:hideMark/>
          </w:tcPr>
          <w:p w14:paraId="4D95567F" w14:textId="77777777" w:rsidR="00C033B5" w:rsidRPr="00746567" w:rsidRDefault="00C033B5" w:rsidP="00C033B5">
            <w:pPr>
              <w:rPr>
                <w:rFonts w:asciiTheme="majorBidi" w:hAnsiTheme="majorBidi" w:cstheme="majorBidi"/>
              </w:rPr>
            </w:pPr>
            <w:r w:rsidRPr="00746567">
              <w:rPr>
                <w:rFonts w:asciiTheme="majorBidi" w:hAnsiTheme="majorBidi" w:cstheme="majorBidi"/>
              </w:rPr>
              <w:t>1,404,090</w:t>
            </w:r>
          </w:p>
        </w:tc>
        <w:tc>
          <w:tcPr>
            <w:tcW w:w="0" w:type="auto"/>
            <w:tcBorders>
              <w:bottom w:val="single" w:sz="4" w:space="0" w:color="000000"/>
            </w:tcBorders>
            <w:tcMar>
              <w:top w:w="0" w:type="dxa"/>
              <w:left w:w="115" w:type="dxa"/>
              <w:bottom w:w="0" w:type="dxa"/>
              <w:right w:w="115" w:type="dxa"/>
            </w:tcMar>
            <w:hideMark/>
          </w:tcPr>
          <w:p w14:paraId="75242F09" w14:textId="77777777" w:rsidR="00C033B5" w:rsidRPr="00746567" w:rsidRDefault="00C033B5" w:rsidP="00C033B5">
            <w:pPr>
              <w:rPr>
                <w:rFonts w:asciiTheme="majorBidi" w:hAnsiTheme="majorBidi" w:cstheme="majorBidi"/>
              </w:rPr>
            </w:pPr>
            <w:r w:rsidRPr="00746567">
              <w:rPr>
                <w:rFonts w:asciiTheme="majorBidi" w:hAnsiTheme="majorBidi" w:cstheme="majorBidi"/>
              </w:rPr>
              <w:t>213,088</w:t>
            </w:r>
          </w:p>
        </w:tc>
      </w:tr>
      <w:tr w:rsidR="00C033B5" w:rsidRPr="00746567" w14:paraId="68CBFFD9" w14:textId="77777777">
        <w:trPr>
          <w:trHeight w:val="20"/>
          <w:jc w:val="center"/>
        </w:trPr>
        <w:tc>
          <w:tcPr>
            <w:tcW w:w="0" w:type="auto"/>
            <w:tcBorders>
              <w:top w:val="single" w:sz="4" w:space="0" w:color="000000"/>
            </w:tcBorders>
            <w:tcMar>
              <w:top w:w="0" w:type="dxa"/>
              <w:left w:w="115" w:type="dxa"/>
              <w:bottom w:w="0" w:type="dxa"/>
              <w:right w:w="115" w:type="dxa"/>
            </w:tcMar>
            <w:hideMark/>
          </w:tcPr>
          <w:p w14:paraId="4D9C5E43"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Panel B : SEVDEF</w:t>
            </w:r>
          </w:p>
        </w:tc>
        <w:tc>
          <w:tcPr>
            <w:tcW w:w="0" w:type="auto"/>
            <w:tcBorders>
              <w:top w:val="single" w:sz="4" w:space="0" w:color="000000"/>
            </w:tcBorders>
            <w:tcMar>
              <w:top w:w="0" w:type="dxa"/>
              <w:left w:w="115" w:type="dxa"/>
              <w:bottom w:w="0" w:type="dxa"/>
              <w:right w:w="115" w:type="dxa"/>
            </w:tcMar>
            <w:hideMark/>
          </w:tcPr>
          <w:p w14:paraId="02D9041D" w14:textId="77777777" w:rsidR="00C033B5" w:rsidRPr="00746567" w:rsidRDefault="00C033B5" w:rsidP="00C033B5">
            <w:pPr>
              <w:rPr>
                <w:rFonts w:asciiTheme="majorBidi" w:hAnsiTheme="majorBidi" w:cstheme="majorBidi"/>
              </w:rPr>
            </w:pPr>
          </w:p>
        </w:tc>
        <w:tc>
          <w:tcPr>
            <w:tcW w:w="0" w:type="auto"/>
            <w:tcBorders>
              <w:top w:val="single" w:sz="4" w:space="0" w:color="000000"/>
            </w:tcBorders>
            <w:tcMar>
              <w:top w:w="0" w:type="dxa"/>
              <w:left w:w="115" w:type="dxa"/>
              <w:bottom w:w="0" w:type="dxa"/>
              <w:right w:w="115" w:type="dxa"/>
            </w:tcMar>
            <w:hideMark/>
          </w:tcPr>
          <w:p w14:paraId="5A7F82DB" w14:textId="77777777" w:rsidR="00C033B5" w:rsidRPr="00746567" w:rsidRDefault="00C033B5" w:rsidP="00C033B5">
            <w:pPr>
              <w:rPr>
                <w:rFonts w:asciiTheme="majorBidi" w:hAnsiTheme="majorBidi" w:cstheme="majorBidi"/>
              </w:rPr>
            </w:pPr>
          </w:p>
        </w:tc>
      </w:tr>
      <w:tr w:rsidR="00C033B5" w:rsidRPr="00746567" w14:paraId="4026A859" w14:textId="77777777">
        <w:trPr>
          <w:trHeight w:val="20"/>
          <w:jc w:val="center"/>
        </w:trPr>
        <w:tc>
          <w:tcPr>
            <w:tcW w:w="0" w:type="auto"/>
            <w:tcMar>
              <w:top w:w="0" w:type="dxa"/>
              <w:left w:w="115" w:type="dxa"/>
              <w:bottom w:w="0" w:type="dxa"/>
              <w:right w:w="115" w:type="dxa"/>
            </w:tcMar>
            <w:hideMark/>
          </w:tcPr>
          <w:p w14:paraId="75231513" w14:textId="77777777" w:rsidR="00C033B5" w:rsidRPr="00746567" w:rsidRDefault="00C033B5" w:rsidP="00C033B5">
            <w:pPr>
              <w:rPr>
                <w:rFonts w:asciiTheme="majorBidi" w:hAnsiTheme="majorBidi" w:cstheme="majorBidi"/>
              </w:rPr>
            </w:pPr>
            <w:r w:rsidRPr="00746567">
              <w:rPr>
                <w:rFonts w:asciiTheme="majorBidi" w:hAnsiTheme="majorBidi" w:cstheme="majorBidi"/>
              </w:rPr>
              <w:t>SITG</w:t>
            </w:r>
          </w:p>
        </w:tc>
        <w:tc>
          <w:tcPr>
            <w:tcW w:w="0" w:type="auto"/>
            <w:tcMar>
              <w:top w:w="0" w:type="dxa"/>
              <w:left w:w="115" w:type="dxa"/>
              <w:bottom w:w="0" w:type="dxa"/>
              <w:right w:w="115" w:type="dxa"/>
            </w:tcMar>
            <w:hideMark/>
          </w:tcPr>
          <w:p w14:paraId="5DEC73A9" w14:textId="77777777" w:rsidR="00C033B5" w:rsidRPr="00746567" w:rsidRDefault="00C033B5" w:rsidP="00C033B5">
            <w:pPr>
              <w:rPr>
                <w:rFonts w:asciiTheme="majorBidi" w:hAnsiTheme="majorBidi" w:cstheme="majorBidi"/>
              </w:rPr>
            </w:pPr>
            <w:r w:rsidRPr="00746567">
              <w:rPr>
                <w:rFonts w:asciiTheme="majorBidi" w:hAnsiTheme="majorBidi" w:cstheme="majorBidi"/>
              </w:rPr>
              <w:t>-12.5512***</w:t>
            </w:r>
          </w:p>
        </w:tc>
        <w:tc>
          <w:tcPr>
            <w:tcW w:w="0" w:type="auto"/>
            <w:tcMar>
              <w:top w:w="0" w:type="dxa"/>
              <w:left w:w="115" w:type="dxa"/>
              <w:bottom w:w="0" w:type="dxa"/>
              <w:right w:w="115" w:type="dxa"/>
            </w:tcMar>
            <w:hideMark/>
          </w:tcPr>
          <w:p w14:paraId="531DFAAD" w14:textId="77777777" w:rsidR="00C033B5" w:rsidRPr="00746567" w:rsidRDefault="00C033B5" w:rsidP="00C033B5">
            <w:pPr>
              <w:rPr>
                <w:rFonts w:asciiTheme="majorBidi" w:hAnsiTheme="majorBidi" w:cstheme="majorBidi"/>
              </w:rPr>
            </w:pPr>
            <w:r w:rsidRPr="00746567">
              <w:rPr>
                <w:rFonts w:asciiTheme="majorBidi" w:hAnsiTheme="majorBidi" w:cstheme="majorBidi"/>
              </w:rPr>
              <w:t>-3.5878***</w:t>
            </w:r>
          </w:p>
        </w:tc>
      </w:tr>
      <w:tr w:rsidR="00C033B5" w:rsidRPr="00746567" w14:paraId="5E959A81" w14:textId="77777777">
        <w:trPr>
          <w:trHeight w:val="20"/>
          <w:jc w:val="center"/>
        </w:trPr>
        <w:tc>
          <w:tcPr>
            <w:tcW w:w="0" w:type="auto"/>
            <w:tcMar>
              <w:top w:w="0" w:type="dxa"/>
              <w:left w:w="115" w:type="dxa"/>
              <w:bottom w:w="0" w:type="dxa"/>
              <w:right w:w="115" w:type="dxa"/>
            </w:tcMar>
            <w:hideMark/>
          </w:tcPr>
          <w:p w14:paraId="26152E95"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15A8D236" w14:textId="77777777" w:rsidR="00C033B5" w:rsidRPr="00746567" w:rsidRDefault="00C033B5" w:rsidP="00C033B5">
            <w:pPr>
              <w:rPr>
                <w:rFonts w:asciiTheme="majorBidi" w:hAnsiTheme="majorBidi" w:cstheme="majorBidi"/>
              </w:rPr>
            </w:pPr>
            <w:r w:rsidRPr="00746567">
              <w:rPr>
                <w:rFonts w:asciiTheme="majorBidi" w:hAnsiTheme="majorBidi" w:cstheme="majorBidi"/>
              </w:rPr>
              <w:t>(4.1018)</w:t>
            </w:r>
          </w:p>
        </w:tc>
        <w:tc>
          <w:tcPr>
            <w:tcW w:w="0" w:type="auto"/>
            <w:tcMar>
              <w:top w:w="0" w:type="dxa"/>
              <w:left w:w="115" w:type="dxa"/>
              <w:bottom w:w="0" w:type="dxa"/>
              <w:right w:w="115" w:type="dxa"/>
            </w:tcMar>
            <w:hideMark/>
          </w:tcPr>
          <w:p w14:paraId="0895316B" w14:textId="77777777" w:rsidR="00C033B5" w:rsidRPr="00746567" w:rsidRDefault="00C033B5" w:rsidP="00C033B5">
            <w:pPr>
              <w:rPr>
                <w:rFonts w:asciiTheme="majorBidi" w:hAnsiTheme="majorBidi" w:cstheme="majorBidi"/>
              </w:rPr>
            </w:pPr>
            <w:r w:rsidRPr="00746567">
              <w:rPr>
                <w:rFonts w:asciiTheme="majorBidi" w:hAnsiTheme="majorBidi" w:cstheme="majorBidi"/>
              </w:rPr>
              <w:t>(0.9584)</w:t>
            </w:r>
          </w:p>
        </w:tc>
      </w:tr>
      <w:tr w:rsidR="00C033B5" w:rsidRPr="00746567" w14:paraId="202CE6DC" w14:textId="77777777">
        <w:trPr>
          <w:trHeight w:val="20"/>
          <w:jc w:val="center"/>
        </w:trPr>
        <w:tc>
          <w:tcPr>
            <w:tcW w:w="0" w:type="auto"/>
            <w:tcMar>
              <w:top w:w="0" w:type="dxa"/>
              <w:left w:w="115" w:type="dxa"/>
              <w:bottom w:w="0" w:type="dxa"/>
              <w:right w:w="115" w:type="dxa"/>
            </w:tcMar>
            <w:hideMark/>
          </w:tcPr>
          <w:p w14:paraId="2C552F64" w14:textId="77777777" w:rsidR="00C033B5" w:rsidRPr="00746567" w:rsidRDefault="00C033B5" w:rsidP="00C033B5">
            <w:pPr>
              <w:rPr>
                <w:rFonts w:asciiTheme="majorBidi" w:hAnsiTheme="majorBidi" w:cstheme="majorBidi"/>
              </w:rPr>
            </w:pPr>
            <w:r w:rsidRPr="00746567">
              <w:rPr>
                <w:rFonts w:asciiTheme="majorBidi" w:hAnsiTheme="majorBidi" w:cstheme="majorBidi"/>
              </w:rPr>
              <w:t>No. of replications</w:t>
            </w:r>
          </w:p>
        </w:tc>
        <w:tc>
          <w:tcPr>
            <w:tcW w:w="0" w:type="auto"/>
            <w:tcMar>
              <w:top w:w="0" w:type="dxa"/>
              <w:left w:w="115" w:type="dxa"/>
              <w:bottom w:w="0" w:type="dxa"/>
              <w:right w:w="115" w:type="dxa"/>
            </w:tcMar>
            <w:hideMark/>
          </w:tcPr>
          <w:p w14:paraId="5B07D1B7" w14:textId="77777777" w:rsidR="00C033B5" w:rsidRPr="00746567" w:rsidRDefault="00C033B5" w:rsidP="00C033B5">
            <w:pPr>
              <w:rPr>
                <w:rFonts w:asciiTheme="majorBidi" w:hAnsiTheme="majorBidi" w:cstheme="majorBidi"/>
              </w:rPr>
            </w:pPr>
            <w:r w:rsidRPr="00746567">
              <w:rPr>
                <w:rFonts w:asciiTheme="majorBidi" w:hAnsiTheme="majorBidi" w:cstheme="majorBidi"/>
              </w:rPr>
              <w:t>200</w:t>
            </w:r>
          </w:p>
        </w:tc>
        <w:tc>
          <w:tcPr>
            <w:tcW w:w="0" w:type="auto"/>
            <w:tcMar>
              <w:top w:w="0" w:type="dxa"/>
              <w:left w:w="115" w:type="dxa"/>
              <w:bottom w:w="0" w:type="dxa"/>
              <w:right w:w="115" w:type="dxa"/>
            </w:tcMar>
            <w:hideMark/>
          </w:tcPr>
          <w:p w14:paraId="560530C5" w14:textId="77777777" w:rsidR="00C033B5" w:rsidRPr="00746567" w:rsidRDefault="00C033B5" w:rsidP="00C033B5">
            <w:pPr>
              <w:rPr>
                <w:rFonts w:asciiTheme="majorBidi" w:hAnsiTheme="majorBidi" w:cstheme="majorBidi"/>
              </w:rPr>
            </w:pPr>
            <w:r w:rsidRPr="00746567">
              <w:rPr>
                <w:rFonts w:asciiTheme="majorBidi" w:hAnsiTheme="majorBidi" w:cstheme="majorBidi"/>
              </w:rPr>
              <w:t>200</w:t>
            </w:r>
          </w:p>
        </w:tc>
      </w:tr>
      <w:tr w:rsidR="00C033B5" w:rsidRPr="00746567" w14:paraId="68098CD7" w14:textId="77777777">
        <w:trPr>
          <w:trHeight w:val="20"/>
          <w:jc w:val="center"/>
        </w:trPr>
        <w:tc>
          <w:tcPr>
            <w:tcW w:w="0" w:type="auto"/>
            <w:tcBorders>
              <w:bottom w:val="single" w:sz="4" w:space="0" w:color="000000"/>
            </w:tcBorders>
            <w:tcMar>
              <w:top w:w="0" w:type="dxa"/>
              <w:left w:w="115" w:type="dxa"/>
              <w:bottom w:w="0" w:type="dxa"/>
              <w:right w:w="115" w:type="dxa"/>
            </w:tcMar>
            <w:hideMark/>
          </w:tcPr>
          <w:p w14:paraId="75A151F9" w14:textId="77777777" w:rsidR="00C033B5" w:rsidRPr="00746567" w:rsidRDefault="00C033B5" w:rsidP="00C033B5">
            <w:pPr>
              <w:rPr>
                <w:rFonts w:asciiTheme="majorBidi" w:hAnsiTheme="majorBidi" w:cstheme="majorBidi"/>
              </w:rPr>
            </w:pPr>
            <w:r w:rsidRPr="00746567">
              <w:rPr>
                <w:rFonts w:asciiTheme="majorBidi" w:hAnsiTheme="majorBidi" w:cstheme="majorBidi"/>
              </w:rPr>
              <w:t>No. of observations</w:t>
            </w:r>
          </w:p>
        </w:tc>
        <w:tc>
          <w:tcPr>
            <w:tcW w:w="0" w:type="auto"/>
            <w:tcBorders>
              <w:bottom w:val="single" w:sz="4" w:space="0" w:color="000000"/>
            </w:tcBorders>
            <w:tcMar>
              <w:top w:w="0" w:type="dxa"/>
              <w:left w:w="115" w:type="dxa"/>
              <w:bottom w:w="0" w:type="dxa"/>
              <w:right w:w="115" w:type="dxa"/>
            </w:tcMar>
            <w:hideMark/>
          </w:tcPr>
          <w:p w14:paraId="48D2A54F" w14:textId="77777777" w:rsidR="00C033B5" w:rsidRPr="00746567" w:rsidRDefault="00C033B5" w:rsidP="00C033B5">
            <w:pPr>
              <w:rPr>
                <w:rFonts w:asciiTheme="majorBidi" w:hAnsiTheme="majorBidi" w:cstheme="majorBidi"/>
              </w:rPr>
            </w:pPr>
            <w:r w:rsidRPr="00746567">
              <w:rPr>
                <w:rFonts w:asciiTheme="majorBidi" w:hAnsiTheme="majorBidi" w:cstheme="majorBidi"/>
              </w:rPr>
              <w:t>1,404,090</w:t>
            </w:r>
          </w:p>
        </w:tc>
        <w:tc>
          <w:tcPr>
            <w:tcW w:w="0" w:type="auto"/>
            <w:tcBorders>
              <w:bottom w:val="single" w:sz="4" w:space="0" w:color="000000"/>
            </w:tcBorders>
            <w:tcMar>
              <w:top w:w="0" w:type="dxa"/>
              <w:left w:w="115" w:type="dxa"/>
              <w:bottom w:w="0" w:type="dxa"/>
              <w:right w:w="115" w:type="dxa"/>
            </w:tcMar>
            <w:hideMark/>
          </w:tcPr>
          <w:p w14:paraId="541C983F" w14:textId="77777777" w:rsidR="00C033B5" w:rsidRPr="00746567" w:rsidRDefault="00C033B5" w:rsidP="00C033B5">
            <w:pPr>
              <w:rPr>
                <w:rFonts w:asciiTheme="majorBidi" w:hAnsiTheme="majorBidi" w:cstheme="majorBidi"/>
              </w:rPr>
            </w:pPr>
            <w:r w:rsidRPr="00746567">
              <w:rPr>
                <w:rFonts w:asciiTheme="majorBidi" w:hAnsiTheme="majorBidi" w:cstheme="majorBidi"/>
              </w:rPr>
              <w:t>213,088</w:t>
            </w:r>
          </w:p>
        </w:tc>
      </w:tr>
      <w:tr w:rsidR="00C033B5" w:rsidRPr="00746567" w14:paraId="06C2715E" w14:textId="77777777">
        <w:trPr>
          <w:trHeight w:val="20"/>
          <w:jc w:val="center"/>
        </w:trPr>
        <w:tc>
          <w:tcPr>
            <w:tcW w:w="0" w:type="auto"/>
            <w:tcBorders>
              <w:top w:val="single" w:sz="4" w:space="0" w:color="000000"/>
            </w:tcBorders>
            <w:tcMar>
              <w:top w:w="0" w:type="dxa"/>
              <w:left w:w="115" w:type="dxa"/>
              <w:bottom w:w="0" w:type="dxa"/>
              <w:right w:w="115" w:type="dxa"/>
            </w:tcMar>
            <w:hideMark/>
          </w:tcPr>
          <w:p w14:paraId="516CF9C8"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Panel C : Interest </w:t>
            </w:r>
          </w:p>
        </w:tc>
        <w:tc>
          <w:tcPr>
            <w:tcW w:w="0" w:type="auto"/>
            <w:tcBorders>
              <w:top w:val="single" w:sz="4" w:space="0" w:color="000000"/>
            </w:tcBorders>
            <w:tcMar>
              <w:top w:w="0" w:type="dxa"/>
              <w:left w:w="115" w:type="dxa"/>
              <w:bottom w:w="0" w:type="dxa"/>
              <w:right w:w="115" w:type="dxa"/>
            </w:tcMar>
            <w:hideMark/>
          </w:tcPr>
          <w:p w14:paraId="5CB75A27" w14:textId="77777777" w:rsidR="00C033B5" w:rsidRPr="00746567" w:rsidRDefault="00C033B5" w:rsidP="00C033B5">
            <w:pPr>
              <w:rPr>
                <w:rFonts w:asciiTheme="majorBidi" w:hAnsiTheme="majorBidi" w:cstheme="majorBidi"/>
              </w:rPr>
            </w:pPr>
          </w:p>
        </w:tc>
        <w:tc>
          <w:tcPr>
            <w:tcW w:w="0" w:type="auto"/>
            <w:tcBorders>
              <w:top w:val="single" w:sz="4" w:space="0" w:color="000000"/>
            </w:tcBorders>
            <w:tcMar>
              <w:top w:w="0" w:type="dxa"/>
              <w:left w:w="115" w:type="dxa"/>
              <w:bottom w:w="0" w:type="dxa"/>
              <w:right w:w="115" w:type="dxa"/>
            </w:tcMar>
            <w:hideMark/>
          </w:tcPr>
          <w:p w14:paraId="010A649C" w14:textId="77777777" w:rsidR="00C033B5" w:rsidRPr="00746567" w:rsidRDefault="00C033B5" w:rsidP="00C033B5">
            <w:pPr>
              <w:rPr>
                <w:rFonts w:asciiTheme="majorBidi" w:hAnsiTheme="majorBidi" w:cstheme="majorBidi"/>
              </w:rPr>
            </w:pPr>
          </w:p>
        </w:tc>
      </w:tr>
      <w:tr w:rsidR="00C033B5" w:rsidRPr="00746567" w14:paraId="53340842" w14:textId="77777777">
        <w:trPr>
          <w:trHeight w:val="20"/>
          <w:jc w:val="center"/>
        </w:trPr>
        <w:tc>
          <w:tcPr>
            <w:tcW w:w="0" w:type="auto"/>
            <w:tcMar>
              <w:top w:w="0" w:type="dxa"/>
              <w:left w:w="115" w:type="dxa"/>
              <w:bottom w:w="0" w:type="dxa"/>
              <w:right w:w="115" w:type="dxa"/>
            </w:tcMar>
            <w:hideMark/>
          </w:tcPr>
          <w:p w14:paraId="6C83DB91" w14:textId="77777777" w:rsidR="00C033B5" w:rsidRPr="00746567" w:rsidRDefault="00C033B5" w:rsidP="00C033B5">
            <w:pPr>
              <w:rPr>
                <w:rFonts w:asciiTheme="majorBidi" w:hAnsiTheme="majorBidi" w:cstheme="majorBidi"/>
              </w:rPr>
            </w:pPr>
            <w:r w:rsidRPr="00746567">
              <w:rPr>
                <w:rFonts w:asciiTheme="majorBidi" w:hAnsiTheme="majorBidi" w:cstheme="majorBidi"/>
              </w:rPr>
              <w:t>SITG</w:t>
            </w:r>
          </w:p>
        </w:tc>
        <w:tc>
          <w:tcPr>
            <w:tcW w:w="0" w:type="auto"/>
            <w:tcMar>
              <w:top w:w="0" w:type="dxa"/>
              <w:left w:w="115" w:type="dxa"/>
              <w:bottom w:w="0" w:type="dxa"/>
              <w:right w:w="115" w:type="dxa"/>
            </w:tcMar>
            <w:hideMark/>
          </w:tcPr>
          <w:p w14:paraId="198B4CC4" w14:textId="77777777" w:rsidR="00C033B5" w:rsidRPr="00746567" w:rsidRDefault="00C033B5" w:rsidP="00C033B5">
            <w:pPr>
              <w:rPr>
                <w:rFonts w:asciiTheme="majorBidi" w:hAnsiTheme="majorBidi" w:cstheme="majorBidi"/>
              </w:rPr>
            </w:pPr>
            <w:r w:rsidRPr="00746567">
              <w:rPr>
                <w:rFonts w:asciiTheme="majorBidi" w:hAnsiTheme="majorBidi" w:cstheme="majorBidi"/>
              </w:rPr>
              <w:t>-0.0626***</w:t>
            </w:r>
          </w:p>
        </w:tc>
        <w:tc>
          <w:tcPr>
            <w:tcW w:w="0" w:type="auto"/>
            <w:tcMar>
              <w:top w:w="0" w:type="dxa"/>
              <w:left w:w="115" w:type="dxa"/>
              <w:bottom w:w="0" w:type="dxa"/>
              <w:right w:w="115" w:type="dxa"/>
            </w:tcMar>
            <w:hideMark/>
          </w:tcPr>
          <w:p w14:paraId="100CB979" w14:textId="77777777" w:rsidR="00C033B5" w:rsidRPr="00746567" w:rsidRDefault="00C033B5" w:rsidP="00C033B5">
            <w:pPr>
              <w:rPr>
                <w:rFonts w:asciiTheme="majorBidi" w:hAnsiTheme="majorBidi" w:cstheme="majorBidi"/>
              </w:rPr>
            </w:pPr>
            <w:r w:rsidRPr="00746567">
              <w:rPr>
                <w:rFonts w:asciiTheme="majorBidi" w:hAnsiTheme="majorBidi" w:cstheme="majorBidi"/>
              </w:rPr>
              <w:t>-0.4399***</w:t>
            </w:r>
          </w:p>
        </w:tc>
      </w:tr>
      <w:tr w:rsidR="00C033B5" w:rsidRPr="00746567" w14:paraId="2B2B169F" w14:textId="77777777">
        <w:trPr>
          <w:trHeight w:val="20"/>
          <w:jc w:val="center"/>
        </w:trPr>
        <w:tc>
          <w:tcPr>
            <w:tcW w:w="0" w:type="auto"/>
            <w:tcMar>
              <w:top w:w="0" w:type="dxa"/>
              <w:left w:w="115" w:type="dxa"/>
              <w:bottom w:w="0" w:type="dxa"/>
              <w:right w:w="115" w:type="dxa"/>
            </w:tcMar>
            <w:hideMark/>
          </w:tcPr>
          <w:p w14:paraId="0E2DB9C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0B3BB23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(0.0034)</w:t>
            </w:r>
          </w:p>
        </w:tc>
        <w:tc>
          <w:tcPr>
            <w:tcW w:w="0" w:type="auto"/>
            <w:tcMar>
              <w:top w:w="0" w:type="dxa"/>
              <w:left w:w="115" w:type="dxa"/>
              <w:bottom w:w="0" w:type="dxa"/>
              <w:right w:w="115" w:type="dxa"/>
            </w:tcMar>
            <w:hideMark/>
          </w:tcPr>
          <w:p w14:paraId="0C3011E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(0.0045)</w:t>
            </w:r>
          </w:p>
        </w:tc>
      </w:tr>
      <w:tr w:rsidR="00C033B5" w:rsidRPr="00746567" w14:paraId="79A3F418" w14:textId="77777777">
        <w:trPr>
          <w:trHeight w:val="20"/>
          <w:jc w:val="center"/>
        </w:trPr>
        <w:tc>
          <w:tcPr>
            <w:tcW w:w="0" w:type="auto"/>
            <w:tcMar>
              <w:top w:w="0" w:type="dxa"/>
              <w:left w:w="115" w:type="dxa"/>
              <w:bottom w:w="0" w:type="dxa"/>
              <w:right w:w="115" w:type="dxa"/>
            </w:tcMar>
            <w:hideMark/>
          </w:tcPr>
          <w:p w14:paraId="2F0F8D7B" w14:textId="77777777" w:rsidR="00C033B5" w:rsidRPr="00746567" w:rsidRDefault="00C033B5" w:rsidP="00C033B5">
            <w:pPr>
              <w:rPr>
                <w:rFonts w:asciiTheme="majorBidi" w:hAnsiTheme="majorBidi" w:cstheme="majorBidi"/>
              </w:rPr>
            </w:pPr>
            <w:r w:rsidRPr="00746567">
              <w:rPr>
                <w:rFonts w:asciiTheme="majorBidi" w:hAnsiTheme="majorBidi" w:cstheme="majorBidi"/>
              </w:rPr>
              <w:t>No. of replications</w:t>
            </w:r>
          </w:p>
        </w:tc>
        <w:tc>
          <w:tcPr>
            <w:tcW w:w="0" w:type="auto"/>
            <w:tcMar>
              <w:top w:w="0" w:type="dxa"/>
              <w:left w:w="115" w:type="dxa"/>
              <w:bottom w:w="0" w:type="dxa"/>
              <w:right w:w="115" w:type="dxa"/>
            </w:tcMar>
            <w:hideMark/>
          </w:tcPr>
          <w:p w14:paraId="02B3789C" w14:textId="77777777" w:rsidR="00C033B5" w:rsidRPr="00746567" w:rsidRDefault="00C033B5" w:rsidP="00C033B5">
            <w:pPr>
              <w:rPr>
                <w:rFonts w:asciiTheme="majorBidi" w:hAnsiTheme="majorBidi" w:cstheme="majorBidi"/>
              </w:rPr>
            </w:pPr>
            <w:r w:rsidRPr="00746567">
              <w:rPr>
                <w:rFonts w:asciiTheme="majorBidi" w:hAnsiTheme="majorBidi" w:cstheme="majorBidi"/>
              </w:rPr>
              <w:t>200</w:t>
            </w:r>
          </w:p>
        </w:tc>
        <w:tc>
          <w:tcPr>
            <w:tcW w:w="0" w:type="auto"/>
            <w:tcMar>
              <w:top w:w="0" w:type="dxa"/>
              <w:left w:w="115" w:type="dxa"/>
              <w:bottom w:w="0" w:type="dxa"/>
              <w:right w:w="115" w:type="dxa"/>
            </w:tcMar>
            <w:hideMark/>
          </w:tcPr>
          <w:p w14:paraId="3A26B2BE" w14:textId="77777777" w:rsidR="00C033B5" w:rsidRPr="00746567" w:rsidRDefault="00C033B5" w:rsidP="00C033B5">
            <w:pPr>
              <w:rPr>
                <w:rFonts w:asciiTheme="majorBidi" w:hAnsiTheme="majorBidi" w:cstheme="majorBidi"/>
              </w:rPr>
            </w:pPr>
            <w:r w:rsidRPr="00746567">
              <w:rPr>
                <w:rFonts w:asciiTheme="majorBidi" w:hAnsiTheme="majorBidi" w:cstheme="majorBidi"/>
              </w:rPr>
              <w:t>200</w:t>
            </w:r>
          </w:p>
        </w:tc>
      </w:tr>
      <w:tr w:rsidR="00C033B5" w:rsidRPr="00746567" w14:paraId="19146A34" w14:textId="77777777">
        <w:trPr>
          <w:trHeight w:val="20"/>
          <w:jc w:val="center"/>
        </w:trPr>
        <w:tc>
          <w:tcPr>
            <w:tcW w:w="0" w:type="auto"/>
            <w:tcBorders>
              <w:bottom w:val="single" w:sz="4" w:space="0" w:color="000000"/>
            </w:tcBorders>
            <w:tcMar>
              <w:top w:w="0" w:type="dxa"/>
              <w:left w:w="115" w:type="dxa"/>
              <w:bottom w:w="0" w:type="dxa"/>
              <w:right w:w="115" w:type="dxa"/>
            </w:tcMar>
            <w:hideMark/>
          </w:tcPr>
          <w:p w14:paraId="21D84218" w14:textId="77777777" w:rsidR="00C033B5" w:rsidRPr="00746567" w:rsidRDefault="00C033B5" w:rsidP="00C033B5">
            <w:pPr>
              <w:rPr>
                <w:rFonts w:asciiTheme="majorBidi" w:hAnsiTheme="majorBidi" w:cstheme="majorBidi"/>
              </w:rPr>
            </w:pPr>
            <w:r w:rsidRPr="00746567">
              <w:rPr>
                <w:rFonts w:asciiTheme="majorBidi" w:hAnsiTheme="majorBidi" w:cstheme="majorBidi"/>
              </w:rPr>
              <w:lastRenderedPageBreak/>
              <w:t>No. of observations</w:t>
            </w:r>
          </w:p>
        </w:tc>
        <w:tc>
          <w:tcPr>
            <w:tcW w:w="0" w:type="auto"/>
            <w:tcBorders>
              <w:bottom w:val="single" w:sz="4" w:space="0" w:color="000000"/>
            </w:tcBorders>
            <w:tcMar>
              <w:top w:w="0" w:type="dxa"/>
              <w:left w:w="115" w:type="dxa"/>
              <w:bottom w:w="0" w:type="dxa"/>
              <w:right w:w="115" w:type="dxa"/>
            </w:tcMar>
            <w:hideMark/>
          </w:tcPr>
          <w:p w14:paraId="006C527D" w14:textId="77777777" w:rsidR="00C033B5" w:rsidRPr="00746567" w:rsidRDefault="00C033B5" w:rsidP="00C033B5">
            <w:pPr>
              <w:rPr>
                <w:rFonts w:asciiTheme="majorBidi" w:hAnsiTheme="majorBidi" w:cstheme="majorBidi"/>
              </w:rPr>
            </w:pPr>
            <w:r w:rsidRPr="00746567">
              <w:rPr>
                <w:rFonts w:asciiTheme="majorBidi" w:hAnsiTheme="majorBidi" w:cstheme="majorBidi"/>
              </w:rPr>
              <w:t>1,452,900</w:t>
            </w:r>
          </w:p>
        </w:tc>
        <w:tc>
          <w:tcPr>
            <w:tcW w:w="0" w:type="auto"/>
            <w:tcBorders>
              <w:bottom w:val="single" w:sz="4" w:space="0" w:color="000000"/>
            </w:tcBorders>
            <w:tcMar>
              <w:top w:w="0" w:type="dxa"/>
              <w:left w:w="115" w:type="dxa"/>
              <w:bottom w:w="0" w:type="dxa"/>
              <w:right w:w="115" w:type="dxa"/>
            </w:tcMar>
            <w:hideMark/>
          </w:tcPr>
          <w:p w14:paraId="56A528A0" w14:textId="77777777" w:rsidR="00C033B5" w:rsidRPr="00746567" w:rsidRDefault="00C033B5" w:rsidP="00C033B5">
            <w:pPr>
              <w:rPr>
                <w:rFonts w:asciiTheme="majorBidi" w:hAnsiTheme="majorBidi" w:cstheme="majorBidi"/>
              </w:rPr>
            </w:pPr>
            <w:r w:rsidRPr="00746567">
              <w:rPr>
                <w:rFonts w:asciiTheme="majorBidi" w:hAnsiTheme="majorBidi" w:cstheme="majorBidi"/>
              </w:rPr>
              <w:t>530,434</w:t>
            </w:r>
          </w:p>
        </w:tc>
      </w:tr>
      <w:tr w:rsidR="00C033B5" w:rsidRPr="00746567" w14:paraId="58F9803F" w14:textId="77777777">
        <w:trPr>
          <w:trHeight w:val="20"/>
          <w:jc w:val="center"/>
        </w:trPr>
        <w:tc>
          <w:tcPr>
            <w:tcW w:w="0" w:type="auto"/>
            <w:gridSpan w:val="3"/>
            <w:tcBorders>
              <w:top w:val="single" w:sz="4" w:space="0" w:color="000000"/>
            </w:tcBorders>
            <w:tcMar>
              <w:top w:w="0" w:type="dxa"/>
              <w:left w:w="115" w:type="dxa"/>
              <w:bottom w:w="0" w:type="dxa"/>
              <w:right w:w="115" w:type="dxa"/>
            </w:tcMar>
            <w:hideMark/>
          </w:tcPr>
          <w:p w14:paraId="3F3B174B" w14:textId="77777777" w:rsidR="00C033B5" w:rsidRPr="00746567" w:rsidRDefault="00C033B5" w:rsidP="00C033B5">
            <w:pPr>
              <w:rPr>
                <w:rFonts w:asciiTheme="majorBidi" w:hAnsiTheme="majorBidi" w:cstheme="majorBidi"/>
              </w:rPr>
            </w:pPr>
            <w:r w:rsidRPr="00746567">
              <w:rPr>
                <w:rFonts w:asciiTheme="majorBidi" w:hAnsiTheme="majorBidi" w:cstheme="majorBidi"/>
                <w:i/>
                <w:iCs/>
              </w:rPr>
              <w:t>Note: The table reports the estimates of bootstrap resampling analysis for the impact of skin in the game on default likelihood, severity of default and interest rates in Panel A, Panel B and Panel C respectively. Specification (1a) and Specification (2a) reports the observed coefficients for claims and notes respectively. All specifications of the model employ robust standard errors in parentheses. *, **, *** indicate significance at 10%, 5%, and 1% levels respectively.</w:t>
            </w:r>
          </w:p>
        </w:tc>
      </w:tr>
    </w:tbl>
    <w:p w14:paraId="76B9CF38" w14:textId="2694B68E" w:rsidR="00C033B5" w:rsidRPr="00C033B5" w:rsidRDefault="00C033B5" w:rsidP="00C033B5">
      <w:r w:rsidRPr="00C033B5">
        <w:br/>
      </w:r>
    </w:p>
    <w:p w14:paraId="514F8B7B" w14:textId="77777777" w:rsidR="00C033B5" w:rsidRPr="00746567" w:rsidRDefault="00C033B5" w:rsidP="00746567">
      <w:pPr>
        <w:jc w:val="center"/>
        <w:rPr>
          <w:rFonts w:asciiTheme="majorBidi" w:hAnsiTheme="majorBidi" w:cstheme="majorBidi"/>
        </w:rPr>
      </w:pPr>
      <w:r w:rsidRPr="00746567">
        <w:rPr>
          <w:rFonts w:asciiTheme="majorBidi" w:hAnsiTheme="majorBidi" w:cstheme="majorBidi"/>
          <w:b/>
          <w:bCs/>
        </w:rPr>
        <w:t>Appendix Table A9</w:t>
      </w:r>
      <w:r w:rsidRPr="00746567">
        <w:rPr>
          <w:rFonts w:asciiTheme="majorBidi" w:hAnsiTheme="majorBidi" w:cstheme="majorBidi"/>
        </w:rPr>
        <w:t>: Robustness Tests - Different Estimation Methods</w:t>
      </w:r>
    </w:p>
    <w:tbl>
      <w:tblPr>
        <w:tblW w:w="0" w:type="auto"/>
        <w:tblCellMar>
          <w:top w:w="15" w:type="dxa"/>
          <w:left w:w="15" w:type="dxa"/>
          <w:bottom w:w="15" w:type="dxa"/>
          <w:right w:w="15" w:type="dxa"/>
        </w:tblCellMar>
        <w:tblLook w:val="04A0" w:firstRow="1" w:lastRow="0" w:firstColumn="1" w:lastColumn="0" w:noHBand="0" w:noVBand="1"/>
      </w:tblPr>
      <w:tblGrid>
        <w:gridCol w:w="1150"/>
        <w:gridCol w:w="1135"/>
        <w:gridCol w:w="963"/>
        <w:gridCol w:w="963"/>
        <w:gridCol w:w="963"/>
        <w:gridCol w:w="963"/>
        <w:gridCol w:w="963"/>
        <w:gridCol w:w="963"/>
        <w:gridCol w:w="963"/>
      </w:tblGrid>
      <w:tr w:rsidR="00C033B5" w:rsidRPr="00746567" w14:paraId="08CE5012" w14:textId="77777777">
        <w:trPr>
          <w:trHeight w:val="20"/>
        </w:trPr>
        <w:tc>
          <w:tcPr>
            <w:tcW w:w="0" w:type="auto"/>
            <w:tcBorders>
              <w:top w:val="single" w:sz="4" w:space="0" w:color="000000"/>
            </w:tcBorders>
            <w:tcMar>
              <w:top w:w="0" w:type="dxa"/>
              <w:left w:w="115" w:type="dxa"/>
              <w:bottom w:w="0" w:type="dxa"/>
              <w:right w:w="115" w:type="dxa"/>
            </w:tcMar>
            <w:vAlign w:val="center"/>
            <w:hideMark/>
          </w:tcPr>
          <w:p w14:paraId="73A6DC80"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Variables</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63660D23"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PANEL A</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5D12F49E" w14:textId="77777777" w:rsidR="00C033B5" w:rsidRPr="00746567"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3B3F49BC" w14:textId="77777777" w:rsidR="00C033B5" w:rsidRPr="00746567"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05FC8033" w14:textId="77777777" w:rsidR="00C033B5" w:rsidRPr="00746567"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42CEE245"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PANEL B</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15CB3E52" w14:textId="77777777" w:rsidR="00C033B5" w:rsidRPr="00746567"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31228DAE"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PANEL C</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15A22767" w14:textId="77777777" w:rsidR="00C033B5" w:rsidRPr="00746567" w:rsidRDefault="00C033B5" w:rsidP="00C033B5">
            <w:pPr>
              <w:rPr>
                <w:rFonts w:asciiTheme="majorBidi" w:hAnsiTheme="majorBidi" w:cstheme="majorBidi"/>
              </w:rPr>
            </w:pPr>
          </w:p>
        </w:tc>
      </w:tr>
      <w:tr w:rsidR="00C033B5" w:rsidRPr="00746567" w14:paraId="57E69199" w14:textId="77777777">
        <w:trPr>
          <w:trHeight w:val="20"/>
        </w:trPr>
        <w:tc>
          <w:tcPr>
            <w:tcW w:w="0" w:type="auto"/>
            <w:tcBorders>
              <w:bottom w:val="single" w:sz="4" w:space="0" w:color="000000"/>
            </w:tcBorders>
            <w:tcMar>
              <w:top w:w="0" w:type="dxa"/>
              <w:left w:w="115" w:type="dxa"/>
              <w:bottom w:w="0" w:type="dxa"/>
              <w:right w:w="115" w:type="dxa"/>
            </w:tcMar>
            <w:vAlign w:val="center"/>
            <w:hideMark/>
          </w:tcPr>
          <w:p w14:paraId="6DE2781C" w14:textId="77777777" w:rsidR="00C033B5" w:rsidRPr="00746567"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2426C582"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1)</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7E73BF19"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2)</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39772F19"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3)</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2C56A63A"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4)</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1333D83D"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5)</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46FB557B"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6)</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330B27CD"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7)</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4E02AE53"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8)</w:t>
            </w:r>
          </w:p>
        </w:tc>
      </w:tr>
      <w:tr w:rsidR="00C033B5" w:rsidRPr="00746567" w14:paraId="30E5025A" w14:textId="77777777">
        <w:trPr>
          <w:trHeight w:val="20"/>
        </w:trPr>
        <w:tc>
          <w:tcPr>
            <w:tcW w:w="0" w:type="auto"/>
            <w:tcBorders>
              <w:top w:val="single" w:sz="4" w:space="0" w:color="000000"/>
            </w:tcBorders>
            <w:tcMar>
              <w:top w:w="0" w:type="dxa"/>
              <w:left w:w="115" w:type="dxa"/>
              <w:bottom w:w="0" w:type="dxa"/>
              <w:right w:w="115" w:type="dxa"/>
            </w:tcMar>
            <w:vAlign w:val="center"/>
            <w:hideMark/>
          </w:tcPr>
          <w:p w14:paraId="436C868E" w14:textId="77777777" w:rsidR="00C033B5" w:rsidRPr="00746567" w:rsidRDefault="00C033B5" w:rsidP="00C033B5">
            <w:pPr>
              <w:rPr>
                <w:rFonts w:asciiTheme="majorBidi" w:hAnsiTheme="majorBidi" w:cstheme="majorBidi"/>
              </w:rPr>
            </w:pPr>
            <w:r w:rsidRPr="00746567">
              <w:rPr>
                <w:rFonts w:asciiTheme="majorBidi" w:hAnsiTheme="majorBidi" w:cstheme="majorBidi"/>
              </w:rPr>
              <w:t>SITG</w:t>
            </w:r>
          </w:p>
        </w:tc>
        <w:tc>
          <w:tcPr>
            <w:tcW w:w="0" w:type="auto"/>
            <w:tcBorders>
              <w:top w:val="single" w:sz="4" w:space="0" w:color="000000"/>
            </w:tcBorders>
            <w:tcMar>
              <w:top w:w="0" w:type="dxa"/>
              <w:left w:w="115" w:type="dxa"/>
              <w:bottom w:w="0" w:type="dxa"/>
              <w:right w:w="115" w:type="dxa"/>
            </w:tcMar>
            <w:vAlign w:val="center"/>
            <w:hideMark/>
          </w:tcPr>
          <w:p w14:paraId="3572C59C" w14:textId="77777777" w:rsidR="00C033B5" w:rsidRPr="00746567" w:rsidRDefault="00C033B5" w:rsidP="00C033B5">
            <w:pPr>
              <w:rPr>
                <w:rFonts w:asciiTheme="majorBidi" w:hAnsiTheme="majorBidi" w:cstheme="majorBidi"/>
              </w:rPr>
            </w:pPr>
            <w:r w:rsidRPr="00746567">
              <w:rPr>
                <w:rFonts w:asciiTheme="majorBidi" w:hAnsiTheme="majorBidi" w:cstheme="majorBidi"/>
              </w:rPr>
              <w:t>-0.0626***</w:t>
            </w:r>
          </w:p>
        </w:tc>
        <w:tc>
          <w:tcPr>
            <w:tcW w:w="0" w:type="auto"/>
            <w:tcBorders>
              <w:top w:val="single" w:sz="4" w:space="0" w:color="000000"/>
            </w:tcBorders>
            <w:tcMar>
              <w:top w:w="0" w:type="dxa"/>
              <w:left w:w="115" w:type="dxa"/>
              <w:bottom w:w="0" w:type="dxa"/>
              <w:right w:w="115" w:type="dxa"/>
            </w:tcMar>
            <w:vAlign w:val="center"/>
            <w:hideMark/>
          </w:tcPr>
          <w:p w14:paraId="0F13CB37" w14:textId="77777777" w:rsidR="00C033B5" w:rsidRPr="00746567" w:rsidRDefault="00C033B5" w:rsidP="00C033B5">
            <w:pPr>
              <w:rPr>
                <w:rFonts w:asciiTheme="majorBidi" w:hAnsiTheme="majorBidi" w:cstheme="majorBidi"/>
              </w:rPr>
            </w:pPr>
            <w:r w:rsidRPr="00746567">
              <w:rPr>
                <w:rFonts w:asciiTheme="majorBidi" w:hAnsiTheme="majorBidi" w:cstheme="majorBidi"/>
              </w:rPr>
              <w:t>-0.4399***</w:t>
            </w:r>
          </w:p>
        </w:tc>
        <w:tc>
          <w:tcPr>
            <w:tcW w:w="0" w:type="auto"/>
            <w:tcBorders>
              <w:top w:val="single" w:sz="4" w:space="0" w:color="000000"/>
            </w:tcBorders>
            <w:tcMar>
              <w:top w:w="0" w:type="dxa"/>
              <w:left w:w="115" w:type="dxa"/>
              <w:bottom w:w="0" w:type="dxa"/>
              <w:right w:w="115" w:type="dxa"/>
            </w:tcMar>
            <w:vAlign w:val="center"/>
            <w:hideMark/>
          </w:tcPr>
          <w:p w14:paraId="0567B2C8" w14:textId="77777777" w:rsidR="00C033B5" w:rsidRPr="00746567" w:rsidRDefault="00C033B5" w:rsidP="00C033B5">
            <w:pPr>
              <w:rPr>
                <w:rFonts w:asciiTheme="majorBidi" w:hAnsiTheme="majorBidi" w:cstheme="majorBidi"/>
              </w:rPr>
            </w:pPr>
            <w:r w:rsidRPr="00746567">
              <w:rPr>
                <w:rFonts w:asciiTheme="majorBidi" w:hAnsiTheme="majorBidi" w:cstheme="majorBidi"/>
              </w:rPr>
              <w:t>-0.0327***</w:t>
            </w:r>
          </w:p>
        </w:tc>
        <w:tc>
          <w:tcPr>
            <w:tcW w:w="0" w:type="auto"/>
            <w:tcBorders>
              <w:top w:val="single" w:sz="4" w:space="0" w:color="000000"/>
            </w:tcBorders>
            <w:tcMar>
              <w:top w:w="0" w:type="dxa"/>
              <w:left w:w="115" w:type="dxa"/>
              <w:bottom w:w="0" w:type="dxa"/>
              <w:right w:w="115" w:type="dxa"/>
            </w:tcMar>
            <w:vAlign w:val="center"/>
            <w:hideMark/>
          </w:tcPr>
          <w:p w14:paraId="7642662A" w14:textId="77777777" w:rsidR="00C033B5" w:rsidRPr="00746567" w:rsidRDefault="00C033B5" w:rsidP="00C033B5">
            <w:pPr>
              <w:rPr>
                <w:rFonts w:asciiTheme="majorBidi" w:hAnsiTheme="majorBidi" w:cstheme="majorBidi"/>
              </w:rPr>
            </w:pPr>
            <w:r w:rsidRPr="00746567">
              <w:rPr>
                <w:rFonts w:asciiTheme="majorBidi" w:hAnsiTheme="majorBidi" w:cstheme="majorBidi"/>
              </w:rPr>
              <w:t>-0.3669***</w:t>
            </w:r>
          </w:p>
        </w:tc>
        <w:tc>
          <w:tcPr>
            <w:tcW w:w="0" w:type="auto"/>
            <w:tcBorders>
              <w:top w:val="single" w:sz="4" w:space="0" w:color="000000"/>
            </w:tcBorders>
            <w:tcMar>
              <w:top w:w="0" w:type="dxa"/>
              <w:left w:w="115" w:type="dxa"/>
              <w:bottom w:w="0" w:type="dxa"/>
              <w:right w:w="115" w:type="dxa"/>
            </w:tcMar>
            <w:vAlign w:val="center"/>
            <w:hideMark/>
          </w:tcPr>
          <w:p w14:paraId="6C564C58" w14:textId="77777777" w:rsidR="00C033B5" w:rsidRPr="00746567" w:rsidRDefault="00C033B5" w:rsidP="00C033B5">
            <w:pPr>
              <w:rPr>
                <w:rFonts w:asciiTheme="majorBidi" w:hAnsiTheme="majorBidi" w:cstheme="majorBidi"/>
              </w:rPr>
            </w:pPr>
            <w:r w:rsidRPr="00746567">
              <w:rPr>
                <w:rFonts w:asciiTheme="majorBidi" w:hAnsiTheme="majorBidi" w:cstheme="majorBidi"/>
              </w:rPr>
              <w:t>-0.0213***</w:t>
            </w:r>
          </w:p>
        </w:tc>
        <w:tc>
          <w:tcPr>
            <w:tcW w:w="0" w:type="auto"/>
            <w:tcBorders>
              <w:top w:val="single" w:sz="4" w:space="0" w:color="000000"/>
            </w:tcBorders>
            <w:tcMar>
              <w:top w:w="0" w:type="dxa"/>
              <w:left w:w="115" w:type="dxa"/>
              <w:bottom w:w="0" w:type="dxa"/>
              <w:right w:w="115" w:type="dxa"/>
            </w:tcMar>
            <w:vAlign w:val="center"/>
            <w:hideMark/>
          </w:tcPr>
          <w:p w14:paraId="45BBCC2C" w14:textId="77777777" w:rsidR="00C033B5" w:rsidRPr="00746567" w:rsidRDefault="00C033B5" w:rsidP="00C033B5">
            <w:pPr>
              <w:rPr>
                <w:rFonts w:asciiTheme="majorBidi" w:hAnsiTheme="majorBidi" w:cstheme="majorBidi"/>
              </w:rPr>
            </w:pPr>
            <w:r w:rsidRPr="00746567">
              <w:rPr>
                <w:rFonts w:asciiTheme="majorBidi" w:hAnsiTheme="majorBidi" w:cstheme="majorBidi"/>
              </w:rPr>
              <w:t>-0.7739***</w:t>
            </w:r>
          </w:p>
        </w:tc>
        <w:tc>
          <w:tcPr>
            <w:tcW w:w="0" w:type="auto"/>
            <w:tcBorders>
              <w:top w:val="single" w:sz="4" w:space="0" w:color="000000"/>
            </w:tcBorders>
            <w:tcMar>
              <w:top w:w="0" w:type="dxa"/>
              <w:left w:w="115" w:type="dxa"/>
              <w:bottom w:w="0" w:type="dxa"/>
              <w:right w:w="115" w:type="dxa"/>
            </w:tcMar>
            <w:vAlign w:val="center"/>
            <w:hideMark/>
          </w:tcPr>
          <w:p w14:paraId="509485B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-0.0054***</w:t>
            </w:r>
          </w:p>
        </w:tc>
        <w:tc>
          <w:tcPr>
            <w:tcW w:w="0" w:type="auto"/>
            <w:tcBorders>
              <w:top w:val="single" w:sz="4" w:space="0" w:color="000000"/>
            </w:tcBorders>
            <w:tcMar>
              <w:top w:w="0" w:type="dxa"/>
              <w:left w:w="115" w:type="dxa"/>
              <w:bottom w:w="0" w:type="dxa"/>
              <w:right w:w="115" w:type="dxa"/>
            </w:tcMar>
            <w:vAlign w:val="center"/>
            <w:hideMark/>
          </w:tcPr>
          <w:p w14:paraId="6CDB374A" w14:textId="77777777" w:rsidR="00C033B5" w:rsidRPr="00746567" w:rsidRDefault="00C033B5" w:rsidP="00C033B5">
            <w:pPr>
              <w:rPr>
                <w:rFonts w:asciiTheme="majorBidi" w:hAnsiTheme="majorBidi" w:cstheme="majorBidi"/>
              </w:rPr>
            </w:pPr>
            <w:r w:rsidRPr="00746567">
              <w:rPr>
                <w:rFonts w:asciiTheme="majorBidi" w:hAnsiTheme="majorBidi" w:cstheme="majorBidi"/>
              </w:rPr>
              <w:t>-0.3428***</w:t>
            </w:r>
          </w:p>
        </w:tc>
      </w:tr>
      <w:tr w:rsidR="00C033B5" w:rsidRPr="00746567" w14:paraId="4D8F610C" w14:textId="77777777">
        <w:trPr>
          <w:trHeight w:val="20"/>
        </w:trPr>
        <w:tc>
          <w:tcPr>
            <w:tcW w:w="0" w:type="auto"/>
            <w:tcMar>
              <w:top w:w="0" w:type="dxa"/>
              <w:left w:w="115" w:type="dxa"/>
              <w:bottom w:w="0" w:type="dxa"/>
              <w:right w:w="115" w:type="dxa"/>
            </w:tcMar>
            <w:vAlign w:val="center"/>
            <w:hideMark/>
          </w:tcPr>
          <w:p w14:paraId="5C9802E5"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EB400F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(0.0036)</w:t>
            </w:r>
          </w:p>
        </w:tc>
        <w:tc>
          <w:tcPr>
            <w:tcW w:w="0" w:type="auto"/>
            <w:tcMar>
              <w:top w:w="0" w:type="dxa"/>
              <w:left w:w="115" w:type="dxa"/>
              <w:bottom w:w="0" w:type="dxa"/>
              <w:right w:w="115" w:type="dxa"/>
            </w:tcMar>
            <w:vAlign w:val="center"/>
            <w:hideMark/>
          </w:tcPr>
          <w:p w14:paraId="6A96655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(0.0047)</w:t>
            </w:r>
          </w:p>
        </w:tc>
        <w:tc>
          <w:tcPr>
            <w:tcW w:w="0" w:type="auto"/>
            <w:tcMar>
              <w:top w:w="0" w:type="dxa"/>
              <w:left w:w="115" w:type="dxa"/>
              <w:bottom w:w="0" w:type="dxa"/>
              <w:right w:w="115" w:type="dxa"/>
            </w:tcMar>
            <w:vAlign w:val="center"/>
            <w:hideMark/>
          </w:tcPr>
          <w:p w14:paraId="26BA916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(0.0012)</w:t>
            </w:r>
          </w:p>
        </w:tc>
        <w:tc>
          <w:tcPr>
            <w:tcW w:w="0" w:type="auto"/>
            <w:tcMar>
              <w:top w:w="0" w:type="dxa"/>
              <w:left w:w="115" w:type="dxa"/>
              <w:bottom w:w="0" w:type="dxa"/>
              <w:right w:w="115" w:type="dxa"/>
            </w:tcMar>
            <w:vAlign w:val="center"/>
            <w:hideMark/>
          </w:tcPr>
          <w:p w14:paraId="5E67D06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(0.0040)</w:t>
            </w:r>
          </w:p>
        </w:tc>
        <w:tc>
          <w:tcPr>
            <w:tcW w:w="0" w:type="auto"/>
            <w:tcMar>
              <w:top w:w="0" w:type="dxa"/>
              <w:left w:w="115" w:type="dxa"/>
              <w:bottom w:w="0" w:type="dxa"/>
              <w:right w:w="115" w:type="dxa"/>
            </w:tcMar>
            <w:vAlign w:val="center"/>
            <w:hideMark/>
          </w:tcPr>
          <w:p w14:paraId="4FB24ED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(0.0046)</w:t>
            </w:r>
          </w:p>
        </w:tc>
        <w:tc>
          <w:tcPr>
            <w:tcW w:w="0" w:type="auto"/>
            <w:tcMar>
              <w:top w:w="0" w:type="dxa"/>
              <w:left w:w="115" w:type="dxa"/>
              <w:bottom w:w="0" w:type="dxa"/>
              <w:right w:w="115" w:type="dxa"/>
            </w:tcMar>
            <w:vAlign w:val="center"/>
            <w:hideMark/>
          </w:tcPr>
          <w:p w14:paraId="06885984" w14:textId="77777777" w:rsidR="00C033B5" w:rsidRPr="00746567" w:rsidRDefault="00C033B5" w:rsidP="00C033B5">
            <w:pPr>
              <w:rPr>
                <w:rFonts w:asciiTheme="majorBidi" w:hAnsiTheme="majorBidi" w:cstheme="majorBidi"/>
              </w:rPr>
            </w:pPr>
            <w:r w:rsidRPr="00746567">
              <w:rPr>
                <w:rFonts w:asciiTheme="majorBidi" w:hAnsiTheme="majorBidi" w:cstheme="majorBidi"/>
              </w:rPr>
              <w:t>(0.1322)</w:t>
            </w:r>
          </w:p>
        </w:tc>
        <w:tc>
          <w:tcPr>
            <w:tcW w:w="0" w:type="auto"/>
            <w:tcMar>
              <w:top w:w="0" w:type="dxa"/>
              <w:left w:w="115" w:type="dxa"/>
              <w:bottom w:w="0" w:type="dxa"/>
              <w:right w:w="115" w:type="dxa"/>
            </w:tcMar>
            <w:vAlign w:val="center"/>
            <w:hideMark/>
          </w:tcPr>
          <w:p w14:paraId="37DEDFA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(0.0020)</w:t>
            </w:r>
          </w:p>
        </w:tc>
        <w:tc>
          <w:tcPr>
            <w:tcW w:w="0" w:type="auto"/>
            <w:tcMar>
              <w:top w:w="0" w:type="dxa"/>
              <w:left w:w="115" w:type="dxa"/>
              <w:bottom w:w="0" w:type="dxa"/>
              <w:right w:w="115" w:type="dxa"/>
            </w:tcMar>
            <w:vAlign w:val="center"/>
            <w:hideMark/>
          </w:tcPr>
          <w:p w14:paraId="7C366360" w14:textId="77777777" w:rsidR="00C033B5" w:rsidRPr="00746567" w:rsidRDefault="00C033B5" w:rsidP="00C033B5">
            <w:pPr>
              <w:rPr>
                <w:rFonts w:asciiTheme="majorBidi" w:hAnsiTheme="majorBidi" w:cstheme="majorBidi"/>
              </w:rPr>
            </w:pPr>
            <w:r w:rsidRPr="00746567">
              <w:rPr>
                <w:rFonts w:asciiTheme="majorBidi" w:hAnsiTheme="majorBidi" w:cstheme="majorBidi"/>
              </w:rPr>
              <w:t>(0.1197)</w:t>
            </w:r>
          </w:p>
        </w:tc>
      </w:tr>
      <w:tr w:rsidR="00C033B5" w:rsidRPr="00746567" w14:paraId="44778E9C" w14:textId="77777777">
        <w:trPr>
          <w:trHeight w:val="20"/>
        </w:trPr>
        <w:tc>
          <w:tcPr>
            <w:tcW w:w="0" w:type="auto"/>
            <w:tcMar>
              <w:top w:w="0" w:type="dxa"/>
              <w:left w:w="115" w:type="dxa"/>
              <w:bottom w:w="0" w:type="dxa"/>
              <w:right w:w="115" w:type="dxa"/>
            </w:tcMar>
            <w:vAlign w:val="center"/>
            <w:hideMark/>
          </w:tcPr>
          <w:p w14:paraId="108AD6EA" w14:textId="77777777" w:rsidR="00C033B5" w:rsidRPr="00746567" w:rsidRDefault="00C033B5" w:rsidP="00C033B5">
            <w:pPr>
              <w:rPr>
                <w:rFonts w:asciiTheme="majorBidi" w:hAnsiTheme="majorBidi" w:cstheme="majorBidi"/>
              </w:rPr>
            </w:pPr>
            <w:r w:rsidRPr="00746567">
              <w:rPr>
                <w:rFonts w:asciiTheme="majorBidi" w:hAnsiTheme="majorBidi" w:cstheme="majorBidi"/>
              </w:rPr>
              <w:t>Term</w:t>
            </w:r>
          </w:p>
        </w:tc>
        <w:tc>
          <w:tcPr>
            <w:tcW w:w="0" w:type="auto"/>
            <w:tcMar>
              <w:top w:w="0" w:type="dxa"/>
              <w:left w:w="115" w:type="dxa"/>
              <w:bottom w:w="0" w:type="dxa"/>
              <w:right w:w="115" w:type="dxa"/>
            </w:tcMar>
            <w:vAlign w:val="center"/>
            <w:hideMark/>
          </w:tcPr>
          <w:p w14:paraId="3963826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0.0005***</w:t>
            </w:r>
          </w:p>
        </w:tc>
        <w:tc>
          <w:tcPr>
            <w:tcW w:w="0" w:type="auto"/>
            <w:tcMar>
              <w:top w:w="0" w:type="dxa"/>
              <w:left w:w="115" w:type="dxa"/>
              <w:bottom w:w="0" w:type="dxa"/>
              <w:right w:w="115" w:type="dxa"/>
            </w:tcMar>
            <w:vAlign w:val="center"/>
            <w:hideMark/>
          </w:tcPr>
          <w:p w14:paraId="398EC0D9" w14:textId="77777777" w:rsidR="00C033B5" w:rsidRPr="00746567" w:rsidRDefault="00C033B5" w:rsidP="00C033B5">
            <w:pPr>
              <w:rPr>
                <w:rFonts w:asciiTheme="majorBidi" w:hAnsiTheme="majorBidi" w:cstheme="majorBidi"/>
              </w:rPr>
            </w:pPr>
            <w:r w:rsidRPr="00746567">
              <w:rPr>
                <w:rFonts w:asciiTheme="majorBidi" w:hAnsiTheme="majorBidi" w:cstheme="majorBidi"/>
              </w:rPr>
              <w:t>0.0165***</w:t>
            </w:r>
          </w:p>
        </w:tc>
        <w:tc>
          <w:tcPr>
            <w:tcW w:w="0" w:type="auto"/>
            <w:tcMar>
              <w:top w:w="0" w:type="dxa"/>
              <w:left w:w="115" w:type="dxa"/>
              <w:bottom w:w="0" w:type="dxa"/>
              <w:right w:w="115" w:type="dxa"/>
            </w:tcMar>
            <w:vAlign w:val="center"/>
            <w:hideMark/>
          </w:tcPr>
          <w:p w14:paraId="3489225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0.0005***</w:t>
            </w:r>
          </w:p>
        </w:tc>
        <w:tc>
          <w:tcPr>
            <w:tcW w:w="0" w:type="auto"/>
            <w:tcMar>
              <w:top w:w="0" w:type="dxa"/>
              <w:left w:w="115" w:type="dxa"/>
              <w:bottom w:w="0" w:type="dxa"/>
              <w:right w:w="115" w:type="dxa"/>
            </w:tcMar>
            <w:vAlign w:val="center"/>
            <w:hideMark/>
          </w:tcPr>
          <w:p w14:paraId="0BF757D3" w14:textId="77777777" w:rsidR="00C033B5" w:rsidRPr="00746567" w:rsidRDefault="00C033B5" w:rsidP="00C033B5">
            <w:pPr>
              <w:rPr>
                <w:rFonts w:asciiTheme="majorBidi" w:hAnsiTheme="majorBidi" w:cstheme="majorBidi"/>
              </w:rPr>
            </w:pPr>
            <w:r w:rsidRPr="00746567">
              <w:rPr>
                <w:rFonts w:asciiTheme="majorBidi" w:hAnsiTheme="majorBidi" w:cstheme="majorBidi"/>
              </w:rPr>
              <w:t>0.0177***</w:t>
            </w:r>
          </w:p>
        </w:tc>
        <w:tc>
          <w:tcPr>
            <w:tcW w:w="0" w:type="auto"/>
            <w:tcMar>
              <w:top w:w="0" w:type="dxa"/>
              <w:left w:w="115" w:type="dxa"/>
              <w:bottom w:w="0" w:type="dxa"/>
              <w:right w:w="115" w:type="dxa"/>
            </w:tcMar>
            <w:vAlign w:val="center"/>
            <w:hideMark/>
          </w:tcPr>
          <w:p w14:paraId="2AF0E29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76308EE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-0.0007***</w:t>
            </w:r>
          </w:p>
        </w:tc>
        <w:tc>
          <w:tcPr>
            <w:tcW w:w="0" w:type="auto"/>
            <w:tcMar>
              <w:top w:w="0" w:type="dxa"/>
              <w:left w:w="115" w:type="dxa"/>
              <w:bottom w:w="0" w:type="dxa"/>
              <w:right w:w="115" w:type="dxa"/>
            </w:tcMar>
            <w:vAlign w:val="center"/>
            <w:hideMark/>
          </w:tcPr>
          <w:p w14:paraId="3FE6C63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0.0006***</w:t>
            </w:r>
          </w:p>
        </w:tc>
        <w:tc>
          <w:tcPr>
            <w:tcW w:w="0" w:type="auto"/>
            <w:tcMar>
              <w:top w:w="0" w:type="dxa"/>
              <w:left w:w="115" w:type="dxa"/>
              <w:bottom w:w="0" w:type="dxa"/>
              <w:right w:w="115" w:type="dxa"/>
            </w:tcMar>
            <w:vAlign w:val="center"/>
            <w:hideMark/>
          </w:tcPr>
          <w:p w14:paraId="134E78A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-0.0003***</w:t>
            </w:r>
          </w:p>
        </w:tc>
      </w:tr>
      <w:tr w:rsidR="00C033B5" w:rsidRPr="00746567" w14:paraId="6EA918DC" w14:textId="77777777">
        <w:trPr>
          <w:trHeight w:val="20"/>
        </w:trPr>
        <w:tc>
          <w:tcPr>
            <w:tcW w:w="0" w:type="auto"/>
            <w:tcMar>
              <w:top w:w="0" w:type="dxa"/>
              <w:left w:w="115" w:type="dxa"/>
              <w:bottom w:w="0" w:type="dxa"/>
              <w:right w:w="115" w:type="dxa"/>
            </w:tcMar>
            <w:vAlign w:val="center"/>
            <w:hideMark/>
          </w:tcPr>
          <w:p w14:paraId="39A6DEBF"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1BC2AB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3ABE91F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(0.0003)</w:t>
            </w:r>
          </w:p>
        </w:tc>
        <w:tc>
          <w:tcPr>
            <w:tcW w:w="0" w:type="auto"/>
            <w:tcMar>
              <w:top w:w="0" w:type="dxa"/>
              <w:left w:w="115" w:type="dxa"/>
              <w:bottom w:w="0" w:type="dxa"/>
              <w:right w:w="115" w:type="dxa"/>
            </w:tcMar>
            <w:vAlign w:val="center"/>
            <w:hideMark/>
          </w:tcPr>
          <w:p w14:paraId="3BF22CA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54A916C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75DADA8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67FD726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011A0C9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5F62DC4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r>
      <w:tr w:rsidR="00C033B5" w:rsidRPr="00746567" w14:paraId="0A15B233" w14:textId="77777777">
        <w:trPr>
          <w:trHeight w:val="20"/>
        </w:trPr>
        <w:tc>
          <w:tcPr>
            <w:tcW w:w="0" w:type="auto"/>
            <w:tcMar>
              <w:top w:w="0" w:type="dxa"/>
              <w:left w:w="115" w:type="dxa"/>
              <w:bottom w:w="0" w:type="dxa"/>
              <w:right w:w="115" w:type="dxa"/>
            </w:tcMar>
            <w:vAlign w:val="center"/>
            <w:hideMark/>
          </w:tcPr>
          <w:p w14:paraId="682B9466" w14:textId="77777777" w:rsidR="00C033B5" w:rsidRPr="00746567" w:rsidRDefault="00C033B5" w:rsidP="00C033B5">
            <w:pPr>
              <w:rPr>
                <w:rFonts w:asciiTheme="majorBidi" w:hAnsiTheme="majorBidi" w:cstheme="majorBidi"/>
              </w:rPr>
            </w:pPr>
            <w:r w:rsidRPr="00746567">
              <w:rPr>
                <w:rFonts w:asciiTheme="majorBidi" w:hAnsiTheme="majorBidi" w:cstheme="majorBidi"/>
              </w:rPr>
              <w:t>Term × Term</w:t>
            </w:r>
          </w:p>
        </w:tc>
        <w:tc>
          <w:tcPr>
            <w:tcW w:w="0" w:type="auto"/>
            <w:tcMar>
              <w:top w:w="0" w:type="dxa"/>
              <w:left w:w="115" w:type="dxa"/>
              <w:bottom w:w="0" w:type="dxa"/>
              <w:right w:w="115" w:type="dxa"/>
            </w:tcMar>
            <w:vAlign w:val="center"/>
            <w:hideMark/>
          </w:tcPr>
          <w:p w14:paraId="6AE8FD3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-0.000003***</w:t>
            </w:r>
          </w:p>
        </w:tc>
        <w:tc>
          <w:tcPr>
            <w:tcW w:w="0" w:type="auto"/>
            <w:tcMar>
              <w:top w:w="0" w:type="dxa"/>
              <w:left w:w="115" w:type="dxa"/>
              <w:bottom w:w="0" w:type="dxa"/>
              <w:right w:w="115" w:type="dxa"/>
            </w:tcMar>
            <w:vAlign w:val="center"/>
            <w:hideMark/>
          </w:tcPr>
          <w:p w14:paraId="07474A5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-0.0030***</w:t>
            </w:r>
          </w:p>
        </w:tc>
        <w:tc>
          <w:tcPr>
            <w:tcW w:w="0" w:type="auto"/>
            <w:tcMar>
              <w:top w:w="0" w:type="dxa"/>
              <w:left w:w="115" w:type="dxa"/>
              <w:bottom w:w="0" w:type="dxa"/>
              <w:right w:w="115" w:type="dxa"/>
            </w:tcMar>
            <w:vAlign w:val="center"/>
            <w:hideMark/>
          </w:tcPr>
          <w:p w14:paraId="54FB2B17"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42B1027F"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1BB9A69E"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3C39C521"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0F4C52A4"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7E0B1446"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r>
      <w:tr w:rsidR="00C033B5" w:rsidRPr="00746567" w14:paraId="0F1F563D" w14:textId="77777777">
        <w:trPr>
          <w:trHeight w:val="20"/>
        </w:trPr>
        <w:tc>
          <w:tcPr>
            <w:tcW w:w="0" w:type="auto"/>
            <w:tcMar>
              <w:top w:w="0" w:type="dxa"/>
              <w:left w:w="115" w:type="dxa"/>
              <w:bottom w:w="0" w:type="dxa"/>
              <w:right w:w="115" w:type="dxa"/>
            </w:tcMar>
            <w:vAlign w:val="center"/>
            <w:hideMark/>
          </w:tcPr>
          <w:p w14:paraId="7D62103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615D97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7F4473E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001E942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02630C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429F3E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87E89D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97B8574"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2BB8663" w14:textId="77777777" w:rsidR="00C033B5" w:rsidRPr="00746567" w:rsidRDefault="00C033B5" w:rsidP="00C033B5">
            <w:pPr>
              <w:rPr>
                <w:rFonts w:asciiTheme="majorBidi" w:hAnsiTheme="majorBidi" w:cstheme="majorBidi"/>
              </w:rPr>
            </w:pPr>
          </w:p>
        </w:tc>
      </w:tr>
      <w:tr w:rsidR="00C033B5" w:rsidRPr="00746567" w14:paraId="5A3A0813" w14:textId="77777777">
        <w:trPr>
          <w:trHeight w:val="20"/>
        </w:trPr>
        <w:tc>
          <w:tcPr>
            <w:tcW w:w="0" w:type="auto"/>
            <w:tcMar>
              <w:top w:w="0" w:type="dxa"/>
              <w:left w:w="115" w:type="dxa"/>
              <w:bottom w:w="0" w:type="dxa"/>
              <w:right w:w="115" w:type="dxa"/>
            </w:tcMar>
            <w:vAlign w:val="center"/>
            <w:hideMark/>
          </w:tcPr>
          <w:p w14:paraId="403C2692" w14:textId="77777777" w:rsidR="00C033B5" w:rsidRPr="00746567" w:rsidRDefault="00C033B5" w:rsidP="00C033B5">
            <w:pPr>
              <w:rPr>
                <w:rFonts w:asciiTheme="majorBidi" w:hAnsiTheme="majorBidi" w:cstheme="majorBidi"/>
              </w:rPr>
            </w:pPr>
            <w:r w:rsidRPr="00746567">
              <w:rPr>
                <w:rFonts w:asciiTheme="majorBidi" w:hAnsiTheme="majorBidi" w:cstheme="majorBidi"/>
              </w:rPr>
              <w:t>Amount</w:t>
            </w:r>
          </w:p>
        </w:tc>
        <w:tc>
          <w:tcPr>
            <w:tcW w:w="0" w:type="auto"/>
            <w:tcMar>
              <w:top w:w="0" w:type="dxa"/>
              <w:left w:w="115" w:type="dxa"/>
              <w:bottom w:w="0" w:type="dxa"/>
              <w:right w:w="115" w:type="dxa"/>
            </w:tcMar>
            <w:vAlign w:val="center"/>
            <w:hideMark/>
          </w:tcPr>
          <w:p w14:paraId="5EA082A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4EC15C2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-0.0010***</w:t>
            </w:r>
          </w:p>
        </w:tc>
        <w:tc>
          <w:tcPr>
            <w:tcW w:w="0" w:type="auto"/>
            <w:tcMar>
              <w:top w:w="0" w:type="dxa"/>
              <w:left w:w="115" w:type="dxa"/>
              <w:bottom w:w="0" w:type="dxa"/>
              <w:right w:w="115" w:type="dxa"/>
            </w:tcMar>
            <w:vAlign w:val="center"/>
            <w:hideMark/>
          </w:tcPr>
          <w:p w14:paraId="6AF8CD9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65F4AF2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-0.0011***</w:t>
            </w:r>
          </w:p>
        </w:tc>
        <w:tc>
          <w:tcPr>
            <w:tcW w:w="0" w:type="auto"/>
            <w:tcMar>
              <w:top w:w="0" w:type="dxa"/>
              <w:left w:w="115" w:type="dxa"/>
              <w:bottom w:w="0" w:type="dxa"/>
              <w:right w:w="115" w:type="dxa"/>
            </w:tcMar>
            <w:vAlign w:val="center"/>
            <w:hideMark/>
          </w:tcPr>
          <w:p w14:paraId="76F0C1D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0D4917F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4828534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4E10167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r>
      <w:tr w:rsidR="00C033B5" w:rsidRPr="00746567" w14:paraId="482532C6" w14:textId="77777777">
        <w:trPr>
          <w:trHeight w:val="20"/>
        </w:trPr>
        <w:tc>
          <w:tcPr>
            <w:tcW w:w="0" w:type="auto"/>
            <w:tcMar>
              <w:top w:w="0" w:type="dxa"/>
              <w:left w:w="115" w:type="dxa"/>
              <w:bottom w:w="0" w:type="dxa"/>
              <w:right w:w="115" w:type="dxa"/>
            </w:tcMar>
            <w:vAlign w:val="center"/>
            <w:hideMark/>
          </w:tcPr>
          <w:p w14:paraId="7F54B9F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06FE6C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0FF4CE8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3DA435D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5FB1307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2B9C74F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2C40ACC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4831483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25ABBAA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r>
      <w:tr w:rsidR="00C033B5" w:rsidRPr="00746567" w14:paraId="6777DDDC" w14:textId="77777777">
        <w:trPr>
          <w:trHeight w:val="20"/>
        </w:trPr>
        <w:tc>
          <w:tcPr>
            <w:tcW w:w="0" w:type="auto"/>
            <w:tcMar>
              <w:top w:w="0" w:type="dxa"/>
              <w:left w:w="115" w:type="dxa"/>
              <w:bottom w:w="0" w:type="dxa"/>
              <w:right w:w="115" w:type="dxa"/>
            </w:tcMar>
            <w:vAlign w:val="center"/>
            <w:hideMark/>
          </w:tcPr>
          <w:p w14:paraId="5619AB0C"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Riskscore</w:t>
            </w:r>
            <w:proofErr w:type="spellEnd"/>
          </w:p>
        </w:tc>
        <w:tc>
          <w:tcPr>
            <w:tcW w:w="0" w:type="auto"/>
            <w:tcMar>
              <w:top w:w="0" w:type="dxa"/>
              <w:left w:w="115" w:type="dxa"/>
              <w:bottom w:w="0" w:type="dxa"/>
              <w:right w:w="115" w:type="dxa"/>
            </w:tcMar>
            <w:vAlign w:val="center"/>
            <w:hideMark/>
          </w:tcPr>
          <w:p w14:paraId="31C3D263" w14:textId="77777777" w:rsidR="00C033B5" w:rsidRPr="00746567" w:rsidRDefault="00C033B5" w:rsidP="00C033B5">
            <w:pPr>
              <w:rPr>
                <w:rFonts w:asciiTheme="majorBidi" w:hAnsiTheme="majorBidi" w:cstheme="majorBidi"/>
              </w:rPr>
            </w:pPr>
            <w:r w:rsidRPr="00746567">
              <w:rPr>
                <w:rFonts w:asciiTheme="majorBidi" w:hAnsiTheme="majorBidi" w:cstheme="majorBidi"/>
              </w:rPr>
              <w:t>-0.0110***</w:t>
            </w:r>
          </w:p>
        </w:tc>
        <w:tc>
          <w:tcPr>
            <w:tcW w:w="0" w:type="auto"/>
            <w:tcMar>
              <w:top w:w="0" w:type="dxa"/>
              <w:left w:w="115" w:type="dxa"/>
              <w:bottom w:w="0" w:type="dxa"/>
              <w:right w:w="115" w:type="dxa"/>
            </w:tcMar>
            <w:vAlign w:val="center"/>
            <w:hideMark/>
          </w:tcPr>
          <w:p w14:paraId="406AF07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-0.0007***</w:t>
            </w:r>
          </w:p>
        </w:tc>
        <w:tc>
          <w:tcPr>
            <w:tcW w:w="0" w:type="auto"/>
            <w:tcMar>
              <w:top w:w="0" w:type="dxa"/>
              <w:left w:w="115" w:type="dxa"/>
              <w:bottom w:w="0" w:type="dxa"/>
              <w:right w:w="115" w:type="dxa"/>
            </w:tcMar>
            <w:vAlign w:val="center"/>
            <w:hideMark/>
          </w:tcPr>
          <w:p w14:paraId="6196D5AC" w14:textId="77777777" w:rsidR="00C033B5" w:rsidRPr="00746567" w:rsidRDefault="00C033B5" w:rsidP="00C033B5">
            <w:pPr>
              <w:rPr>
                <w:rFonts w:asciiTheme="majorBidi" w:hAnsiTheme="majorBidi" w:cstheme="majorBidi"/>
              </w:rPr>
            </w:pPr>
            <w:r w:rsidRPr="00746567">
              <w:rPr>
                <w:rFonts w:asciiTheme="majorBidi" w:hAnsiTheme="majorBidi" w:cstheme="majorBidi"/>
              </w:rPr>
              <w:t>-0.0113***</w:t>
            </w:r>
          </w:p>
        </w:tc>
        <w:tc>
          <w:tcPr>
            <w:tcW w:w="0" w:type="auto"/>
            <w:tcMar>
              <w:top w:w="0" w:type="dxa"/>
              <w:left w:w="115" w:type="dxa"/>
              <w:bottom w:w="0" w:type="dxa"/>
              <w:right w:w="115" w:type="dxa"/>
            </w:tcMar>
            <w:vAlign w:val="center"/>
            <w:hideMark/>
          </w:tcPr>
          <w:p w14:paraId="7290114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-0.0019***</w:t>
            </w:r>
          </w:p>
        </w:tc>
        <w:tc>
          <w:tcPr>
            <w:tcW w:w="0" w:type="auto"/>
            <w:tcMar>
              <w:top w:w="0" w:type="dxa"/>
              <w:left w:w="115" w:type="dxa"/>
              <w:bottom w:w="0" w:type="dxa"/>
              <w:right w:w="115" w:type="dxa"/>
            </w:tcMar>
            <w:vAlign w:val="center"/>
            <w:hideMark/>
          </w:tcPr>
          <w:p w14:paraId="1BF3E34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-0.0009***</w:t>
            </w:r>
          </w:p>
        </w:tc>
        <w:tc>
          <w:tcPr>
            <w:tcW w:w="0" w:type="auto"/>
            <w:tcMar>
              <w:top w:w="0" w:type="dxa"/>
              <w:left w:w="115" w:type="dxa"/>
              <w:bottom w:w="0" w:type="dxa"/>
              <w:right w:w="115" w:type="dxa"/>
            </w:tcMar>
            <w:vAlign w:val="center"/>
            <w:hideMark/>
          </w:tcPr>
          <w:p w14:paraId="7662F8D3" w14:textId="77777777" w:rsidR="00C033B5" w:rsidRPr="00746567" w:rsidRDefault="00C033B5" w:rsidP="00C033B5">
            <w:pPr>
              <w:rPr>
                <w:rFonts w:asciiTheme="majorBidi" w:hAnsiTheme="majorBidi" w:cstheme="majorBidi"/>
              </w:rPr>
            </w:pPr>
            <w:r w:rsidRPr="00746567">
              <w:rPr>
                <w:rFonts w:asciiTheme="majorBidi" w:hAnsiTheme="majorBidi" w:cstheme="majorBidi"/>
              </w:rPr>
              <w:t>0.1418***</w:t>
            </w:r>
          </w:p>
        </w:tc>
        <w:tc>
          <w:tcPr>
            <w:tcW w:w="0" w:type="auto"/>
            <w:tcMar>
              <w:top w:w="0" w:type="dxa"/>
              <w:left w:w="115" w:type="dxa"/>
              <w:bottom w:w="0" w:type="dxa"/>
              <w:right w:w="115" w:type="dxa"/>
            </w:tcMar>
            <w:vAlign w:val="center"/>
            <w:hideMark/>
          </w:tcPr>
          <w:p w14:paraId="4DF0B54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-0.0011***</w:t>
            </w:r>
          </w:p>
        </w:tc>
        <w:tc>
          <w:tcPr>
            <w:tcW w:w="0" w:type="auto"/>
            <w:tcMar>
              <w:top w:w="0" w:type="dxa"/>
              <w:left w:w="115" w:type="dxa"/>
              <w:bottom w:w="0" w:type="dxa"/>
              <w:right w:w="115" w:type="dxa"/>
            </w:tcMar>
            <w:vAlign w:val="center"/>
            <w:hideMark/>
          </w:tcPr>
          <w:p w14:paraId="26676419" w14:textId="77777777" w:rsidR="00C033B5" w:rsidRPr="00746567" w:rsidRDefault="00C033B5" w:rsidP="00C033B5">
            <w:pPr>
              <w:rPr>
                <w:rFonts w:asciiTheme="majorBidi" w:hAnsiTheme="majorBidi" w:cstheme="majorBidi"/>
              </w:rPr>
            </w:pPr>
            <w:r w:rsidRPr="00746567">
              <w:rPr>
                <w:rFonts w:asciiTheme="majorBidi" w:hAnsiTheme="majorBidi" w:cstheme="majorBidi"/>
              </w:rPr>
              <w:t>0.1171***</w:t>
            </w:r>
          </w:p>
        </w:tc>
      </w:tr>
      <w:tr w:rsidR="00C033B5" w:rsidRPr="00746567" w14:paraId="3B869967" w14:textId="77777777">
        <w:trPr>
          <w:trHeight w:val="20"/>
        </w:trPr>
        <w:tc>
          <w:tcPr>
            <w:tcW w:w="0" w:type="auto"/>
            <w:tcMar>
              <w:top w:w="0" w:type="dxa"/>
              <w:left w:w="115" w:type="dxa"/>
              <w:bottom w:w="0" w:type="dxa"/>
              <w:right w:w="115" w:type="dxa"/>
            </w:tcMar>
            <w:vAlign w:val="center"/>
            <w:hideMark/>
          </w:tcPr>
          <w:p w14:paraId="7C87256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7B2AA2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4C36437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58C6963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557D134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3A5A0C3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2B94AB3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(0.0032)</w:t>
            </w:r>
          </w:p>
        </w:tc>
        <w:tc>
          <w:tcPr>
            <w:tcW w:w="0" w:type="auto"/>
            <w:tcMar>
              <w:top w:w="0" w:type="dxa"/>
              <w:left w:w="115" w:type="dxa"/>
              <w:bottom w:w="0" w:type="dxa"/>
              <w:right w:w="115" w:type="dxa"/>
            </w:tcMar>
            <w:vAlign w:val="center"/>
            <w:hideMark/>
          </w:tcPr>
          <w:p w14:paraId="0179777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2BE9985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(0.0030)</w:t>
            </w:r>
          </w:p>
        </w:tc>
      </w:tr>
      <w:tr w:rsidR="00C033B5" w:rsidRPr="00746567" w14:paraId="17AA7B09" w14:textId="77777777">
        <w:trPr>
          <w:trHeight w:val="20"/>
        </w:trPr>
        <w:tc>
          <w:tcPr>
            <w:tcW w:w="0" w:type="auto"/>
            <w:tcMar>
              <w:top w:w="0" w:type="dxa"/>
              <w:left w:w="115" w:type="dxa"/>
              <w:bottom w:w="0" w:type="dxa"/>
              <w:right w:w="115" w:type="dxa"/>
            </w:tcMar>
            <w:vAlign w:val="center"/>
            <w:hideMark/>
          </w:tcPr>
          <w:p w14:paraId="35B7C831"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687D1C5"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38767D5"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CA7141E"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0BBB684"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C55A3EC" w14:textId="77777777" w:rsidR="00C033B5" w:rsidRPr="00746567" w:rsidRDefault="00C033B5" w:rsidP="00C033B5">
            <w:pPr>
              <w:rPr>
                <w:rFonts w:asciiTheme="majorBidi" w:hAnsiTheme="majorBidi" w:cstheme="majorBidi"/>
              </w:rPr>
            </w:pPr>
            <w:r w:rsidRPr="00746567">
              <w:rPr>
                <w:rFonts w:asciiTheme="majorBidi" w:hAnsiTheme="majorBidi" w:cstheme="majorBidi"/>
              </w:rPr>
              <w:t>-0.0486***</w:t>
            </w:r>
          </w:p>
        </w:tc>
        <w:tc>
          <w:tcPr>
            <w:tcW w:w="0" w:type="auto"/>
            <w:tcMar>
              <w:top w:w="0" w:type="dxa"/>
              <w:left w:w="115" w:type="dxa"/>
              <w:bottom w:w="0" w:type="dxa"/>
              <w:right w:w="115" w:type="dxa"/>
            </w:tcMar>
            <w:vAlign w:val="center"/>
            <w:hideMark/>
          </w:tcPr>
          <w:p w14:paraId="6C7E5086" w14:textId="77777777" w:rsidR="00C033B5" w:rsidRPr="00746567" w:rsidRDefault="00C033B5" w:rsidP="00C033B5">
            <w:pPr>
              <w:rPr>
                <w:rFonts w:asciiTheme="majorBidi" w:hAnsiTheme="majorBidi" w:cstheme="majorBidi"/>
              </w:rPr>
            </w:pPr>
            <w:r w:rsidRPr="00746567">
              <w:rPr>
                <w:rFonts w:asciiTheme="majorBidi" w:hAnsiTheme="majorBidi" w:cstheme="majorBidi"/>
              </w:rPr>
              <w:t>0.7230***</w:t>
            </w:r>
          </w:p>
        </w:tc>
        <w:tc>
          <w:tcPr>
            <w:tcW w:w="0" w:type="auto"/>
            <w:tcMar>
              <w:top w:w="0" w:type="dxa"/>
              <w:left w:w="115" w:type="dxa"/>
              <w:bottom w:w="0" w:type="dxa"/>
              <w:right w:w="115" w:type="dxa"/>
            </w:tcMar>
            <w:vAlign w:val="center"/>
            <w:hideMark/>
          </w:tcPr>
          <w:p w14:paraId="44E422EF" w14:textId="77777777" w:rsidR="00C033B5" w:rsidRPr="00746567" w:rsidRDefault="00C033B5" w:rsidP="00C033B5">
            <w:pPr>
              <w:rPr>
                <w:rFonts w:asciiTheme="majorBidi" w:hAnsiTheme="majorBidi" w:cstheme="majorBidi"/>
              </w:rPr>
            </w:pPr>
            <w:r w:rsidRPr="00746567">
              <w:rPr>
                <w:rFonts w:asciiTheme="majorBidi" w:hAnsiTheme="majorBidi" w:cstheme="majorBidi"/>
              </w:rPr>
              <w:t>-0.0281***</w:t>
            </w:r>
          </w:p>
        </w:tc>
        <w:tc>
          <w:tcPr>
            <w:tcW w:w="0" w:type="auto"/>
            <w:tcMar>
              <w:top w:w="0" w:type="dxa"/>
              <w:left w:w="115" w:type="dxa"/>
              <w:bottom w:w="0" w:type="dxa"/>
              <w:right w:w="115" w:type="dxa"/>
            </w:tcMar>
            <w:vAlign w:val="center"/>
            <w:hideMark/>
          </w:tcPr>
          <w:p w14:paraId="7F1D0735" w14:textId="77777777" w:rsidR="00C033B5" w:rsidRPr="00746567" w:rsidRDefault="00C033B5" w:rsidP="00C033B5">
            <w:pPr>
              <w:rPr>
                <w:rFonts w:asciiTheme="majorBidi" w:hAnsiTheme="majorBidi" w:cstheme="majorBidi"/>
              </w:rPr>
            </w:pPr>
            <w:r w:rsidRPr="00746567">
              <w:rPr>
                <w:rFonts w:asciiTheme="majorBidi" w:hAnsiTheme="majorBidi" w:cstheme="majorBidi"/>
              </w:rPr>
              <w:t>0.9753***</w:t>
            </w:r>
          </w:p>
        </w:tc>
      </w:tr>
      <w:tr w:rsidR="00C033B5" w:rsidRPr="00746567" w14:paraId="20F60658" w14:textId="77777777">
        <w:trPr>
          <w:trHeight w:val="20"/>
        </w:trPr>
        <w:tc>
          <w:tcPr>
            <w:tcW w:w="0" w:type="auto"/>
            <w:tcMar>
              <w:top w:w="0" w:type="dxa"/>
              <w:left w:w="115" w:type="dxa"/>
              <w:bottom w:w="0" w:type="dxa"/>
              <w:right w:w="115" w:type="dxa"/>
            </w:tcMar>
            <w:vAlign w:val="center"/>
            <w:hideMark/>
          </w:tcPr>
          <w:p w14:paraId="023EC8A3"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DA3C9D1"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F821E0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DC71835"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9F89A65"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147F92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(0.0024)</w:t>
            </w:r>
          </w:p>
        </w:tc>
        <w:tc>
          <w:tcPr>
            <w:tcW w:w="0" w:type="auto"/>
            <w:tcMar>
              <w:top w:w="0" w:type="dxa"/>
              <w:left w:w="115" w:type="dxa"/>
              <w:bottom w:w="0" w:type="dxa"/>
              <w:right w:w="115" w:type="dxa"/>
            </w:tcMar>
            <w:vAlign w:val="center"/>
            <w:hideMark/>
          </w:tcPr>
          <w:p w14:paraId="412ED6B7" w14:textId="77777777" w:rsidR="00C033B5" w:rsidRPr="00746567" w:rsidRDefault="00C033B5" w:rsidP="00C033B5">
            <w:pPr>
              <w:rPr>
                <w:rFonts w:asciiTheme="majorBidi" w:hAnsiTheme="majorBidi" w:cstheme="majorBidi"/>
              </w:rPr>
            </w:pPr>
            <w:r w:rsidRPr="00746567">
              <w:rPr>
                <w:rFonts w:asciiTheme="majorBidi" w:hAnsiTheme="majorBidi" w:cstheme="majorBidi"/>
              </w:rPr>
              <w:t>(0.0614)</w:t>
            </w:r>
          </w:p>
        </w:tc>
        <w:tc>
          <w:tcPr>
            <w:tcW w:w="0" w:type="auto"/>
            <w:tcMar>
              <w:top w:w="0" w:type="dxa"/>
              <w:left w:w="115" w:type="dxa"/>
              <w:bottom w:w="0" w:type="dxa"/>
              <w:right w:w="115" w:type="dxa"/>
            </w:tcMar>
            <w:vAlign w:val="center"/>
            <w:hideMark/>
          </w:tcPr>
          <w:p w14:paraId="3CEFFA2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(0.0020)</w:t>
            </w:r>
          </w:p>
        </w:tc>
        <w:tc>
          <w:tcPr>
            <w:tcW w:w="0" w:type="auto"/>
            <w:tcMar>
              <w:top w:w="0" w:type="dxa"/>
              <w:left w:w="115" w:type="dxa"/>
              <w:bottom w:w="0" w:type="dxa"/>
              <w:right w:w="115" w:type="dxa"/>
            </w:tcMar>
            <w:vAlign w:val="center"/>
            <w:hideMark/>
          </w:tcPr>
          <w:p w14:paraId="5D5BAC83" w14:textId="77777777" w:rsidR="00C033B5" w:rsidRPr="00746567" w:rsidRDefault="00C033B5" w:rsidP="00C033B5">
            <w:pPr>
              <w:rPr>
                <w:rFonts w:asciiTheme="majorBidi" w:hAnsiTheme="majorBidi" w:cstheme="majorBidi"/>
              </w:rPr>
            </w:pPr>
            <w:r w:rsidRPr="00746567">
              <w:rPr>
                <w:rFonts w:asciiTheme="majorBidi" w:hAnsiTheme="majorBidi" w:cstheme="majorBidi"/>
              </w:rPr>
              <w:t>(0.0575)</w:t>
            </w:r>
          </w:p>
        </w:tc>
      </w:tr>
      <w:tr w:rsidR="00C033B5" w:rsidRPr="00746567" w14:paraId="5F9D6140" w14:textId="77777777">
        <w:trPr>
          <w:trHeight w:val="20"/>
        </w:trPr>
        <w:tc>
          <w:tcPr>
            <w:tcW w:w="0" w:type="auto"/>
            <w:tcMar>
              <w:top w:w="0" w:type="dxa"/>
              <w:left w:w="115" w:type="dxa"/>
              <w:bottom w:w="0" w:type="dxa"/>
              <w:right w:w="115" w:type="dxa"/>
            </w:tcMar>
            <w:vAlign w:val="center"/>
            <w:hideMark/>
          </w:tcPr>
          <w:p w14:paraId="195E0EE6" w14:textId="77777777" w:rsidR="00C033B5" w:rsidRPr="00746567" w:rsidRDefault="00C033B5" w:rsidP="00C033B5">
            <w:pPr>
              <w:rPr>
                <w:rFonts w:asciiTheme="majorBidi" w:hAnsiTheme="majorBidi" w:cstheme="majorBidi"/>
              </w:rPr>
            </w:pPr>
            <w:r w:rsidRPr="00746567">
              <w:rPr>
                <w:rFonts w:asciiTheme="majorBidi" w:hAnsiTheme="majorBidi" w:cstheme="majorBidi"/>
              </w:rPr>
              <w:t>Collateral</w:t>
            </w:r>
          </w:p>
        </w:tc>
        <w:tc>
          <w:tcPr>
            <w:tcW w:w="0" w:type="auto"/>
            <w:tcMar>
              <w:top w:w="0" w:type="dxa"/>
              <w:left w:w="115" w:type="dxa"/>
              <w:bottom w:w="0" w:type="dxa"/>
              <w:right w:w="115" w:type="dxa"/>
            </w:tcMar>
            <w:vAlign w:val="center"/>
            <w:hideMark/>
          </w:tcPr>
          <w:p w14:paraId="486E587C" w14:textId="77777777" w:rsidR="00C033B5" w:rsidRPr="00746567" w:rsidRDefault="00C033B5" w:rsidP="00C033B5">
            <w:pPr>
              <w:rPr>
                <w:rFonts w:asciiTheme="majorBidi" w:hAnsiTheme="majorBidi" w:cstheme="majorBidi"/>
              </w:rPr>
            </w:pPr>
            <w:r w:rsidRPr="00746567">
              <w:rPr>
                <w:rFonts w:asciiTheme="majorBidi" w:hAnsiTheme="majorBidi" w:cstheme="majorBidi"/>
              </w:rPr>
              <w:t>-0.0184***</w:t>
            </w:r>
          </w:p>
        </w:tc>
        <w:tc>
          <w:tcPr>
            <w:tcW w:w="0" w:type="auto"/>
            <w:tcMar>
              <w:top w:w="0" w:type="dxa"/>
              <w:left w:w="115" w:type="dxa"/>
              <w:bottom w:w="0" w:type="dxa"/>
              <w:right w:w="115" w:type="dxa"/>
            </w:tcMar>
            <w:vAlign w:val="center"/>
            <w:hideMark/>
          </w:tcPr>
          <w:p w14:paraId="4C455919" w14:textId="77777777" w:rsidR="00C033B5" w:rsidRPr="00746567" w:rsidRDefault="00C033B5" w:rsidP="00C033B5">
            <w:pPr>
              <w:rPr>
                <w:rFonts w:asciiTheme="majorBidi" w:hAnsiTheme="majorBidi" w:cstheme="majorBidi"/>
              </w:rPr>
            </w:pPr>
            <w:r w:rsidRPr="00746567">
              <w:rPr>
                <w:rFonts w:asciiTheme="majorBidi" w:hAnsiTheme="majorBidi" w:cstheme="majorBidi"/>
              </w:rPr>
              <w:t>0.0641***</w:t>
            </w:r>
          </w:p>
        </w:tc>
        <w:tc>
          <w:tcPr>
            <w:tcW w:w="0" w:type="auto"/>
            <w:tcMar>
              <w:top w:w="0" w:type="dxa"/>
              <w:left w:w="115" w:type="dxa"/>
              <w:bottom w:w="0" w:type="dxa"/>
              <w:right w:w="115" w:type="dxa"/>
            </w:tcMar>
            <w:vAlign w:val="center"/>
            <w:hideMark/>
          </w:tcPr>
          <w:p w14:paraId="1B77FBEF" w14:textId="77777777" w:rsidR="00C033B5" w:rsidRPr="00746567" w:rsidRDefault="00C033B5" w:rsidP="00C033B5">
            <w:pPr>
              <w:rPr>
                <w:rFonts w:asciiTheme="majorBidi" w:hAnsiTheme="majorBidi" w:cstheme="majorBidi"/>
              </w:rPr>
            </w:pPr>
            <w:r w:rsidRPr="00746567">
              <w:rPr>
                <w:rFonts w:asciiTheme="majorBidi" w:hAnsiTheme="majorBidi" w:cstheme="majorBidi"/>
              </w:rPr>
              <w:t>-0.0205***</w:t>
            </w:r>
          </w:p>
        </w:tc>
        <w:tc>
          <w:tcPr>
            <w:tcW w:w="0" w:type="auto"/>
            <w:tcMar>
              <w:top w:w="0" w:type="dxa"/>
              <w:left w:w="115" w:type="dxa"/>
              <w:bottom w:w="0" w:type="dxa"/>
              <w:right w:w="115" w:type="dxa"/>
            </w:tcMar>
            <w:vAlign w:val="center"/>
            <w:hideMark/>
          </w:tcPr>
          <w:p w14:paraId="6508D038" w14:textId="77777777" w:rsidR="00C033B5" w:rsidRPr="00746567" w:rsidRDefault="00C033B5" w:rsidP="00C033B5">
            <w:pPr>
              <w:rPr>
                <w:rFonts w:asciiTheme="majorBidi" w:hAnsiTheme="majorBidi" w:cstheme="majorBidi"/>
              </w:rPr>
            </w:pPr>
            <w:r w:rsidRPr="00746567">
              <w:rPr>
                <w:rFonts w:asciiTheme="majorBidi" w:hAnsiTheme="majorBidi" w:cstheme="majorBidi"/>
              </w:rPr>
              <w:t>0.0703***</w:t>
            </w:r>
          </w:p>
        </w:tc>
        <w:tc>
          <w:tcPr>
            <w:tcW w:w="0" w:type="auto"/>
            <w:tcMar>
              <w:top w:w="0" w:type="dxa"/>
              <w:left w:w="115" w:type="dxa"/>
              <w:bottom w:w="0" w:type="dxa"/>
              <w:right w:w="115" w:type="dxa"/>
            </w:tcMar>
            <w:vAlign w:val="center"/>
            <w:hideMark/>
          </w:tcPr>
          <w:p w14:paraId="1E28F0B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0.0008</w:t>
            </w:r>
          </w:p>
        </w:tc>
        <w:tc>
          <w:tcPr>
            <w:tcW w:w="0" w:type="auto"/>
            <w:tcMar>
              <w:top w:w="0" w:type="dxa"/>
              <w:left w:w="115" w:type="dxa"/>
              <w:bottom w:w="0" w:type="dxa"/>
              <w:right w:w="115" w:type="dxa"/>
            </w:tcMar>
            <w:vAlign w:val="center"/>
            <w:hideMark/>
          </w:tcPr>
          <w:p w14:paraId="23A7D721" w14:textId="77777777" w:rsidR="00C033B5" w:rsidRPr="00746567" w:rsidRDefault="00C033B5" w:rsidP="00C033B5">
            <w:pPr>
              <w:rPr>
                <w:rFonts w:asciiTheme="majorBidi" w:hAnsiTheme="majorBidi" w:cstheme="majorBidi"/>
              </w:rPr>
            </w:pPr>
            <w:r w:rsidRPr="00746567">
              <w:rPr>
                <w:rFonts w:asciiTheme="majorBidi" w:hAnsiTheme="majorBidi" w:cstheme="majorBidi"/>
              </w:rPr>
              <w:t>0.3688***</w:t>
            </w:r>
          </w:p>
        </w:tc>
        <w:tc>
          <w:tcPr>
            <w:tcW w:w="0" w:type="auto"/>
            <w:tcMar>
              <w:top w:w="0" w:type="dxa"/>
              <w:left w:w="115" w:type="dxa"/>
              <w:bottom w:w="0" w:type="dxa"/>
              <w:right w:w="115" w:type="dxa"/>
            </w:tcMar>
            <w:vAlign w:val="center"/>
            <w:hideMark/>
          </w:tcPr>
          <w:p w14:paraId="78F4D25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0.0005</w:t>
            </w:r>
          </w:p>
        </w:tc>
        <w:tc>
          <w:tcPr>
            <w:tcW w:w="0" w:type="auto"/>
            <w:tcMar>
              <w:top w:w="0" w:type="dxa"/>
              <w:left w:w="115" w:type="dxa"/>
              <w:bottom w:w="0" w:type="dxa"/>
              <w:right w:w="115" w:type="dxa"/>
            </w:tcMar>
            <w:vAlign w:val="center"/>
            <w:hideMark/>
          </w:tcPr>
          <w:p w14:paraId="633767FE" w14:textId="77777777" w:rsidR="00C033B5" w:rsidRPr="00746567" w:rsidRDefault="00C033B5" w:rsidP="00C033B5">
            <w:pPr>
              <w:rPr>
                <w:rFonts w:asciiTheme="majorBidi" w:hAnsiTheme="majorBidi" w:cstheme="majorBidi"/>
              </w:rPr>
            </w:pPr>
            <w:r w:rsidRPr="00746567">
              <w:rPr>
                <w:rFonts w:asciiTheme="majorBidi" w:hAnsiTheme="majorBidi" w:cstheme="majorBidi"/>
              </w:rPr>
              <w:t>0.2664***</w:t>
            </w:r>
          </w:p>
        </w:tc>
      </w:tr>
      <w:tr w:rsidR="00C033B5" w:rsidRPr="00746567" w14:paraId="01FE1DAD" w14:textId="77777777">
        <w:trPr>
          <w:trHeight w:val="20"/>
        </w:trPr>
        <w:tc>
          <w:tcPr>
            <w:tcW w:w="0" w:type="auto"/>
            <w:tcMar>
              <w:top w:w="0" w:type="dxa"/>
              <w:left w:w="115" w:type="dxa"/>
              <w:bottom w:w="0" w:type="dxa"/>
              <w:right w:w="115" w:type="dxa"/>
            </w:tcMar>
            <w:vAlign w:val="center"/>
            <w:hideMark/>
          </w:tcPr>
          <w:p w14:paraId="33A8B64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A64CBE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(0.0028)</w:t>
            </w:r>
          </w:p>
        </w:tc>
        <w:tc>
          <w:tcPr>
            <w:tcW w:w="0" w:type="auto"/>
            <w:tcMar>
              <w:top w:w="0" w:type="dxa"/>
              <w:left w:w="115" w:type="dxa"/>
              <w:bottom w:w="0" w:type="dxa"/>
              <w:right w:w="115" w:type="dxa"/>
            </w:tcMar>
            <w:vAlign w:val="center"/>
            <w:hideMark/>
          </w:tcPr>
          <w:p w14:paraId="37F04E0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(0.0012)</w:t>
            </w:r>
          </w:p>
        </w:tc>
        <w:tc>
          <w:tcPr>
            <w:tcW w:w="0" w:type="auto"/>
            <w:tcMar>
              <w:top w:w="0" w:type="dxa"/>
              <w:left w:w="115" w:type="dxa"/>
              <w:bottom w:w="0" w:type="dxa"/>
              <w:right w:w="115" w:type="dxa"/>
            </w:tcMar>
            <w:vAlign w:val="center"/>
            <w:hideMark/>
          </w:tcPr>
          <w:p w14:paraId="18EDC02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(0.0009)</w:t>
            </w:r>
          </w:p>
        </w:tc>
        <w:tc>
          <w:tcPr>
            <w:tcW w:w="0" w:type="auto"/>
            <w:tcMar>
              <w:top w:w="0" w:type="dxa"/>
              <w:left w:w="115" w:type="dxa"/>
              <w:bottom w:w="0" w:type="dxa"/>
              <w:right w:w="115" w:type="dxa"/>
            </w:tcMar>
            <w:vAlign w:val="center"/>
            <w:hideMark/>
          </w:tcPr>
          <w:p w14:paraId="73F163B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(0.0013)</w:t>
            </w:r>
          </w:p>
        </w:tc>
        <w:tc>
          <w:tcPr>
            <w:tcW w:w="0" w:type="auto"/>
            <w:tcMar>
              <w:top w:w="0" w:type="dxa"/>
              <w:left w:w="115" w:type="dxa"/>
              <w:bottom w:w="0" w:type="dxa"/>
              <w:right w:w="115" w:type="dxa"/>
            </w:tcMar>
            <w:vAlign w:val="center"/>
            <w:hideMark/>
          </w:tcPr>
          <w:p w14:paraId="0E8A811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(0.0012)</w:t>
            </w:r>
          </w:p>
        </w:tc>
        <w:tc>
          <w:tcPr>
            <w:tcW w:w="0" w:type="auto"/>
            <w:tcMar>
              <w:top w:w="0" w:type="dxa"/>
              <w:left w:w="115" w:type="dxa"/>
              <w:bottom w:w="0" w:type="dxa"/>
              <w:right w:w="115" w:type="dxa"/>
            </w:tcMar>
            <w:vAlign w:val="center"/>
            <w:hideMark/>
          </w:tcPr>
          <w:p w14:paraId="72878966" w14:textId="77777777" w:rsidR="00C033B5" w:rsidRPr="00746567" w:rsidRDefault="00C033B5" w:rsidP="00C033B5">
            <w:pPr>
              <w:rPr>
                <w:rFonts w:asciiTheme="majorBidi" w:hAnsiTheme="majorBidi" w:cstheme="majorBidi"/>
              </w:rPr>
            </w:pPr>
            <w:r w:rsidRPr="00746567">
              <w:rPr>
                <w:rFonts w:asciiTheme="majorBidi" w:hAnsiTheme="majorBidi" w:cstheme="majorBidi"/>
              </w:rPr>
              <w:t>(0.0443)</w:t>
            </w:r>
          </w:p>
        </w:tc>
        <w:tc>
          <w:tcPr>
            <w:tcW w:w="0" w:type="auto"/>
            <w:tcMar>
              <w:top w:w="0" w:type="dxa"/>
              <w:left w:w="115" w:type="dxa"/>
              <w:bottom w:w="0" w:type="dxa"/>
              <w:right w:w="115" w:type="dxa"/>
            </w:tcMar>
            <w:vAlign w:val="center"/>
            <w:hideMark/>
          </w:tcPr>
          <w:p w14:paraId="54AF0EC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(0.0009)</w:t>
            </w:r>
          </w:p>
        </w:tc>
        <w:tc>
          <w:tcPr>
            <w:tcW w:w="0" w:type="auto"/>
            <w:tcMar>
              <w:top w:w="0" w:type="dxa"/>
              <w:left w:w="115" w:type="dxa"/>
              <w:bottom w:w="0" w:type="dxa"/>
              <w:right w:w="115" w:type="dxa"/>
            </w:tcMar>
            <w:vAlign w:val="center"/>
            <w:hideMark/>
          </w:tcPr>
          <w:p w14:paraId="5AD6EAE4" w14:textId="77777777" w:rsidR="00C033B5" w:rsidRPr="00746567" w:rsidRDefault="00C033B5" w:rsidP="00C033B5">
            <w:pPr>
              <w:rPr>
                <w:rFonts w:asciiTheme="majorBidi" w:hAnsiTheme="majorBidi" w:cstheme="majorBidi"/>
              </w:rPr>
            </w:pPr>
            <w:r w:rsidRPr="00746567">
              <w:rPr>
                <w:rFonts w:asciiTheme="majorBidi" w:hAnsiTheme="majorBidi" w:cstheme="majorBidi"/>
              </w:rPr>
              <w:t>(0.0361)</w:t>
            </w:r>
          </w:p>
        </w:tc>
      </w:tr>
      <w:tr w:rsidR="00C033B5" w:rsidRPr="00746567" w14:paraId="036D750A" w14:textId="77777777">
        <w:trPr>
          <w:trHeight w:val="20"/>
        </w:trPr>
        <w:tc>
          <w:tcPr>
            <w:tcW w:w="0" w:type="auto"/>
            <w:tcMar>
              <w:top w:w="0" w:type="dxa"/>
              <w:left w:w="115" w:type="dxa"/>
              <w:bottom w:w="0" w:type="dxa"/>
              <w:right w:w="115" w:type="dxa"/>
            </w:tcMar>
            <w:vAlign w:val="center"/>
            <w:hideMark/>
          </w:tcPr>
          <w:p w14:paraId="0CC51818"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Extsched</w:t>
            </w:r>
            <w:proofErr w:type="spellEnd"/>
          </w:p>
        </w:tc>
        <w:tc>
          <w:tcPr>
            <w:tcW w:w="0" w:type="auto"/>
            <w:tcMar>
              <w:top w:w="0" w:type="dxa"/>
              <w:left w:w="115" w:type="dxa"/>
              <w:bottom w:w="0" w:type="dxa"/>
              <w:right w:w="115" w:type="dxa"/>
            </w:tcMar>
            <w:vAlign w:val="center"/>
            <w:hideMark/>
          </w:tcPr>
          <w:p w14:paraId="003A049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0.0015***</w:t>
            </w:r>
          </w:p>
        </w:tc>
        <w:tc>
          <w:tcPr>
            <w:tcW w:w="0" w:type="auto"/>
            <w:tcMar>
              <w:top w:w="0" w:type="dxa"/>
              <w:left w:w="115" w:type="dxa"/>
              <w:bottom w:w="0" w:type="dxa"/>
              <w:right w:w="115" w:type="dxa"/>
            </w:tcMar>
            <w:vAlign w:val="center"/>
            <w:hideMark/>
          </w:tcPr>
          <w:p w14:paraId="4CCE3A2F" w14:textId="77777777" w:rsidR="00C033B5" w:rsidRPr="00746567" w:rsidRDefault="00C033B5" w:rsidP="00C033B5">
            <w:pPr>
              <w:rPr>
                <w:rFonts w:asciiTheme="majorBidi" w:hAnsiTheme="majorBidi" w:cstheme="majorBidi"/>
              </w:rPr>
            </w:pPr>
            <w:r w:rsidRPr="00746567">
              <w:rPr>
                <w:rFonts w:asciiTheme="majorBidi" w:hAnsiTheme="majorBidi" w:cstheme="majorBidi"/>
              </w:rPr>
              <w:t>-0.0139***</w:t>
            </w:r>
          </w:p>
        </w:tc>
        <w:tc>
          <w:tcPr>
            <w:tcW w:w="0" w:type="auto"/>
            <w:tcMar>
              <w:top w:w="0" w:type="dxa"/>
              <w:left w:w="115" w:type="dxa"/>
              <w:bottom w:w="0" w:type="dxa"/>
              <w:right w:w="115" w:type="dxa"/>
            </w:tcMar>
            <w:vAlign w:val="center"/>
            <w:hideMark/>
          </w:tcPr>
          <w:p w14:paraId="1E9AEFE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0.0021***</w:t>
            </w:r>
          </w:p>
        </w:tc>
        <w:tc>
          <w:tcPr>
            <w:tcW w:w="0" w:type="auto"/>
            <w:tcMar>
              <w:top w:w="0" w:type="dxa"/>
              <w:left w:w="115" w:type="dxa"/>
              <w:bottom w:w="0" w:type="dxa"/>
              <w:right w:w="115" w:type="dxa"/>
            </w:tcMar>
            <w:vAlign w:val="center"/>
            <w:hideMark/>
          </w:tcPr>
          <w:p w14:paraId="38F22F2F" w14:textId="77777777" w:rsidR="00C033B5" w:rsidRPr="00746567" w:rsidRDefault="00C033B5" w:rsidP="00C033B5">
            <w:pPr>
              <w:rPr>
                <w:rFonts w:asciiTheme="majorBidi" w:hAnsiTheme="majorBidi" w:cstheme="majorBidi"/>
              </w:rPr>
            </w:pPr>
            <w:r w:rsidRPr="00746567">
              <w:rPr>
                <w:rFonts w:asciiTheme="majorBidi" w:hAnsiTheme="majorBidi" w:cstheme="majorBidi"/>
              </w:rPr>
              <w:t>-0.0158***</w:t>
            </w:r>
          </w:p>
        </w:tc>
        <w:tc>
          <w:tcPr>
            <w:tcW w:w="0" w:type="auto"/>
            <w:tcMar>
              <w:top w:w="0" w:type="dxa"/>
              <w:left w:w="115" w:type="dxa"/>
              <w:bottom w:w="0" w:type="dxa"/>
              <w:right w:w="115" w:type="dxa"/>
            </w:tcMar>
            <w:vAlign w:val="center"/>
            <w:hideMark/>
          </w:tcPr>
          <w:p w14:paraId="3E08F5B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0.0008***</w:t>
            </w:r>
          </w:p>
        </w:tc>
        <w:tc>
          <w:tcPr>
            <w:tcW w:w="0" w:type="auto"/>
            <w:tcMar>
              <w:top w:w="0" w:type="dxa"/>
              <w:left w:w="115" w:type="dxa"/>
              <w:bottom w:w="0" w:type="dxa"/>
              <w:right w:w="115" w:type="dxa"/>
            </w:tcMar>
            <w:vAlign w:val="center"/>
            <w:hideMark/>
          </w:tcPr>
          <w:p w14:paraId="78C8416D" w14:textId="77777777" w:rsidR="00C033B5" w:rsidRPr="00746567" w:rsidRDefault="00C033B5" w:rsidP="00C033B5">
            <w:pPr>
              <w:rPr>
                <w:rFonts w:asciiTheme="majorBidi" w:hAnsiTheme="majorBidi" w:cstheme="majorBidi"/>
              </w:rPr>
            </w:pPr>
            <w:r w:rsidRPr="00746567">
              <w:rPr>
                <w:rFonts w:asciiTheme="majorBidi" w:hAnsiTheme="majorBidi" w:cstheme="majorBidi"/>
              </w:rPr>
              <w:t>0.1639***</w:t>
            </w:r>
          </w:p>
        </w:tc>
        <w:tc>
          <w:tcPr>
            <w:tcW w:w="0" w:type="auto"/>
            <w:tcMar>
              <w:top w:w="0" w:type="dxa"/>
              <w:left w:w="115" w:type="dxa"/>
              <w:bottom w:w="0" w:type="dxa"/>
              <w:right w:w="115" w:type="dxa"/>
            </w:tcMar>
            <w:vAlign w:val="center"/>
            <w:hideMark/>
          </w:tcPr>
          <w:p w14:paraId="3582F6C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0.0004***</w:t>
            </w:r>
          </w:p>
        </w:tc>
        <w:tc>
          <w:tcPr>
            <w:tcW w:w="0" w:type="auto"/>
            <w:tcMar>
              <w:top w:w="0" w:type="dxa"/>
              <w:left w:w="115" w:type="dxa"/>
              <w:bottom w:w="0" w:type="dxa"/>
              <w:right w:w="115" w:type="dxa"/>
            </w:tcMar>
            <w:vAlign w:val="center"/>
            <w:hideMark/>
          </w:tcPr>
          <w:p w14:paraId="7C41CD49" w14:textId="77777777" w:rsidR="00C033B5" w:rsidRPr="00746567" w:rsidRDefault="00C033B5" w:rsidP="00C033B5">
            <w:pPr>
              <w:rPr>
                <w:rFonts w:asciiTheme="majorBidi" w:hAnsiTheme="majorBidi" w:cstheme="majorBidi"/>
              </w:rPr>
            </w:pPr>
            <w:r w:rsidRPr="00746567">
              <w:rPr>
                <w:rFonts w:asciiTheme="majorBidi" w:hAnsiTheme="majorBidi" w:cstheme="majorBidi"/>
              </w:rPr>
              <w:t>0.1480***</w:t>
            </w:r>
          </w:p>
        </w:tc>
      </w:tr>
      <w:tr w:rsidR="00C033B5" w:rsidRPr="00746567" w14:paraId="124FFC01" w14:textId="77777777">
        <w:trPr>
          <w:trHeight w:val="20"/>
        </w:trPr>
        <w:tc>
          <w:tcPr>
            <w:tcW w:w="0" w:type="auto"/>
            <w:tcMar>
              <w:top w:w="0" w:type="dxa"/>
              <w:left w:w="115" w:type="dxa"/>
              <w:bottom w:w="0" w:type="dxa"/>
              <w:right w:w="115" w:type="dxa"/>
            </w:tcMar>
            <w:vAlign w:val="center"/>
            <w:hideMark/>
          </w:tcPr>
          <w:p w14:paraId="192FBC81"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75F595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7FF3F69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4D48B6D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799BD6E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6A8F887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1F72706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(0.0031)</w:t>
            </w:r>
          </w:p>
        </w:tc>
        <w:tc>
          <w:tcPr>
            <w:tcW w:w="0" w:type="auto"/>
            <w:tcMar>
              <w:top w:w="0" w:type="dxa"/>
              <w:left w:w="115" w:type="dxa"/>
              <w:bottom w:w="0" w:type="dxa"/>
              <w:right w:w="115" w:type="dxa"/>
            </w:tcMar>
            <w:vAlign w:val="center"/>
            <w:hideMark/>
          </w:tcPr>
          <w:p w14:paraId="044FFED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0BF0072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(0.0031)</w:t>
            </w:r>
          </w:p>
        </w:tc>
      </w:tr>
      <w:tr w:rsidR="00C033B5" w:rsidRPr="00746567" w14:paraId="0F817351" w14:textId="77777777">
        <w:trPr>
          <w:trHeight w:val="20"/>
        </w:trPr>
        <w:tc>
          <w:tcPr>
            <w:tcW w:w="0" w:type="auto"/>
            <w:tcMar>
              <w:top w:w="0" w:type="dxa"/>
              <w:left w:w="115" w:type="dxa"/>
              <w:bottom w:w="0" w:type="dxa"/>
              <w:right w:w="115" w:type="dxa"/>
            </w:tcMar>
            <w:vAlign w:val="center"/>
            <w:hideMark/>
          </w:tcPr>
          <w:p w14:paraId="21835DC0"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Loantype</w:t>
            </w:r>
            <w:proofErr w:type="spellEnd"/>
          </w:p>
        </w:tc>
        <w:tc>
          <w:tcPr>
            <w:tcW w:w="0" w:type="auto"/>
            <w:tcMar>
              <w:top w:w="0" w:type="dxa"/>
              <w:left w:w="115" w:type="dxa"/>
              <w:bottom w:w="0" w:type="dxa"/>
              <w:right w:w="115" w:type="dxa"/>
            </w:tcMar>
            <w:vAlign w:val="center"/>
            <w:hideMark/>
          </w:tcPr>
          <w:p w14:paraId="47B048BF"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0E3917D"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5515AE7"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D19185F"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6C8E727"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458999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607ED5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929467A" w14:textId="77777777" w:rsidR="00C033B5" w:rsidRPr="00746567" w:rsidRDefault="00C033B5" w:rsidP="00C033B5">
            <w:pPr>
              <w:rPr>
                <w:rFonts w:asciiTheme="majorBidi" w:hAnsiTheme="majorBidi" w:cstheme="majorBidi"/>
              </w:rPr>
            </w:pPr>
          </w:p>
        </w:tc>
      </w:tr>
      <w:tr w:rsidR="00C033B5" w:rsidRPr="00746567" w14:paraId="1603E555" w14:textId="77777777">
        <w:trPr>
          <w:trHeight w:val="20"/>
        </w:trPr>
        <w:tc>
          <w:tcPr>
            <w:tcW w:w="0" w:type="auto"/>
            <w:tcMar>
              <w:top w:w="0" w:type="dxa"/>
              <w:left w:w="115" w:type="dxa"/>
              <w:bottom w:w="0" w:type="dxa"/>
              <w:right w:w="115" w:type="dxa"/>
            </w:tcMar>
            <w:vAlign w:val="center"/>
            <w:hideMark/>
          </w:tcPr>
          <w:p w14:paraId="7431985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DAEC22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45B765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3D79A1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13FE7F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BB370C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DFA985F"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1B46E1E"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1F16D89" w14:textId="77777777" w:rsidR="00C033B5" w:rsidRPr="00746567" w:rsidRDefault="00C033B5" w:rsidP="00C033B5">
            <w:pPr>
              <w:rPr>
                <w:rFonts w:asciiTheme="majorBidi" w:hAnsiTheme="majorBidi" w:cstheme="majorBidi"/>
              </w:rPr>
            </w:pPr>
          </w:p>
        </w:tc>
      </w:tr>
      <w:tr w:rsidR="00C033B5" w:rsidRPr="00746567" w14:paraId="7ED06B13" w14:textId="77777777">
        <w:trPr>
          <w:trHeight w:val="20"/>
        </w:trPr>
        <w:tc>
          <w:tcPr>
            <w:tcW w:w="0" w:type="auto"/>
            <w:tcMar>
              <w:top w:w="0" w:type="dxa"/>
              <w:left w:w="115" w:type="dxa"/>
              <w:bottom w:w="0" w:type="dxa"/>
              <w:right w:w="115" w:type="dxa"/>
            </w:tcMar>
            <w:vAlign w:val="center"/>
            <w:hideMark/>
          </w:tcPr>
          <w:p w14:paraId="2E81A913" w14:textId="77777777" w:rsidR="00C033B5" w:rsidRPr="00746567" w:rsidRDefault="00C033B5" w:rsidP="00C033B5">
            <w:pPr>
              <w:rPr>
                <w:rFonts w:asciiTheme="majorBidi" w:hAnsiTheme="majorBidi" w:cstheme="majorBidi"/>
              </w:rPr>
            </w:pPr>
            <w:r w:rsidRPr="00746567">
              <w:rPr>
                <w:rFonts w:asciiTheme="majorBidi" w:hAnsiTheme="majorBidi" w:cstheme="majorBidi"/>
              </w:rPr>
              <w:t>Agricultural Loan</w:t>
            </w:r>
          </w:p>
        </w:tc>
        <w:tc>
          <w:tcPr>
            <w:tcW w:w="0" w:type="auto"/>
            <w:tcMar>
              <w:top w:w="0" w:type="dxa"/>
              <w:left w:w="115" w:type="dxa"/>
              <w:bottom w:w="0" w:type="dxa"/>
              <w:right w:w="115" w:type="dxa"/>
            </w:tcMar>
            <w:vAlign w:val="center"/>
            <w:hideMark/>
          </w:tcPr>
          <w:p w14:paraId="3F400469" w14:textId="77777777" w:rsidR="00C033B5" w:rsidRPr="00746567" w:rsidRDefault="00C033B5" w:rsidP="00C033B5">
            <w:pPr>
              <w:rPr>
                <w:rFonts w:asciiTheme="majorBidi" w:hAnsiTheme="majorBidi" w:cstheme="majorBidi"/>
              </w:rPr>
            </w:pPr>
            <w:r w:rsidRPr="00746567">
              <w:rPr>
                <w:rFonts w:asciiTheme="majorBidi" w:hAnsiTheme="majorBidi" w:cstheme="majorBidi"/>
              </w:rPr>
              <w:t>-0.0163***</w:t>
            </w:r>
          </w:p>
        </w:tc>
        <w:tc>
          <w:tcPr>
            <w:tcW w:w="0" w:type="auto"/>
            <w:tcMar>
              <w:top w:w="0" w:type="dxa"/>
              <w:left w:w="115" w:type="dxa"/>
              <w:bottom w:w="0" w:type="dxa"/>
              <w:right w:w="115" w:type="dxa"/>
            </w:tcMar>
            <w:vAlign w:val="center"/>
            <w:hideMark/>
          </w:tcPr>
          <w:p w14:paraId="15F60710"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1A79BF44" w14:textId="77777777" w:rsidR="00C033B5" w:rsidRPr="00746567" w:rsidRDefault="00C033B5" w:rsidP="00C033B5">
            <w:pPr>
              <w:rPr>
                <w:rFonts w:asciiTheme="majorBidi" w:hAnsiTheme="majorBidi" w:cstheme="majorBidi"/>
              </w:rPr>
            </w:pPr>
            <w:r w:rsidRPr="00746567">
              <w:rPr>
                <w:rFonts w:asciiTheme="majorBidi" w:hAnsiTheme="majorBidi" w:cstheme="majorBidi"/>
              </w:rPr>
              <w:t>-0.0182***</w:t>
            </w:r>
          </w:p>
        </w:tc>
        <w:tc>
          <w:tcPr>
            <w:tcW w:w="0" w:type="auto"/>
            <w:tcMar>
              <w:top w:w="0" w:type="dxa"/>
              <w:left w:w="115" w:type="dxa"/>
              <w:bottom w:w="0" w:type="dxa"/>
              <w:right w:w="115" w:type="dxa"/>
            </w:tcMar>
            <w:vAlign w:val="center"/>
            <w:hideMark/>
          </w:tcPr>
          <w:p w14:paraId="4BAB4DFF"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05DC159E" w14:textId="77777777" w:rsidR="00C033B5" w:rsidRPr="00746567" w:rsidRDefault="00C033B5" w:rsidP="00C033B5">
            <w:pPr>
              <w:rPr>
                <w:rFonts w:asciiTheme="majorBidi" w:hAnsiTheme="majorBidi" w:cstheme="majorBidi"/>
              </w:rPr>
            </w:pPr>
            <w:r w:rsidRPr="00746567">
              <w:rPr>
                <w:rFonts w:asciiTheme="majorBidi" w:hAnsiTheme="majorBidi" w:cstheme="majorBidi"/>
              </w:rPr>
              <w:t>0.0168***</w:t>
            </w:r>
          </w:p>
        </w:tc>
        <w:tc>
          <w:tcPr>
            <w:tcW w:w="0" w:type="auto"/>
            <w:tcMar>
              <w:top w:w="0" w:type="dxa"/>
              <w:left w:w="115" w:type="dxa"/>
              <w:bottom w:w="0" w:type="dxa"/>
              <w:right w:w="115" w:type="dxa"/>
            </w:tcMar>
            <w:vAlign w:val="center"/>
            <w:hideMark/>
          </w:tcPr>
          <w:p w14:paraId="67360A0A"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1F2C11F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-0.0010***</w:t>
            </w:r>
          </w:p>
        </w:tc>
        <w:tc>
          <w:tcPr>
            <w:tcW w:w="0" w:type="auto"/>
            <w:tcMar>
              <w:top w:w="0" w:type="dxa"/>
              <w:left w:w="115" w:type="dxa"/>
              <w:bottom w:w="0" w:type="dxa"/>
              <w:right w:w="115" w:type="dxa"/>
            </w:tcMar>
            <w:vAlign w:val="center"/>
            <w:hideMark/>
          </w:tcPr>
          <w:p w14:paraId="78B97BD4"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r>
      <w:tr w:rsidR="00C033B5" w:rsidRPr="00746567" w14:paraId="1DDAA850" w14:textId="77777777">
        <w:trPr>
          <w:trHeight w:val="20"/>
        </w:trPr>
        <w:tc>
          <w:tcPr>
            <w:tcW w:w="0" w:type="auto"/>
            <w:tcMar>
              <w:top w:w="0" w:type="dxa"/>
              <w:left w:w="115" w:type="dxa"/>
              <w:bottom w:w="0" w:type="dxa"/>
              <w:right w:w="115" w:type="dxa"/>
            </w:tcMar>
            <w:vAlign w:val="center"/>
            <w:hideMark/>
          </w:tcPr>
          <w:p w14:paraId="1CA8A9DF"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D898E2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(0.0027)</w:t>
            </w:r>
          </w:p>
        </w:tc>
        <w:tc>
          <w:tcPr>
            <w:tcW w:w="0" w:type="auto"/>
            <w:tcMar>
              <w:top w:w="0" w:type="dxa"/>
              <w:left w:w="115" w:type="dxa"/>
              <w:bottom w:w="0" w:type="dxa"/>
              <w:right w:w="115" w:type="dxa"/>
            </w:tcMar>
            <w:vAlign w:val="center"/>
            <w:hideMark/>
          </w:tcPr>
          <w:p w14:paraId="711E51B7"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331CF7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(0.0010)</w:t>
            </w:r>
          </w:p>
        </w:tc>
        <w:tc>
          <w:tcPr>
            <w:tcW w:w="0" w:type="auto"/>
            <w:tcMar>
              <w:top w:w="0" w:type="dxa"/>
              <w:left w:w="115" w:type="dxa"/>
              <w:bottom w:w="0" w:type="dxa"/>
              <w:right w:w="115" w:type="dxa"/>
            </w:tcMar>
            <w:vAlign w:val="center"/>
            <w:hideMark/>
          </w:tcPr>
          <w:p w14:paraId="18F1F1E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4DA490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(0.0061)</w:t>
            </w:r>
          </w:p>
        </w:tc>
        <w:tc>
          <w:tcPr>
            <w:tcW w:w="0" w:type="auto"/>
            <w:tcMar>
              <w:top w:w="0" w:type="dxa"/>
              <w:left w:w="115" w:type="dxa"/>
              <w:bottom w:w="0" w:type="dxa"/>
              <w:right w:w="115" w:type="dxa"/>
            </w:tcMar>
            <w:vAlign w:val="center"/>
            <w:hideMark/>
          </w:tcPr>
          <w:p w14:paraId="1530025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DD6559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vAlign w:val="center"/>
            <w:hideMark/>
          </w:tcPr>
          <w:p w14:paraId="529E4C1C" w14:textId="77777777" w:rsidR="00C033B5" w:rsidRPr="00746567" w:rsidRDefault="00C033B5" w:rsidP="00C033B5">
            <w:pPr>
              <w:rPr>
                <w:rFonts w:asciiTheme="majorBidi" w:hAnsiTheme="majorBidi" w:cstheme="majorBidi"/>
              </w:rPr>
            </w:pPr>
          </w:p>
        </w:tc>
      </w:tr>
      <w:tr w:rsidR="00C033B5" w:rsidRPr="00746567" w14:paraId="2C6550F7" w14:textId="77777777">
        <w:trPr>
          <w:trHeight w:val="20"/>
        </w:trPr>
        <w:tc>
          <w:tcPr>
            <w:tcW w:w="0" w:type="auto"/>
            <w:tcMar>
              <w:top w:w="0" w:type="dxa"/>
              <w:left w:w="115" w:type="dxa"/>
              <w:bottom w:w="0" w:type="dxa"/>
              <w:right w:w="115" w:type="dxa"/>
            </w:tcMar>
            <w:vAlign w:val="center"/>
            <w:hideMark/>
          </w:tcPr>
          <w:p w14:paraId="6877CC3E" w14:textId="77777777" w:rsidR="00C033B5" w:rsidRPr="00746567" w:rsidRDefault="00C033B5" w:rsidP="00C033B5">
            <w:pPr>
              <w:rPr>
                <w:rFonts w:asciiTheme="majorBidi" w:hAnsiTheme="majorBidi" w:cstheme="majorBidi"/>
              </w:rPr>
            </w:pPr>
            <w:r w:rsidRPr="00746567">
              <w:rPr>
                <w:rFonts w:asciiTheme="majorBidi" w:hAnsiTheme="majorBidi" w:cstheme="majorBidi"/>
              </w:rPr>
              <w:t>Business Loan</w:t>
            </w:r>
          </w:p>
        </w:tc>
        <w:tc>
          <w:tcPr>
            <w:tcW w:w="0" w:type="auto"/>
            <w:tcMar>
              <w:top w:w="0" w:type="dxa"/>
              <w:left w:w="115" w:type="dxa"/>
              <w:bottom w:w="0" w:type="dxa"/>
              <w:right w:w="115" w:type="dxa"/>
            </w:tcMar>
            <w:vAlign w:val="center"/>
            <w:hideMark/>
          </w:tcPr>
          <w:p w14:paraId="56E355CA" w14:textId="77777777" w:rsidR="00C033B5" w:rsidRPr="00746567" w:rsidRDefault="00C033B5" w:rsidP="00C033B5">
            <w:pPr>
              <w:rPr>
                <w:rFonts w:asciiTheme="majorBidi" w:hAnsiTheme="majorBidi" w:cstheme="majorBidi"/>
              </w:rPr>
            </w:pPr>
            <w:r w:rsidRPr="00746567">
              <w:rPr>
                <w:rFonts w:asciiTheme="majorBidi" w:hAnsiTheme="majorBidi" w:cstheme="majorBidi"/>
              </w:rPr>
              <w:t>-0.0227***</w:t>
            </w:r>
          </w:p>
        </w:tc>
        <w:tc>
          <w:tcPr>
            <w:tcW w:w="0" w:type="auto"/>
            <w:tcMar>
              <w:top w:w="0" w:type="dxa"/>
              <w:left w:w="115" w:type="dxa"/>
              <w:bottom w:w="0" w:type="dxa"/>
              <w:right w:w="115" w:type="dxa"/>
            </w:tcMar>
            <w:vAlign w:val="center"/>
            <w:hideMark/>
          </w:tcPr>
          <w:p w14:paraId="6A5F1C78" w14:textId="77777777" w:rsidR="00C033B5" w:rsidRPr="00746567" w:rsidRDefault="00C033B5" w:rsidP="00C033B5">
            <w:pPr>
              <w:rPr>
                <w:rFonts w:asciiTheme="majorBidi" w:hAnsiTheme="majorBidi" w:cstheme="majorBidi"/>
              </w:rPr>
            </w:pPr>
            <w:r w:rsidRPr="00746567">
              <w:rPr>
                <w:rFonts w:asciiTheme="majorBidi" w:hAnsiTheme="majorBidi" w:cstheme="majorBidi"/>
              </w:rPr>
              <w:t>-0.0562***</w:t>
            </w:r>
          </w:p>
        </w:tc>
        <w:tc>
          <w:tcPr>
            <w:tcW w:w="0" w:type="auto"/>
            <w:tcMar>
              <w:top w:w="0" w:type="dxa"/>
              <w:left w:w="115" w:type="dxa"/>
              <w:bottom w:w="0" w:type="dxa"/>
              <w:right w:w="115" w:type="dxa"/>
            </w:tcMar>
            <w:vAlign w:val="center"/>
            <w:hideMark/>
          </w:tcPr>
          <w:p w14:paraId="5DD40B9F" w14:textId="77777777" w:rsidR="00C033B5" w:rsidRPr="00746567" w:rsidRDefault="00C033B5" w:rsidP="00C033B5">
            <w:pPr>
              <w:rPr>
                <w:rFonts w:asciiTheme="majorBidi" w:hAnsiTheme="majorBidi" w:cstheme="majorBidi"/>
              </w:rPr>
            </w:pPr>
            <w:r w:rsidRPr="00746567">
              <w:rPr>
                <w:rFonts w:asciiTheme="majorBidi" w:hAnsiTheme="majorBidi" w:cstheme="majorBidi"/>
              </w:rPr>
              <w:t>-0.0261***</w:t>
            </w:r>
          </w:p>
        </w:tc>
        <w:tc>
          <w:tcPr>
            <w:tcW w:w="0" w:type="auto"/>
            <w:tcMar>
              <w:top w:w="0" w:type="dxa"/>
              <w:left w:w="115" w:type="dxa"/>
              <w:bottom w:w="0" w:type="dxa"/>
              <w:right w:w="115" w:type="dxa"/>
            </w:tcMar>
            <w:vAlign w:val="center"/>
            <w:hideMark/>
          </w:tcPr>
          <w:p w14:paraId="2ACEBF69" w14:textId="77777777" w:rsidR="00C033B5" w:rsidRPr="00746567" w:rsidRDefault="00C033B5" w:rsidP="00C033B5">
            <w:pPr>
              <w:rPr>
                <w:rFonts w:asciiTheme="majorBidi" w:hAnsiTheme="majorBidi" w:cstheme="majorBidi"/>
              </w:rPr>
            </w:pPr>
            <w:r w:rsidRPr="00746567">
              <w:rPr>
                <w:rFonts w:asciiTheme="majorBidi" w:hAnsiTheme="majorBidi" w:cstheme="majorBidi"/>
              </w:rPr>
              <w:t>-0.0605***</w:t>
            </w:r>
          </w:p>
        </w:tc>
        <w:tc>
          <w:tcPr>
            <w:tcW w:w="0" w:type="auto"/>
            <w:tcMar>
              <w:top w:w="0" w:type="dxa"/>
              <w:left w:w="115" w:type="dxa"/>
              <w:bottom w:w="0" w:type="dxa"/>
              <w:right w:w="115" w:type="dxa"/>
            </w:tcMar>
            <w:vAlign w:val="center"/>
            <w:hideMark/>
          </w:tcPr>
          <w:p w14:paraId="5891E12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-0.0005</w:t>
            </w:r>
          </w:p>
        </w:tc>
        <w:tc>
          <w:tcPr>
            <w:tcW w:w="0" w:type="auto"/>
            <w:tcMar>
              <w:top w:w="0" w:type="dxa"/>
              <w:left w:w="115" w:type="dxa"/>
              <w:bottom w:w="0" w:type="dxa"/>
              <w:right w:w="115" w:type="dxa"/>
            </w:tcMar>
            <w:vAlign w:val="center"/>
            <w:hideMark/>
          </w:tcPr>
          <w:p w14:paraId="6F779657" w14:textId="77777777" w:rsidR="00C033B5" w:rsidRPr="00746567" w:rsidRDefault="00C033B5" w:rsidP="00C033B5">
            <w:pPr>
              <w:rPr>
                <w:rFonts w:asciiTheme="majorBidi" w:hAnsiTheme="majorBidi" w:cstheme="majorBidi"/>
              </w:rPr>
            </w:pPr>
            <w:r w:rsidRPr="00746567">
              <w:rPr>
                <w:rFonts w:asciiTheme="majorBidi" w:hAnsiTheme="majorBidi" w:cstheme="majorBidi"/>
              </w:rPr>
              <w:t>-0.2219***</w:t>
            </w:r>
          </w:p>
        </w:tc>
        <w:tc>
          <w:tcPr>
            <w:tcW w:w="0" w:type="auto"/>
            <w:tcMar>
              <w:top w:w="0" w:type="dxa"/>
              <w:left w:w="115" w:type="dxa"/>
              <w:bottom w:w="0" w:type="dxa"/>
              <w:right w:w="115" w:type="dxa"/>
            </w:tcMar>
            <w:vAlign w:val="center"/>
            <w:hideMark/>
          </w:tcPr>
          <w:p w14:paraId="59CF8D8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-0.0005</w:t>
            </w:r>
          </w:p>
        </w:tc>
        <w:tc>
          <w:tcPr>
            <w:tcW w:w="0" w:type="auto"/>
            <w:tcMar>
              <w:top w:w="0" w:type="dxa"/>
              <w:left w:w="115" w:type="dxa"/>
              <w:bottom w:w="0" w:type="dxa"/>
              <w:right w:w="115" w:type="dxa"/>
            </w:tcMar>
            <w:vAlign w:val="center"/>
            <w:hideMark/>
          </w:tcPr>
          <w:p w14:paraId="0A74581F" w14:textId="77777777" w:rsidR="00C033B5" w:rsidRPr="00746567" w:rsidRDefault="00C033B5" w:rsidP="00C033B5">
            <w:pPr>
              <w:rPr>
                <w:rFonts w:asciiTheme="majorBidi" w:hAnsiTheme="majorBidi" w:cstheme="majorBidi"/>
              </w:rPr>
            </w:pPr>
            <w:r w:rsidRPr="00746567">
              <w:rPr>
                <w:rFonts w:asciiTheme="majorBidi" w:hAnsiTheme="majorBidi" w:cstheme="majorBidi"/>
              </w:rPr>
              <w:t>-0.1785***</w:t>
            </w:r>
          </w:p>
        </w:tc>
      </w:tr>
      <w:tr w:rsidR="00C033B5" w:rsidRPr="00746567" w14:paraId="3EA6DA60" w14:textId="77777777">
        <w:trPr>
          <w:trHeight w:val="20"/>
        </w:trPr>
        <w:tc>
          <w:tcPr>
            <w:tcW w:w="0" w:type="auto"/>
            <w:tcMar>
              <w:top w:w="0" w:type="dxa"/>
              <w:left w:w="115" w:type="dxa"/>
              <w:bottom w:w="0" w:type="dxa"/>
              <w:right w:w="115" w:type="dxa"/>
            </w:tcMar>
            <w:vAlign w:val="center"/>
            <w:hideMark/>
          </w:tcPr>
          <w:p w14:paraId="45DFD3F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6D2B7F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(0.0031)</w:t>
            </w:r>
          </w:p>
        </w:tc>
        <w:tc>
          <w:tcPr>
            <w:tcW w:w="0" w:type="auto"/>
            <w:tcMar>
              <w:top w:w="0" w:type="dxa"/>
              <w:left w:w="115" w:type="dxa"/>
              <w:bottom w:w="0" w:type="dxa"/>
              <w:right w:w="115" w:type="dxa"/>
            </w:tcMar>
            <w:vAlign w:val="center"/>
            <w:hideMark/>
          </w:tcPr>
          <w:p w14:paraId="4CE767E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(0.0022)</w:t>
            </w:r>
          </w:p>
        </w:tc>
        <w:tc>
          <w:tcPr>
            <w:tcW w:w="0" w:type="auto"/>
            <w:tcMar>
              <w:top w:w="0" w:type="dxa"/>
              <w:left w:w="115" w:type="dxa"/>
              <w:bottom w:w="0" w:type="dxa"/>
              <w:right w:w="115" w:type="dxa"/>
            </w:tcMar>
            <w:vAlign w:val="center"/>
            <w:hideMark/>
          </w:tcPr>
          <w:p w14:paraId="6489CA1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(0.0008)</w:t>
            </w:r>
          </w:p>
        </w:tc>
        <w:tc>
          <w:tcPr>
            <w:tcW w:w="0" w:type="auto"/>
            <w:tcMar>
              <w:top w:w="0" w:type="dxa"/>
              <w:left w:w="115" w:type="dxa"/>
              <w:bottom w:w="0" w:type="dxa"/>
              <w:right w:w="115" w:type="dxa"/>
            </w:tcMar>
            <w:vAlign w:val="center"/>
            <w:hideMark/>
          </w:tcPr>
          <w:p w14:paraId="151B48B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(0.0018)</w:t>
            </w:r>
          </w:p>
        </w:tc>
        <w:tc>
          <w:tcPr>
            <w:tcW w:w="0" w:type="auto"/>
            <w:tcMar>
              <w:top w:w="0" w:type="dxa"/>
              <w:left w:w="115" w:type="dxa"/>
              <w:bottom w:w="0" w:type="dxa"/>
              <w:right w:w="115" w:type="dxa"/>
            </w:tcMar>
            <w:vAlign w:val="center"/>
            <w:hideMark/>
          </w:tcPr>
          <w:p w14:paraId="52C0BB2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(0.0009)</w:t>
            </w:r>
          </w:p>
        </w:tc>
        <w:tc>
          <w:tcPr>
            <w:tcW w:w="0" w:type="auto"/>
            <w:tcMar>
              <w:top w:w="0" w:type="dxa"/>
              <w:left w:w="115" w:type="dxa"/>
              <w:bottom w:w="0" w:type="dxa"/>
              <w:right w:w="115" w:type="dxa"/>
            </w:tcMar>
            <w:vAlign w:val="center"/>
            <w:hideMark/>
          </w:tcPr>
          <w:p w14:paraId="46D926AE" w14:textId="77777777" w:rsidR="00C033B5" w:rsidRPr="00746567" w:rsidRDefault="00C033B5" w:rsidP="00C033B5">
            <w:pPr>
              <w:rPr>
                <w:rFonts w:asciiTheme="majorBidi" w:hAnsiTheme="majorBidi" w:cstheme="majorBidi"/>
              </w:rPr>
            </w:pPr>
            <w:r w:rsidRPr="00746567">
              <w:rPr>
                <w:rFonts w:asciiTheme="majorBidi" w:hAnsiTheme="majorBidi" w:cstheme="majorBidi"/>
              </w:rPr>
              <w:t>(0.0199)</w:t>
            </w:r>
          </w:p>
        </w:tc>
        <w:tc>
          <w:tcPr>
            <w:tcW w:w="0" w:type="auto"/>
            <w:tcMar>
              <w:top w:w="0" w:type="dxa"/>
              <w:left w:w="115" w:type="dxa"/>
              <w:bottom w:w="0" w:type="dxa"/>
              <w:right w:w="115" w:type="dxa"/>
            </w:tcMar>
            <w:vAlign w:val="center"/>
            <w:hideMark/>
          </w:tcPr>
          <w:p w14:paraId="13ADB4A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(0.0004)</w:t>
            </w:r>
          </w:p>
        </w:tc>
        <w:tc>
          <w:tcPr>
            <w:tcW w:w="0" w:type="auto"/>
            <w:tcMar>
              <w:top w:w="0" w:type="dxa"/>
              <w:left w:w="115" w:type="dxa"/>
              <w:bottom w:w="0" w:type="dxa"/>
              <w:right w:w="115" w:type="dxa"/>
            </w:tcMar>
            <w:vAlign w:val="center"/>
            <w:hideMark/>
          </w:tcPr>
          <w:p w14:paraId="09F95E64" w14:textId="77777777" w:rsidR="00C033B5" w:rsidRPr="00746567" w:rsidRDefault="00C033B5" w:rsidP="00C033B5">
            <w:pPr>
              <w:rPr>
                <w:rFonts w:asciiTheme="majorBidi" w:hAnsiTheme="majorBidi" w:cstheme="majorBidi"/>
              </w:rPr>
            </w:pPr>
            <w:r w:rsidRPr="00746567">
              <w:rPr>
                <w:rFonts w:asciiTheme="majorBidi" w:hAnsiTheme="majorBidi" w:cstheme="majorBidi"/>
              </w:rPr>
              <w:t>(0.0205)</w:t>
            </w:r>
          </w:p>
        </w:tc>
      </w:tr>
      <w:tr w:rsidR="00C033B5" w:rsidRPr="00746567" w14:paraId="7E309312" w14:textId="77777777">
        <w:trPr>
          <w:trHeight w:val="20"/>
        </w:trPr>
        <w:tc>
          <w:tcPr>
            <w:tcW w:w="0" w:type="auto"/>
            <w:tcMar>
              <w:top w:w="0" w:type="dxa"/>
              <w:left w:w="115" w:type="dxa"/>
              <w:bottom w:w="0" w:type="dxa"/>
              <w:right w:w="115" w:type="dxa"/>
            </w:tcMar>
            <w:vAlign w:val="center"/>
            <w:hideMark/>
          </w:tcPr>
          <w:p w14:paraId="2214699F" w14:textId="77777777" w:rsidR="00C033B5" w:rsidRPr="00746567" w:rsidRDefault="00C033B5" w:rsidP="00C033B5">
            <w:pPr>
              <w:rPr>
                <w:rFonts w:asciiTheme="majorBidi" w:hAnsiTheme="majorBidi" w:cstheme="majorBidi"/>
              </w:rPr>
            </w:pPr>
            <w:r w:rsidRPr="00746567">
              <w:rPr>
                <w:rFonts w:asciiTheme="majorBidi" w:hAnsiTheme="majorBidi" w:cstheme="majorBidi"/>
              </w:rPr>
              <w:t>Car Loan</w:t>
            </w:r>
          </w:p>
        </w:tc>
        <w:tc>
          <w:tcPr>
            <w:tcW w:w="0" w:type="auto"/>
            <w:tcMar>
              <w:top w:w="0" w:type="dxa"/>
              <w:left w:w="115" w:type="dxa"/>
              <w:bottom w:w="0" w:type="dxa"/>
              <w:right w:w="115" w:type="dxa"/>
            </w:tcMar>
            <w:vAlign w:val="center"/>
            <w:hideMark/>
          </w:tcPr>
          <w:p w14:paraId="0424BCF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0.0090***</w:t>
            </w:r>
          </w:p>
        </w:tc>
        <w:tc>
          <w:tcPr>
            <w:tcW w:w="0" w:type="auto"/>
            <w:tcMar>
              <w:top w:w="0" w:type="dxa"/>
              <w:left w:w="115" w:type="dxa"/>
              <w:bottom w:w="0" w:type="dxa"/>
              <w:right w:w="115" w:type="dxa"/>
            </w:tcMar>
            <w:vAlign w:val="center"/>
            <w:hideMark/>
          </w:tcPr>
          <w:p w14:paraId="107174FF" w14:textId="77777777" w:rsidR="00C033B5" w:rsidRPr="00746567" w:rsidRDefault="00C033B5" w:rsidP="00C033B5">
            <w:pPr>
              <w:rPr>
                <w:rFonts w:asciiTheme="majorBidi" w:hAnsiTheme="majorBidi" w:cstheme="majorBidi"/>
              </w:rPr>
            </w:pPr>
            <w:r w:rsidRPr="00746567">
              <w:rPr>
                <w:rFonts w:asciiTheme="majorBidi" w:hAnsiTheme="majorBidi" w:cstheme="majorBidi"/>
              </w:rPr>
              <w:t>-0.0508***</w:t>
            </w:r>
          </w:p>
        </w:tc>
        <w:tc>
          <w:tcPr>
            <w:tcW w:w="0" w:type="auto"/>
            <w:tcMar>
              <w:top w:w="0" w:type="dxa"/>
              <w:left w:w="115" w:type="dxa"/>
              <w:bottom w:w="0" w:type="dxa"/>
              <w:right w:w="115" w:type="dxa"/>
            </w:tcMar>
            <w:vAlign w:val="center"/>
            <w:hideMark/>
          </w:tcPr>
          <w:p w14:paraId="6BA20F62" w14:textId="77777777" w:rsidR="00C033B5" w:rsidRPr="00746567" w:rsidRDefault="00C033B5" w:rsidP="00C033B5">
            <w:pPr>
              <w:rPr>
                <w:rFonts w:asciiTheme="majorBidi" w:hAnsiTheme="majorBidi" w:cstheme="majorBidi"/>
              </w:rPr>
            </w:pPr>
            <w:r w:rsidRPr="00746567">
              <w:rPr>
                <w:rFonts w:asciiTheme="majorBidi" w:hAnsiTheme="majorBidi" w:cstheme="majorBidi"/>
              </w:rPr>
              <w:t>0.0151***</w:t>
            </w:r>
          </w:p>
        </w:tc>
        <w:tc>
          <w:tcPr>
            <w:tcW w:w="0" w:type="auto"/>
            <w:tcMar>
              <w:top w:w="0" w:type="dxa"/>
              <w:left w:w="115" w:type="dxa"/>
              <w:bottom w:w="0" w:type="dxa"/>
              <w:right w:w="115" w:type="dxa"/>
            </w:tcMar>
            <w:vAlign w:val="center"/>
            <w:hideMark/>
          </w:tcPr>
          <w:p w14:paraId="43351E02" w14:textId="77777777" w:rsidR="00C033B5" w:rsidRPr="00746567" w:rsidRDefault="00C033B5" w:rsidP="00C033B5">
            <w:pPr>
              <w:rPr>
                <w:rFonts w:asciiTheme="majorBidi" w:hAnsiTheme="majorBidi" w:cstheme="majorBidi"/>
              </w:rPr>
            </w:pPr>
            <w:r w:rsidRPr="00746567">
              <w:rPr>
                <w:rFonts w:asciiTheme="majorBidi" w:hAnsiTheme="majorBidi" w:cstheme="majorBidi"/>
              </w:rPr>
              <w:t>-0.0481***</w:t>
            </w:r>
          </w:p>
        </w:tc>
        <w:tc>
          <w:tcPr>
            <w:tcW w:w="0" w:type="auto"/>
            <w:tcMar>
              <w:top w:w="0" w:type="dxa"/>
              <w:left w:w="115" w:type="dxa"/>
              <w:bottom w:w="0" w:type="dxa"/>
              <w:right w:w="115" w:type="dxa"/>
            </w:tcMar>
            <w:vAlign w:val="center"/>
            <w:hideMark/>
          </w:tcPr>
          <w:p w14:paraId="67CD12D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-0.0010</w:t>
            </w:r>
          </w:p>
        </w:tc>
        <w:tc>
          <w:tcPr>
            <w:tcW w:w="0" w:type="auto"/>
            <w:tcMar>
              <w:top w:w="0" w:type="dxa"/>
              <w:left w:w="115" w:type="dxa"/>
              <w:bottom w:w="0" w:type="dxa"/>
              <w:right w:w="115" w:type="dxa"/>
            </w:tcMar>
            <w:vAlign w:val="center"/>
            <w:hideMark/>
          </w:tcPr>
          <w:p w14:paraId="41595D7C" w14:textId="77777777" w:rsidR="00C033B5" w:rsidRPr="00746567" w:rsidRDefault="00C033B5" w:rsidP="00C033B5">
            <w:pPr>
              <w:rPr>
                <w:rFonts w:asciiTheme="majorBidi" w:hAnsiTheme="majorBidi" w:cstheme="majorBidi"/>
              </w:rPr>
            </w:pPr>
            <w:r w:rsidRPr="00746567">
              <w:rPr>
                <w:rFonts w:asciiTheme="majorBidi" w:hAnsiTheme="majorBidi" w:cstheme="majorBidi"/>
              </w:rPr>
              <w:t>-0.2164***</w:t>
            </w:r>
          </w:p>
        </w:tc>
        <w:tc>
          <w:tcPr>
            <w:tcW w:w="0" w:type="auto"/>
            <w:tcMar>
              <w:top w:w="0" w:type="dxa"/>
              <w:left w:w="115" w:type="dxa"/>
              <w:bottom w:w="0" w:type="dxa"/>
              <w:right w:w="115" w:type="dxa"/>
            </w:tcMar>
            <w:vAlign w:val="center"/>
            <w:hideMark/>
          </w:tcPr>
          <w:p w14:paraId="1C64368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0.0004</w:t>
            </w:r>
          </w:p>
        </w:tc>
        <w:tc>
          <w:tcPr>
            <w:tcW w:w="0" w:type="auto"/>
            <w:tcMar>
              <w:top w:w="0" w:type="dxa"/>
              <w:left w:w="115" w:type="dxa"/>
              <w:bottom w:w="0" w:type="dxa"/>
              <w:right w:w="115" w:type="dxa"/>
            </w:tcMar>
            <w:vAlign w:val="center"/>
            <w:hideMark/>
          </w:tcPr>
          <w:p w14:paraId="4B8D1377" w14:textId="77777777" w:rsidR="00C033B5" w:rsidRPr="00746567" w:rsidRDefault="00C033B5" w:rsidP="00C033B5">
            <w:pPr>
              <w:rPr>
                <w:rFonts w:asciiTheme="majorBidi" w:hAnsiTheme="majorBidi" w:cstheme="majorBidi"/>
              </w:rPr>
            </w:pPr>
            <w:r w:rsidRPr="00746567">
              <w:rPr>
                <w:rFonts w:asciiTheme="majorBidi" w:hAnsiTheme="majorBidi" w:cstheme="majorBidi"/>
              </w:rPr>
              <w:t>-0.1772***</w:t>
            </w:r>
          </w:p>
        </w:tc>
      </w:tr>
      <w:tr w:rsidR="00C033B5" w:rsidRPr="00746567" w14:paraId="00AE3881" w14:textId="77777777">
        <w:trPr>
          <w:trHeight w:val="20"/>
        </w:trPr>
        <w:tc>
          <w:tcPr>
            <w:tcW w:w="0" w:type="auto"/>
            <w:tcMar>
              <w:top w:w="0" w:type="dxa"/>
              <w:left w:w="115" w:type="dxa"/>
              <w:bottom w:w="0" w:type="dxa"/>
              <w:right w:w="115" w:type="dxa"/>
            </w:tcMar>
            <w:vAlign w:val="center"/>
            <w:hideMark/>
          </w:tcPr>
          <w:p w14:paraId="28870763"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F331F8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(0.0023)</w:t>
            </w:r>
          </w:p>
        </w:tc>
        <w:tc>
          <w:tcPr>
            <w:tcW w:w="0" w:type="auto"/>
            <w:tcMar>
              <w:top w:w="0" w:type="dxa"/>
              <w:left w:w="115" w:type="dxa"/>
              <w:bottom w:w="0" w:type="dxa"/>
              <w:right w:w="115" w:type="dxa"/>
            </w:tcMar>
            <w:vAlign w:val="center"/>
            <w:hideMark/>
          </w:tcPr>
          <w:p w14:paraId="474D719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(0.0011)</w:t>
            </w:r>
          </w:p>
        </w:tc>
        <w:tc>
          <w:tcPr>
            <w:tcW w:w="0" w:type="auto"/>
            <w:tcMar>
              <w:top w:w="0" w:type="dxa"/>
              <w:left w:w="115" w:type="dxa"/>
              <w:bottom w:w="0" w:type="dxa"/>
              <w:right w:w="115" w:type="dxa"/>
            </w:tcMar>
            <w:vAlign w:val="center"/>
            <w:hideMark/>
          </w:tcPr>
          <w:p w14:paraId="010B3E6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(0.0013)</w:t>
            </w:r>
          </w:p>
        </w:tc>
        <w:tc>
          <w:tcPr>
            <w:tcW w:w="0" w:type="auto"/>
            <w:tcMar>
              <w:top w:w="0" w:type="dxa"/>
              <w:left w:w="115" w:type="dxa"/>
              <w:bottom w:w="0" w:type="dxa"/>
              <w:right w:w="115" w:type="dxa"/>
            </w:tcMar>
            <w:vAlign w:val="center"/>
            <w:hideMark/>
          </w:tcPr>
          <w:p w14:paraId="276647D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(0.0008)</w:t>
            </w:r>
          </w:p>
        </w:tc>
        <w:tc>
          <w:tcPr>
            <w:tcW w:w="0" w:type="auto"/>
            <w:tcMar>
              <w:top w:w="0" w:type="dxa"/>
              <w:left w:w="115" w:type="dxa"/>
              <w:bottom w:w="0" w:type="dxa"/>
              <w:right w:w="115" w:type="dxa"/>
            </w:tcMar>
            <w:vAlign w:val="center"/>
            <w:hideMark/>
          </w:tcPr>
          <w:p w14:paraId="19DDF89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(0.0006)</w:t>
            </w:r>
          </w:p>
        </w:tc>
        <w:tc>
          <w:tcPr>
            <w:tcW w:w="0" w:type="auto"/>
            <w:tcMar>
              <w:top w:w="0" w:type="dxa"/>
              <w:left w:w="115" w:type="dxa"/>
              <w:bottom w:w="0" w:type="dxa"/>
              <w:right w:w="115" w:type="dxa"/>
            </w:tcMar>
            <w:vAlign w:val="center"/>
            <w:hideMark/>
          </w:tcPr>
          <w:p w14:paraId="73959745" w14:textId="77777777" w:rsidR="00C033B5" w:rsidRPr="00746567" w:rsidRDefault="00C033B5" w:rsidP="00C033B5">
            <w:pPr>
              <w:rPr>
                <w:rFonts w:asciiTheme="majorBidi" w:hAnsiTheme="majorBidi" w:cstheme="majorBidi"/>
              </w:rPr>
            </w:pPr>
            <w:r w:rsidRPr="00746567">
              <w:rPr>
                <w:rFonts w:asciiTheme="majorBidi" w:hAnsiTheme="majorBidi" w:cstheme="majorBidi"/>
              </w:rPr>
              <w:t>(0.0118)</w:t>
            </w:r>
          </w:p>
        </w:tc>
        <w:tc>
          <w:tcPr>
            <w:tcW w:w="0" w:type="auto"/>
            <w:tcMar>
              <w:top w:w="0" w:type="dxa"/>
              <w:left w:w="115" w:type="dxa"/>
              <w:bottom w:w="0" w:type="dxa"/>
              <w:right w:w="115" w:type="dxa"/>
            </w:tcMar>
            <w:vAlign w:val="center"/>
            <w:hideMark/>
          </w:tcPr>
          <w:p w14:paraId="4CD92A4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(0.0012)</w:t>
            </w:r>
          </w:p>
        </w:tc>
        <w:tc>
          <w:tcPr>
            <w:tcW w:w="0" w:type="auto"/>
            <w:tcMar>
              <w:top w:w="0" w:type="dxa"/>
              <w:left w:w="115" w:type="dxa"/>
              <w:bottom w:w="0" w:type="dxa"/>
              <w:right w:w="115" w:type="dxa"/>
            </w:tcMar>
            <w:vAlign w:val="center"/>
            <w:hideMark/>
          </w:tcPr>
          <w:p w14:paraId="423830A0" w14:textId="77777777" w:rsidR="00C033B5" w:rsidRPr="00746567" w:rsidRDefault="00C033B5" w:rsidP="00C033B5">
            <w:pPr>
              <w:rPr>
                <w:rFonts w:asciiTheme="majorBidi" w:hAnsiTheme="majorBidi" w:cstheme="majorBidi"/>
              </w:rPr>
            </w:pPr>
            <w:r w:rsidRPr="00746567">
              <w:rPr>
                <w:rFonts w:asciiTheme="majorBidi" w:hAnsiTheme="majorBidi" w:cstheme="majorBidi"/>
              </w:rPr>
              <w:t>(0.0118)</w:t>
            </w:r>
          </w:p>
        </w:tc>
      </w:tr>
      <w:tr w:rsidR="00C033B5" w:rsidRPr="00746567" w14:paraId="7638762D" w14:textId="77777777">
        <w:trPr>
          <w:trHeight w:val="20"/>
        </w:trPr>
        <w:tc>
          <w:tcPr>
            <w:tcW w:w="0" w:type="auto"/>
            <w:tcMar>
              <w:top w:w="0" w:type="dxa"/>
              <w:left w:w="115" w:type="dxa"/>
              <w:bottom w:w="0" w:type="dxa"/>
              <w:right w:w="115" w:type="dxa"/>
            </w:tcMar>
            <w:vAlign w:val="center"/>
            <w:hideMark/>
          </w:tcPr>
          <w:p w14:paraId="36BA6031" w14:textId="77777777" w:rsidR="00C033B5" w:rsidRPr="00746567" w:rsidRDefault="00C033B5" w:rsidP="00C033B5">
            <w:pPr>
              <w:rPr>
                <w:rFonts w:asciiTheme="majorBidi" w:hAnsiTheme="majorBidi" w:cstheme="majorBidi"/>
              </w:rPr>
            </w:pPr>
            <w:r w:rsidRPr="00746567">
              <w:rPr>
                <w:rFonts w:asciiTheme="majorBidi" w:hAnsiTheme="majorBidi" w:cstheme="majorBidi"/>
              </w:rPr>
              <w:t>Mortgage Loan</w:t>
            </w:r>
          </w:p>
        </w:tc>
        <w:tc>
          <w:tcPr>
            <w:tcW w:w="0" w:type="auto"/>
            <w:tcMar>
              <w:top w:w="0" w:type="dxa"/>
              <w:left w:w="115" w:type="dxa"/>
              <w:bottom w:w="0" w:type="dxa"/>
              <w:right w:w="115" w:type="dxa"/>
            </w:tcMar>
            <w:vAlign w:val="center"/>
            <w:hideMark/>
          </w:tcPr>
          <w:p w14:paraId="2708FB8A" w14:textId="77777777" w:rsidR="00C033B5" w:rsidRPr="00746567" w:rsidRDefault="00C033B5" w:rsidP="00C033B5">
            <w:pPr>
              <w:rPr>
                <w:rFonts w:asciiTheme="majorBidi" w:hAnsiTheme="majorBidi" w:cstheme="majorBidi"/>
              </w:rPr>
            </w:pPr>
            <w:r w:rsidRPr="00746567">
              <w:rPr>
                <w:rFonts w:asciiTheme="majorBidi" w:hAnsiTheme="majorBidi" w:cstheme="majorBidi"/>
              </w:rPr>
              <w:t>-0.0615***</w:t>
            </w:r>
          </w:p>
        </w:tc>
        <w:tc>
          <w:tcPr>
            <w:tcW w:w="0" w:type="auto"/>
            <w:tcMar>
              <w:top w:w="0" w:type="dxa"/>
              <w:left w:w="115" w:type="dxa"/>
              <w:bottom w:w="0" w:type="dxa"/>
              <w:right w:w="115" w:type="dxa"/>
            </w:tcMar>
            <w:vAlign w:val="center"/>
            <w:hideMark/>
          </w:tcPr>
          <w:p w14:paraId="1EA6A3DE" w14:textId="77777777" w:rsidR="00C033B5" w:rsidRPr="00746567" w:rsidRDefault="00C033B5" w:rsidP="00C033B5">
            <w:pPr>
              <w:rPr>
                <w:rFonts w:asciiTheme="majorBidi" w:hAnsiTheme="majorBidi" w:cstheme="majorBidi"/>
              </w:rPr>
            </w:pPr>
            <w:r w:rsidRPr="00746567">
              <w:rPr>
                <w:rFonts w:asciiTheme="majorBidi" w:hAnsiTheme="majorBidi" w:cstheme="majorBidi"/>
              </w:rPr>
              <w:t>-0.1318***</w:t>
            </w:r>
          </w:p>
        </w:tc>
        <w:tc>
          <w:tcPr>
            <w:tcW w:w="0" w:type="auto"/>
            <w:tcMar>
              <w:top w:w="0" w:type="dxa"/>
              <w:left w:w="115" w:type="dxa"/>
              <w:bottom w:w="0" w:type="dxa"/>
              <w:right w:w="115" w:type="dxa"/>
            </w:tcMar>
            <w:vAlign w:val="center"/>
            <w:hideMark/>
          </w:tcPr>
          <w:p w14:paraId="79E9411B" w14:textId="77777777" w:rsidR="00C033B5" w:rsidRPr="00746567" w:rsidRDefault="00C033B5" w:rsidP="00C033B5">
            <w:pPr>
              <w:rPr>
                <w:rFonts w:asciiTheme="majorBidi" w:hAnsiTheme="majorBidi" w:cstheme="majorBidi"/>
              </w:rPr>
            </w:pPr>
            <w:r w:rsidRPr="00746567">
              <w:rPr>
                <w:rFonts w:asciiTheme="majorBidi" w:hAnsiTheme="majorBidi" w:cstheme="majorBidi"/>
              </w:rPr>
              <w:t>-0.0478***</w:t>
            </w:r>
          </w:p>
        </w:tc>
        <w:tc>
          <w:tcPr>
            <w:tcW w:w="0" w:type="auto"/>
            <w:tcMar>
              <w:top w:w="0" w:type="dxa"/>
              <w:left w:w="115" w:type="dxa"/>
              <w:bottom w:w="0" w:type="dxa"/>
              <w:right w:w="115" w:type="dxa"/>
            </w:tcMar>
            <w:vAlign w:val="center"/>
            <w:hideMark/>
          </w:tcPr>
          <w:p w14:paraId="04739143" w14:textId="77777777" w:rsidR="00C033B5" w:rsidRPr="00746567" w:rsidRDefault="00C033B5" w:rsidP="00C033B5">
            <w:pPr>
              <w:rPr>
                <w:rFonts w:asciiTheme="majorBidi" w:hAnsiTheme="majorBidi" w:cstheme="majorBidi"/>
              </w:rPr>
            </w:pPr>
            <w:r w:rsidRPr="00746567">
              <w:rPr>
                <w:rFonts w:asciiTheme="majorBidi" w:hAnsiTheme="majorBidi" w:cstheme="majorBidi"/>
              </w:rPr>
              <w:t>-0.1167***</w:t>
            </w:r>
          </w:p>
        </w:tc>
        <w:tc>
          <w:tcPr>
            <w:tcW w:w="0" w:type="auto"/>
            <w:tcMar>
              <w:top w:w="0" w:type="dxa"/>
              <w:left w:w="115" w:type="dxa"/>
              <w:bottom w:w="0" w:type="dxa"/>
              <w:right w:w="115" w:type="dxa"/>
            </w:tcMar>
            <w:vAlign w:val="center"/>
            <w:hideMark/>
          </w:tcPr>
          <w:p w14:paraId="609872E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-0.0012**</w:t>
            </w:r>
          </w:p>
        </w:tc>
        <w:tc>
          <w:tcPr>
            <w:tcW w:w="0" w:type="auto"/>
            <w:tcMar>
              <w:top w:w="0" w:type="dxa"/>
              <w:left w:w="115" w:type="dxa"/>
              <w:bottom w:w="0" w:type="dxa"/>
              <w:right w:w="115" w:type="dxa"/>
            </w:tcMar>
            <w:vAlign w:val="center"/>
            <w:hideMark/>
          </w:tcPr>
          <w:p w14:paraId="537D17A1" w14:textId="77777777" w:rsidR="00C033B5" w:rsidRPr="00746567" w:rsidRDefault="00C033B5" w:rsidP="00C033B5">
            <w:pPr>
              <w:rPr>
                <w:rFonts w:asciiTheme="majorBidi" w:hAnsiTheme="majorBidi" w:cstheme="majorBidi"/>
              </w:rPr>
            </w:pPr>
            <w:r w:rsidRPr="00746567">
              <w:rPr>
                <w:rFonts w:asciiTheme="majorBidi" w:hAnsiTheme="majorBidi" w:cstheme="majorBidi"/>
              </w:rPr>
              <w:t>-0.2332***</w:t>
            </w:r>
          </w:p>
        </w:tc>
        <w:tc>
          <w:tcPr>
            <w:tcW w:w="0" w:type="auto"/>
            <w:tcMar>
              <w:top w:w="0" w:type="dxa"/>
              <w:left w:w="115" w:type="dxa"/>
              <w:bottom w:w="0" w:type="dxa"/>
              <w:right w:w="115" w:type="dxa"/>
            </w:tcMar>
            <w:vAlign w:val="center"/>
            <w:hideMark/>
          </w:tcPr>
          <w:p w14:paraId="0100642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-0.0006</w:t>
            </w:r>
          </w:p>
        </w:tc>
        <w:tc>
          <w:tcPr>
            <w:tcW w:w="0" w:type="auto"/>
            <w:tcMar>
              <w:top w:w="0" w:type="dxa"/>
              <w:left w:w="115" w:type="dxa"/>
              <w:bottom w:w="0" w:type="dxa"/>
              <w:right w:w="115" w:type="dxa"/>
            </w:tcMar>
            <w:vAlign w:val="center"/>
            <w:hideMark/>
          </w:tcPr>
          <w:p w14:paraId="070F6F96" w14:textId="77777777" w:rsidR="00C033B5" w:rsidRPr="00746567" w:rsidRDefault="00C033B5" w:rsidP="00C033B5">
            <w:pPr>
              <w:rPr>
                <w:rFonts w:asciiTheme="majorBidi" w:hAnsiTheme="majorBidi" w:cstheme="majorBidi"/>
              </w:rPr>
            </w:pPr>
            <w:r w:rsidRPr="00746567">
              <w:rPr>
                <w:rFonts w:asciiTheme="majorBidi" w:hAnsiTheme="majorBidi" w:cstheme="majorBidi"/>
              </w:rPr>
              <w:t>-0.1905***</w:t>
            </w:r>
          </w:p>
        </w:tc>
      </w:tr>
      <w:tr w:rsidR="00C033B5" w:rsidRPr="00746567" w14:paraId="45534D7D" w14:textId="77777777">
        <w:trPr>
          <w:trHeight w:val="20"/>
        </w:trPr>
        <w:tc>
          <w:tcPr>
            <w:tcW w:w="0" w:type="auto"/>
            <w:tcMar>
              <w:top w:w="0" w:type="dxa"/>
              <w:left w:w="115" w:type="dxa"/>
              <w:bottom w:w="0" w:type="dxa"/>
              <w:right w:w="115" w:type="dxa"/>
            </w:tcMar>
            <w:vAlign w:val="center"/>
            <w:hideMark/>
          </w:tcPr>
          <w:p w14:paraId="6F1A99E3"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A8E938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(0.0038)</w:t>
            </w:r>
          </w:p>
        </w:tc>
        <w:tc>
          <w:tcPr>
            <w:tcW w:w="0" w:type="auto"/>
            <w:tcMar>
              <w:top w:w="0" w:type="dxa"/>
              <w:left w:w="115" w:type="dxa"/>
              <w:bottom w:w="0" w:type="dxa"/>
              <w:right w:w="115" w:type="dxa"/>
            </w:tcMar>
            <w:vAlign w:val="center"/>
            <w:hideMark/>
          </w:tcPr>
          <w:p w14:paraId="7ABE517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(0.0056)</w:t>
            </w:r>
          </w:p>
        </w:tc>
        <w:tc>
          <w:tcPr>
            <w:tcW w:w="0" w:type="auto"/>
            <w:tcMar>
              <w:top w:w="0" w:type="dxa"/>
              <w:left w:w="115" w:type="dxa"/>
              <w:bottom w:w="0" w:type="dxa"/>
              <w:right w:w="115" w:type="dxa"/>
            </w:tcMar>
            <w:vAlign w:val="center"/>
            <w:hideMark/>
          </w:tcPr>
          <w:p w14:paraId="724867F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(0.0008)</w:t>
            </w:r>
          </w:p>
        </w:tc>
        <w:tc>
          <w:tcPr>
            <w:tcW w:w="0" w:type="auto"/>
            <w:tcMar>
              <w:top w:w="0" w:type="dxa"/>
              <w:left w:w="115" w:type="dxa"/>
              <w:bottom w:w="0" w:type="dxa"/>
              <w:right w:w="115" w:type="dxa"/>
            </w:tcMar>
            <w:vAlign w:val="center"/>
            <w:hideMark/>
          </w:tcPr>
          <w:p w14:paraId="5EC98D3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(0.0014)</w:t>
            </w:r>
          </w:p>
        </w:tc>
        <w:tc>
          <w:tcPr>
            <w:tcW w:w="0" w:type="auto"/>
            <w:tcMar>
              <w:top w:w="0" w:type="dxa"/>
              <w:left w:w="115" w:type="dxa"/>
              <w:bottom w:w="0" w:type="dxa"/>
              <w:right w:w="115" w:type="dxa"/>
            </w:tcMar>
            <w:vAlign w:val="center"/>
            <w:hideMark/>
          </w:tcPr>
          <w:p w14:paraId="753AE45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(0.0006)</w:t>
            </w:r>
          </w:p>
        </w:tc>
        <w:tc>
          <w:tcPr>
            <w:tcW w:w="0" w:type="auto"/>
            <w:tcMar>
              <w:top w:w="0" w:type="dxa"/>
              <w:left w:w="115" w:type="dxa"/>
              <w:bottom w:w="0" w:type="dxa"/>
              <w:right w:w="115" w:type="dxa"/>
            </w:tcMar>
            <w:vAlign w:val="center"/>
            <w:hideMark/>
          </w:tcPr>
          <w:p w14:paraId="6F561539" w14:textId="77777777" w:rsidR="00C033B5" w:rsidRPr="00746567" w:rsidRDefault="00C033B5" w:rsidP="00C033B5">
            <w:pPr>
              <w:rPr>
                <w:rFonts w:asciiTheme="majorBidi" w:hAnsiTheme="majorBidi" w:cstheme="majorBidi"/>
              </w:rPr>
            </w:pPr>
            <w:r w:rsidRPr="00746567">
              <w:rPr>
                <w:rFonts w:asciiTheme="majorBidi" w:hAnsiTheme="majorBidi" w:cstheme="majorBidi"/>
              </w:rPr>
              <w:t>(0.0107)</w:t>
            </w:r>
          </w:p>
        </w:tc>
        <w:tc>
          <w:tcPr>
            <w:tcW w:w="0" w:type="auto"/>
            <w:tcMar>
              <w:top w:w="0" w:type="dxa"/>
              <w:left w:w="115" w:type="dxa"/>
              <w:bottom w:w="0" w:type="dxa"/>
              <w:right w:w="115" w:type="dxa"/>
            </w:tcMar>
            <w:vAlign w:val="center"/>
            <w:hideMark/>
          </w:tcPr>
          <w:p w14:paraId="54791A3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(0.0005)</w:t>
            </w:r>
          </w:p>
        </w:tc>
        <w:tc>
          <w:tcPr>
            <w:tcW w:w="0" w:type="auto"/>
            <w:tcMar>
              <w:top w:w="0" w:type="dxa"/>
              <w:left w:w="115" w:type="dxa"/>
              <w:bottom w:w="0" w:type="dxa"/>
              <w:right w:w="115" w:type="dxa"/>
            </w:tcMar>
            <w:vAlign w:val="center"/>
            <w:hideMark/>
          </w:tcPr>
          <w:p w14:paraId="44EFF9EA" w14:textId="77777777" w:rsidR="00C033B5" w:rsidRPr="00746567" w:rsidRDefault="00C033B5" w:rsidP="00C033B5">
            <w:pPr>
              <w:rPr>
                <w:rFonts w:asciiTheme="majorBidi" w:hAnsiTheme="majorBidi" w:cstheme="majorBidi"/>
              </w:rPr>
            </w:pPr>
            <w:r w:rsidRPr="00746567">
              <w:rPr>
                <w:rFonts w:asciiTheme="majorBidi" w:hAnsiTheme="majorBidi" w:cstheme="majorBidi"/>
              </w:rPr>
              <w:t>(0.0103)</w:t>
            </w:r>
          </w:p>
        </w:tc>
      </w:tr>
      <w:tr w:rsidR="00C033B5" w:rsidRPr="00746567" w14:paraId="73846755" w14:textId="77777777">
        <w:trPr>
          <w:trHeight w:val="20"/>
        </w:trPr>
        <w:tc>
          <w:tcPr>
            <w:tcW w:w="0" w:type="auto"/>
            <w:tcMar>
              <w:top w:w="0" w:type="dxa"/>
              <w:left w:w="115" w:type="dxa"/>
              <w:bottom w:w="0" w:type="dxa"/>
              <w:right w:w="115" w:type="dxa"/>
            </w:tcMar>
            <w:vAlign w:val="center"/>
            <w:hideMark/>
          </w:tcPr>
          <w:p w14:paraId="27D09931" w14:textId="77777777" w:rsidR="00C033B5" w:rsidRPr="00746567" w:rsidRDefault="00C033B5" w:rsidP="00C033B5">
            <w:pPr>
              <w:rPr>
                <w:rFonts w:asciiTheme="majorBidi" w:hAnsiTheme="majorBidi" w:cstheme="majorBidi"/>
              </w:rPr>
            </w:pPr>
            <w:r w:rsidRPr="00746567">
              <w:rPr>
                <w:rFonts w:asciiTheme="majorBidi" w:hAnsiTheme="majorBidi" w:cstheme="majorBidi"/>
              </w:rPr>
              <w:t>Pawnbroking Loan</w:t>
            </w:r>
          </w:p>
        </w:tc>
        <w:tc>
          <w:tcPr>
            <w:tcW w:w="0" w:type="auto"/>
            <w:tcMar>
              <w:top w:w="0" w:type="dxa"/>
              <w:left w:w="115" w:type="dxa"/>
              <w:bottom w:w="0" w:type="dxa"/>
              <w:right w:w="115" w:type="dxa"/>
            </w:tcMar>
            <w:vAlign w:val="center"/>
            <w:hideMark/>
          </w:tcPr>
          <w:p w14:paraId="0891AC0B" w14:textId="77777777" w:rsidR="00C033B5" w:rsidRPr="00746567" w:rsidRDefault="00C033B5" w:rsidP="00C033B5">
            <w:pPr>
              <w:rPr>
                <w:rFonts w:asciiTheme="majorBidi" w:hAnsiTheme="majorBidi" w:cstheme="majorBidi"/>
              </w:rPr>
            </w:pPr>
            <w:r w:rsidRPr="00746567">
              <w:rPr>
                <w:rFonts w:asciiTheme="majorBidi" w:hAnsiTheme="majorBidi" w:cstheme="majorBidi"/>
              </w:rPr>
              <w:t>0.0131***</w:t>
            </w:r>
          </w:p>
        </w:tc>
        <w:tc>
          <w:tcPr>
            <w:tcW w:w="0" w:type="auto"/>
            <w:tcMar>
              <w:top w:w="0" w:type="dxa"/>
              <w:left w:w="115" w:type="dxa"/>
              <w:bottom w:w="0" w:type="dxa"/>
              <w:right w:w="115" w:type="dxa"/>
            </w:tcMar>
            <w:vAlign w:val="center"/>
            <w:hideMark/>
          </w:tcPr>
          <w:p w14:paraId="5781E129" w14:textId="77777777" w:rsidR="00C033B5" w:rsidRPr="00746567" w:rsidRDefault="00C033B5" w:rsidP="00C033B5">
            <w:pPr>
              <w:rPr>
                <w:rFonts w:asciiTheme="majorBidi" w:hAnsiTheme="majorBidi" w:cstheme="majorBidi"/>
              </w:rPr>
            </w:pPr>
            <w:r w:rsidRPr="00746567">
              <w:rPr>
                <w:rFonts w:asciiTheme="majorBidi" w:hAnsiTheme="majorBidi" w:cstheme="majorBidi"/>
              </w:rPr>
              <w:t>-0.1038***</w:t>
            </w:r>
          </w:p>
        </w:tc>
        <w:tc>
          <w:tcPr>
            <w:tcW w:w="0" w:type="auto"/>
            <w:tcMar>
              <w:top w:w="0" w:type="dxa"/>
              <w:left w:w="115" w:type="dxa"/>
              <w:bottom w:w="0" w:type="dxa"/>
              <w:right w:w="115" w:type="dxa"/>
            </w:tcMar>
            <w:vAlign w:val="center"/>
            <w:hideMark/>
          </w:tcPr>
          <w:p w14:paraId="2CA7C075" w14:textId="77777777" w:rsidR="00C033B5" w:rsidRPr="00746567" w:rsidRDefault="00C033B5" w:rsidP="00C033B5">
            <w:pPr>
              <w:rPr>
                <w:rFonts w:asciiTheme="majorBidi" w:hAnsiTheme="majorBidi" w:cstheme="majorBidi"/>
              </w:rPr>
            </w:pPr>
            <w:r w:rsidRPr="00746567">
              <w:rPr>
                <w:rFonts w:asciiTheme="majorBidi" w:hAnsiTheme="majorBidi" w:cstheme="majorBidi"/>
              </w:rPr>
              <w:t>0.0168***</w:t>
            </w:r>
          </w:p>
        </w:tc>
        <w:tc>
          <w:tcPr>
            <w:tcW w:w="0" w:type="auto"/>
            <w:tcMar>
              <w:top w:w="0" w:type="dxa"/>
              <w:left w:w="115" w:type="dxa"/>
              <w:bottom w:w="0" w:type="dxa"/>
              <w:right w:w="115" w:type="dxa"/>
            </w:tcMar>
            <w:vAlign w:val="center"/>
            <w:hideMark/>
          </w:tcPr>
          <w:p w14:paraId="3A8F04D2" w14:textId="77777777" w:rsidR="00C033B5" w:rsidRPr="00746567" w:rsidRDefault="00C033B5" w:rsidP="00C033B5">
            <w:pPr>
              <w:rPr>
                <w:rFonts w:asciiTheme="majorBidi" w:hAnsiTheme="majorBidi" w:cstheme="majorBidi"/>
              </w:rPr>
            </w:pPr>
            <w:r w:rsidRPr="00746567">
              <w:rPr>
                <w:rFonts w:asciiTheme="majorBidi" w:hAnsiTheme="majorBidi" w:cstheme="majorBidi"/>
              </w:rPr>
              <w:t>-0.0869***</w:t>
            </w:r>
          </w:p>
        </w:tc>
        <w:tc>
          <w:tcPr>
            <w:tcW w:w="0" w:type="auto"/>
            <w:tcMar>
              <w:top w:w="0" w:type="dxa"/>
              <w:left w:w="115" w:type="dxa"/>
              <w:bottom w:w="0" w:type="dxa"/>
              <w:right w:w="115" w:type="dxa"/>
            </w:tcMar>
            <w:vAlign w:val="center"/>
            <w:hideMark/>
          </w:tcPr>
          <w:p w14:paraId="1BB8CE9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-0.0014***</w:t>
            </w:r>
          </w:p>
        </w:tc>
        <w:tc>
          <w:tcPr>
            <w:tcW w:w="0" w:type="auto"/>
            <w:tcMar>
              <w:top w:w="0" w:type="dxa"/>
              <w:left w:w="115" w:type="dxa"/>
              <w:bottom w:w="0" w:type="dxa"/>
              <w:right w:w="115" w:type="dxa"/>
            </w:tcMar>
            <w:vAlign w:val="center"/>
            <w:hideMark/>
          </w:tcPr>
          <w:p w14:paraId="1BDA830D" w14:textId="77777777" w:rsidR="00C033B5" w:rsidRPr="00746567" w:rsidRDefault="00C033B5" w:rsidP="00C033B5">
            <w:pPr>
              <w:rPr>
                <w:rFonts w:asciiTheme="majorBidi" w:hAnsiTheme="majorBidi" w:cstheme="majorBidi"/>
              </w:rPr>
            </w:pPr>
            <w:r w:rsidRPr="00746567">
              <w:rPr>
                <w:rFonts w:asciiTheme="majorBidi" w:hAnsiTheme="majorBidi" w:cstheme="majorBidi"/>
              </w:rPr>
              <w:t>-0.1664***</w:t>
            </w:r>
          </w:p>
        </w:tc>
        <w:tc>
          <w:tcPr>
            <w:tcW w:w="0" w:type="auto"/>
            <w:tcMar>
              <w:top w:w="0" w:type="dxa"/>
              <w:left w:w="115" w:type="dxa"/>
              <w:bottom w:w="0" w:type="dxa"/>
              <w:right w:w="115" w:type="dxa"/>
            </w:tcMar>
            <w:vAlign w:val="center"/>
            <w:hideMark/>
          </w:tcPr>
          <w:p w14:paraId="28E2376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-0.0009***</w:t>
            </w:r>
          </w:p>
        </w:tc>
        <w:tc>
          <w:tcPr>
            <w:tcW w:w="0" w:type="auto"/>
            <w:tcMar>
              <w:top w:w="0" w:type="dxa"/>
              <w:left w:w="115" w:type="dxa"/>
              <w:bottom w:w="0" w:type="dxa"/>
              <w:right w:w="115" w:type="dxa"/>
            </w:tcMar>
            <w:vAlign w:val="center"/>
            <w:hideMark/>
          </w:tcPr>
          <w:p w14:paraId="09754929" w14:textId="77777777" w:rsidR="00C033B5" w:rsidRPr="00746567" w:rsidRDefault="00C033B5" w:rsidP="00C033B5">
            <w:pPr>
              <w:rPr>
                <w:rFonts w:asciiTheme="majorBidi" w:hAnsiTheme="majorBidi" w:cstheme="majorBidi"/>
              </w:rPr>
            </w:pPr>
            <w:r w:rsidRPr="00746567">
              <w:rPr>
                <w:rFonts w:asciiTheme="majorBidi" w:hAnsiTheme="majorBidi" w:cstheme="majorBidi"/>
              </w:rPr>
              <w:t>-0.0978***</w:t>
            </w:r>
          </w:p>
        </w:tc>
      </w:tr>
      <w:tr w:rsidR="00C033B5" w:rsidRPr="00746567" w14:paraId="3200E76B" w14:textId="77777777">
        <w:trPr>
          <w:trHeight w:val="20"/>
        </w:trPr>
        <w:tc>
          <w:tcPr>
            <w:tcW w:w="0" w:type="auto"/>
            <w:tcMar>
              <w:top w:w="0" w:type="dxa"/>
              <w:left w:w="115" w:type="dxa"/>
              <w:bottom w:w="0" w:type="dxa"/>
              <w:right w:w="115" w:type="dxa"/>
            </w:tcMar>
            <w:vAlign w:val="center"/>
            <w:hideMark/>
          </w:tcPr>
          <w:p w14:paraId="397D25F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127030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(0.0028)</w:t>
            </w:r>
          </w:p>
        </w:tc>
        <w:tc>
          <w:tcPr>
            <w:tcW w:w="0" w:type="auto"/>
            <w:tcMar>
              <w:top w:w="0" w:type="dxa"/>
              <w:left w:w="115" w:type="dxa"/>
              <w:bottom w:w="0" w:type="dxa"/>
              <w:right w:w="115" w:type="dxa"/>
            </w:tcMar>
            <w:vAlign w:val="center"/>
            <w:hideMark/>
          </w:tcPr>
          <w:p w14:paraId="20AAD14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(0.0013)</w:t>
            </w:r>
          </w:p>
        </w:tc>
        <w:tc>
          <w:tcPr>
            <w:tcW w:w="0" w:type="auto"/>
            <w:tcMar>
              <w:top w:w="0" w:type="dxa"/>
              <w:left w:w="115" w:type="dxa"/>
              <w:bottom w:w="0" w:type="dxa"/>
              <w:right w:w="115" w:type="dxa"/>
            </w:tcMar>
            <w:vAlign w:val="center"/>
            <w:hideMark/>
          </w:tcPr>
          <w:p w14:paraId="542C103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(0.0013)</w:t>
            </w:r>
          </w:p>
        </w:tc>
        <w:tc>
          <w:tcPr>
            <w:tcW w:w="0" w:type="auto"/>
            <w:tcMar>
              <w:top w:w="0" w:type="dxa"/>
              <w:left w:w="115" w:type="dxa"/>
              <w:bottom w:w="0" w:type="dxa"/>
              <w:right w:w="115" w:type="dxa"/>
            </w:tcMar>
            <w:vAlign w:val="center"/>
            <w:hideMark/>
          </w:tcPr>
          <w:p w14:paraId="39773CB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(0.0007)</w:t>
            </w:r>
          </w:p>
        </w:tc>
        <w:tc>
          <w:tcPr>
            <w:tcW w:w="0" w:type="auto"/>
            <w:tcMar>
              <w:top w:w="0" w:type="dxa"/>
              <w:left w:w="115" w:type="dxa"/>
              <w:bottom w:w="0" w:type="dxa"/>
              <w:right w:w="115" w:type="dxa"/>
            </w:tcMar>
            <w:vAlign w:val="center"/>
            <w:hideMark/>
          </w:tcPr>
          <w:p w14:paraId="2E61027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(0.0005)</w:t>
            </w:r>
          </w:p>
        </w:tc>
        <w:tc>
          <w:tcPr>
            <w:tcW w:w="0" w:type="auto"/>
            <w:tcMar>
              <w:top w:w="0" w:type="dxa"/>
              <w:left w:w="115" w:type="dxa"/>
              <w:bottom w:w="0" w:type="dxa"/>
              <w:right w:w="115" w:type="dxa"/>
            </w:tcMar>
            <w:vAlign w:val="center"/>
            <w:hideMark/>
          </w:tcPr>
          <w:p w14:paraId="5AA740E0" w14:textId="77777777" w:rsidR="00C033B5" w:rsidRPr="00746567" w:rsidRDefault="00C033B5" w:rsidP="00C033B5">
            <w:pPr>
              <w:rPr>
                <w:rFonts w:asciiTheme="majorBidi" w:hAnsiTheme="majorBidi" w:cstheme="majorBidi"/>
              </w:rPr>
            </w:pPr>
            <w:r w:rsidRPr="00746567">
              <w:rPr>
                <w:rFonts w:asciiTheme="majorBidi" w:hAnsiTheme="majorBidi" w:cstheme="majorBidi"/>
              </w:rPr>
              <w:t>(0.0190)</w:t>
            </w:r>
          </w:p>
        </w:tc>
        <w:tc>
          <w:tcPr>
            <w:tcW w:w="0" w:type="auto"/>
            <w:tcMar>
              <w:top w:w="0" w:type="dxa"/>
              <w:left w:w="115" w:type="dxa"/>
              <w:bottom w:w="0" w:type="dxa"/>
              <w:right w:w="115" w:type="dxa"/>
            </w:tcMar>
            <w:vAlign w:val="center"/>
            <w:hideMark/>
          </w:tcPr>
          <w:p w14:paraId="5D70C86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vAlign w:val="center"/>
            <w:hideMark/>
          </w:tcPr>
          <w:p w14:paraId="4AC63C37" w14:textId="77777777" w:rsidR="00C033B5" w:rsidRPr="00746567" w:rsidRDefault="00C033B5" w:rsidP="00C033B5">
            <w:pPr>
              <w:rPr>
                <w:rFonts w:asciiTheme="majorBidi" w:hAnsiTheme="majorBidi" w:cstheme="majorBidi"/>
              </w:rPr>
            </w:pPr>
            <w:r w:rsidRPr="00746567">
              <w:rPr>
                <w:rFonts w:asciiTheme="majorBidi" w:hAnsiTheme="majorBidi" w:cstheme="majorBidi"/>
              </w:rPr>
              <w:t>(0.0244)</w:t>
            </w:r>
          </w:p>
        </w:tc>
      </w:tr>
      <w:tr w:rsidR="00C033B5" w:rsidRPr="00746567" w14:paraId="38AFBEF3" w14:textId="77777777">
        <w:trPr>
          <w:trHeight w:val="20"/>
        </w:trPr>
        <w:tc>
          <w:tcPr>
            <w:tcW w:w="0" w:type="auto"/>
            <w:tcMar>
              <w:top w:w="0" w:type="dxa"/>
              <w:left w:w="115" w:type="dxa"/>
              <w:bottom w:w="0" w:type="dxa"/>
              <w:right w:w="115" w:type="dxa"/>
            </w:tcMar>
            <w:vAlign w:val="center"/>
            <w:hideMark/>
          </w:tcPr>
          <w:p w14:paraId="67BABAC0" w14:textId="77777777" w:rsidR="00C033B5" w:rsidRPr="00746567" w:rsidRDefault="00C033B5" w:rsidP="00C033B5">
            <w:pPr>
              <w:rPr>
                <w:rFonts w:asciiTheme="majorBidi" w:hAnsiTheme="majorBidi" w:cstheme="majorBidi"/>
              </w:rPr>
            </w:pPr>
            <w:r w:rsidRPr="00746567">
              <w:rPr>
                <w:rFonts w:asciiTheme="majorBidi" w:hAnsiTheme="majorBidi" w:cstheme="majorBidi"/>
              </w:rPr>
              <w:lastRenderedPageBreak/>
              <w:t>Personal Loan</w:t>
            </w:r>
          </w:p>
        </w:tc>
        <w:tc>
          <w:tcPr>
            <w:tcW w:w="0" w:type="auto"/>
            <w:tcMar>
              <w:top w:w="0" w:type="dxa"/>
              <w:left w:w="115" w:type="dxa"/>
              <w:bottom w:w="0" w:type="dxa"/>
              <w:right w:w="115" w:type="dxa"/>
            </w:tcMar>
            <w:vAlign w:val="center"/>
            <w:hideMark/>
          </w:tcPr>
          <w:p w14:paraId="019B518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-0.0011***</w:t>
            </w:r>
          </w:p>
        </w:tc>
        <w:tc>
          <w:tcPr>
            <w:tcW w:w="0" w:type="auto"/>
            <w:tcMar>
              <w:top w:w="0" w:type="dxa"/>
              <w:left w:w="115" w:type="dxa"/>
              <w:bottom w:w="0" w:type="dxa"/>
              <w:right w:w="115" w:type="dxa"/>
            </w:tcMar>
            <w:vAlign w:val="center"/>
            <w:hideMark/>
          </w:tcPr>
          <w:p w14:paraId="3E92C86F" w14:textId="77777777" w:rsidR="00C033B5" w:rsidRPr="00746567" w:rsidRDefault="00C033B5" w:rsidP="00C033B5">
            <w:pPr>
              <w:rPr>
                <w:rFonts w:asciiTheme="majorBidi" w:hAnsiTheme="majorBidi" w:cstheme="majorBidi"/>
              </w:rPr>
            </w:pPr>
            <w:r w:rsidRPr="00746567">
              <w:rPr>
                <w:rFonts w:asciiTheme="majorBidi" w:hAnsiTheme="majorBidi" w:cstheme="majorBidi"/>
              </w:rPr>
              <w:t>-0.0299***</w:t>
            </w:r>
          </w:p>
        </w:tc>
        <w:tc>
          <w:tcPr>
            <w:tcW w:w="0" w:type="auto"/>
            <w:tcMar>
              <w:top w:w="0" w:type="dxa"/>
              <w:left w:w="115" w:type="dxa"/>
              <w:bottom w:w="0" w:type="dxa"/>
              <w:right w:w="115" w:type="dxa"/>
            </w:tcMar>
            <w:vAlign w:val="center"/>
            <w:hideMark/>
          </w:tcPr>
          <w:p w14:paraId="20202CD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-0.0013***</w:t>
            </w:r>
          </w:p>
        </w:tc>
        <w:tc>
          <w:tcPr>
            <w:tcW w:w="0" w:type="auto"/>
            <w:tcMar>
              <w:top w:w="0" w:type="dxa"/>
              <w:left w:w="115" w:type="dxa"/>
              <w:bottom w:w="0" w:type="dxa"/>
              <w:right w:w="115" w:type="dxa"/>
            </w:tcMar>
            <w:vAlign w:val="center"/>
            <w:hideMark/>
          </w:tcPr>
          <w:p w14:paraId="0D65AD65" w14:textId="77777777" w:rsidR="00C033B5" w:rsidRPr="00746567" w:rsidRDefault="00C033B5" w:rsidP="00C033B5">
            <w:pPr>
              <w:rPr>
                <w:rFonts w:asciiTheme="majorBidi" w:hAnsiTheme="majorBidi" w:cstheme="majorBidi"/>
              </w:rPr>
            </w:pPr>
            <w:r w:rsidRPr="00746567">
              <w:rPr>
                <w:rFonts w:asciiTheme="majorBidi" w:hAnsiTheme="majorBidi" w:cstheme="majorBidi"/>
              </w:rPr>
              <w:t>-0.0320***</w:t>
            </w:r>
          </w:p>
        </w:tc>
        <w:tc>
          <w:tcPr>
            <w:tcW w:w="0" w:type="auto"/>
            <w:tcMar>
              <w:top w:w="0" w:type="dxa"/>
              <w:left w:w="115" w:type="dxa"/>
              <w:bottom w:w="0" w:type="dxa"/>
              <w:right w:w="115" w:type="dxa"/>
            </w:tcMar>
            <w:vAlign w:val="center"/>
            <w:hideMark/>
          </w:tcPr>
          <w:p w14:paraId="10B9BB6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0.0003**</w:t>
            </w:r>
          </w:p>
        </w:tc>
        <w:tc>
          <w:tcPr>
            <w:tcW w:w="0" w:type="auto"/>
            <w:tcMar>
              <w:top w:w="0" w:type="dxa"/>
              <w:left w:w="115" w:type="dxa"/>
              <w:bottom w:w="0" w:type="dxa"/>
              <w:right w:w="115" w:type="dxa"/>
            </w:tcMar>
            <w:vAlign w:val="center"/>
            <w:hideMark/>
          </w:tcPr>
          <w:p w14:paraId="40566137" w14:textId="77777777" w:rsidR="00C033B5" w:rsidRPr="00746567" w:rsidRDefault="00C033B5" w:rsidP="00C033B5">
            <w:pPr>
              <w:rPr>
                <w:rFonts w:asciiTheme="majorBidi" w:hAnsiTheme="majorBidi" w:cstheme="majorBidi"/>
              </w:rPr>
            </w:pPr>
            <w:r w:rsidRPr="00746567">
              <w:rPr>
                <w:rFonts w:asciiTheme="majorBidi" w:hAnsiTheme="majorBidi" w:cstheme="majorBidi"/>
              </w:rPr>
              <w:t>0.0560***</w:t>
            </w:r>
          </w:p>
        </w:tc>
        <w:tc>
          <w:tcPr>
            <w:tcW w:w="0" w:type="auto"/>
            <w:tcMar>
              <w:top w:w="0" w:type="dxa"/>
              <w:left w:w="115" w:type="dxa"/>
              <w:bottom w:w="0" w:type="dxa"/>
              <w:right w:w="115" w:type="dxa"/>
            </w:tcMar>
            <w:vAlign w:val="center"/>
            <w:hideMark/>
          </w:tcPr>
          <w:p w14:paraId="4CDC40D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-0.0004***</w:t>
            </w:r>
          </w:p>
        </w:tc>
        <w:tc>
          <w:tcPr>
            <w:tcW w:w="0" w:type="auto"/>
            <w:tcMar>
              <w:top w:w="0" w:type="dxa"/>
              <w:left w:w="115" w:type="dxa"/>
              <w:bottom w:w="0" w:type="dxa"/>
              <w:right w:w="115" w:type="dxa"/>
            </w:tcMar>
            <w:vAlign w:val="center"/>
            <w:hideMark/>
          </w:tcPr>
          <w:p w14:paraId="38AF507E" w14:textId="77777777" w:rsidR="00C033B5" w:rsidRPr="00746567" w:rsidRDefault="00C033B5" w:rsidP="00C033B5">
            <w:pPr>
              <w:rPr>
                <w:rFonts w:asciiTheme="majorBidi" w:hAnsiTheme="majorBidi" w:cstheme="majorBidi"/>
              </w:rPr>
            </w:pPr>
            <w:r w:rsidRPr="00746567">
              <w:rPr>
                <w:rFonts w:asciiTheme="majorBidi" w:hAnsiTheme="majorBidi" w:cstheme="majorBidi"/>
              </w:rPr>
              <w:t>0.0583***</w:t>
            </w:r>
          </w:p>
        </w:tc>
      </w:tr>
      <w:tr w:rsidR="00C033B5" w:rsidRPr="00746567" w14:paraId="3A561332" w14:textId="77777777">
        <w:trPr>
          <w:trHeight w:val="20"/>
        </w:trPr>
        <w:tc>
          <w:tcPr>
            <w:tcW w:w="0" w:type="auto"/>
            <w:tcMar>
              <w:top w:w="0" w:type="dxa"/>
              <w:left w:w="115" w:type="dxa"/>
              <w:bottom w:w="0" w:type="dxa"/>
              <w:right w:w="115" w:type="dxa"/>
            </w:tcMar>
            <w:vAlign w:val="center"/>
            <w:hideMark/>
          </w:tcPr>
          <w:p w14:paraId="493D4D9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FD56C9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49B4EB6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3CB7878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67D6962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2E4BA07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vAlign w:val="center"/>
            <w:hideMark/>
          </w:tcPr>
          <w:p w14:paraId="26582C4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(0.0038)</w:t>
            </w:r>
          </w:p>
        </w:tc>
        <w:tc>
          <w:tcPr>
            <w:tcW w:w="0" w:type="auto"/>
            <w:tcMar>
              <w:top w:w="0" w:type="dxa"/>
              <w:left w:w="115" w:type="dxa"/>
              <w:bottom w:w="0" w:type="dxa"/>
              <w:right w:w="115" w:type="dxa"/>
            </w:tcMar>
            <w:vAlign w:val="center"/>
            <w:hideMark/>
          </w:tcPr>
          <w:p w14:paraId="1FA7965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7B3EFBF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(0.0034)</w:t>
            </w:r>
          </w:p>
        </w:tc>
      </w:tr>
      <w:tr w:rsidR="00C033B5" w:rsidRPr="00746567" w14:paraId="66CB3B2E" w14:textId="77777777">
        <w:trPr>
          <w:trHeight w:val="20"/>
        </w:trPr>
        <w:tc>
          <w:tcPr>
            <w:tcW w:w="0" w:type="auto"/>
            <w:tcMar>
              <w:top w:w="0" w:type="dxa"/>
              <w:left w:w="115" w:type="dxa"/>
              <w:bottom w:w="0" w:type="dxa"/>
              <w:right w:w="115" w:type="dxa"/>
            </w:tcMar>
            <w:vAlign w:val="center"/>
            <w:hideMark/>
          </w:tcPr>
          <w:p w14:paraId="132B296D" w14:textId="77777777" w:rsidR="00C033B5" w:rsidRPr="00746567" w:rsidRDefault="00C033B5" w:rsidP="00C033B5">
            <w:pPr>
              <w:rPr>
                <w:rFonts w:asciiTheme="majorBidi" w:hAnsiTheme="majorBidi" w:cstheme="majorBidi"/>
              </w:rPr>
            </w:pPr>
            <w:r w:rsidRPr="00746567">
              <w:rPr>
                <w:rFonts w:asciiTheme="majorBidi" w:hAnsiTheme="majorBidi" w:cstheme="majorBidi"/>
              </w:rPr>
              <w:t>Age</w:t>
            </w:r>
          </w:p>
        </w:tc>
        <w:tc>
          <w:tcPr>
            <w:tcW w:w="0" w:type="auto"/>
            <w:tcMar>
              <w:top w:w="0" w:type="dxa"/>
              <w:left w:w="115" w:type="dxa"/>
              <w:bottom w:w="0" w:type="dxa"/>
              <w:right w:w="115" w:type="dxa"/>
            </w:tcMar>
            <w:vAlign w:val="center"/>
            <w:hideMark/>
          </w:tcPr>
          <w:p w14:paraId="79E1004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-0.0018***</w:t>
            </w:r>
          </w:p>
        </w:tc>
        <w:tc>
          <w:tcPr>
            <w:tcW w:w="0" w:type="auto"/>
            <w:tcMar>
              <w:top w:w="0" w:type="dxa"/>
              <w:left w:w="115" w:type="dxa"/>
              <w:bottom w:w="0" w:type="dxa"/>
              <w:right w:w="115" w:type="dxa"/>
            </w:tcMar>
            <w:vAlign w:val="center"/>
            <w:hideMark/>
          </w:tcPr>
          <w:p w14:paraId="47D4A126" w14:textId="77777777" w:rsidR="00C033B5" w:rsidRPr="00746567" w:rsidRDefault="00C033B5" w:rsidP="00C033B5">
            <w:pPr>
              <w:rPr>
                <w:rFonts w:asciiTheme="majorBidi" w:hAnsiTheme="majorBidi" w:cstheme="majorBidi"/>
              </w:rPr>
            </w:pPr>
            <w:r w:rsidRPr="00746567">
              <w:rPr>
                <w:rFonts w:asciiTheme="majorBidi" w:hAnsiTheme="majorBidi" w:cstheme="majorBidi"/>
              </w:rPr>
              <w:t>-0.0135***</w:t>
            </w:r>
          </w:p>
        </w:tc>
        <w:tc>
          <w:tcPr>
            <w:tcW w:w="0" w:type="auto"/>
            <w:tcMar>
              <w:top w:w="0" w:type="dxa"/>
              <w:left w:w="115" w:type="dxa"/>
              <w:bottom w:w="0" w:type="dxa"/>
              <w:right w:w="115" w:type="dxa"/>
            </w:tcMar>
            <w:vAlign w:val="center"/>
            <w:hideMark/>
          </w:tcPr>
          <w:p w14:paraId="4337044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-0.0018***</w:t>
            </w:r>
          </w:p>
        </w:tc>
        <w:tc>
          <w:tcPr>
            <w:tcW w:w="0" w:type="auto"/>
            <w:tcMar>
              <w:top w:w="0" w:type="dxa"/>
              <w:left w:w="115" w:type="dxa"/>
              <w:bottom w:w="0" w:type="dxa"/>
              <w:right w:w="115" w:type="dxa"/>
            </w:tcMar>
            <w:vAlign w:val="center"/>
            <w:hideMark/>
          </w:tcPr>
          <w:p w14:paraId="30ACBB1E" w14:textId="77777777" w:rsidR="00C033B5" w:rsidRPr="00746567" w:rsidRDefault="00C033B5" w:rsidP="00C033B5">
            <w:pPr>
              <w:rPr>
                <w:rFonts w:asciiTheme="majorBidi" w:hAnsiTheme="majorBidi" w:cstheme="majorBidi"/>
              </w:rPr>
            </w:pPr>
            <w:r w:rsidRPr="00746567">
              <w:rPr>
                <w:rFonts w:asciiTheme="majorBidi" w:hAnsiTheme="majorBidi" w:cstheme="majorBidi"/>
              </w:rPr>
              <w:t>-0.0112***</w:t>
            </w:r>
          </w:p>
        </w:tc>
        <w:tc>
          <w:tcPr>
            <w:tcW w:w="0" w:type="auto"/>
            <w:tcMar>
              <w:top w:w="0" w:type="dxa"/>
              <w:left w:w="115" w:type="dxa"/>
              <w:bottom w:w="0" w:type="dxa"/>
              <w:right w:w="115" w:type="dxa"/>
            </w:tcMar>
            <w:vAlign w:val="center"/>
            <w:hideMark/>
          </w:tcPr>
          <w:p w14:paraId="6D9329C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-0.0014***</w:t>
            </w:r>
          </w:p>
        </w:tc>
        <w:tc>
          <w:tcPr>
            <w:tcW w:w="0" w:type="auto"/>
            <w:tcMar>
              <w:top w:w="0" w:type="dxa"/>
              <w:left w:w="115" w:type="dxa"/>
              <w:bottom w:w="0" w:type="dxa"/>
              <w:right w:w="115" w:type="dxa"/>
            </w:tcMar>
            <w:vAlign w:val="center"/>
            <w:hideMark/>
          </w:tcPr>
          <w:p w14:paraId="41B62310" w14:textId="77777777" w:rsidR="00C033B5" w:rsidRPr="00746567" w:rsidRDefault="00C033B5" w:rsidP="00C033B5">
            <w:pPr>
              <w:rPr>
                <w:rFonts w:asciiTheme="majorBidi" w:hAnsiTheme="majorBidi" w:cstheme="majorBidi"/>
              </w:rPr>
            </w:pPr>
            <w:r w:rsidRPr="00746567">
              <w:rPr>
                <w:rFonts w:asciiTheme="majorBidi" w:hAnsiTheme="majorBidi" w:cstheme="majorBidi"/>
              </w:rPr>
              <w:t>-0.0166***</w:t>
            </w:r>
          </w:p>
        </w:tc>
        <w:tc>
          <w:tcPr>
            <w:tcW w:w="0" w:type="auto"/>
            <w:tcMar>
              <w:top w:w="0" w:type="dxa"/>
              <w:left w:w="115" w:type="dxa"/>
              <w:bottom w:w="0" w:type="dxa"/>
              <w:right w:w="115" w:type="dxa"/>
            </w:tcMar>
            <w:vAlign w:val="center"/>
            <w:hideMark/>
          </w:tcPr>
          <w:p w14:paraId="036BF52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5FA8B8E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-0.0082***</w:t>
            </w:r>
          </w:p>
        </w:tc>
      </w:tr>
      <w:tr w:rsidR="00C033B5" w:rsidRPr="00746567" w14:paraId="38BC7094" w14:textId="77777777">
        <w:trPr>
          <w:trHeight w:val="20"/>
        </w:trPr>
        <w:tc>
          <w:tcPr>
            <w:tcW w:w="0" w:type="auto"/>
            <w:tcMar>
              <w:top w:w="0" w:type="dxa"/>
              <w:left w:w="115" w:type="dxa"/>
              <w:bottom w:w="0" w:type="dxa"/>
              <w:right w:w="115" w:type="dxa"/>
            </w:tcMar>
            <w:vAlign w:val="center"/>
            <w:hideMark/>
          </w:tcPr>
          <w:p w14:paraId="1DAA40CF"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7850AA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35F6B77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54E9CB7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282F6FA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3EDAD77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vAlign w:val="center"/>
            <w:hideMark/>
          </w:tcPr>
          <w:p w14:paraId="6C89F2B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(0.0033)</w:t>
            </w:r>
          </w:p>
        </w:tc>
        <w:tc>
          <w:tcPr>
            <w:tcW w:w="0" w:type="auto"/>
            <w:tcMar>
              <w:top w:w="0" w:type="dxa"/>
              <w:left w:w="115" w:type="dxa"/>
              <w:bottom w:w="0" w:type="dxa"/>
              <w:right w:w="115" w:type="dxa"/>
            </w:tcMar>
            <w:vAlign w:val="center"/>
            <w:hideMark/>
          </w:tcPr>
          <w:p w14:paraId="0331063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0AC8143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(0.0033)</w:t>
            </w:r>
          </w:p>
        </w:tc>
      </w:tr>
      <w:tr w:rsidR="00C033B5" w:rsidRPr="00746567" w14:paraId="2C3F69BD" w14:textId="77777777">
        <w:trPr>
          <w:trHeight w:val="20"/>
        </w:trPr>
        <w:tc>
          <w:tcPr>
            <w:tcW w:w="0" w:type="auto"/>
            <w:tcMar>
              <w:top w:w="0" w:type="dxa"/>
              <w:left w:w="115" w:type="dxa"/>
              <w:bottom w:w="0" w:type="dxa"/>
              <w:right w:w="115" w:type="dxa"/>
            </w:tcMar>
            <w:vAlign w:val="center"/>
            <w:hideMark/>
          </w:tcPr>
          <w:p w14:paraId="3037AC22"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Loanport</w:t>
            </w:r>
            <w:proofErr w:type="spellEnd"/>
          </w:p>
        </w:tc>
        <w:tc>
          <w:tcPr>
            <w:tcW w:w="0" w:type="auto"/>
            <w:tcMar>
              <w:top w:w="0" w:type="dxa"/>
              <w:left w:w="115" w:type="dxa"/>
              <w:bottom w:w="0" w:type="dxa"/>
              <w:right w:w="115" w:type="dxa"/>
            </w:tcMar>
            <w:vAlign w:val="center"/>
            <w:hideMark/>
          </w:tcPr>
          <w:p w14:paraId="62D35EC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-0.0015***</w:t>
            </w:r>
          </w:p>
        </w:tc>
        <w:tc>
          <w:tcPr>
            <w:tcW w:w="0" w:type="auto"/>
            <w:tcMar>
              <w:top w:w="0" w:type="dxa"/>
              <w:left w:w="115" w:type="dxa"/>
              <w:bottom w:w="0" w:type="dxa"/>
              <w:right w:w="115" w:type="dxa"/>
            </w:tcMar>
            <w:vAlign w:val="center"/>
            <w:hideMark/>
          </w:tcPr>
          <w:p w14:paraId="61E6FA1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-0.0012***</w:t>
            </w:r>
          </w:p>
        </w:tc>
        <w:tc>
          <w:tcPr>
            <w:tcW w:w="0" w:type="auto"/>
            <w:tcMar>
              <w:top w:w="0" w:type="dxa"/>
              <w:left w:w="115" w:type="dxa"/>
              <w:bottom w:w="0" w:type="dxa"/>
              <w:right w:w="115" w:type="dxa"/>
            </w:tcMar>
            <w:vAlign w:val="center"/>
            <w:hideMark/>
          </w:tcPr>
          <w:p w14:paraId="751608D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-0.0009***</w:t>
            </w:r>
          </w:p>
        </w:tc>
        <w:tc>
          <w:tcPr>
            <w:tcW w:w="0" w:type="auto"/>
            <w:tcMar>
              <w:top w:w="0" w:type="dxa"/>
              <w:left w:w="115" w:type="dxa"/>
              <w:bottom w:w="0" w:type="dxa"/>
              <w:right w:w="115" w:type="dxa"/>
            </w:tcMar>
            <w:vAlign w:val="center"/>
            <w:hideMark/>
          </w:tcPr>
          <w:p w14:paraId="695F20C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-0.0013***</w:t>
            </w:r>
          </w:p>
        </w:tc>
        <w:tc>
          <w:tcPr>
            <w:tcW w:w="0" w:type="auto"/>
            <w:tcMar>
              <w:top w:w="0" w:type="dxa"/>
              <w:left w:w="115" w:type="dxa"/>
              <w:bottom w:w="0" w:type="dxa"/>
              <w:right w:w="115" w:type="dxa"/>
            </w:tcMar>
            <w:vAlign w:val="center"/>
            <w:hideMark/>
          </w:tcPr>
          <w:p w14:paraId="0179ADD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340EDD6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394FCEF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0.0003***</w:t>
            </w:r>
          </w:p>
        </w:tc>
        <w:tc>
          <w:tcPr>
            <w:tcW w:w="0" w:type="auto"/>
            <w:tcMar>
              <w:top w:w="0" w:type="dxa"/>
              <w:left w:w="115" w:type="dxa"/>
              <w:bottom w:w="0" w:type="dxa"/>
              <w:right w:w="115" w:type="dxa"/>
            </w:tcMar>
            <w:vAlign w:val="center"/>
            <w:hideMark/>
          </w:tcPr>
          <w:p w14:paraId="45C4DC2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r>
      <w:tr w:rsidR="00C033B5" w:rsidRPr="00746567" w14:paraId="4F575A6B" w14:textId="77777777">
        <w:trPr>
          <w:trHeight w:val="20"/>
        </w:trPr>
        <w:tc>
          <w:tcPr>
            <w:tcW w:w="0" w:type="auto"/>
            <w:tcMar>
              <w:top w:w="0" w:type="dxa"/>
              <w:left w:w="115" w:type="dxa"/>
              <w:bottom w:w="0" w:type="dxa"/>
              <w:right w:w="115" w:type="dxa"/>
            </w:tcMar>
            <w:vAlign w:val="center"/>
            <w:hideMark/>
          </w:tcPr>
          <w:p w14:paraId="17C844C4"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902C32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7A05B8F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489590B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2CDD336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3D0A442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4DE61D9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1009AF8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5EA0869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r>
      <w:tr w:rsidR="00C033B5" w:rsidRPr="00746567" w14:paraId="5D3331FA" w14:textId="77777777">
        <w:trPr>
          <w:trHeight w:val="20"/>
        </w:trPr>
        <w:tc>
          <w:tcPr>
            <w:tcW w:w="0" w:type="auto"/>
            <w:tcMar>
              <w:top w:w="0" w:type="dxa"/>
              <w:left w:w="115" w:type="dxa"/>
              <w:bottom w:w="0" w:type="dxa"/>
              <w:right w:w="115" w:type="dxa"/>
            </w:tcMar>
            <w:vAlign w:val="center"/>
            <w:hideMark/>
          </w:tcPr>
          <w:p w14:paraId="65348A5E"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Loanport</w:t>
            </w:r>
            <w:proofErr w:type="spellEnd"/>
            <w:r w:rsidRPr="00746567">
              <w:rPr>
                <w:rFonts w:asciiTheme="majorBidi" w:hAnsiTheme="majorBidi" w:cstheme="majorBidi"/>
              </w:rPr>
              <w:t xml:space="preserve"> × </w:t>
            </w:r>
            <w:proofErr w:type="spellStart"/>
            <w:r w:rsidRPr="00746567">
              <w:rPr>
                <w:rFonts w:asciiTheme="majorBidi" w:hAnsiTheme="majorBidi" w:cstheme="majorBidi"/>
              </w:rPr>
              <w:t>Loanport</w:t>
            </w:r>
            <w:proofErr w:type="spellEnd"/>
          </w:p>
        </w:tc>
        <w:tc>
          <w:tcPr>
            <w:tcW w:w="0" w:type="auto"/>
            <w:tcMar>
              <w:top w:w="0" w:type="dxa"/>
              <w:left w:w="115" w:type="dxa"/>
              <w:bottom w:w="0" w:type="dxa"/>
              <w:right w:w="115" w:type="dxa"/>
            </w:tcMar>
            <w:vAlign w:val="center"/>
            <w:hideMark/>
          </w:tcPr>
          <w:p w14:paraId="2BAD2DA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0.0033***</w:t>
            </w:r>
          </w:p>
        </w:tc>
        <w:tc>
          <w:tcPr>
            <w:tcW w:w="0" w:type="auto"/>
            <w:tcMar>
              <w:top w:w="0" w:type="dxa"/>
              <w:left w:w="115" w:type="dxa"/>
              <w:bottom w:w="0" w:type="dxa"/>
              <w:right w:w="115" w:type="dxa"/>
            </w:tcMar>
            <w:vAlign w:val="center"/>
            <w:hideMark/>
          </w:tcPr>
          <w:p w14:paraId="2DBC98D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-0.0016***</w:t>
            </w:r>
          </w:p>
        </w:tc>
        <w:tc>
          <w:tcPr>
            <w:tcW w:w="0" w:type="auto"/>
            <w:tcMar>
              <w:top w:w="0" w:type="dxa"/>
              <w:left w:w="115" w:type="dxa"/>
              <w:bottom w:w="0" w:type="dxa"/>
              <w:right w:w="115" w:type="dxa"/>
            </w:tcMar>
            <w:vAlign w:val="center"/>
            <w:hideMark/>
          </w:tcPr>
          <w:p w14:paraId="3741172D"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5722D85C"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6ED33868"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3827D8B4"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6BB15305"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0CCADAA9"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r>
      <w:tr w:rsidR="00C033B5" w:rsidRPr="00746567" w14:paraId="4C982E9B" w14:textId="77777777">
        <w:trPr>
          <w:trHeight w:val="20"/>
        </w:trPr>
        <w:tc>
          <w:tcPr>
            <w:tcW w:w="0" w:type="auto"/>
            <w:tcMar>
              <w:top w:w="0" w:type="dxa"/>
              <w:left w:w="115" w:type="dxa"/>
              <w:bottom w:w="0" w:type="dxa"/>
              <w:right w:w="115" w:type="dxa"/>
            </w:tcMar>
            <w:vAlign w:val="center"/>
            <w:hideMark/>
          </w:tcPr>
          <w:p w14:paraId="1011209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C1BC90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50FBBD4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649A0FCF"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55D5411"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86EB7D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A8E83C5"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8621B45"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6BD05E6" w14:textId="77777777" w:rsidR="00C033B5" w:rsidRPr="00746567" w:rsidRDefault="00C033B5" w:rsidP="00C033B5">
            <w:pPr>
              <w:rPr>
                <w:rFonts w:asciiTheme="majorBidi" w:hAnsiTheme="majorBidi" w:cstheme="majorBidi"/>
              </w:rPr>
            </w:pPr>
          </w:p>
        </w:tc>
      </w:tr>
      <w:tr w:rsidR="00C033B5" w:rsidRPr="00746567" w14:paraId="0C108A38" w14:textId="77777777">
        <w:trPr>
          <w:trHeight w:val="20"/>
        </w:trPr>
        <w:tc>
          <w:tcPr>
            <w:tcW w:w="0" w:type="auto"/>
            <w:tcMar>
              <w:top w:w="0" w:type="dxa"/>
              <w:left w:w="115" w:type="dxa"/>
              <w:bottom w:w="0" w:type="dxa"/>
              <w:right w:w="115" w:type="dxa"/>
            </w:tcMar>
            <w:vAlign w:val="center"/>
            <w:hideMark/>
          </w:tcPr>
          <w:p w14:paraId="0540D970" w14:textId="77777777" w:rsidR="00C033B5" w:rsidRPr="00746567" w:rsidRDefault="00C033B5" w:rsidP="00C033B5">
            <w:pPr>
              <w:rPr>
                <w:rFonts w:asciiTheme="majorBidi" w:hAnsiTheme="majorBidi" w:cstheme="majorBidi"/>
              </w:rPr>
            </w:pPr>
            <w:r w:rsidRPr="00746567">
              <w:rPr>
                <w:rFonts w:asciiTheme="majorBidi" w:hAnsiTheme="majorBidi" w:cstheme="majorBidi"/>
              </w:rPr>
              <w:t>Country Fixed effects</w:t>
            </w:r>
          </w:p>
        </w:tc>
        <w:tc>
          <w:tcPr>
            <w:tcW w:w="0" w:type="auto"/>
            <w:tcMar>
              <w:top w:w="0" w:type="dxa"/>
              <w:left w:w="115" w:type="dxa"/>
              <w:bottom w:w="0" w:type="dxa"/>
              <w:right w:w="115" w:type="dxa"/>
            </w:tcMar>
            <w:vAlign w:val="center"/>
            <w:hideMark/>
          </w:tcPr>
          <w:p w14:paraId="23E24B19"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c>
          <w:tcPr>
            <w:tcW w:w="0" w:type="auto"/>
            <w:tcMar>
              <w:top w:w="0" w:type="dxa"/>
              <w:left w:w="115" w:type="dxa"/>
              <w:bottom w:w="0" w:type="dxa"/>
              <w:right w:w="115" w:type="dxa"/>
            </w:tcMar>
            <w:vAlign w:val="center"/>
            <w:hideMark/>
          </w:tcPr>
          <w:p w14:paraId="3B67B468"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c>
          <w:tcPr>
            <w:tcW w:w="0" w:type="auto"/>
            <w:tcMar>
              <w:top w:w="0" w:type="dxa"/>
              <w:left w:w="115" w:type="dxa"/>
              <w:bottom w:w="0" w:type="dxa"/>
              <w:right w:w="115" w:type="dxa"/>
            </w:tcMar>
            <w:vAlign w:val="center"/>
            <w:hideMark/>
          </w:tcPr>
          <w:p w14:paraId="1480C7B6"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c>
          <w:tcPr>
            <w:tcW w:w="0" w:type="auto"/>
            <w:tcMar>
              <w:top w:w="0" w:type="dxa"/>
              <w:left w:w="115" w:type="dxa"/>
              <w:bottom w:w="0" w:type="dxa"/>
              <w:right w:w="115" w:type="dxa"/>
            </w:tcMar>
            <w:vAlign w:val="center"/>
            <w:hideMark/>
          </w:tcPr>
          <w:p w14:paraId="2B7A40FF"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c>
          <w:tcPr>
            <w:tcW w:w="0" w:type="auto"/>
            <w:tcMar>
              <w:top w:w="0" w:type="dxa"/>
              <w:left w:w="115" w:type="dxa"/>
              <w:bottom w:w="0" w:type="dxa"/>
              <w:right w:w="115" w:type="dxa"/>
            </w:tcMar>
            <w:vAlign w:val="center"/>
            <w:hideMark/>
          </w:tcPr>
          <w:p w14:paraId="0C1C531A"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c>
          <w:tcPr>
            <w:tcW w:w="0" w:type="auto"/>
            <w:tcMar>
              <w:top w:w="0" w:type="dxa"/>
              <w:left w:w="115" w:type="dxa"/>
              <w:bottom w:w="0" w:type="dxa"/>
              <w:right w:w="115" w:type="dxa"/>
            </w:tcMar>
            <w:vAlign w:val="center"/>
            <w:hideMark/>
          </w:tcPr>
          <w:p w14:paraId="35ACC577"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c>
          <w:tcPr>
            <w:tcW w:w="0" w:type="auto"/>
            <w:tcMar>
              <w:top w:w="0" w:type="dxa"/>
              <w:left w:w="115" w:type="dxa"/>
              <w:bottom w:w="0" w:type="dxa"/>
              <w:right w:w="115" w:type="dxa"/>
            </w:tcMar>
            <w:vAlign w:val="center"/>
            <w:hideMark/>
          </w:tcPr>
          <w:p w14:paraId="402048D6"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c>
          <w:tcPr>
            <w:tcW w:w="0" w:type="auto"/>
            <w:tcMar>
              <w:top w:w="0" w:type="dxa"/>
              <w:left w:w="115" w:type="dxa"/>
              <w:bottom w:w="0" w:type="dxa"/>
              <w:right w:w="115" w:type="dxa"/>
            </w:tcMar>
            <w:vAlign w:val="center"/>
            <w:hideMark/>
          </w:tcPr>
          <w:p w14:paraId="31971515"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r>
      <w:tr w:rsidR="00C033B5" w:rsidRPr="00746567" w14:paraId="2C74C13C" w14:textId="77777777">
        <w:trPr>
          <w:trHeight w:val="20"/>
        </w:trPr>
        <w:tc>
          <w:tcPr>
            <w:tcW w:w="0" w:type="auto"/>
            <w:tcMar>
              <w:top w:w="0" w:type="dxa"/>
              <w:left w:w="115" w:type="dxa"/>
              <w:bottom w:w="0" w:type="dxa"/>
              <w:right w:w="115" w:type="dxa"/>
            </w:tcMar>
            <w:vAlign w:val="center"/>
            <w:hideMark/>
          </w:tcPr>
          <w:p w14:paraId="719333A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7324991"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F3D11B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4DDBC14"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98504E3"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F19461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7A2C11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9D655F1"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EABB612" w14:textId="77777777" w:rsidR="00C033B5" w:rsidRPr="00746567" w:rsidRDefault="00C033B5" w:rsidP="00C033B5">
            <w:pPr>
              <w:rPr>
                <w:rFonts w:asciiTheme="majorBidi" w:hAnsiTheme="majorBidi" w:cstheme="majorBidi"/>
              </w:rPr>
            </w:pPr>
          </w:p>
        </w:tc>
      </w:tr>
      <w:tr w:rsidR="00C033B5" w:rsidRPr="00746567" w14:paraId="0AFC4A80" w14:textId="77777777">
        <w:trPr>
          <w:trHeight w:val="20"/>
        </w:trPr>
        <w:tc>
          <w:tcPr>
            <w:tcW w:w="0" w:type="auto"/>
            <w:tcMar>
              <w:top w:w="0" w:type="dxa"/>
              <w:left w:w="115" w:type="dxa"/>
              <w:bottom w:w="0" w:type="dxa"/>
              <w:right w:w="115" w:type="dxa"/>
            </w:tcMar>
            <w:vAlign w:val="center"/>
            <w:hideMark/>
          </w:tcPr>
          <w:p w14:paraId="1625D578"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Unemplymt</w:t>
            </w:r>
            <w:proofErr w:type="spellEnd"/>
          </w:p>
        </w:tc>
        <w:tc>
          <w:tcPr>
            <w:tcW w:w="0" w:type="auto"/>
            <w:tcMar>
              <w:top w:w="0" w:type="dxa"/>
              <w:left w:w="115" w:type="dxa"/>
              <w:bottom w:w="0" w:type="dxa"/>
              <w:right w:w="115" w:type="dxa"/>
            </w:tcMar>
            <w:vAlign w:val="center"/>
            <w:hideMark/>
          </w:tcPr>
          <w:p w14:paraId="447B18B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0.0096***</w:t>
            </w:r>
          </w:p>
        </w:tc>
        <w:tc>
          <w:tcPr>
            <w:tcW w:w="0" w:type="auto"/>
            <w:tcMar>
              <w:top w:w="0" w:type="dxa"/>
              <w:left w:w="115" w:type="dxa"/>
              <w:bottom w:w="0" w:type="dxa"/>
              <w:right w:w="115" w:type="dxa"/>
            </w:tcMar>
            <w:vAlign w:val="center"/>
            <w:hideMark/>
          </w:tcPr>
          <w:p w14:paraId="416EE55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-0.0012***</w:t>
            </w:r>
          </w:p>
        </w:tc>
        <w:tc>
          <w:tcPr>
            <w:tcW w:w="0" w:type="auto"/>
            <w:tcMar>
              <w:top w:w="0" w:type="dxa"/>
              <w:left w:w="115" w:type="dxa"/>
              <w:bottom w:w="0" w:type="dxa"/>
              <w:right w:w="115" w:type="dxa"/>
            </w:tcMar>
            <w:vAlign w:val="center"/>
            <w:hideMark/>
          </w:tcPr>
          <w:p w14:paraId="5661066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0.0096***</w:t>
            </w:r>
          </w:p>
        </w:tc>
        <w:tc>
          <w:tcPr>
            <w:tcW w:w="0" w:type="auto"/>
            <w:tcMar>
              <w:top w:w="0" w:type="dxa"/>
              <w:left w:w="115" w:type="dxa"/>
              <w:bottom w:w="0" w:type="dxa"/>
              <w:right w:w="115" w:type="dxa"/>
            </w:tcMar>
            <w:vAlign w:val="center"/>
            <w:hideMark/>
          </w:tcPr>
          <w:p w14:paraId="6340A34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-0.0023***</w:t>
            </w:r>
          </w:p>
        </w:tc>
        <w:tc>
          <w:tcPr>
            <w:tcW w:w="0" w:type="auto"/>
            <w:tcMar>
              <w:top w:w="0" w:type="dxa"/>
              <w:left w:w="115" w:type="dxa"/>
              <w:bottom w:w="0" w:type="dxa"/>
              <w:right w:w="115" w:type="dxa"/>
            </w:tcMar>
            <w:vAlign w:val="center"/>
            <w:hideMark/>
          </w:tcPr>
          <w:p w14:paraId="41C46AD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0.0011***</w:t>
            </w:r>
          </w:p>
        </w:tc>
        <w:tc>
          <w:tcPr>
            <w:tcW w:w="0" w:type="auto"/>
            <w:tcMar>
              <w:top w:w="0" w:type="dxa"/>
              <w:left w:w="115" w:type="dxa"/>
              <w:bottom w:w="0" w:type="dxa"/>
              <w:right w:w="115" w:type="dxa"/>
            </w:tcMar>
            <w:vAlign w:val="center"/>
            <w:hideMark/>
          </w:tcPr>
          <w:p w14:paraId="27431BE9" w14:textId="77777777" w:rsidR="00C033B5" w:rsidRPr="00746567" w:rsidRDefault="00C033B5" w:rsidP="00C033B5">
            <w:pPr>
              <w:rPr>
                <w:rFonts w:asciiTheme="majorBidi" w:hAnsiTheme="majorBidi" w:cstheme="majorBidi"/>
              </w:rPr>
            </w:pPr>
            <w:r w:rsidRPr="00746567">
              <w:rPr>
                <w:rFonts w:asciiTheme="majorBidi" w:hAnsiTheme="majorBidi" w:cstheme="majorBidi"/>
              </w:rPr>
              <w:t>0.2161***</w:t>
            </w:r>
          </w:p>
        </w:tc>
        <w:tc>
          <w:tcPr>
            <w:tcW w:w="0" w:type="auto"/>
            <w:tcMar>
              <w:top w:w="0" w:type="dxa"/>
              <w:left w:w="115" w:type="dxa"/>
              <w:bottom w:w="0" w:type="dxa"/>
              <w:right w:w="115" w:type="dxa"/>
            </w:tcMar>
            <w:vAlign w:val="center"/>
            <w:hideMark/>
          </w:tcPr>
          <w:p w14:paraId="54928BC4" w14:textId="77777777" w:rsidR="00C033B5" w:rsidRPr="00746567" w:rsidRDefault="00C033B5" w:rsidP="00C033B5">
            <w:pPr>
              <w:rPr>
                <w:rFonts w:asciiTheme="majorBidi" w:hAnsiTheme="majorBidi" w:cstheme="majorBidi"/>
              </w:rPr>
            </w:pPr>
            <w:r w:rsidRPr="00746567">
              <w:rPr>
                <w:rFonts w:asciiTheme="majorBidi" w:hAnsiTheme="majorBidi" w:cstheme="majorBidi"/>
              </w:rPr>
              <w:t>-0.0877***</w:t>
            </w:r>
          </w:p>
        </w:tc>
        <w:tc>
          <w:tcPr>
            <w:tcW w:w="0" w:type="auto"/>
            <w:tcMar>
              <w:top w:w="0" w:type="dxa"/>
              <w:left w:w="115" w:type="dxa"/>
              <w:bottom w:w="0" w:type="dxa"/>
              <w:right w:w="115" w:type="dxa"/>
            </w:tcMar>
            <w:vAlign w:val="center"/>
            <w:hideMark/>
          </w:tcPr>
          <w:p w14:paraId="1508BB0B" w14:textId="77777777" w:rsidR="00C033B5" w:rsidRPr="00746567" w:rsidRDefault="00C033B5" w:rsidP="00C033B5">
            <w:pPr>
              <w:rPr>
                <w:rFonts w:asciiTheme="majorBidi" w:hAnsiTheme="majorBidi" w:cstheme="majorBidi"/>
              </w:rPr>
            </w:pPr>
            <w:r w:rsidRPr="00746567">
              <w:rPr>
                <w:rFonts w:asciiTheme="majorBidi" w:hAnsiTheme="majorBidi" w:cstheme="majorBidi"/>
              </w:rPr>
              <w:t>0.2167***</w:t>
            </w:r>
          </w:p>
        </w:tc>
      </w:tr>
      <w:tr w:rsidR="00C033B5" w:rsidRPr="00746567" w14:paraId="0A176A35" w14:textId="77777777">
        <w:trPr>
          <w:trHeight w:val="20"/>
        </w:trPr>
        <w:tc>
          <w:tcPr>
            <w:tcW w:w="0" w:type="auto"/>
            <w:tcMar>
              <w:top w:w="0" w:type="dxa"/>
              <w:left w:w="115" w:type="dxa"/>
              <w:bottom w:w="0" w:type="dxa"/>
              <w:right w:w="115" w:type="dxa"/>
            </w:tcMar>
            <w:vAlign w:val="center"/>
            <w:hideMark/>
          </w:tcPr>
          <w:p w14:paraId="0BC2B824"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81EF3E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6680A37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vAlign w:val="center"/>
            <w:hideMark/>
          </w:tcPr>
          <w:p w14:paraId="700ADF7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6C2AF77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vAlign w:val="center"/>
            <w:hideMark/>
          </w:tcPr>
          <w:p w14:paraId="4765B04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2329933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(0.0062)</w:t>
            </w:r>
          </w:p>
        </w:tc>
        <w:tc>
          <w:tcPr>
            <w:tcW w:w="0" w:type="auto"/>
            <w:tcMar>
              <w:top w:w="0" w:type="dxa"/>
              <w:left w:w="115" w:type="dxa"/>
              <w:bottom w:w="0" w:type="dxa"/>
              <w:right w:w="115" w:type="dxa"/>
            </w:tcMar>
            <w:vAlign w:val="center"/>
            <w:hideMark/>
          </w:tcPr>
          <w:p w14:paraId="0D00F6D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(0.0053)</w:t>
            </w:r>
          </w:p>
        </w:tc>
        <w:tc>
          <w:tcPr>
            <w:tcW w:w="0" w:type="auto"/>
            <w:tcMar>
              <w:top w:w="0" w:type="dxa"/>
              <w:left w:w="115" w:type="dxa"/>
              <w:bottom w:w="0" w:type="dxa"/>
              <w:right w:w="115" w:type="dxa"/>
            </w:tcMar>
            <w:vAlign w:val="center"/>
            <w:hideMark/>
          </w:tcPr>
          <w:p w14:paraId="7909DAA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(0.0058)</w:t>
            </w:r>
          </w:p>
        </w:tc>
      </w:tr>
      <w:tr w:rsidR="00C033B5" w:rsidRPr="00746567" w14:paraId="0B35B048" w14:textId="77777777">
        <w:trPr>
          <w:trHeight w:val="20"/>
        </w:trPr>
        <w:tc>
          <w:tcPr>
            <w:tcW w:w="0" w:type="auto"/>
            <w:tcMar>
              <w:top w:w="0" w:type="dxa"/>
              <w:left w:w="115" w:type="dxa"/>
              <w:bottom w:w="0" w:type="dxa"/>
              <w:right w:w="115" w:type="dxa"/>
            </w:tcMar>
            <w:vAlign w:val="center"/>
            <w:hideMark/>
          </w:tcPr>
          <w:p w14:paraId="3F5225D5"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Govtbond</w:t>
            </w:r>
            <w:proofErr w:type="spellEnd"/>
          </w:p>
        </w:tc>
        <w:tc>
          <w:tcPr>
            <w:tcW w:w="0" w:type="auto"/>
            <w:tcMar>
              <w:top w:w="0" w:type="dxa"/>
              <w:left w:w="115" w:type="dxa"/>
              <w:bottom w:w="0" w:type="dxa"/>
              <w:right w:w="115" w:type="dxa"/>
            </w:tcMar>
            <w:vAlign w:val="center"/>
            <w:hideMark/>
          </w:tcPr>
          <w:p w14:paraId="4D822728" w14:textId="77777777" w:rsidR="00C033B5" w:rsidRPr="00746567" w:rsidRDefault="00C033B5" w:rsidP="00C033B5">
            <w:pPr>
              <w:rPr>
                <w:rFonts w:asciiTheme="majorBidi" w:hAnsiTheme="majorBidi" w:cstheme="majorBidi"/>
              </w:rPr>
            </w:pPr>
            <w:r w:rsidRPr="00746567">
              <w:rPr>
                <w:rFonts w:asciiTheme="majorBidi" w:hAnsiTheme="majorBidi" w:cstheme="majorBidi"/>
              </w:rPr>
              <w:t>-2.0131***</w:t>
            </w:r>
          </w:p>
        </w:tc>
        <w:tc>
          <w:tcPr>
            <w:tcW w:w="0" w:type="auto"/>
            <w:tcMar>
              <w:top w:w="0" w:type="dxa"/>
              <w:left w:w="115" w:type="dxa"/>
              <w:bottom w:w="0" w:type="dxa"/>
              <w:right w:w="115" w:type="dxa"/>
            </w:tcMar>
            <w:vAlign w:val="center"/>
            <w:hideMark/>
          </w:tcPr>
          <w:p w14:paraId="15250E0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0.0025***</w:t>
            </w:r>
          </w:p>
        </w:tc>
        <w:tc>
          <w:tcPr>
            <w:tcW w:w="0" w:type="auto"/>
            <w:tcMar>
              <w:top w:w="0" w:type="dxa"/>
              <w:left w:w="115" w:type="dxa"/>
              <w:bottom w:w="0" w:type="dxa"/>
              <w:right w:w="115" w:type="dxa"/>
            </w:tcMar>
            <w:vAlign w:val="center"/>
            <w:hideMark/>
          </w:tcPr>
          <w:p w14:paraId="499752D2" w14:textId="77777777" w:rsidR="00C033B5" w:rsidRPr="00746567" w:rsidRDefault="00C033B5" w:rsidP="00C033B5">
            <w:pPr>
              <w:rPr>
                <w:rFonts w:asciiTheme="majorBidi" w:hAnsiTheme="majorBidi" w:cstheme="majorBidi"/>
              </w:rPr>
            </w:pPr>
            <w:r w:rsidRPr="00746567">
              <w:rPr>
                <w:rFonts w:asciiTheme="majorBidi" w:hAnsiTheme="majorBidi" w:cstheme="majorBidi"/>
              </w:rPr>
              <w:t>-2.0907***</w:t>
            </w:r>
          </w:p>
        </w:tc>
        <w:tc>
          <w:tcPr>
            <w:tcW w:w="0" w:type="auto"/>
            <w:tcMar>
              <w:top w:w="0" w:type="dxa"/>
              <w:left w:w="115" w:type="dxa"/>
              <w:bottom w:w="0" w:type="dxa"/>
              <w:right w:w="115" w:type="dxa"/>
            </w:tcMar>
            <w:vAlign w:val="center"/>
            <w:hideMark/>
          </w:tcPr>
          <w:p w14:paraId="4D5111F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0.0028***</w:t>
            </w:r>
          </w:p>
        </w:tc>
        <w:tc>
          <w:tcPr>
            <w:tcW w:w="0" w:type="auto"/>
            <w:tcMar>
              <w:top w:w="0" w:type="dxa"/>
              <w:left w:w="115" w:type="dxa"/>
              <w:bottom w:w="0" w:type="dxa"/>
              <w:right w:w="115" w:type="dxa"/>
            </w:tcMar>
            <w:vAlign w:val="center"/>
            <w:hideMark/>
          </w:tcPr>
          <w:p w14:paraId="3A2A014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0.0082</w:t>
            </w:r>
          </w:p>
        </w:tc>
        <w:tc>
          <w:tcPr>
            <w:tcW w:w="0" w:type="auto"/>
            <w:tcMar>
              <w:top w:w="0" w:type="dxa"/>
              <w:left w:w="115" w:type="dxa"/>
              <w:bottom w:w="0" w:type="dxa"/>
              <w:right w:w="115" w:type="dxa"/>
            </w:tcMar>
            <w:vAlign w:val="center"/>
            <w:hideMark/>
          </w:tcPr>
          <w:p w14:paraId="787EBEA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0.0009</w:t>
            </w:r>
          </w:p>
        </w:tc>
        <w:tc>
          <w:tcPr>
            <w:tcW w:w="0" w:type="auto"/>
            <w:tcMar>
              <w:top w:w="0" w:type="dxa"/>
              <w:left w:w="115" w:type="dxa"/>
              <w:bottom w:w="0" w:type="dxa"/>
              <w:right w:w="115" w:type="dxa"/>
            </w:tcMar>
            <w:vAlign w:val="center"/>
            <w:hideMark/>
          </w:tcPr>
          <w:p w14:paraId="3164F4AB" w14:textId="77777777" w:rsidR="00C033B5" w:rsidRPr="00746567" w:rsidRDefault="00C033B5" w:rsidP="00C033B5">
            <w:pPr>
              <w:rPr>
                <w:rFonts w:asciiTheme="majorBidi" w:hAnsiTheme="majorBidi" w:cstheme="majorBidi"/>
              </w:rPr>
            </w:pPr>
            <w:r w:rsidRPr="00746567">
              <w:rPr>
                <w:rFonts w:asciiTheme="majorBidi" w:hAnsiTheme="majorBidi" w:cstheme="majorBidi"/>
              </w:rPr>
              <w:t>0.0355***</w:t>
            </w:r>
          </w:p>
        </w:tc>
        <w:tc>
          <w:tcPr>
            <w:tcW w:w="0" w:type="auto"/>
            <w:tcMar>
              <w:top w:w="0" w:type="dxa"/>
              <w:left w:w="115" w:type="dxa"/>
              <w:bottom w:w="0" w:type="dxa"/>
              <w:right w:w="115" w:type="dxa"/>
            </w:tcMar>
            <w:vAlign w:val="center"/>
            <w:hideMark/>
          </w:tcPr>
          <w:p w14:paraId="090B2276" w14:textId="77777777" w:rsidR="00C033B5" w:rsidRPr="00746567" w:rsidRDefault="00C033B5" w:rsidP="00C033B5">
            <w:pPr>
              <w:rPr>
                <w:rFonts w:asciiTheme="majorBidi" w:hAnsiTheme="majorBidi" w:cstheme="majorBidi"/>
              </w:rPr>
            </w:pPr>
            <w:r w:rsidRPr="00746567">
              <w:rPr>
                <w:rFonts w:asciiTheme="majorBidi" w:hAnsiTheme="majorBidi" w:cstheme="majorBidi"/>
              </w:rPr>
              <w:t>-0.0229***</w:t>
            </w:r>
          </w:p>
        </w:tc>
      </w:tr>
      <w:tr w:rsidR="00C033B5" w:rsidRPr="00746567" w14:paraId="7AB082D4" w14:textId="77777777">
        <w:trPr>
          <w:trHeight w:val="20"/>
        </w:trPr>
        <w:tc>
          <w:tcPr>
            <w:tcW w:w="0" w:type="auto"/>
            <w:tcMar>
              <w:top w:w="0" w:type="dxa"/>
              <w:left w:w="115" w:type="dxa"/>
              <w:bottom w:w="0" w:type="dxa"/>
              <w:right w:w="115" w:type="dxa"/>
            </w:tcMar>
            <w:vAlign w:val="center"/>
            <w:hideMark/>
          </w:tcPr>
          <w:p w14:paraId="25B88277"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271CD9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(0.0062)</w:t>
            </w:r>
          </w:p>
        </w:tc>
        <w:tc>
          <w:tcPr>
            <w:tcW w:w="0" w:type="auto"/>
            <w:tcMar>
              <w:top w:w="0" w:type="dxa"/>
              <w:left w:w="115" w:type="dxa"/>
              <w:bottom w:w="0" w:type="dxa"/>
              <w:right w:w="115" w:type="dxa"/>
            </w:tcMar>
            <w:vAlign w:val="center"/>
            <w:hideMark/>
          </w:tcPr>
          <w:p w14:paraId="52E838A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31D3082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(0.0030)</w:t>
            </w:r>
          </w:p>
        </w:tc>
        <w:tc>
          <w:tcPr>
            <w:tcW w:w="0" w:type="auto"/>
            <w:tcMar>
              <w:top w:w="0" w:type="dxa"/>
              <w:left w:w="115" w:type="dxa"/>
              <w:bottom w:w="0" w:type="dxa"/>
              <w:right w:w="115" w:type="dxa"/>
            </w:tcMar>
            <w:vAlign w:val="center"/>
            <w:hideMark/>
          </w:tcPr>
          <w:p w14:paraId="07EBDE8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7EC513F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(0.0056)</w:t>
            </w:r>
          </w:p>
        </w:tc>
        <w:tc>
          <w:tcPr>
            <w:tcW w:w="0" w:type="auto"/>
            <w:tcMar>
              <w:top w:w="0" w:type="dxa"/>
              <w:left w:w="115" w:type="dxa"/>
              <w:bottom w:w="0" w:type="dxa"/>
              <w:right w:w="115" w:type="dxa"/>
            </w:tcMar>
            <w:vAlign w:val="center"/>
            <w:hideMark/>
          </w:tcPr>
          <w:p w14:paraId="699C080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(0.0019)</w:t>
            </w:r>
          </w:p>
        </w:tc>
        <w:tc>
          <w:tcPr>
            <w:tcW w:w="0" w:type="auto"/>
            <w:tcMar>
              <w:top w:w="0" w:type="dxa"/>
              <w:left w:w="115" w:type="dxa"/>
              <w:bottom w:w="0" w:type="dxa"/>
              <w:right w:w="115" w:type="dxa"/>
            </w:tcMar>
            <w:vAlign w:val="center"/>
            <w:hideMark/>
          </w:tcPr>
          <w:p w14:paraId="21EBF26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(0.0045)</w:t>
            </w:r>
          </w:p>
        </w:tc>
        <w:tc>
          <w:tcPr>
            <w:tcW w:w="0" w:type="auto"/>
            <w:tcMar>
              <w:top w:w="0" w:type="dxa"/>
              <w:left w:w="115" w:type="dxa"/>
              <w:bottom w:w="0" w:type="dxa"/>
              <w:right w:w="115" w:type="dxa"/>
            </w:tcMar>
            <w:vAlign w:val="center"/>
            <w:hideMark/>
          </w:tcPr>
          <w:p w14:paraId="73BED2F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(0.0018)</w:t>
            </w:r>
          </w:p>
        </w:tc>
      </w:tr>
      <w:tr w:rsidR="00C033B5" w:rsidRPr="00746567" w14:paraId="480F8A61" w14:textId="77777777">
        <w:trPr>
          <w:trHeight w:val="20"/>
        </w:trPr>
        <w:tc>
          <w:tcPr>
            <w:tcW w:w="0" w:type="auto"/>
            <w:tcMar>
              <w:top w:w="0" w:type="dxa"/>
              <w:left w:w="115" w:type="dxa"/>
              <w:bottom w:w="0" w:type="dxa"/>
              <w:right w:w="115" w:type="dxa"/>
            </w:tcMar>
            <w:vAlign w:val="center"/>
            <w:hideMark/>
          </w:tcPr>
          <w:p w14:paraId="60980044" w14:textId="77777777" w:rsidR="00C033B5" w:rsidRPr="00746567" w:rsidRDefault="00C033B5" w:rsidP="00C033B5">
            <w:pPr>
              <w:rPr>
                <w:rFonts w:asciiTheme="majorBidi" w:hAnsiTheme="majorBidi" w:cstheme="majorBidi"/>
              </w:rPr>
            </w:pPr>
            <w:r w:rsidRPr="00746567">
              <w:rPr>
                <w:rFonts w:asciiTheme="majorBidi" w:hAnsiTheme="majorBidi" w:cstheme="majorBidi"/>
              </w:rPr>
              <w:t>_cons</w:t>
            </w:r>
          </w:p>
        </w:tc>
        <w:tc>
          <w:tcPr>
            <w:tcW w:w="0" w:type="auto"/>
            <w:tcMar>
              <w:top w:w="0" w:type="dxa"/>
              <w:left w:w="115" w:type="dxa"/>
              <w:bottom w:w="0" w:type="dxa"/>
              <w:right w:w="115" w:type="dxa"/>
            </w:tcMar>
            <w:vAlign w:val="center"/>
            <w:hideMark/>
          </w:tcPr>
          <w:p w14:paraId="424F1748" w14:textId="77777777" w:rsidR="00C033B5" w:rsidRPr="00746567" w:rsidRDefault="00C033B5" w:rsidP="00C033B5">
            <w:pPr>
              <w:rPr>
                <w:rFonts w:asciiTheme="majorBidi" w:hAnsiTheme="majorBidi" w:cstheme="majorBidi"/>
              </w:rPr>
            </w:pPr>
            <w:r w:rsidRPr="00746567">
              <w:rPr>
                <w:rFonts w:asciiTheme="majorBidi" w:hAnsiTheme="majorBidi" w:cstheme="majorBidi"/>
              </w:rPr>
              <w:t>0.1715</w:t>
            </w:r>
          </w:p>
        </w:tc>
        <w:tc>
          <w:tcPr>
            <w:tcW w:w="0" w:type="auto"/>
            <w:tcMar>
              <w:top w:w="0" w:type="dxa"/>
              <w:left w:w="115" w:type="dxa"/>
              <w:bottom w:w="0" w:type="dxa"/>
              <w:right w:w="115" w:type="dxa"/>
            </w:tcMar>
            <w:vAlign w:val="center"/>
            <w:hideMark/>
          </w:tcPr>
          <w:p w14:paraId="6F3CF22E" w14:textId="77777777" w:rsidR="00C033B5" w:rsidRPr="00746567" w:rsidRDefault="00C033B5" w:rsidP="00C033B5">
            <w:pPr>
              <w:rPr>
                <w:rFonts w:asciiTheme="majorBidi" w:hAnsiTheme="majorBidi" w:cstheme="majorBidi"/>
              </w:rPr>
            </w:pPr>
            <w:r w:rsidRPr="00746567">
              <w:rPr>
                <w:rFonts w:asciiTheme="majorBidi" w:hAnsiTheme="majorBidi" w:cstheme="majorBidi"/>
              </w:rPr>
              <w:t>0.2205</w:t>
            </w:r>
          </w:p>
        </w:tc>
        <w:tc>
          <w:tcPr>
            <w:tcW w:w="0" w:type="auto"/>
            <w:tcMar>
              <w:top w:w="0" w:type="dxa"/>
              <w:left w:w="115" w:type="dxa"/>
              <w:bottom w:w="0" w:type="dxa"/>
              <w:right w:w="115" w:type="dxa"/>
            </w:tcMar>
            <w:vAlign w:val="center"/>
            <w:hideMark/>
          </w:tcPr>
          <w:p w14:paraId="1023C46D"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7334AD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5CBBBC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3EFA3AD"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B66EA47"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6369C1C" w14:textId="77777777" w:rsidR="00C033B5" w:rsidRPr="00746567" w:rsidRDefault="00C033B5" w:rsidP="00C033B5">
            <w:pPr>
              <w:rPr>
                <w:rFonts w:asciiTheme="majorBidi" w:hAnsiTheme="majorBidi" w:cstheme="majorBidi"/>
              </w:rPr>
            </w:pPr>
          </w:p>
        </w:tc>
      </w:tr>
      <w:tr w:rsidR="00C033B5" w:rsidRPr="00746567" w14:paraId="0D2E6638" w14:textId="77777777">
        <w:trPr>
          <w:trHeight w:val="20"/>
        </w:trPr>
        <w:tc>
          <w:tcPr>
            <w:tcW w:w="0" w:type="auto"/>
            <w:tcMar>
              <w:top w:w="0" w:type="dxa"/>
              <w:left w:w="115" w:type="dxa"/>
              <w:bottom w:w="0" w:type="dxa"/>
              <w:right w:w="115" w:type="dxa"/>
            </w:tcMar>
            <w:vAlign w:val="center"/>
            <w:hideMark/>
          </w:tcPr>
          <w:p w14:paraId="173C8B8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8C156D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(0.0010)</w:t>
            </w:r>
          </w:p>
        </w:tc>
        <w:tc>
          <w:tcPr>
            <w:tcW w:w="0" w:type="auto"/>
            <w:tcMar>
              <w:top w:w="0" w:type="dxa"/>
              <w:left w:w="115" w:type="dxa"/>
              <w:bottom w:w="0" w:type="dxa"/>
              <w:right w:w="115" w:type="dxa"/>
            </w:tcMar>
            <w:vAlign w:val="center"/>
            <w:hideMark/>
          </w:tcPr>
          <w:p w14:paraId="7C2C602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(0.0010)</w:t>
            </w:r>
          </w:p>
        </w:tc>
        <w:tc>
          <w:tcPr>
            <w:tcW w:w="0" w:type="auto"/>
            <w:tcMar>
              <w:top w:w="0" w:type="dxa"/>
              <w:left w:w="115" w:type="dxa"/>
              <w:bottom w:w="0" w:type="dxa"/>
              <w:right w:w="115" w:type="dxa"/>
            </w:tcMar>
            <w:vAlign w:val="center"/>
            <w:hideMark/>
          </w:tcPr>
          <w:p w14:paraId="4D72666E"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8D059E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C16123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5C5A843"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AD4FBD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7CE375C" w14:textId="77777777" w:rsidR="00C033B5" w:rsidRPr="00746567" w:rsidRDefault="00C033B5" w:rsidP="00C033B5">
            <w:pPr>
              <w:rPr>
                <w:rFonts w:asciiTheme="majorBidi" w:hAnsiTheme="majorBidi" w:cstheme="majorBidi"/>
              </w:rPr>
            </w:pPr>
          </w:p>
        </w:tc>
      </w:tr>
      <w:tr w:rsidR="00C033B5" w:rsidRPr="00746567" w14:paraId="26C2D700" w14:textId="77777777">
        <w:trPr>
          <w:trHeight w:val="20"/>
        </w:trPr>
        <w:tc>
          <w:tcPr>
            <w:tcW w:w="0" w:type="auto"/>
            <w:tcMar>
              <w:top w:w="0" w:type="dxa"/>
              <w:left w:w="115" w:type="dxa"/>
              <w:bottom w:w="0" w:type="dxa"/>
              <w:right w:w="115" w:type="dxa"/>
            </w:tcMar>
            <w:vAlign w:val="center"/>
            <w:hideMark/>
          </w:tcPr>
          <w:p w14:paraId="481422BF" w14:textId="77777777" w:rsidR="00C033B5" w:rsidRPr="00746567" w:rsidRDefault="00C033B5" w:rsidP="00C033B5">
            <w:pPr>
              <w:rPr>
                <w:rFonts w:asciiTheme="majorBidi" w:hAnsiTheme="majorBidi" w:cstheme="majorBidi"/>
              </w:rPr>
            </w:pPr>
            <w:r w:rsidRPr="00746567">
              <w:rPr>
                <w:rFonts w:asciiTheme="majorBidi" w:hAnsiTheme="majorBidi" w:cstheme="majorBidi"/>
              </w:rPr>
              <w:t>Pseudo - r square</w:t>
            </w:r>
          </w:p>
        </w:tc>
        <w:tc>
          <w:tcPr>
            <w:tcW w:w="0" w:type="auto"/>
            <w:tcMar>
              <w:top w:w="0" w:type="dxa"/>
              <w:left w:w="115" w:type="dxa"/>
              <w:bottom w:w="0" w:type="dxa"/>
              <w:right w:w="115" w:type="dxa"/>
            </w:tcMar>
            <w:vAlign w:val="center"/>
            <w:hideMark/>
          </w:tcPr>
          <w:p w14:paraId="4785E043" w14:textId="77777777" w:rsidR="00C033B5" w:rsidRPr="00746567" w:rsidRDefault="00C033B5" w:rsidP="00C033B5">
            <w:pPr>
              <w:rPr>
                <w:rFonts w:asciiTheme="majorBidi" w:hAnsiTheme="majorBidi" w:cstheme="majorBidi"/>
              </w:rPr>
            </w:pPr>
            <w:r w:rsidRPr="00746567">
              <w:rPr>
                <w:rFonts w:asciiTheme="majorBidi" w:hAnsiTheme="majorBidi" w:cstheme="majorBidi"/>
              </w:rPr>
              <w:t>0.1418</w:t>
            </w:r>
          </w:p>
        </w:tc>
        <w:tc>
          <w:tcPr>
            <w:tcW w:w="0" w:type="auto"/>
            <w:tcMar>
              <w:top w:w="0" w:type="dxa"/>
              <w:left w:w="115" w:type="dxa"/>
              <w:bottom w:w="0" w:type="dxa"/>
              <w:right w:w="115" w:type="dxa"/>
            </w:tcMar>
            <w:vAlign w:val="center"/>
            <w:hideMark/>
          </w:tcPr>
          <w:p w14:paraId="75F9533D" w14:textId="77777777" w:rsidR="00C033B5" w:rsidRPr="00746567" w:rsidRDefault="00C033B5" w:rsidP="00C033B5">
            <w:pPr>
              <w:rPr>
                <w:rFonts w:asciiTheme="majorBidi" w:hAnsiTheme="majorBidi" w:cstheme="majorBidi"/>
              </w:rPr>
            </w:pPr>
            <w:r w:rsidRPr="00746567">
              <w:rPr>
                <w:rFonts w:asciiTheme="majorBidi" w:hAnsiTheme="majorBidi" w:cstheme="majorBidi"/>
              </w:rPr>
              <w:t>0.1137</w:t>
            </w:r>
          </w:p>
        </w:tc>
        <w:tc>
          <w:tcPr>
            <w:tcW w:w="0" w:type="auto"/>
            <w:tcMar>
              <w:top w:w="0" w:type="dxa"/>
              <w:left w:w="115" w:type="dxa"/>
              <w:bottom w:w="0" w:type="dxa"/>
              <w:right w:w="115" w:type="dxa"/>
            </w:tcMar>
            <w:vAlign w:val="center"/>
            <w:hideMark/>
          </w:tcPr>
          <w:p w14:paraId="78FB306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0.0032</w:t>
            </w:r>
          </w:p>
        </w:tc>
        <w:tc>
          <w:tcPr>
            <w:tcW w:w="0" w:type="auto"/>
            <w:tcMar>
              <w:top w:w="0" w:type="dxa"/>
              <w:left w:w="115" w:type="dxa"/>
              <w:bottom w:w="0" w:type="dxa"/>
              <w:right w:w="115" w:type="dxa"/>
            </w:tcMar>
            <w:vAlign w:val="center"/>
            <w:hideMark/>
          </w:tcPr>
          <w:p w14:paraId="577C2F1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0.0080</w:t>
            </w:r>
          </w:p>
        </w:tc>
        <w:tc>
          <w:tcPr>
            <w:tcW w:w="0" w:type="auto"/>
            <w:tcMar>
              <w:top w:w="0" w:type="dxa"/>
              <w:left w:w="115" w:type="dxa"/>
              <w:bottom w:w="0" w:type="dxa"/>
              <w:right w:w="115" w:type="dxa"/>
            </w:tcMar>
            <w:hideMark/>
          </w:tcPr>
          <w:p w14:paraId="52275933" w14:textId="77777777" w:rsidR="00C033B5" w:rsidRPr="00746567" w:rsidRDefault="00C033B5" w:rsidP="00C033B5">
            <w:pPr>
              <w:rPr>
                <w:rFonts w:asciiTheme="majorBidi" w:hAnsiTheme="majorBidi" w:cstheme="majorBidi"/>
              </w:rPr>
            </w:pPr>
            <w:r w:rsidRPr="00746567">
              <w:rPr>
                <w:rFonts w:asciiTheme="majorBidi" w:hAnsiTheme="majorBidi" w:cstheme="majorBidi"/>
              </w:rPr>
              <w:t>0.2929</w:t>
            </w:r>
          </w:p>
        </w:tc>
        <w:tc>
          <w:tcPr>
            <w:tcW w:w="0" w:type="auto"/>
            <w:tcMar>
              <w:top w:w="0" w:type="dxa"/>
              <w:left w:w="115" w:type="dxa"/>
              <w:bottom w:w="0" w:type="dxa"/>
              <w:right w:w="115" w:type="dxa"/>
            </w:tcMar>
            <w:hideMark/>
          </w:tcPr>
          <w:p w14:paraId="4A95DD2F" w14:textId="77777777" w:rsidR="00C033B5" w:rsidRPr="00746567" w:rsidRDefault="00C033B5" w:rsidP="00C033B5">
            <w:pPr>
              <w:rPr>
                <w:rFonts w:asciiTheme="majorBidi" w:hAnsiTheme="majorBidi" w:cstheme="majorBidi"/>
              </w:rPr>
            </w:pPr>
            <w:r w:rsidRPr="00746567">
              <w:rPr>
                <w:rFonts w:asciiTheme="majorBidi" w:hAnsiTheme="majorBidi" w:cstheme="majorBidi"/>
              </w:rPr>
              <w:t>0.0513</w:t>
            </w:r>
          </w:p>
        </w:tc>
        <w:tc>
          <w:tcPr>
            <w:tcW w:w="0" w:type="auto"/>
            <w:tcMar>
              <w:top w:w="0" w:type="dxa"/>
              <w:left w:w="115" w:type="dxa"/>
              <w:bottom w:w="0" w:type="dxa"/>
              <w:right w:w="115" w:type="dxa"/>
            </w:tcMar>
            <w:hideMark/>
          </w:tcPr>
          <w:p w14:paraId="72531DE0" w14:textId="77777777" w:rsidR="00C033B5" w:rsidRPr="00746567" w:rsidRDefault="00C033B5" w:rsidP="00C033B5">
            <w:pPr>
              <w:rPr>
                <w:rFonts w:asciiTheme="majorBidi" w:hAnsiTheme="majorBidi" w:cstheme="majorBidi"/>
              </w:rPr>
            </w:pPr>
            <w:r w:rsidRPr="00746567">
              <w:rPr>
                <w:rFonts w:asciiTheme="majorBidi" w:hAnsiTheme="majorBidi" w:cstheme="majorBidi"/>
              </w:rPr>
              <w:t>0.2948</w:t>
            </w:r>
          </w:p>
        </w:tc>
        <w:tc>
          <w:tcPr>
            <w:tcW w:w="0" w:type="auto"/>
            <w:tcMar>
              <w:top w:w="0" w:type="dxa"/>
              <w:left w:w="115" w:type="dxa"/>
              <w:bottom w:w="0" w:type="dxa"/>
              <w:right w:w="115" w:type="dxa"/>
            </w:tcMar>
            <w:hideMark/>
          </w:tcPr>
          <w:p w14:paraId="79AE175A" w14:textId="77777777" w:rsidR="00C033B5" w:rsidRPr="00746567" w:rsidRDefault="00C033B5" w:rsidP="00C033B5">
            <w:pPr>
              <w:rPr>
                <w:rFonts w:asciiTheme="majorBidi" w:hAnsiTheme="majorBidi" w:cstheme="majorBidi"/>
              </w:rPr>
            </w:pPr>
            <w:r w:rsidRPr="00746567">
              <w:rPr>
                <w:rFonts w:asciiTheme="majorBidi" w:hAnsiTheme="majorBidi" w:cstheme="majorBidi"/>
              </w:rPr>
              <w:t>0.0579</w:t>
            </w:r>
          </w:p>
        </w:tc>
      </w:tr>
      <w:tr w:rsidR="00C033B5" w:rsidRPr="00746567" w14:paraId="1D80CA94" w14:textId="77777777">
        <w:trPr>
          <w:trHeight w:val="20"/>
        </w:trPr>
        <w:tc>
          <w:tcPr>
            <w:tcW w:w="0" w:type="auto"/>
            <w:tcBorders>
              <w:bottom w:val="single" w:sz="4" w:space="0" w:color="000000"/>
            </w:tcBorders>
            <w:tcMar>
              <w:top w:w="0" w:type="dxa"/>
              <w:left w:w="115" w:type="dxa"/>
              <w:bottom w:w="0" w:type="dxa"/>
              <w:right w:w="115" w:type="dxa"/>
            </w:tcMar>
            <w:vAlign w:val="center"/>
            <w:hideMark/>
          </w:tcPr>
          <w:p w14:paraId="1BBEE5DB" w14:textId="77777777" w:rsidR="00C033B5" w:rsidRPr="00746567" w:rsidRDefault="00C033B5" w:rsidP="00C033B5">
            <w:pPr>
              <w:rPr>
                <w:rFonts w:asciiTheme="majorBidi" w:hAnsiTheme="majorBidi" w:cstheme="majorBidi"/>
              </w:rPr>
            </w:pPr>
            <w:r w:rsidRPr="00746567">
              <w:rPr>
                <w:rFonts w:asciiTheme="majorBidi" w:hAnsiTheme="majorBidi" w:cstheme="majorBidi"/>
              </w:rPr>
              <w:lastRenderedPageBreak/>
              <w:t>N</w:t>
            </w:r>
          </w:p>
        </w:tc>
        <w:tc>
          <w:tcPr>
            <w:tcW w:w="0" w:type="auto"/>
            <w:tcBorders>
              <w:bottom w:val="single" w:sz="4" w:space="0" w:color="000000"/>
            </w:tcBorders>
            <w:tcMar>
              <w:top w:w="0" w:type="dxa"/>
              <w:left w:w="115" w:type="dxa"/>
              <w:bottom w:w="0" w:type="dxa"/>
              <w:right w:w="115" w:type="dxa"/>
            </w:tcMar>
            <w:vAlign w:val="center"/>
            <w:hideMark/>
          </w:tcPr>
          <w:p w14:paraId="0584C7A5" w14:textId="77777777" w:rsidR="00C033B5" w:rsidRPr="00746567" w:rsidRDefault="00C033B5" w:rsidP="00C033B5">
            <w:pPr>
              <w:rPr>
                <w:rFonts w:asciiTheme="majorBidi" w:hAnsiTheme="majorBidi" w:cstheme="majorBidi"/>
              </w:rPr>
            </w:pPr>
            <w:r w:rsidRPr="00746567">
              <w:rPr>
                <w:rFonts w:asciiTheme="majorBidi" w:hAnsiTheme="majorBidi" w:cstheme="majorBidi"/>
              </w:rPr>
              <w:t>1,452,900</w:t>
            </w:r>
          </w:p>
        </w:tc>
        <w:tc>
          <w:tcPr>
            <w:tcW w:w="0" w:type="auto"/>
            <w:tcBorders>
              <w:bottom w:val="single" w:sz="4" w:space="0" w:color="000000"/>
            </w:tcBorders>
            <w:tcMar>
              <w:top w:w="0" w:type="dxa"/>
              <w:left w:w="115" w:type="dxa"/>
              <w:bottom w:w="0" w:type="dxa"/>
              <w:right w:w="115" w:type="dxa"/>
            </w:tcMar>
            <w:vAlign w:val="center"/>
            <w:hideMark/>
          </w:tcPr>
          <w:p w14:paraId="51EBCA8D" w14:textId="77777777" w:rsidR="00C033B5" w:rsidRPr="00746567" w:rsidRDefault="00C033B5" w:rsidP="00C033B5">
            <w:pPr>
              <w:rPr>
                <w:rFonts w:asciiTheme="majorBidi" w:hAnsiTheme="majorBidi" w:cstheme="majorBidi"/>
              </w:rPr>
            </w:pPr>
            <w:r w:rsidRPr="00746567">
              <w:rPr>
                <w:rFonts w:asciiTheme="majorBidi" w:hAnsiTheme="majorBidi" w:cstheme="majorBidi"/>
              </w:rPr>
              <w:t>530,434</w:t>
            </w:r>
          </w:p>
        </w:tc>
        <w:tc>
          <w:tcPr>
            <w:tcW w:w="0" w:type="auto"/>
            <w:tcBorders>
              <w:bottom w:val="single" w:sz="4" w:space="0" w:color="000000"/>
            </w:tcBorders>
            <w:tcMar>
              <w:top w:w="0" w:type="dxa"/>
              <w:left w:w="115" w:type="dxa"/>
              <w:bottom w:w="0" w:type="dxa"/>
              <w:right w:w="115" w:type="dxa"/>
            </w:tcMar>
            <w:vAlign w:val="center"/>
            <w:hideMark/>
          </w:tcPr>
          <w:p w14:paraId="5DC6533F" w14:textId="77777777" w:rsidR="00C033B5" w:rsidRPr="00746567" w:rsidRDefault="00C033B5" w:rsidP="00C033B5">
            <w:pPr>
              <w:rPr>
                <w:rFonts w:asciiTheme="majorBidi" w:hAnsiTheme="majorBidi" w:cstheme="majorBidi"/>
              </w:rPr>
            </w:pPr>
            <w:r w:rsidRPr="00746567">
              <w:rPr>
                <w:rFonts w:asciiTheme="majorBidi" w:hAnsiTheme="majorBidi" w:cstheme="majorBidi"/>
              </w:rPr>
              <w:t>1,452,900</w:t>
            </w:r>
          </w:p>
        </w:tc>
        <w:tc>
          <w:tcPr>
            <w:tcW w:w="0" w:type="auto"/>
            <w:tcBorders>
              <w:bottom w:val="single" w:sz="4" w:space="0" w:color="000000"/>
            </w:tcBorders>
            <w:tcMar>
              <w:top w:w="0" w:type="dxa"/>
              <w:left w:w="115" w:type="dxa"/>
              <w:bottom w:w="0" w:type="dxa"/>
              <w:right w:w="115" w:type="dxa"/>
            </w:tcMar>
            <w:vAlign w:val="center"/>
            <w:hideMark/>
          </w:tcPr>
          <w:p w14:paraId="1C74716E" w14:textId="77777777" w:rsidR="00C033B5" w:rsidRPr="00746567" w:rsidRDefault="00C033B5" w:rsidP="00C033B5">
            <w:pPr>
              <w:rPr>
                <w:rFonts w:asciiTheme="majorBidi" w:hAnsiTheme="majorBidi" w:cstheme="majorBidi"/>
              </w:rPr>
            </w:pPr>
            <w:r w:rsidRPr="00746567">
              <w:rPr>
                <w:rFonts w:asciiTheme="majorBidi" w:hAnsiTheme="majorBidi" w:cstheme="majorBidi"/>
              </w:rPr>
              <w:t>530,434</w:t>
            </w:r>
          </w:p>
        </w:tc>
        <w:tc>
          <w:tcPr>
            <w:tcW w:w="0" w:type="auto"/>
            <w:tcBorders>
              <w:bottom w:val="single" w:sz="4" w:space="0" w:color="000000"/>
            </w:tcBorders>
            <w:tcMar>
              <w:top w:w="0" w:type="dxa"/>
              <w:left w:w="115" w:type="dxa"/>
              <w:bottom w:w="0" w:type="dxa"/>
              <w:right w:w="115" w:type="dxa"/>
            </w:tcMar>
            <w:vAlign w:val="center"/>
            <w:hideMark/>
          </w:tcPr>
          <w:p w14:paraId="3A303EC3" w14:textId="77777777" w:rsidR="00C033B5" w:rsidRPr="00746567" w:rsidRDefault="00C033B5" w:rsidP="00C033B5">
            <w:pPr>
              <w:rPr>
                <w:rFonts w:asciiTheme="majorBidi" w:hAnsiTheme="majorBidi" w:cstheme="majorBidi"/>
              </w:rPr>
            </w:pPr>
            <w:r w:rsidRPr="00746567">
              <w:rPr>
                <w:rFonts w:asciiTheme="majorBidi" w:hAnsiTheme="majorBidi" w:cstheme="majorBidi"/>
              </w:rPr>
              <w:t>1,404,090</w:t>
            </w:r>
          </w:p>
        </w:tc>
        <w:tc>
          <w:tcPr>
            <w:tcW w:w="0" w:type="auto"/>
            <w:tcBorders>
              <w:bottom w:val="single" w:sz="4" w:space="0" w:color="000000"/>
            </w:tcBorders>
            <w:tcMar>
              <w:top w:w="0" w:type="dxa"/>
              <w:left w:w="115" w:type="dxa"/>
              <w:bottom w:w="0" w:type="dxa"/>
              <w:right w:w="115" w:type="dxa"/>
            </w:tcMar>
            <w:vAlign w:val="center"/>
            <w:hideMark/>
          </w:tcPr>
          <w:p w14:paraId="67E48259" w14:textId="77777777" w:rsidR="00C033B5" w:rsidRPr="00746567" w:rsidRDefault="00C033B5" w:rsidP="00C033B5">
            <w:pPr>
              <w:rPr>
                <w:rFonts w:asciiTheme="majorBidi" w:hAnsiTheme="majorBidi" w:cstheme="majorBidi"/>
              </w:rPr>
            </w:pPr>
            <w:r w:rsidRPr="00746567">
              <w:rPr>
                <w:rFonts w:asciiTheme="majorBidi" w:hAnsiTheme="majorBidi" w:cstheme="majorBidi"/>
              </w:rPr>
              <w:t>213,088</w:t>
            </w:r>
          </w:p>
        </w:tc>
        <w:tc>
          <w:tcPr>
            <w:tcW w:w="0" w:type="auto"/>
            <w:tcBorders>
              <w:bottom w:val="single" w:sz="4" w:space="0" w:color="000000"/>
            </w:tcBorders>
            <w:tcMar>
              <w:top w:w="0" w:type="dxa"/>
              <w:left w:w="115" w:type="dxa"/>
              <w:bottom w:w="0" w:type="dxa"/>
              <w:right w:w="115" w:type="dxa"/>
            </w:tcMar>
            <w:vAlign w:val="center"/>
            <w:hideMark/>
          </w:tcPr>
          <w:p w14:paraId="4469836C" w14:textId="77777777" w:rsidR="00C033B5" w:rsidRPr="00746567" w:rsidRDefault="00C033B5" w:rsidP="00C033B5">
            <w:pPr>
              <w:rPr>
                <w:rFonts w:asciiTheme="majorBidi" w:hAnsiTheme="majorBidi" w:cstheme="majorBidi"/>
              </w:rPr>
            </w:pPr>
            <w:r w:rsidRPr="00746567">
              <w:rPr>
                <w:rFonts w:asciiTheme="majorBidi" w:hAnsiTheme="majorBidi" w:cstheme="majorBidi"/>
              </w:rPr>
              <w:t>1,404,090</w:t>
            </w:r>
          </w:p>
        </w:tc>
        <w:tc>
          <w:tcPr>
            <w:tcW w:w="0" w:type="auto"/>
            <w:tcBorders>
              <w:bottom w:val="single" w:sz="4" w:space="0" w:color="000000"/>
            </w:tcBorders>
            <w:tcMar>
              <w:top w:w="0" w:type="dxa"/>
              <w:left w:w="115" w:type="dxa"/>
              <w:bottom w:w="0" w:type="dxa"/>
              <w:right w:w="115" w:type="dxa"/>
            </w:tcMar>
            <w:vAlign w:val="center"/>
            <w:hideMark/>
          </w:tcPr>
          <w:p w14:paraId="1EE3A013" w14:textId="77777777" w:rsidR="00C033B5" w:rsidRPr="00746567" w:rsidRDefault="00C033B5" w:rsidP="00C033B5">
            <w:pPr>
              <w:rPr>
                <w:rFonts w:asciiTheme="majorBidi" w:hAnsiTheme="majorBidi" w:cstheme="majorBidi"/>
              </w:rPr>
            </w:pPr>
            <w:r w:rsidRPr="00746567">
              <w:rPr>
                <w:rFonts w:asciiTheme="majorBidi" w:hAnsiTheme="majorBidi" w:cstheme="majorBidi"/>
              </w:rPr>
              <w:t>213,088</w:t>
            </w:r>
          </w:p>
        </w:tc>
      </w:tr>
      <w:tr w:rsidR="00C033B5" w:rsidRPr="00746567" w14:paraId="195733F9" w14:textId="77777777">
        <w:trPr>
          <w:trHeight w:val="20"/>
        </w:trPr>
        <w:tc>
          <w:tcPr>
            <w:tcW w:w="0" w:type="auto"/>
            <w:gridSpan w:val="9"/>
            <w:tcBorders>
              <w:top w:val="single" w:sz="4" w:space="0" w:color="000000"/>
            </w:tcBorders>
            <w:tcMar>
              <w:top w:w="0" w:type="dxa"/>
              <w:left w:w="115" w:type="dxa"/>
              <w:bottom w:w="0" w:type="dxa"/>
              <w:right w:w="115" w:type="dxa"/>
            </w:tcMar>
            <w:vAlign w:val="center"/>
            <w:hideMark/>
          </w:tcPr>
          <w:p w14:paraId="70E842CA" w14:textId="77777777" w:rsidR="00C033B5" w:rsidRPr="00746567" w:rsidRDefault="00C033B5" w:rsidP="00C033B5">
            <w:pPr>
              <w:rPr>
                <w:rFonts w:asciiTheme="majorBidi" w:hAnsiTheme="majorBidi" w:cstheme="majorBidi"/>
              </w:rPr>
            </w:pPr>
            <w:r w:rsidRPr="00746567">
              <w:rPr>
                <w:rFonts w:asciiTheme="majorBidi" w:hAnsiTheme="majorBidi" w:cstheme="majorBidi"/>
                <w:i/>
                <w:iCs/>
              </w:rPr>
              <w:t>Note: The table reports the Tobit, and Beta regression analysis for the impact of skin in the game on interest rates in Panel A respectively. Panel B and C reports the margin coefficients of Probit and Fractional Probit regression for the impact of skin in the game on likelihood and severity of default respectively. Specification (1), (3), (5) and (7) in Panel A, B and C reports the results for claims respectively. Specification (2), (4), (6) and (8) in Panel A, B and C reports the results for notes respectively. All specifications of the model employ robust standard errors in parentheses. *, **, *** indicate significance at 10%, 5%, and 1% levels respectively.</w:t>
            </w:r>
          </w:p>
        </w:tc>
      </w:tr>
    </w:tbl>
    <w:p w14:paraId="1C53C909" w14:textId="77777777" w:rsidR="00E53478" w:rsidRDefault="00E53478" w:rsidP="00C033B5"/>
    <w:p w14:paraId="4171A336" w14:textId="622ABAF9" w:rsidR="00C033B5" w:rsidRPr="00746567" w:rsidRDefault="00C033B5" w:rsidP="00746567">
      <w:pPr>
        <w:jc w:val="center"/>
        <w:rPr>
          <w:rFonts w:asciiTheme="majorBidi" w:hAnsiTheme="majorBidi" w:cstheme="majorBidi"/>
        </w:rPr>
      </w:pPr>
      <w:r w:rsidRPr="00746567">
        <w:rPr>
          <w:rFonts w:asciiTheme="majorBidi" w:hAnsiTheme="majorBidi" w:cstheme="majorBidi"/>
          <w:b/>
          <w:bCs/>
        </w:rPr>
        <w:t>Appendix Table A10</w:t>
      </w:r>
      <w:r w:rsidRPr="00746567">
        <w:rPr>
          <w:rFonts w:asciiTheme="majorBidi" w:hAnsiTheme="majorBidi" w:cstheme="majorBidi"/>
        </w:rPr>
        <w:t>: Robustness Tests - Time Horizon</w:t>
      </w:r>
    </w:p>
    <w:tbl>
      <w:tblPr>
        <w:tblW w:w="0" w:type="auto"/>
        <w:tblCellMar>
          <w:top w:w="15" w:type="dxa"/>
          <w:left w:w="15" w:type="dxa"/>
          <w:bottom w:w="15" w:type="dxa"/>
          <w:right w:w="15" w:type="dxa"/>
        </w:tblCellMar>
        <w:tblLook w:val="04A0" w:firstRow="1" w:lastRow="0" w:firstColumn="1" w:lastColumn="0" w:noHBand="0" w:noVBand="1"/>
      </w:tblPr>
      <w:tblGrid>
        <w:gridCol w:w="1804"/>
        <w:gridCol w:w="1203"/>
        <w:gridCol w:w="1203"/>
        <w:gridCol w:w="1204"/>
        <w:gridCol w:w="1204"/>
        <w:gridCol w:w="1204"/>
        <w:gridCol w:w="1204"/>
      </w:tblGrid>
      <w:tr w:rsidR="00C033B5" w:rsidRPr="00746567" w14:paraId="7756A33A" w14:textId="77777777">
        <w:trPr>
          <w:trHeight w:val="20"/>
        </w:trPr>
        <w:tc>
          <w:tcPr>
            <w:tcW w:w="0" w:type="auto"/>
            <w:tcBorders>
              <w:top w:val="single" w:sz="4" w:space="0" w:color="000000"/>
            </w:tcBorders>
            <w:tcMar>
              <w:top w:w="0" w:type="dxa"/>
              <w:left w:w="115" w:type="dxa"/>
              <w:bottom w:w="0" w:type="dxa"/>
              <w:right w:w="115" w:type="dxa"/>
            </w:tcMar>
            <w:hideMark/>
          </w:tcPr>
          <w:p w14:paraId="3F8F1A98" w14:textId="77777777" w:rsidR="00C033B5" w:rsidRPr="00746567"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hideMark/>
          </w:tcPr>
          <w:p w14:paraId="6FFC1A19"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PANEL A</w:t>
            </w:r>
          </w:p>
        </w:tc>
        <w:tc>
          <w:tcPr>
            <w:tcW w:w="0" w:type="auto"/>
            <w:tcBorders>
              <w:top w:val="single" w:sz="4" w:space="0" w:color="000000"/>
              <w:bottom w:val="single" w:sz="4" w:space="0" w:color="000000"/>
            </w:tcBorders>
            <w:tcMar>
              <w:top w:w="0" w:type="dxa"/>
              <w:left w:w="115" w:type="dxa"/>
              <w:bottom w:w="0" w:type="dxa"/>
              <w:right w:w="115" w:type="dxa"/>
            </w:tcMar>
            <w:hideMark/>
          </w:tcPr>
          <w:p w14:paraId="35822BF7" w14:textId="77777777" w:rsidR="00C033B5" w:rsidRPr="00746567"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hideMark/>
          </w:tcPr>
          <w:p w14:paraId="5DDD785F"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PANEL B</w:t>
            </w:r>
          </w:p>
        </w:tc>
        <w:tc>
          <w:tcPr>
            <w:tcW w:w="0" w:type="auto"/>
            <w:tcBorders>
              <w:top w:val="single" w:sz="4" w:space="0" w:color="000000"/>
              <w:bottom w:val="single" w:sz="4" w:space="0" w:color="000000"/>
            </w:tcBorders>
            <w:tcMar>
              <w:top w:w="0" w:type="dxa"/>
              <w:left w:w="115" w:type="dxa"/>
              <w:bottom w:w="0" w:type="dxa"/>
              <w:right w:w="115" w:type="dxa"/>
            </w:tcMar>
            <w:hideMark/>
          </w:tcPr>
          <w:p w14:paraId="145FC5F5" w14:textId="77777777" w:rsidR="00C033B5" w:rsidRPr="00746567"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hideMark/>
          </w:tcPr>
          <w:p w14:paraId="3939FBA1"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PANEL C</w:t>
            </w:r>
          </w:p>
        </w:tc>
        <w:tc>
          <w:tcPr>
            <w:tcW w:w="0" w:type="auto"/>
            <w:tcBorders>
              <w:top w:val="single" w:sz="4" w:space="0" w:color="000000"/>
              <w:bottom w:val="single" w:sz="4" w:space="0" w:color="000000"/>
            </w:tcBorders>
            <w:tcMar>
              <w:top w:w="0" w:type="dxa"/>
              <w:left w:w="115" w:type="dxa"/>
              <w:bottom w:w="0" w:type="dxa"/>
              <w:right w:w="115" w:type="dxa"/>
            </w:tcMar>
            <w:hideMark/>
          </w:tcPr>
          <w:p w14:paraId="00772F1A" w14:textId="77777777" w:rsidR="00C033B5" w:rsidRPr="00746567" w:rsidRDefault="00C033B5" w:rsidP="00C033B5">
            <w:pPr>
              <w:rPr>
                <w:rFonts w:asciiTheme="majorBidi" w:hAnsiTheme="majorBidi" w:cstheme="majorBidi"/>
              </w:rPr>
            </w:pPr>
          </w:p>
        </w:tc>
      </w:tr>
      <w:tr w:rsidR="00C033B5" w:rsidRPr="00746567" w14:paraId="035009B2" w14:textId="77777777">
        <w:trPr>
          <w:trHeight w:val="20"/>
        </w:trPr>
        <w:tc>
          <w:tcPr>
            <w:tcW w:w="0" w:type="auto"/>
            <w:tcBorders>
              <w:bottom w:val="single" w:sz="4" w:space="0" w:color="000000"/>
            </w:tcBorders>
            <w:tcMar>
              <w:top w:w="0" w:type="dxa"/>
              <w:left w:w="115" w:type="dxa"/>
              <w:bottom w:w="0" w:type="dxa"/>
              <w:right w:w="115" w:type="dxa"/>
            </w:tcMar>
            <w:hideMark/>
          </w:tcPr>
          <w:p w14:paraId="51C0DD69"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Variables</w:t>
            </w:r>
          </w:p>
        </w:tc>
        <w:tc>
          <w:tcPr>
            <w:tcW w:w="0" w:type="auto"/>
            <w:tcBorders>
              <w:top w:val="single" w:sz="4" w:space="0" w:color="000000"/>
              <w:bottom w:val="single" w:sz="4" w:space="0" w:color="000000"/>
            </w:tcBorders>
            <w:tcMar>
              <w:top w:w="0" w:type="dxa"/>
              <w:left w:w="115" w:type="dxa"/>
              <w:bottom w:w="0" w:type="dxa"/>
              <w:right w:w="115" w:type="dxa"/>
            </w:tcMar>
            <w:hideMark/>
          </w:tcPr>
          <w:p w14:paraId="6EFAD564"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1)</w:t>
            </w:r>
          </w:p>
        </w:tc>
        <w:tc>
          <w:tcPr>
            <w:tcW w:w="0" w:type="auto"/>
            <w:tcBorders>
              <w:top w:val="single" w:sz="4" w:space="0" w:color="000000"/>
              <w:bottom w:val="single" w:sz="4" w:space="0" w:color="000000"/>
            </w:tcBorders>
            <w:tcMar>
              <w:top w:w="0" w:type="dxa"/>
              <w:left w:w="115" w:type="dxa"/>
              <w:bottom w:w="0" w:type="dxa"/>
              <w:right w:w="115" w:type="dxa"/>
            </w:tcMar>
            <w:hideMark/>
          </w:tcPr>
          <w:p w14:paraId="27D94BC6"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2)</w:t>
            </w:r>
          </w:p>
        </w:tc>
        <w:tc>
          <w:tcPr>
            <w:tcW w:w="0" w:type="auto"/>
            <w:tcBorders>
              <w:top w:val="single" w:sz="4" w:space="0" w:color="000000"/>
              <w:bottom w:val="single" w:sz="4" w:space="0" w:color="000000"/>
            </w:tcBorders>
            <w:tcMar>
              <w:top w:w="0" w:type="dxa"/>
              <w:left w:w="115" w:type="dxa"/>
              <w:bottom w:w="0" w:type="dxa"/>
              <w:right w:w="115" w:type="dxa"/>
            </w:tcMar>
            <w:hideMark/>
          </w:tcPr>
          <w:p w14:paraId="563CBAE1"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3)</w:t>
            </w:r>
          </w:p>
        </w:tc>
        <w:tc>
          <w:tcPr>
            <w:tcW w:w="0" w:type="auto"/>
            <w:tcBorders>
              <w:top w:val="single" w:sz="4" w:space="0" w:color="000000"/>
              <w:bottom w:val="single" w:sz="4" w:space="0" w:color="000000"/>
            </w:tcBorders>
            <w:tcMar>
              <w:top w:w="0" w:type="dxa"/>
              <w:left w:w="115" w:type="dxa"/>
              <w:bottom w:w="0" w:type="dxa"/>
              <w:right w:w="115" w:type="dxa"/>
            </w:tcMar>
            <w:hideMark/>
          </w:tcPr>
          <w:p w14:paraId="72DA1C4E"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4)</w:t>
            </w:r>
          </w:p>
        </w:tc>
        <w:tc>
          <w:tcPr>
            <w:tcW w:w="0" w:type="auto"/>
            <w:tcBorders>
              <w:top w:val="single" w:sz="4" w:space="0" w:color="000000"/>
              <w:bottom w:val="single" w:sz="4" w:space="0" w:color="000000"/>
            </w:tcBorders>
            <w:tcMar>
              <w:top w:w="0" w:type="dxa"/>
              <w:left w:w="115" w:type="dxa"/>
              <w:bottom w:w="0" w:type="dxa"/>
              <w:right w:w="115" w:type="dxa"/>
            </w:tcMar>
            <w:hideMark/>
          </w:tcPr>
          <w:p w14:paraId="347CE2FC"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5)</w:t>
            </w:r>
          </w:p>
        </w:tc>
        <w:tc>
          <w:tcPr>
            <w:tcW w:w="0" w:type="auto"/>
            <w:tcBorders>
              <w:top w:val="single" w:sz="4" w:space="0" w:color="000000"/>
              <w:bottom w:val="single" w:sz="4" w:space="0" w:color="000000"/>
            </w:tcBorders>
            <w:tcMar>
              <w:top w:w="0" w:type="dxa"/>
              <w:left w:w="115" w:type="dxa"/>
              <w:bottom w:w="0" w:type="dxa"/>
              <w:right w:w="115" w:type="dxa"/>
            </w:tcMar>
            <w:hideMark/>
          </w:tcPr>
          <w:p w14:paraId="361CA0C2"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6)</w:t>
            </w:r>
          </w:p>
        </w:tc>
      </w:tr>
      <w:tr w:rsidR="00C033B5" w:rsidRPr="00746567" w14:paraId="14717474" w14:textId="77777777">
        <w:trPr>
          <w:trHeight w:val="20"/>
        </w:trPr>
        <w:tc>
          <w:tcPr>
            <w:tcW w:w="0" w:type="auto"/>
            <w:tcBorders>
              <w:top w:val="single" w:sz="4" w:space="0" w:color="000000"/>
            </w:tcBorders>
            <w:tcMar>
              <w:top w:w="0" w:type="dxa"/>
              <w:left w:w="115" w:type="dxa"/>
              <w:bottom w:w="0" w:type="dxa"/>
              <w:right w:w="115" w:type="dxa"/>
            </w:tcMar>
            <w:hideMark/>
          </w:tcPr>
          <w:p w14:paraId="3090B5A0" w14:textId="77777777" w:rsidR="00C033B5" w:rsidRPr="00746567" w:rsidRDefault="00C033B5" w:rsidP="00C033B5">
            <w:pPr>
              <w:rPr>
                <w:rFonts w:asciiTheme="majorBidi" w:hAnsiTheme="majorBidi" w:cstheme="majorBidi"/>
              </w:rPr>
            </w:pPr>
            <w:r w:rsidRPr="00746567">
              <w:rPr>
                <w:rFonts w:asciiTheme="majorBidi" w:hAnsiTheme="majorBidi" w:cstheme="majorBidi"/>
              </w:rPr>
              <w:t>SITG</w:t>
            </w:r>
          </w:p>
        </w:tc>
        <w:tc>
          <w:tcPr>
            <w:tcW w:w="0" w:type="auto"/>
            <w:tcBorders>
              <w:top w:val="single" w:sz="4" w:space="0" w:color="000000"/>
            </w:tcBorders>
            <w:tcMar>
              <w:top w:w="0" w:type="dxa"/>
              <w:left w:w="115" w:type="dxa"/>
              <w:bottom w:w="0" w:type="dxa"/>
              <w:right w:w="115" w:type="dxa"/>
            </w:tcMar>
            <w:hideMark/>
          </w:tcPr>
          <w:p w14:paraId="3A948B4D" w14:textId="77777777" w:rsidR="00C033B5" w:rsidRPr="00746567" w:rsidRDefault="00C033B5" w:rsidP="00C033B5">
            <w:pPr>
              <w:rPr>
                <w:rFonts w:asciiTheme="majorBidi" w:hAnsiTheme="majorBidi" w:cstheme="majorBidi"/>
              </w:rPr>
            </w:pPr>
            <w:r w:rsidRPr="00746567">
              <w:rPr>
                <w:rFonts w:asciiTheme="majorBidi" w:hAnsiTheme="majorBidi" w:cstheme="majorBidi"/>
              </w:rPr>
              <w:t>-0.1191***</w:t>
            </w:r>
          </w:p>
        </w:tc>
        <w:tc>
          <w:tcPr>
            <w:tcW w:w="0" w:type="auto"/>
            <w:tcBorders>
              <w:top w:val="single" w:sz="4" w:space="0" w:color="000000"/>
            </w:tcBorders>
            <w:tcMar>
              <w:top w:w="0" w:type="dxa"/>
              <w:left w:w="115" w:type="dxa"/>
              <w:bottom w:w="0" w:type="dxa"/>
              <w:right w:w="115" w:type="dxa"/>
            </w:tcMar>
            <w:hideMark/>
          </w:tcPr>
          <w:p w14:paraId="6FB0E116" w14:textId="77777777" w:rsidR="00C033B5" w:rsidRPr="00746567" w:rsidRDefault="00C033B5" w:rsidP="00C033B5">
            <w:pPr>
              <w:rPr>
                <w:rFonts w:asciiTheme="majorBidi" w:hAnsiTheme="majorBidi" w:cstheme="majorBidi"/>
              </w:rPr>
            </w:pPr>
            <w:r w:rsidRPr="00746567">
              <w:rPr>
                <w:rFonts w:asciiTheme="majorBidi" w:hAnsiTheme="majorBidi" w:cstheme="majorBidi"/>
              </w:rPr>
              <w:t>-0.5052***</w:t>
            </w:r>
          </w:p>
        </w:tc>
        <w:tc>
          <w:tcPr>
            <w:tcW w:w="0" w:type="auto"/>
            <w:tcBorders>
              <w:top w:val="single" w:sz="4" w:space="0" w:color="000000"/>
            </w:tcBorders>
            <w:tcMar>
              <w:top w:w="0" w:type="dxa"/>
              <w:left w:w="115" w:type="dxa"/>
              <w:bottom w:w="0" w:type="dxa"/>
              <w:right w:w="115" w:type="dxa"/>
            </w:tcMar>
            <w:hideMark/>
          </w:tcPr>
          <w:p w14:paraId="6FB7FA35" w14:textId="77777777" w:rsidR="00C033B5" w:rsidRPr="00746567" w:rsidRDefault="00C033B5" w:rsidP="00C033B5">
            <w:pPr>
              <w:rPr>
                <w:rFonts w:asciiTheme="majorBidi" w:hAnsiTheme="majorBidi" w:cstheme="majorBidi"/>
              </w:rPr>
            </w:pPr>
            <w:r w:rsidRPr="00746567">
              <w:rPr>
                <w:rFonts w:asciiTheme="majorBidi" w:hAnsiTheme="majorBidi" w:cstheme="majorBidi"/>
              </w:rPr>
              <w:t>-0.0258***</w:t>
            </w:r>
          </w:p>
        </w:tc>
        <w:tc>
          <w:tcPr>
            <w:tcW w:w="0" w:type="auto"/>
            <w:tcBorders>
              <w:top w:val="single" w:sz="4" w:space="0" w:color="000000"/>
            </w:tcBorders>
            <w:tcMar>
              <w:top w:w="0" w:type="dxa"/>
              <w:left w:w="115" w:type="dxa"/>
              <w:bottom w:w="0" w:type="dxa"/>
              <w:right w:w="115" w:type="dxa"/>
            </w:tcMar>
            <w:hideMark/>
          </w:tcPr>
          <w:p w14:paraId="0006AEC8" w14:textId="77777777" w:rsidR="00C033B5" w:rsidRPr="00746567" w:rsidRDefault="00C033B5" w:rsidP="00C033B5">
            <w:pPr>
              <w:rPr>
                <w:rFonts w:asciiTheme="majorBidi" w:hAnsiTheme="majorBidi" w:cstheme="majorBidi"/>
              </w:rPr>
            </w:pPr>
            <w:r w:rsidRPr="00746567">
              <w:rPr>
                <w:rFonts w:asciiTheme="majorBidi" w:hAnsiTheme="majorBidi" w:cstheme="majorBidi"/>
              </w:rPr>
              <w:t>-1.9203***</w:t>
            </w:r>
          </w:p>
        </w:tc>
        <w:tc>
          <w:tcPr>
            <w:tcW w:w="0" w:type="auto"/>
            <w:tcBorders>
              <w:top w:val="single" w:sz="4" w:space="0" w:color="000000"/>
            </w:tcBorders>
            <w:tcMar>
              <w:top w:w="0" w:type="dxa"/>
              <w:left w:w="115" w:type="dxa"/>
              <w:bottom w:w="0" w:type="dxa"/>
              <w:right w:w="115" w:type="dxa"/>
            </w:tcMar>
            <w:hideMark/>
          </w:tcPr>
          <w:p w14:paraId="1B6BD4F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-0.0084***</w:t>
            </w:r>
          </w:p>
        </w:tc>
        <w:tc>
          <w:tcPr>
            <w:tcW w:w="0" w:type="auto"/>
            <w:tcBorders>
              <w:top w:val="single" w:sz="4" w:space="0" w:color="000000"/>
            </w:tcBorders>
            <w:tcMar>
              <w:top w:w="0" w:type="dxa"/>
              <w:left w:w="115" w:type="dxa"/>
              <w:bottom w:w="0" w:type="dxa"/>
              <w:right w:w="115" w:type="dxa"/>
            </w:tcMar>
            <w:hideMark/>
          </w:tcPr>
          <w:p w14:paraId="12D51ACA" w14:textId="77777777" w:rsidR="00C033B5" w:rsidRPr="00746567" w:rsidRDefault="00C033B5" w:rsidP="00C033B5">
            <w:pPr>
              <w:rPr>
                <w:rFonts w:asciiTheme="majorBidi" w:hAnsiTheme="majorBidi" w:cstheme="majorBidi"/>
              </w:rPr>
            </w:pPr>
            <w:r w:rsidRPr="00746567">
              <w:rPr>
                <w:rFonts w:asciiTheme="majorBidi" w:hAnsiTheme="majorBidi" w:cstheme="majorBidi"/>
              </w:rPr>
              <w:t>-1.0874***</w:t>
            </w:r>
          </w:p>
        </w:tc>
      </w:tr>
      <w:tr w:rsidR="00C033B5" w:rsidRPr="00746567" w14:paraId="74777EE7" w14:textId="77777777">
        <w:trPr>
          <w:trHeight w:val="20"/>
        </w:trPr>
        <w:tc>
          <w:tcPr>
            <w:tcW w:w="0" w:type="auto"/>
            <w:tcMar>
              <w:top w:w="0" w:type="dxa"/>
              <w:left w:w="115" w:type="dxa"/>
              <w:bottom w:w="0" w:type="dxa"/>
              <w:right w:w="115" w:type="dxa"/>
            </w:tcMar>
            <w:hideMark/>
          </w:tcPr>
          <w:p w14:paraId="5F8D3B0A"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81ED19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(0.0037)</w:t>
            </w:r>
          </w:p>
        </w:tc>
        <w:tc>
          <w:tcPr>
            <w:tcW w:w="0" w:type="auto"/>
            <w:tcMar>
              <w:top w:w="0" w:type="dxa"/>
              <w:left w:w="115" w:type="dxa"/>
              <w:bottom w:w="0" w:type="dxa"/>
              <w:right w:w="115" w:type="dxa"/>
            </w:tcMar>
            <w:hideMark/>
          </w:tcPr>
          <w:p w14:paraId="615C4BD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(0.0046)</w:t>
            </w:r>
          </w:p>
        </w:tc>
        <w:tc>
          <w:tcPr>
            <w:tcW w:w="0" w:type="auto"/>
            <w:tcMar>
              <w:top w:w="0" w:type="dxa"/>
              <w:left w:w="115" w:type="dxa"/>
              <w:bottom w:w="0" w:type="dxa"/>
              <w:right w:w="115" w:type="dxa"/>
            </w:tcMar>
            <w:hideMark/>
          </w:tcPr>
          <w:p w14:paraId="2CD6BF8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(0.0042)</w:t>
            </w:r>
          </w:p>
        </w:tc>
        <w:tc>
          <w:tcPr>
            <w:tcW w:w="0" w:type="auto"/>
            <w:tcMar>
              <w:top w:w="0" w:type="dxa"/>
              <w:left w:w="115" w:type="dxa"/>
              <w:bottom w:w="0" w:type="dxa"/>
              <w:right w:w="115" w:type="dxa"/>
            </w:tcMar>
            <w:hideMark/>
          </w:tcPr>
          <w:p w14:paraId="457EE6B3" w14:textId="77777777" w:rsidR="00C033B5" w:rsidRPr="00746567" w:rsidRDefault="00C033B5" w:rsidP="00C033B5">
            <w:pPr>
              <w:rPr>
                <w:rFonts w:asciiTheme="majorBidi" w:hAnsiTheme="majorBidi" w:cstheme="majorBidi"/>
              </w:rPr>
            </w:pPr>
            <w:r w:rsidRPr="00746567">
              <w:rPr>
                <w:rFonts w:asciiTheme="majorBidi" w:hAnsiTheme="majorBidi" w:cstheme="majorBidi"/>
              </w:rPr>
              <w:t>(0.1164)</w:t>
            </w:r>
          </w:p>
        </w:tc>
        <w:tc>
          <w:tcPr>
            <w:tcW w:w="0" w:type="auto"/>
            <w:tcMar>
              <w:top w:w="0" w:type="dxa"/>
              <w:left w:w="115" w:type="dxa"/>
              <w:bottom w:w="0" w:type="dxa"/>
              <w:right w:w="115" w:type="dxa"/>
            </w:tcMar>
            <w:hideMark/>
          </w:tcPr>
          <w:p w14:paraId="30654B8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(0.0025)</w:t>
            </w:r>
          </w:p>
        </w:tc>
        <w:tc>
          <w:tcPr>
            <w:tcW w:w="0" w:type="auto"/>
            <w:tcMar>
              <w:top w:w="0" w:type="dxa"/>
              <w:left w:w="115" w:type="dxa"/>
              <w:bottom w:w="0" w:type="dxa"/>
              <w:right w:w="115" w:type="dxa"/>
            </w:tcMar>
            <w:hideMark/>
          </w:tcPr>
          <w:p w14:paraId="390E4B9C" w14:textId="77777777" w:rsidR="00C033B5" w:rsidRPr="00746567" w:rsidRDefault="00C033B5" w:rsidP="00C033B5">
            <w:pPr>
              <w:rPr>
                <w:rFonts w:asciiTheme="majorBidi" w:hAnsiTheme="majorBidi" w:cstheme="majorBidi"/>
              </w:rPr>
            </w:pPr>
            <w:r w:rsidRPr="00746567">
              <w:rPr>
                <w:rFonts w:asciiTheme="majorBidi" w:hAnsiTheme="majorBidi" w:cstheme="majorBidi"/>
              </w:rPr>
              <w:t>(0.1067)</w:t>
            </w:r>
          </w:p>
        </w:tc>
      </w:tr>
      <w:tr w:rsidR="00C033B5" w:rsidRPr="00746567" w14:paraId="6789D990" w14:textId="77777777">
        <w:trPr>
          <w:trHeight w:val="20"/>
        </w:trPr>
        <w:tc>
          <w:tcPr>
            <w:tcW w:w="0" w:type="auto"/>
            <w:tcMar>
              <w:top w:w="0" w:type="dxa"/>
              <w:left w:w="115" w:type="dxa"/>
              <w:bottom w:w="0" w:type="dxa"/>
              <w:right w:w="115" w:type="dxa"/>
            </w:tcMar>
            <w:hideMark/>
          </w:tcPr>
          <w:p w14:paraId="274C5EF4" w14:textId="77777777" w:rsidR="00C033B5" w:rsidRPr="00746567" w:rsidRDefault="00C033B5" w:rsidP="00C033B5">
            <w:pPr>
              <w:rPr>
                <w:rFonts w:asciiTheme="majorBidi" w:hAnsiTheme="majorBidi" w:cstheme="majorBidi"/>
              </w:rPr>
            </w:pPr>
            <w:r w:rsidRPr="00746567">
              <w:rPr>
                <w:rFonts w:asciiTheme="majorBidi" w:hAnsiTheme="majorBidi" w:cstheme="majorBidi"/>
              </w:rPr>
              <w:t>Term</w:t>
            </w:r>
          </w:p>
        </w:tc>
        <w:tc>
          <w:tcPr>
            <w:tcW w:w="0" w:type="auto"/>
            <w:tcMar>
              <w:top w:w="0" w:type="dxa"/>
              <w:left w:w="115" w:type="dxa"/>
              <w:bottom w:w="0" w:type="dxa"/>
              <w:right w:w="115" w:type="dxa"/>
            </w:tcMar>
            <w:hideMark/>
          </w:tcPr>
          <w:p w14:paraId="37E3740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0.0005***</w:t>
            </w:r>
          </w:p>
        </w:tc>
        <w:tc>
          <w:tcPr>
            <w:tcW w:w="0" w:type="auto"/>
            <w:tcMar>
              <w:top w:w="0" w:type="dxa"/>
              <w:left w:w="115" w:type="dxa"/>
              <w:bottom w:w="0" w:type="dxa"/>
              <w:right w:w="115" w:type="dxa"/>
            </w:tcMar>
            <w:hideMark/>
          </w:tcPr>
          <w:p w14:paraId="2BE64180" w14:textId="77777777" w:rsidR="00C033B5" w:rsidRPr="00746567" w:rsidRDefault="00C033B5" w:rsidP="00C033B5">
            <w:pPr>
              <w:rPr>
                <w:rFonts w:asciiTheme="majorBidi" w:hAnsiTheme="majorBidi" w:cstheme="majorBidi"/>
              </w:rPr>
            </w:pPr>
            <w:r w:rsidRPr="00746567">
              <w:rPr>
                <w:rFonts w:asciiTheme="majorBidi" w:hAnsiTheme="majorBidi" w:cstheme="majorBidi"/>
              </w:rPr>
              <w:t>0.0159***</w:t>
            </w:r>
          </w:p>
        </w:tc>
        <w:tc>
          <w:tcPr>
            <w:tcW w:w="0" w:type="auto"/>
            <w:tcMar>
              <w:top w:w="0" w:type="dxa"/>
              <w:left w:w="115" w:type="dxa"/>
              <w:bottom w:w="0" w:type="dxa"/>
              <w:right w:w="115" w:type="dxa"/>
            </w:tcMar>
            <w:hideMark/>
          </w:tcPr>
          <w:p w14:paraId="3B6B9DF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2A9918F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-0.0010***</w:t>
            </w:r>
          </w:p>
        </w:tc>
        <w:tc>
          <w:tcPr>
            <w:tcW w:w="0" w:type="auto"/>
            <w:tcMar>
              <w:top w:w="0" w:type="dxa"/>
              <w:left w:w="115" w:type="dxa"/>
              <w:bottom w:w="0" w:type="dxa"/>
              <w:right w:w="115" w:type="dxa"/>
            </w:tcMar>
            <w:hideMark/>
          </w:tcPr>
          <w:p w14:paraId="4E5F0FE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0.0005***</w:t>
            </w:r>
          </w:p>
        </w:tc>
        <w:tc>
          <w:tcPr>
            <w:tcW w:w="0" w:type="auto"/>
            <w:tcMar>
              <w:top w:w="0" w:type="dxa"/>
              <w:left w:w="115" w:type="dxa"/>
              <w:bottom w:w="0" w:type="dxa"/>
              <w:right w:w="115" w:type="dxa"/>
            </w:tcMar>
            <w:hideMark/>
          </w:tcPr>
          <w:p w14:paraId="2FF1BA6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-0.0006***</w:t>
            </w:r>
          </w:p>
        </w:tc>
      </w:tr>
      <w:tr w:rsidR="00C033B5" w:rsidRPr="00746567" w14:paraId="3BACF6C3" w14:textId="77777777">
        <w:trPr>
          <w:trHeight w:val="20"/>
        </w:trPr>
        <w:tc>
          <w:tcPr>
            <w:tcW w:w="0" w:type="auto"/>
            <w:tcMar>
              <w:top w:w="0" w:type="dxa"/>
              <w:left w:w="115" w:type="dxa"/>
              <w:bottom w:w="0" w:type="dxa"/>
              <w:right w:w="115" w:type="dxa"/>
            </w:tcMar>
            <w:hideMark/>
          </w:tcPr>
          <w:p w14:paraId="2E6C4DB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0BEE4E9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504A641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(0.0003)</w:t>
            </w:r>
          </w:p>
        </w:tc>
        <w:tc>
          <w:tcPr>
            <w:tcW w:w="0" w:type="auto"/>
            <w:tcMar>
              <w:top w:w="0" w:type="dxa"/>
              <w:left w:w="115" w:type="dxa"/>
              <w:bottom w:w="0" w:type="dxa"/>
              <w:right w:w="115" w:type="dxa"/>
            </w:tcMar>
            <w:hideMark/>
          </w:tcPr>
          <w:p w14:paraId="50EE2FF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5CB2719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44BB9DE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6CA61CD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r>
      <w:tr w:rsidR="00C033B5" w:rsidRPr="00746567" w14:paraId="62507302" w14:textId="77777777">
        <w:trPr>
          <w:trHeight w:val="20"/>
        </w:trPr>
        <w:tc>
          <w:tcPr>
            <w:tcW w:w="0" w:type="auto"/>
            <w:tcMar>
              <w:top w:w="0" w:type="dxa"/>
              <w:left w:w="115" w:type="dxa"/>
              <w:bottom w:w="0" w:type="dxa"/>
              <w:right w:w="115" w:type="dxa"/>
            </w:tcMar>
            <w:hideMark/>
          </w:tcPr>
          <w:p w14:paraId="75837984" w14:textId="77777777" w:rsidR="00C033B5" w:rsidRPr="00746567" w:rsidRDefault="00C033B5" w:rsidP="00C033B5">
            <w:pPr>
              <w:rPr>
                <w:rFonts w:asciiTheme="majorBidi" w:hAnsiTheme="majorBidi" w:cstheme="majorBidi"/>
              </w:rPr>
            </w:pPr>
            <w:r w:rsidRPr="00746567">
              <w:rPr>
                <w:rFonts w:asciiTheme="majorBidi" w:hAnsiTheme="majorBidi" w:cstheme="majorBidi"/>
              </w:rPr>
              <w:t>Term × Term</w:t>
            </w:r>
          </w:p>
        </w:tc>
        <w:tc>
          <w:tcPr>
            <w:tcW w:w="0" w:type="auto"/>
            <w:tcMar>
              <w:top w:w="0" w:type="dxa"/>
              <w:left w:w="115" w:type="dxa"/>
              <w:bottom w:w="0" w:type="dxa"/>
              <w:right w:w="115" w:type="dxa"/>
            </w:tcMar>
            <w:hideMark/>
          </w:tcPr>
          <w:p w14:paraId="4FD9C59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707F4A9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-0.0027***</w:t>
            </w:r>
          </w:p>
        </w:tc>
        <w:tc>
          <w:tcPr>
            <w:tcW w:w="0" w:type="auto"/>
            <w:tcMar>
              <w:top w:w="0" w:type="dxa"/>
              <w:left w:w="115" w:type="dxa"/>
              <w:bottom w:w="0" w:type="dxa"/>
              <w:right w:w="115" w:type="dxa"/>
            </w:tcMar>
            <w:hideMark/>
          </w:tcPr>
          <w:p w14:paraId="5E5D56E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3DDC947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5237A4C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3BB9CF3F" w14:textId="77777777" w:rsidR="00C033B5" w:rsidRPr="00746567" w:rsidRDefault="00C033B5" w:rsidP="00C033B5">
            <w:pPr>
              <w:rPr>
                <w:rFonts w:asciiTheme="majorBidi" w:hAnsiTheme="majorBidi" w:cstheme="majorBidi"/>
              </w:rPr>
            </w:pPr>
          </w:p>
        </w:tc>
      </w:tr>
      <w:tr w:rsidR="00C033B5" w:rsidRPr="00746567" w14:paraId="4C846963" w14:textId="77777777">
        <w:trPr>
          <w:trHeight w:val="20"/>
        </w:trPr>
        <w:tc>
          <w:tcPr>
            <w:tcW w:w="0" w:type="auto"/>
            <w:tcMar>
              <w:top w:w="0" w:type="dxa"/>
              <w:left w:w="115" w:type="dxa"/>
              <w:bottom w:w="0" w:type="dxa"/>
              <w:right w:w="115" w:type="dxa"/>
            </w:tcMar>
            <w:hideMark/>
          </w:tcPr>
          <w:p w14:paraId="43590CB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A4A6F8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24A6333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17087BC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3B819294"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74E1195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7A954BA8" w14:textId="77777777" w:rsidR="00C033B5" w:rsidRPr="00746567" w:rsidRDefault="00C033B5" w:rsidP="00C033B5">
            <w:pPr>
              <w:rPr>
                <w:rFonts w:asciiTheme="majorBidi" w:hAnsiTheme="majorBidi" w:cstheme="majorBidi"/>
              </w:rPr>
            </w:pPr>
          </w:p>
        </w:tc>
      </w:tr>
      <w:tr w:rsidR="00C033B5" w:rsidRPr="00746567" w14:paraId="5AC706C3" w14:textId="77777777">
        <w:trPr>
          <w:trHeight w:val="20"/>
        </w:trPr>
        <w:tc>
          <w:tcPr>
            <w:tcW w:w="0" w:type="auto"/>
            <w:tcMar>
              <w:top w:w="0" w:type="dxa"/>
              <w:left w:w="115" w:type="dxa"/>
              <w:bottom w:w="0" w:type="dxa"/>
              <w:right w:w="115" w:type="dxa"/>
            </w:tcMar>
            <w:hideMark/>
          </w:tcPr>
          <w:p w14:paraId="0ECBD076" w14:textId="77777777" w:rsidR="00C033B5" w:rsidRPr="00746567" w:rsidRDefault="00C033B5" w:rsidP="00C033B5">
            <w:pPr>
              <w:rPr>
                <w:rFonts w:asciiTheme="majorBidi" w:hAnsiTheme="majorBidi" w:cstheme="majorBidi"/>
              </w:rPr>
            </w:pPr>
            <w:r w:rsidRPr="00746567">
              <w:rPr>
                <w:rFonts w:asciiTheme="majorBidi" w:hAnsiTheme="majorBidi" w:cstheme="majorBidi"/>
              </w:rPr>
              <w:t>Amount</w:t>
            </w:r>
          </w:p>
        </w:tc>
        <w:tc>
          <w:tcPr>
            <w:tcW w:w="0" w:type="auto"/>
            <w:tcMar>
              <w:top w:w="0" w:type="dxa"/>
              <w:left w:w="115" w:type="dxa"/>
              <w:bottom w:w="0" w:type="dxa"/>
              <w:right w:w="115" w:type="dxa"/>
            </w:tcMar>
            <w:hideMark/>
          </w:tcPr>
          <w:p w14:paraId="3C08FC0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3FB8BAF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-0.0009***</w:t>
            </w:r>
          </w:p>
        </w:tc>
        <w:tc>
          <w:tcPr>
            <w:tcW w:w="0" w:type="auto"/>
            <w:tcMar>
              <w:top w:w="0" w:type="dxa"/>
              <w:left w:w="115" w:type="dxa"/>
              <w:bottom w:w="0" w:type="dxa"/>
              <w:right w:w="115" w:type="dxa"/>
            </w:tcMar>
            <w:hideMark/>
          </w:tcPr>
          <w:p w14:paraId="2CE927D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07AB217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4B30172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0EF4A76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r>
      <w:tr w:rsidR="00C033B5" w:rsidRPr="00746567" w14:paraId="5476A15D" w14:textId="77777777">
        <w:trPr>
          <w:trHeight w:val="20"/>
        </w:trPr>
        <w:tc>
          <w:tcPr>
            <w:tcW w:w="0" w:type="auto"/>
            <w:tcMar>
              <w:top w:w="0" w:type="dxa"/>
              <w:left w:w="115" w:type="dxa"/>
              <w:bottom w:w="0" w:type="dxa"/>
              <w:right w:w="115" w:type="dxa"/>
            </w:tcMar>
            <w:hideMark/>
          </w:tcPr>
          <w:p w14:paraId="205B59B5"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6B8D39B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23EAF2F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077812C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2475FBD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5D4C52B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540EBD0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r>
      <w:tr w:rsidR="00C033B5" w:rsidRPr="00746567" w14:paraId="270B60BE" w14:textId="77777777">
        <w:trPr>
          <w:trHeight w:val="20"/>
        </w:trPr>
        <w:tc>
          <w:tcPr>
            <w:tcW w:w="0" w:type="auto"/>
            <w:tcMar>
              <w:top w:w="0" w:type="dxa"/>
              <w:left w:w="115" w:type="dxa"/>
              <w:bottom w:w="0" w:type="dxa"/>
              <w:right w:w="115" w:type="dxa"/>
            </w:tcMar>
            <w:hideMark/>
          </w:tcPr>
          <w:p w14:paraId="6619553C"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Riskscore</w:t>
            </w:r>
            <w:proofErr w:type="spellEnd"/>
          </w:p>
        </w:tc>
        <w:tc>
          <w:tcPr>
            <w:tcW w:w="0" w:type="auto"/>
            <w:tcMar>
              <w:top w:w="0" w:type="dxa"/>
              <w:left w:w="115" w:type="dxa"/>
              <w:bottom w:w="0" w:type="dxa"/>
              <w:right w:w="115" w:type="dxa"/>
            </w:tcMar>
            <w:hideMark/>
          </w:tcPr>
          <w:p w14:paraId="74E7C093" w14:textId="77777777" w:rsidR="00C033B5" w:rsidRPr="00746567" w:rsidRDefault="00C033B5" w:rsidP="00C033B5">
            <w:pPr>
              <w:rPr>
                <w:rFonts w:asciiTheme="majorBidi" w:hAnsiTheme="majorBidi" w:cstheme="majorBidi"/>
              </w:rPr>
            </w:pPr>
            <w:r w:rsidRPr="00746567">
              <w:rPr>
                <w:rFonts w:asciiTheme="majorBidi" w:hAnsiTheme="majorBidi" w:cstheme="majorBidi"/>
              </w:rPr>
              <w:t>-0.0100***</w:t>
            </w:r>
          </w:p>
        </w:tc>
        <w:tc>
          <w:tcPr>
            <w:tcW w:w="0" w:type="auto"/>
            <w:tcMar>
              <w:top w:w="0" w:type="dxa"/>
              <w:left w:w="115" w:type="dxa"/>
              <w:bottom w:w="0" w:type="dxa"/>
              <w:right w:w="115" w:type="dxa"/>
            </w:tcMar>
            <w:hideMark/>
          </w:tcPr>
          <w:p w14:paraId="79D3C92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0.0007***</w:t>
            </w:r>
          </w:p>
        </w:tc>
        <w:tc>
          <w:tcPr>
            <w:tcW w:w="0" w:type="auto"/>
            <w:tcMar>
              <w:top w:w="0" w:type="dxa"/>
              <w:left w:w="115" w:type="dxa"/>
              <w:bottom w:w="0" w:type="dxa"/>
              <w:right w:w="115" w:type="dxa"/>
            </w:tcMar>
            <w:hideMark/>
          </w:tcPr>
          <w:p w14:paraId="4CD9B44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-0.0005***</w:t>
            </w:r>
          </w:p>
        </w:tc>
        <w:tc>
          <w:tcPr>
            <w:tcW w:w="0" w:type="auto"/>
            <w:tcMar>
              <w:top w:w="0" w:type="dxa"/>
              <w:left w:w="115" w:type="dxa"/>
              <w:bottom w:w="0" w:type="dxa"/>
              <w:right w:w="115" w:type="dxa"/>
            </w:tcMar>
            <w:hideMark/>
          </w:tcPr>
          <w:p w14:paraId="56E5645A" w14:textId="77777777" w:rsidR="00C033B5" w:rsidRPr="00746567" w:rsidRDefault="00C033B5" w:rsidP="00C033B5">
            <w:pPr>
              <w:rPr>
                <w:rFonts w:asciiTheme="majorBidi" w:hAnsiTheme="majorBidi" w:cstheme="majorBidi"/>
              </w:rPr>
            </w:pPr>
            <w:r w:rsidRPr="00746567">
              <w:rPr>
                <w:rFonts w:asciiTheme="majorBidi" w:hAnsiTheme="majorBidi" w:cstheme="majorBidi"/>
              </w:rPr>
              <w:t>-0.0450***</w:t>
            </w:r>
          </w:p>
        </w:tc>
        <w:tc>
          <w:tcPr>
            <w:tcW w:w="0" w:type="auto"/>
            <w:tcMar>
              <w:top w:w="0" w:type="dxa"/>
              <w:left w:w="115" w:type="dxa"/>
              <w:bottom w:w="0" w:type="dxa"/>
              <w:right w:w="115" w:type="dxa"/>
            </w:tcMar>
            <w:hideMark/>
          </w:tcPr>
          <w:p w14:paraId="3947ADC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-0.0010***</w:t>
            </w:r>
          </w:p>
        </w:tc>
        <w:tc>
          <w:tcPr>
            <w:tcW w:w="0" w:type="auto"/>
            <w:tcMar>
              <w:top w:w="0" w:type="dxa"/>
              <w:left w:w="115" w:type="dxa"/>
              <w:bottom w:w="0" w:type="dxa"/>
              <w:right w:w="115" w:type="dxa"/>
            </w:tcMar>
            <w:hideMark/>
          </w:tcPr>
          <w:p w14:paraId="0DE1B5E2" w14:textId="77777777" w:rsidR="00C033B5" w:rsidRPr="00746567" w:rsidRDefault="00C033B5" w:rsidP="00C033B5">
            <w:pPr>
              <w:rPr>
                <w:rFonts w:asciiTheme="majorBidi" w:hAnsiTheme="majorBidi" w:cstheme="majorBidi"/>
              </w:rPr>
            </w:pPr>
            <w:r w:rsidRPr="00746567">
              <w:rPr>
                <w:rFonts w:asciiTheme="majorBidi" w:hAnsiTheme="majorBidi" w:cstheme="majorBidi"/>
              </w:rPr>
              <w:t>-0.0482***</w:t>
            </w:r>
          </w:p>
        </w:tc>
      </w:tr>
      <w:tr w:rsidR="00C033B5" w:rsidRPr="00746567" w14:paraId="26F32AFF" w14:textId="77777777">
        <w:trPr>
          <w:trHeight w:val="20"/>
        </w:trPr>
        <w:tc>
          <w:tcPr>
            <w:tcW w:w="0" w:type="auto"/>
            <w:tcMar>
              <w:top w:w="0" w:type="dxa"/>
              <w:left w:w="115" w:type="dxa"/>
              <w:bottom w:w="0" w:type="dxa"/>
              <w:right w:w="115" w:type="dxa"/>
            </w:tcMar>
            <w:hideMark/>
          </w:tcPr>
          <w:p w14:paraId="7A8B10FE"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417D46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613CAEF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7011060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5820511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(0.0038)</w:t>
            </w:r>
          </w:p>
        </w:tc>
        <w:tc>
          <w:tcPr>
            <w:tcW w:w="0" w:type="auto"/>
            <w:tcMar>
              <w:top w:w="0" w:type="dxa"/>
              <w:left w:w="115" w:type="dxa"/>
              <w:bottom w:w="0" w:type="dxa"/>
              <w:right w:w="115" w:type="dxa"/>
            </w:tcMar>
            <w:hideMark/>
          </w:tcPr>
          <w:p w14:paraId="6AD4D65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0230D8A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(0.0036)</w:t>
            </w:r>
          </w:p>
        </w:tc>
      </w:tr>
      <w:tr w:rsidR="00C033B5" w:rsidRPr="00746567" w14:paraId="32A1B735" w14:textId="77777777">
        <w:trPr>
          <w:trHeight w:val="20"/>
        </w:trPr>
        <w:tc>
          <w:tcPr>
            <w:tcW w:w="0" w:type="auto"/>
            <w:tcMar>
              <w:top w:w="0" w:type="dxa"/>
              <w:left w:w="115" w:type="dxa"/>
              <w:bottom w:w="0" w:type="dxa"/>
              <w:right w:w="115" w:type="dxa"/>
            </w:tcMar>
            <w:hideMark/>
          </w:tcPr>
          <w:p w14:paraId="59C54D4F"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0133A3E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35244E81"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CE4866D" w14:textId="77777777" w:rsidR="00C033B5" w:rsidRPr="00746567" w:rsidRDefault="00C033B5" w:rsidP="00C033B5">
            <w:pPr>
              <w:rPr>
                <w:rFonts w:asciiTheme="majorBidi" w:hAnsiTheme="majorBidi" w:cstheme="majorBidi"/>
              </w:rPr>
            </w:pPr>
            <w:r w:rsidRPr="00746567">
              <w:rPr>
                <w:rFonts w:asciiTheme="majorBidi" w:hAnsiTheme="majorBidi" w:cstheme="majorBidi"/>
              </w:rPr>
              <w:t>-0.0153***</w:t>
            </w:r>
          </w:p>
        </w:tc>
        <w:tc>
          <w:tcPr>
            <w:tcW w:w="0" w:type="auto"/>
            <w:tcMar>
              <w:top w:w="0" w:type="dxa"/>
              <w:left w:w="115" w:type="dxa"/>
              <w:bottom w:w="0" w:type="dxa"/>
              <w:right w:w="115" w:type="dxa"/>
            </w:tcMar>
            <w:hideMark/>
          </w:tcPr>
          <w:p w14:paraId="7605E796" w14:textId="77777777" w:rsidR="00C033B5" w:rsidRPr="00746567" w:rsidRDefault="00C033B5" w:rsidP="00C033B5">
            <w:pPr>
              <w:rPr>
                <w:rFonts w:asciiTheme="majorBidi" w:hAnsiTheme="majorBidi" w:cstheme="majorBidi"/>
              </w:rPr>
            </w:pPr>
            <w:r w:rsidRPr="00746567">
              <w:rPr>
                <w:rFonts w:asciiTheme="majorBidi" w:hAnsiTheme="majorBidi" w:cstheme="majorBidi"/>
              </w:rPr>
              <w:t>-0.4699***</w:t>
            </w:r>
          </w:p>
        </w:tc>
        <w:tc>
          <w:tcPr>
            <w:tcW w:w="0" w:type="auto"/>
            <w:tcMar>
              <w:top w:w="0" w:type="dxa"/>
              <w:left w:w="115" w:type="dxa"/>
              <w:bottom w:w="0" w:type="dxa"/>
              <w:right w:w="115" w:type="dxa"/>
            </w:tcMar>
            <w:hideMark/>
          </w:tcPr>
          <w:p w14:paraId="5B9261DF" w14:textId="77777777" w:rsidR="00C033B5" w:rsidRPr="00746567" w:rsidRDefault="00C033B5" w:rsidP="00C033B5">
            <w:pPr>
              <w:rPr>
                <w:rFonts w:asciiTheme="majorBidi" w:hAnsiTheme="majorBidi" w:cstheme="majorBidi"/>
              </w:rPr>
            </w:pPr>
            <w:r w:rsidRPr="00746567">
              <w:rPr>
                <w:rFonts w:asciiTheme="majorBidi" w:hAnsiTheme="majorBidi" w:cstheme="majorBidi"/>
              </w:rPr>
              <w:t>-0.0206***</w:t>
            </w:r>
          </w:p>
        </w:tc>
        <w:tc>
          <w:tcPr>
            <w:tcW w:w="0" w:type="auto"/>
            <w:tcMar>
              <w:top w:w="0" w:type="dxa"/>
              <w:left w:w="115" w:type="dxa"/>
              <w:bottom w:w="0" w:type="dxa"/>
              <w:right w:w="115" w:type="dxa"/>
            </w:tcMar>
            <w:hideMark/>
          </w:tcPr>
          <w:p w14:paraId="19C195EF" w14:textId="77777777" w:rsidR="00C033B5" w:rsidRPr="00746567" w:rsidRDefault="00C033B5" w:rsidP="00C033B5">
            <w:pPr>
              <w:rPr>
                <w:rFonts w:asciiTheme="majorBidi" w:hAnsiTheme="majorBidi" w:cstheme="majorBidi"/>
              </w:rPr>
            </w:pPr>
            <w:r w:rsidRPr="00746567">
              <w:rPr>
                <w:rFonts w:asciiTheme="majorBidi" w:hAnsiTheme="majorBidi" w:cstheme="majorBidi"/>
              </w:rPr>
              <w:t>-0.0682</w:t>
            </w:r>
          </w:p>
        </w:tc>
      </w:tr>
      <w:tr w:rsidR="00C033B5" w:rsidRPr="00746567" w14:paraId="28CFD2DC" w14:textId="77777777">
        <w:trPr>
          <w:trHeight w:val="20"/>
        </w:trPr>
        <w:tc>
          <w:tcPr>
            <w:tcW w:w="0" w:type="auto"/>
            <w:tcMar>
              <w:top w:w="0" w:type="dxa"/>
              <w:left w:w="115" w:type="dxa"/>
              <w:bottom w:w="0" w:type="dxa"/>
              <w:right w:w="115" w:type="dxa"/>
            </w:tcMar>
            <w:hideMark/>
          </w:tcPr>
          <w:p w14:paraId="00FE4DBD"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36F90B33"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0B2F7E9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38175A3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(0.0027)</w:t>
            </w:r>
          </w:p>
        </w:tc>
        <w:tc>
          <w:tcPr>
            <w:tcW w:w="0" w:type="auto"/>
            <w:tcMar>
              <w:top w:w="0" w:type="dxa"/>
              <w:left w:w="115" w:type="dxa"/>
              <w:bottom w:w="0" w:type="dxa"/>
              <w:right w:w="115" w:type="dxa"/>
            </w:tcMar>
            <w:hideMark/>
          </w:tcPr>
          <w:p w14:paraId="72ECCC24" w14:textId="77777777" w:rsidR="00C033B5" w:rsidRPr="00746567" w:rsidRDefault="00C033B5" w:rsidP="00C033B5">
            <w:pPr>
              <w:rPr>
                <w:rFonts w:asciiTheme="majorBidi" w:hAnsiTheme="majorBidi" w:cstheme="majorBidi"/>
              </w:rPr>
            </w:pPr>
            <w:r w:rsidRPr="00746567">
              <w:rPr>
                <w:rFonts w:asciiTheme="majorBidi" w:hAnsiTheme="majorBidi" w:cstheme="majorBidi"/>
              </w:rPr>
              <w:t>(0.0703)</w:t>
            </w:r>
          </w:p>
        </w:tc>
        <w:tc>
          <w:tcPr>
            <w:tcW w:w="0" w:type="auto"/>
            <w:tcMar>
              <w:top w:w="0" w:type="dxa"/>
              <w:left w:w="115" w:type="dxa"/>
              <w:bottom w:w="0" w:type="dxa"/>
              <w:right w:w="115" w:type="dxa"/>
            </w:tcMar>
            <w:hideMark/>
          </w:tcPr>
          <w:p w14:paraId="01606AF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(0.0023)</w:t>
            </w:r>
          </w:p>
        </w:tc>
        <w:tc>
          <w:tcPr>
            <w:tcW w:w="0" w:type="auto"/>
            <w:tcMar>
              <w:top w:w="0" w:type="dxa"/>
              <w:left w:w="115" w:type="dxa"/>
              <w:bottom w:w="0" w:type="dxa"/>
              <w:right w:w="115" w:type="dxa"/>
            </w:tcMar>
            <w:hideMark/>
          </w:tcPr>
          <w:p w14:paraId="6AF3DF71" w14:textId="77777777" w:rsidR="00C033B5" w:rsidRPr="00746567" w:rsidRDefault="00C033B5" w:rsidP="00C033B5">
            <w:pPr>
              <w:rPr>
                <w:rFonts w:asciiTheme="majorBidi" w:hAnsiTheme="majorBidi" w:cstheme="majorBidi"/>
              </w:rPr>
            </w:pPr>
            <w:r w:rsidRPr="00746567">
              <w:rPr>
                <w:rFonts w:asciiTheme="majorBidi" w:hAnsiTheme="majorBidi" w:cstheme="majorBidi"/>
              </w:rPr>
              <w:t>(0.0636)</w:t>
            </w:r>
          </w:p>
        </w:tc>
      </w:tr>
      <w:tr w:rsidR="00C033B5" w:rsidRPr="00746567" w14:paraId="72D4CE8A" w14:textId="77777777">
        <w:trPr>
          <w:trHeight w:val="20"/>
        </w:trPr>
        <w:tc>
          <w:tcPr>
            <w:tcW w:w="0" w:type="auto"/>
            <w:tcMar>
              <w:top w:w="0" w:type="dxa"/>
              <w:left w:w="115" w:type="dxa"/>
              <w:bottom w:w="0" w:type="dxa"/>
              <w:right w:w="115" w:type="dxa"/>
            </w:tcMar>
            <w:hideMark/>
          </w:tcPr>
          <w:p w14:paraId="47D91B03" w14:textId="77777777" w:rsidR="00C033B5" w:rsidRPr="00746567" w:rsidRDefault="00C033B5" w:rsidP="00C033B5">
            <w:pPr>
              <w:rPr>
                <w:rFonts w:asciiTheme="majorBidi" w:hAnsiTheme="majorBidi" w:cstheme="majorBidi"/>
              </w:rPr>
            </w:pPr>
            <w:r w:rsidRPr="00746567">
              <w:rPr>
                <w:rFonts w:asciiTheme="majorBidi" w:hAnsiTheme="majorBidi" w:cstheme="majorBidi"/>
              </w:rPr>
              <w:t>Collateral</w:t>
            </w:r>
          </w:p>
        </w:tc>
        <w:tc>
          <w:tcPr>
            <w:tcW w:w="0" w:type="auto"/>
            <w:tcMar>
              <w:top w:w="0" w:type="dxa"/>
              <w:left w:w="115" w:type="dxa"/>
              <w:bottom w:w="0" w:type="dxa"/>
              <w:right w:w="115" w:type="dxa"/>
            </w:tcMar>
            <w:hideMark/>
          </w:tcPr>
          <w:p w14:paraId="6EEE1ACD" w14:textId="77777777" w:rsidR="00C033B5" w:rsidRPr="00746567" w:rsidRDefault="00C033B5" w:rsidP="00C033B5">
            <w:pPr>
              <w:rPr>
                <w:rFonts w:asciiTheme="majorBidi" w:hAnsiTheme="majorBidi" w:cstheme="majorBidi"/>
              </w:rPr>
            </w:pPr>
            <w:r w:rsidRPr="00746567">
              <w:rPr>
                <w:rFonts w:asciiTheme="majorBidi" w:hAnsiTheme="majorBidi" w:cstheme="majorBidi"/>
              </w:rPr>
              <w:t>-0.0211***</w:t>
            </w:r>
          </w:p>
        </w:tc>
        <w:tc>
          <w:tcPr>
            <w:tcW w:w="0" w:type="auto"/>
            <w:tcMar>
              <w:top w:w="0" w:type="dxa"/>
              <w:left w:w="115" w:type="dxa"/>
              <w:bottom w:w="0" w:type="dxa"/>
              <w:right w:w="115" w:type="dxa"/>
            </w:tcMar>
            <w:hideMark/>
          </w:tcPr>
          <w:p w14:paraId="3F872D13" w14:textId="77777777" w:rsidR="00C033B5" w:rsidRPr="00746567" w:rsidRDefault="00C033B5" w:rsidP="00C033B5">
            <w:pPr>
              <w:rPr>
                <w:rFonts w:asciiTheme="majorBidi" w:hAnsiTheme="majorBidi" w:cstheme="majorBidi"/>
              </w:rPr>
            </w:pPr>
            <w:r w:rsidRPr="00746567">
              <w:rPr>
                <w:rFonts w:asciiTheme="majorBidi" w:hAnsiTheme="majorBidi" w:cstheme="majorBidi"/>
              </w:rPr>
              <w:t>0.0548***</w:t>
            </w:r>
          </w:p>
        </w:tc>
        <w:tc>
          <w:tcPr>
            <w:tcW w:w="0" w:type="auto"/>
            <w:tcMar>
              <w:top w:w="0" w:type="dxa"/>
              <w:left w:w="115" w:type="dxa"/>
              <w:bottom w:w="0" w:type="dxa"/>
              <w:right w:w="115" w:type="dxa"/>
            </w:tcMar>
            <w:hideMark/>
          </w:tcPr>
          <w:p w14:paraId="3FD8FC7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0.0015</w:t>
            </w:r>
          </w:p>
        </w:tc>
        <w:tc>
          <w:tcPr>
            <w:tcW w:w="0" w:type="auto"/>
            <w:tcMar>
              <w:top w:w="0" w:type="dxa"/>
              <w:left w:w="115" w:type="dxa"/>
              <w:bottom w:w="0" w:type="dxa"/>
              <w:right w:w="115" w:type="dxa"/>
            </w:tcMar>
            <w:hideMark/>
          </w:tcPr>
          <w:p w14:paraId="0259E415" w14:textId="77777777" w:rsidR="00C033B5" w:rsidRPr="00746567" w:rsidRDefault="00C033B5" w:rsidP="00C033B5">
            <w:pPr>
              <w:rPr>
                <w:rFonts w:asciiTheme="majorBidi" w:hAnsiTheme="majorBidi" w:cstheme="majorBidi"/>
              </w:rPr>
            </w:pPr>
            <w:r w:rsidRPr="00746567">
              <w:rPr>
                <w:rFonts w:asciiTheme="majorBidi" w:hAnsiTheme="majorBidi" w:cstheme="majorBidi"/>
              </w:rPr>
              <w:t>0.3210***</w:t>
            </w:r>
          </w:p>
        </w:tc>
        <w:tc>
          <w:tcPr>
            <w:tcW w:w="0" w:type="auto"/>
            <w:tcMar>
              <w:top w:w="0" w:type="dxa"/>
              <w:left w:w="115" w:type="dxa"/>
              <w:bottom w:w="0" w:type="dxa"/>
              <w:right w:w="115" w:type="dxa"/>
            </w:tcMar>
            <w:hideMark/>
          </w:tcPr>
          <w:p w14:paraId="4D8FA95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0.0006</w:t>
            </w:r>
          </w:p>
        </w:tc>
        <w:tc>
          <w:tcPr>
            <w:tcW w:w="0" w:type="auto"/>
            <w:tcMar>
              <w:top w:w="0" w:type="dxa"/>
              <w:left w:w="115" w:type="dxa"/>
              <w:bottom w:w="0" w:type="dxa"/>
              <w:right w:w="115" w:type="dxa"/>
            </w:tcMar>
            <w:hideMark/>
          </w:tcPr>
          <w:p w14:paraId="1B60FCF4" w14:textId="77777777" w:rsidR="00C033B5" w:rsidRPr="00746567" w:rsidRDefault="00C033B5" w:rsidP="00C033B5">
            <w:pPr>
              <w:rPr>
                <w:rFonts w:asciiTheme="majorBidi" w:hAnsiTheme="majorBidi" w:cstheme="majorBidi"/>
              </w:rPr>
            </w:pPr>
            <w:r w:rsidRPr="00746567">
              <w:rPr>
                <w:rFonts w:asciiTheme="majorBidi" w:hAnsiTheme="majorBidi" w:cstheme="majorBidi"/>
              </w:rPr>
              <w:t>0.2206***</w:t>
            </w:r>
          </w:p>
        </w:tc>
      </w:tr>
      <w:tr w:rsidR="00C033B5" w:rsidRPr="00746567" w14:paraId="6BCFDA1F" w14:textId="77777777">
        <w:trPr>
          <w:trHeight w:val="20"/>
        </w:trPr>
        <w:tc>
          <w:tcPr>
            <w:tcW w:w="0" w:type="auto"/>
            <w:tcMar>
              <w:top w:w="0" w:type="dxa"/>
              <w:left w:w="115" w:type="dxa"/>
              <w:bottom w:w="0" w:type="dxa"/>
              <w:right w:w="115" w:type="dxa"/>
            </w:tcMar>
            <w:hideMark/>
          </w:tcPr>
          <w:p w14:paraId="6904834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6D2D6AC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(0.0029)</w:t>
            </w:r>
          </w:p>
        </w:tc>
        <w:tc>
          <w:tcPr>
            <w:tcW w:w="0" w:type="auto"/>
            <w:tcMar>
              <w:top w:w="0" w:type="dxa"/>
              <w:left w:w="115" w:type="dxa"/>
              <w:bottom w:w="0" w:type="dxa"/>
              <w:right w:w="115" w:type="dxa"/>
            </w:tcMar>
            <w:hideMark/>
          </w:tcPr>
          <w:p w14:paraId="026707C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(0.0012)</w:t>
            </w:r>
          </w:p>
        </w:tc>
        <w:tc>
          <w:tcPr>
            <w:tcW w:w="0" w:type="auto"/>
            <w:tcMar>
              <w:top w:w="0" w:type="dxa"/>
              <w:left w:w="115" w:type="dxa"/>
              <w:bottom w:w="0" w:type="dxa"/>
              <w:right w:w="115" w:type="dxa"/>
            </w:tcMar>
            <w:hideMark/>
          </w:tcPr>
          <w:p w14:paraId="45A3085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(0.0012)</w:t>
            </w:r>
          </w:p>
        </w:tc>
        <w:tc>
          <w:tcPr>
            <w:tcW w:w="0" w:type="auto"/>
            <w:tcMar>
              <w:top w:w="0" w:type="dxa"/>
              <w:left w:w="115" w:type="dxa"/>
              <w:bottom w:w="0" w:type="dxa"/>
              <w:right w:w="115" w:type="dxa"/>
            </w:tcMar>
            <w:hideMark/>
          </w:tcPr>
          <w:p w14:paraId="1A837BF3" w14:textId="77777777" w:rsidR="00C033B5" w:rsidRPr="00746567" w:rsidRDefault="00C033B5" w:rsidP="00C033B5">
            <w:pPr>
              <w:rPr>
                <w:rFonts w:asciiTheme="majorBidi" w:hAnsiTheme="majorBidi" w:cstheme="majorBidi"/>
              </w:rPr>
            </w:pPr>
            <w:r w:rsidRPr="00746567">
              <w:rPr>
                <w:rFonts w:asciiTheme="majorBidi" w:hAnsiTheme="majorBidi" w:cstheme="majorBidi"/>
              </w:rPr>
              <w:t>(0.0416)</w:t>
            </w:r>
          </w:p>
        </w:tc>
        <w:tc>
          <w:tcPr>
            <w:tcW w:w="0" w:type="auto"/>
            <w:tcMar>
              <w:top w:w="0" w:type="dxa"/>
              <w:left w:w="115" w:type="dxa"/>
              <w:bottom w:w="0" w:type="dxa"/>
              <w:right w:w="115" w:type="dxa"/>
            </w:tcMar>
            <w:hideMark/>
          </w:tcPr>
          <w:p w14:paraId="4136E64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(0.0009)</w:t>
            </w:r>
          </w:p>
        </w:tc>
        <w:tc>
          <w:tcPr>
            <w:tcW w:w="0" w:type="auto"/>
            <w:tcMar>
              <w:top w:w="0" w:type="dxa"/>
              <w:left w:w="115" w:type="dxa"/>
              <w:bottom w:w="0" w:type="dxa"/>
              <w:right w:w="115" w:type="dxa"/>
            </w:tcMar>
            <w:hideMark/>
          </w:tcPr>
          <w:p w14:paraId="722E0DAF" w14:textId="77777777" w:rsidR="00C033B5" w:rsidRPr="00746567" w:rsidRDefault="00C033B5" w:rsidP="00C033B5">
            <w:pPr>
              <w:rPr>
                <w:rFonts w:asciiTheme="majorBidi" w:hAnsiTheme="majorBidi" w:cstheme="majorBidi"/>
              </w:rPr>
            </w:pPr>
            <w:r w:rsidRPr="00746567">
              <w:rPr>
                <w:rFonts w:asciiTheme="majorBidi" w:hAnsiTheme="majorBidi" w:cstheme="majorBidi"/>
              </w:rPr>
              <w:t>(0.0315)</w:t>
            </w:r>
          </w:p>
        </w:tc>
      </w:tr>
      <w:tr w:rsidR="00C033B5" w:rsidRPr="00746567" w14:paraId="75F6724B" w14:textId="77777777">
        <w:trPr>
          <w:trHeight w:val="20"/>
        </w:trPr>
        <w:tc>
          <w:tcPr>
            <w:tcW w:w="0" w:type="auto"/>
            <w:tcMar>
              <w:top w:w="0" w:type="dxa"/>
              <w:left w:w="115" w:type="dxa"/>
              <w:bottom w:w="0" w:type="dxa"/>
              <w:right w:w="115" w:type="dxa"/>
            </w:tcMar>
            <w:hideMark/>
          </w:tcPr>
          <w:p w14:paraId="1FEFD8AA"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Extsched</w:t>
            </w:r>
            <w:proofErr w:type="spellEnd"/>
          </w:p>
        </w:tc>
        <w:tc>
          <w:tcPr>
            <w:tcW w:w="0" w:type="auto"/>
            <w:tcMar>
              <w:top w:w="0" w:type="dxa"/>
              <w:left w:w="115" w:type="dxa"/>
              <w:bottom w:w="0" w:type="dxa"/>
              <w:right w:w="115" w:type="dxa"/>
            </w:tcMar>
            <w:hideMark/>
          </w:tcPr>
          <w:p w14:paraId="4F57BFE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746A126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-0.0083***</w:t>
            </w:r>
          </w:p>
        </w:tc>
        <w:tc>
          <w:tcPr>
            <w:tcW w:w="0" w:type="auto"/>
            <w:tcMar>
              <w:top w:w="0" w:type="dxa"/>
              <w:left w:w="115" w:type="dxa"/>
              <w:bottom w:w="0" w:type="dxa"/>
              <w:right w:w="115" w:type="dxa"/>
            </w:tcMar>
            <w:hideMark/>
          </w:tcPr>
          <w:p w14:paraId="2451D61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-0.0003**</w:t>
            </w:r>
          </w:p>
        </w:tc>
        <w:tc>
          <w:tcPr>
            <w:tcW w:w="0" w:type="auto"/>
            <w:tcMar>
              <w:top w:w="0" w:type="dxa"/>
              <w:left w:w="115" w:type="dxa"/>
              <w:bottom w:w="0" w:type="dxa"/>
              <w:right w:w="115" w:type="dxa"/>
            </w:tcMar>
            <w:hideMark/>
          </w:tcPr>
          <w:p w14:paraId="728DDE07" w14:textId="77777777" w:rsidR="00C033B5" w:rsidRPr="00746567" w:rsidRDefault="00C033B5" w:rsidP="00C033B5">
            <w:pPr>
              <w:rPr>
                <w:rFonts w:asciiTheme="majorBidi" w:hAnsiTheme="majorBidi" w:cstheme="majorBidi"/>
              </w:rPr>
            </w:pPr>
            <w:r w:rsidRPr="00746567">
              <w:rPr>
                <w:rFonts w:asciiTheme="majorBidi" w:hAnsiTheme="majorBidi" w:cstheme="majorBidi"/>
              </w:rPr>
              <w:t>0.1233***</w:t>
            </w:r>
          </w:p>
        </w:tc>
        <w:tc>
          <w:tcPr>
            <w:tcW w:w="0" w:type="auto"/>
            <w:tcMar>
              <w:top w:w="0" w:type="dxa"/>
              <w:left w:w="115" w:type="dxa"/>
              <w:bottom w:w="0" w:type="dxa"/>
              <w:right w:w="115" w:type="dxa"/>
            </w:tcMar>
            <w:hideMark/>
          </w:tcPr>
          <w:p w14:paraId="478BB7E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0.0003***</w:t>
            </w:r>
          </w:p>
        </w:tc>
        <w:tc>
          <w:tcPr>
            <w:tcW w:w="0" w:type="auto"/>
            <w:tcMar>
              <w:top w:w="0" w:type="dxa"/>
              <w:left w:w="115" w:type="dxa"/>
              <w:bottom w:w="0" w:type="dxa"/>
              <w:right w:w="115" w:type="dxa"/>
            </w:tcMar>
            <w:hideMark/>
          </w:tcPr>
          <w:p w14:paraId="561B7222" w14:textId="77777777" w:rsidR="00C033B5" w:rsidRPr="00746567" w:rsidRDefault="00C033B5" w:rsidP="00C033B5">
            <w:pPr>
              <w:rPr>
                <w:rFonts w:asciiTheme="majorBidi" w:hAnsiTheme="majorBidi" w:cstheme="majorBidi"/>
              </w:rPr>
            </w:pPr>
            <w:r w:rsidRPr="00746567">
              <w:rPr>
                <w:rFonts w:asciiTheme="majorBidi" w:hAnsiTheme="majorBidi" w:cstheme="majorBidi"/>
              </w:rPr>
              <w:t>0.0916***</w:t>
            </w:r>
          </w:p>
        </w:tc>
      </w:tr>
      <w:tr w:rsidR="00C033B5" w:rsidRPr="00746567" w14:paraId="05EEA5C2" w14:textId="77777777">
        <w:trPr>
          <w:trHeight w:val="20"/>
        </w:trPr>
        <w:tc>
          <w:tcPr>
            <w:tcW w:w="0" w:type="auto"/>
            <w:tcMar>
              <w:top w:w="0" w:type="dxa"/>
              <w:left w:w="115" w:type="dxa"/>
              <w:bottom w:w="0" w:type="dxa"/>
              <w:right w:w="115" w:type="dxa"/>
            </w:tcMar>
            <w:hideMark/>
          </w:tcPr>
          <w:p w14:paraId="0A8B8F53"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2706222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31599C3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55CBE17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hideMark/>
          </w:tcPr>
          <w:p w14:paraId="0994B3F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(0.0036)</w:t>
            </w:r>
          </w:p>
        </w:tc>
        <w:tc>
          <w:tcPr>
            <w:tcW w:w="0" w:type="auto"/>
            <w:tcMar>
              <w:top w:w="0" w:type="dxa"/>
              <w:left w:w="115" w:type="dxa"/>
              <w:bottom w:w="0" w:type="dxa"/>
              <w:right w:w="115" w:type="dxa"/>
            </w:tcMar>
            <w:hideMark/>
          </w:tcPr>
          <w:p w14:paraId="28C91DF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468F63A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(0.0036)</w:t>
            </w:r>
          </w:p>
        </w:tc>
      </w:tr>
      <w:tr w:rsidR="00C033B5" w:rsidRPr="00746567" w14:paraId="2856D34C" w14:textId="77777777">
        <w:trPr>
          <w:trHeight w:val="20"/>
        </w:trPr>
        <w:tc>
          <w:tcPr>
            <w:tcW w:w="0" w:type="auto"/>
            <w:tcMar>
              <w:top w:w="0" w:type="dxa"/>
              <w:left w:w="115" w:type="dxa"/>
              <w:bottom w:w="0" w:type="dxa"/>
              <w:right w:w="115" w:type="dxa"/>
            </w:tcMar>
            <w:hideMark/>
          </w:tcPr>
          <w:p w14:paraId="2F59BDC6"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lastRenderedPageBreak/>
              <w:t>Loantype</w:t>
            </w:r>
            <w:proofErr w:type="spellEnd"/>
          </w:p>
        </w:tc>
        <w:tc>
          <w:tcPr>
            <w:tcW w:w="0" w:type="auto"/>
            <w:tcMar>
              <w:top w:w="0" w:type="dxa"/>
              <w:left w:w="115" w:type="dxa"/>
              <w:bottom w:w="0" w:type="dxa"/>
              <w:right w:w="115" w:type="dxa"/>
            </w:tcMar>
            <w:hideMark/>
          </w:tcPr>
          <w:p w14:paraId="20D2148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366AFA81"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118F0D1"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74DB667A"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1FF74D6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6D607434" w14:textId="77777777" w:rsidR="00C033B5" w:rsidRPr="00746567" w:rsidRDefault="00C033B5" w:rsidP="00C033B5">
            <w:pPr>
              <w:rPr>
                <w:rFonts w:asciiTheme="majorBidi" w:hAnsiTheme="majorBidi" w:cstheme="majorBidi"/>
              </w:rPr>
            </w:pPr>
          </w:p>
        </w:tc>
      </w:tr>
      <w:tr w:rsidR="00C033B5" w:rsidRPr="00746567" w14:paraId="5F2A5B86" w14:textId="77777777">
        <w:trPr>
          <w:trHeight w:val="20"/>
        </w:trPr>
        <w:tc>
          <w:tcPr>
            <w:tcW w:w="0" w:type="auto"/>
            <w:tcMar>
              <w:top w:w="0" w:type="dxa"/>
              <w:left w:w="115" w:type="dxa"/>
              <w:bottom w:w="0" w:type="dxa"/>
              <w:right w:w="115" w:type="dxa"/>
            </w:tcMar>
            <w:hideMark/>
          </w:tcPr>
          <w:p w14:paraId="25F4CD5F" w14:textId="77777777" w:rsidR="00C033B5" w:rsidRPr="00746567" w:rsidRDefault="00C033B5" w:rsidP="00C033B5">
            <w:pPr>
              <w:rPr>
                <w:rFonts w:asciiTheme="majorBidi" w:hAnsiTheme="majorBidi" w:cstheme="majorBidi"/>
              </w:rPr>
            </w:pPr>
            <w:r w:rsidRPr="00746567">
              <w:rPr>
                <w:rFonts w:asciiTheme="majorBidi" w:hAnsiTheme="majorBidi" w:cstheme="majorBidi"/>
              </w:rPr>
              <w:t>Agricultural Loan</w:t>
            </w:r>
          </w:p>
        </w:tc>
        <w:tc>
          <w:tcPr>
            <w:tcW w:w="0" w:type="auto"/>
            <w:tcMar>
              <w:top w:w="0" w:type="dxa"/>
              <w:left w:w="115" w:type="dxa"/>
              <w:bottom w:w="0" w:type="dxa"/>
              <w:right w:w="115" w:type="dxa"/>
            </w:tcMar>
            <w:hideMark/>
          </w:tcPr>
          <w:p w14:paraId="3B778948" w14:textId="77777777" w:rsidR="00C033B5" w:rsidRPr="00746567" w:rsidRDefault="00C033B5" w:rsidP="00C033B5">
            <w:pPr>
              <w:rPr>
                <w:rFonts w:asciiTheme="majorBidi" w:hAnsiTheme="majorBidi" w:cstheme="majorBidi"/>
              </w:rPr>
            </w:pPr>
            <w:r w:rsidRPr="00746567">
              <w:rPr>
                <w:rFonts w:asciiTheme="majorBidi" w:hAnsiTheme="majorBidi" w:cstheme="majorBidi"/>
              </w:rPr>
              <w:t>-0.0187***</w:t>
            </w:r>
          </w:p>
        </w:tc>
        <w:tc>
          <w:tcPr>
            <w:tcW w:w="0" w:type="auto"/>
            <w:tcMar>
              <w:top w:w="0" w:type="dxa"/>
              <w:left w:w="115" w:type="dxa"/>
              <w:bottom w:w="0" w:type="dxa"/>
              <w:right w:w="115" w:type="dxa"/>
            </w:tcMar>
            <w:hideMark/>
          </w:tcPr>
          <w:p w14:paraId="73DA6BD7"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hideMark/>
          </w:tcPr>
          <w:p w14:paraId="1D680B66" w14:textId="77777777" w:rsidR="00C033B5" w:rsidRPr="00746567" w:rsidRDefault="00C033B5" w:rsidP="00C033B5">
            <w:pPr>
              <w:rPr>
                <w:rFonts w:asciiTheme="majorBidi" w:hAnsiTheme="majorBidi" w:cstheme="majorBidi"/>
              </w:rPr>
            </w:pPr>
            <w:r w:rsidRPr="00746567">
              <w:rPr>
                <w:rFonts w:asciiTheme="majorBidi" w:hAnsiTheme="majorBidi" w:cstheme="majorBidi"/>
              </w:rPr>
              <w:t>0.0299***</w:t>
            </w:r>
          </w:p>
        </w:tc>
        <w:tc>
          <w:tcPr>
            <w:tcW w:w="0" w:type="auto"/>
            <w:tcMar>
              <w:top w:w="0" w:type="dxa"/>
              <w:left w:w="115" w:type="dxa"/>
              <w:bottom w:w="0" w:type="dxa"/>
              <w:right w:w="115" w:type="dxa"/>
            </w:tcMar>
            <w:hideMark/>
          </w:tcPr>
          <w:p w14:paraId="3B89F7EF"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36F9684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-0.0009***</w:t>
            </w:r>
          </w:p>
        </w:tc>
        <w:tc>
          <w:tcPr>
            <w:tcW w:w="0" w:type="auto"/>
            <w:tcMar>
              <w:top w:w="0" w:type="dxa"/>
              <w:left w:w="115" w:type="dxa"/>
              <w:bottom w:w="0" w:type="dxa"/>
              <w:right w:w="115" w:type="dxa"/>
            </w:tcMar>
            <w:hideMark/>
          </w:tcPr>
          <w:p w14:paraId="192297E8" w14:textId="77777777" w:rsidR="00C033B5" w:rsidRPr="00746567" w:rsidRDefault="00C033B5" w:rsidP="00C033B5">
            <w:pPr>
              <w:rPr>
                <w:rFonts w:asciiTheme="majorBidi" w:hAnsiTheme="majorBidi" w:cstheme="majorBidi"/>
              </w:rPr>
            </w:pPr>
          </w:p>
        </w:tc>
      </w:tr>
      <w:tr w:rsidR="00C033B5" w:rsidRPr="00746567" w14:paraId="7430180D" w14:textId="77777777">
        <w:trPr>
          <w:trHeight w:val="20"/>
        </w:trPr>
        <w:tc>
          <w:tcPr>
            <w:tcW w:w="0" w:type="auto"/>
            <w:tcMar>
              <w:top w:w="0" w:type="dxa"/>
              <w:left w:w="115" w:type="dxa"/>
              <w:bottom w:w="0" w:type="dxa"/>
              <w:right w:w="115" w:type="dxa"/>
            </w:tcMar>
            <w:hideMark/>
          </w:tcPr>
          <w:p w14:paraId="7705FF04"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3C15266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(0.0028)</w:t>
            </w:r>
          </w:p>
        </w:tc>
        <w:tc>
          <w:tcPr>
            <w:tcW w:w="0" w:type="auto"/>
            <w:tcMar>
              <w:top w:w="0" w:type="dxa"/>
              <w:left w:w="115" w:type="dxa"/>
              <w:bottom w:w="0" w:type="dxa"/>
              <w:right w:w="115" w:type="dxa"/>
            </w:tcMar>
            <w:hideMark/>
          </w:tcPr>
          <w:p w14:paraId="126F1144"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9F61AF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(0.0090)</w:t>
            </w:r>
          </w:p>
        </w:tc>
        <w:tc>
          <w:tcPr>
            <w:tcW w:w="0" w:type="auto"/>
            <w:tcMar>
              <w:top w:w="0" w:type="dxa"/>
              <w:left w:w="115" w:type="dxa"/>
              <w:bottom w:w="0" w:type="dxa"/>
              <w:right w:w="115" w:type="dxa"/>
            </w:tcMar>
            <w:hideMark/>
          </w:tcPr>
          <w:p w14:paraId="0176727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38112FA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(0.0003)</w:t>
            </w:r>
          </w:p>
        </w:tc>
        <w:tc>
          <w:tcPr>
            <w:tcW w:w="0" w:type="auto"/>
            <w:tcMar>
              <w:top w:w="0" w:type="dxa"/>
              <w:left w:w="115" w:type="dxa"/>
              <w:bottom w:w="0" w:type="dxa"/>
              <w:right w:w="115" w:type="dxa"/>
            </w:tcMar>
            <w:hideMark/>
          </w:tcPr>
          <w:p w14:paraId="065E8C11" w14:textId="77777777" w:rsidR="00C033B5" w:rsidRPr="00746567" w:rsidRDefault="00C033B5" w:rsidP="00C033B5">
            <w:pPr>
              <w:rPr>
                <w:rFonts w:asciiTheme="majorBidi" w:hAnsiTheme="majorBidi" w:cstheme="majorBidi"/>
              </w:rPr>
            </w:pPr>
          </w:p>
        </w:tc>
      </w:tr>
      <w:tr w:rsidR="00C033B5" w:rsidRPr="00746567" w14:paraId="1AD4BD60" w14:textId="77777777">
        <w:trPr>
          <w:trHeight w:val="20"/>
        </w:trPr>
        <w:tc>
          <w:tcPr>
            <w:tcW w:w="0" w:type="auto"/>
            <w:tcMar>
              <w:top w:w="0" w:type="dxa"/>
              <w:left w:w="115" w:type="dxa"/>
              <w:bottom w:w="0" w:type="dxa"/>
              <w:right w:w="115" w:type="dxa"/>
            </w:tcMar>
            <w:hideMark/>
          </w:tcPr>
          <w:p w14:paraId="7417AD8B" w14:textId="77777777" w:rsidR="00C033B5" w:rsidRPr="00746567" w:rsidRDefault="00C033B5" w:rsidP="00C033B5">
            <w:pPr>
              <w:rPr>
                <w:rFonts w:asciiTheme="majorBidi" w:hAnsiTheme="majorBidi" w:cstheme="majorBidi"/>
              </w:rPr>
            </w:pPr>
            <w:r w:rsidRPr="00746567">
              <w:rPr>
                <w:rFonts w:asciiTheme="majorBidi" w:hAnsiTheme="majorBidi" w:cstheme="majorBidi"/>
              </w:rPr>
              <w:t>Business Loan</w:t>
            </w:r>
          </w:p>
        </w:tc>
        <w:tc>
          <w:tcPr>
            <w:tcW w:w="0" w:type="auto"/>
            <w:tcMar>
              <w:top w:w="0" w:type="dxa"/>
              <w:left w:w="115" w:type="dxa"/>
              <w:bottom w:w="0" w:type="dxa"/>
              <w:right w:w="115" w:type="dxa"/>
            </w:tcMar>
            <w:hideMark/>
          </w:tcPr>
          <w:p w14:paraId="4B69B365" w14:textId="77777777" w:rsidR="00C033B5" w:rsidRPr="00746567" w:rsidRDefault="00C033B5" w:rsidP="00C033B5">
            <w:pPr>
              <w:rPr>
                <w:rFonts w:asciiTheme="majorBidi" w:hAnsiTheme="majorBidi" w:cstheme="majorBidi"/>
              </w:rPr>
            </w:pPr>
            <w:r w:rsidRPr="00746567">
              <w:rPr>
                <w:rFonts w:asciiTheme="majorBidi" w:hAnsiTheme="majorBidi" w:cstheme="majorBidi"/>
              </w:rPr>
              <w:t>-0.0249***</w:t>
            </w:r>
          </w:p>
        </w:tc>
        <w:tc>
          <w:tcPr>
            <w:tcW w:w="0" w:type="auto"/>
            <w:tcMar>
              <w:top w:w="0" w:type="dxa"/>
              <w:left w:w="115" w:type="dxa"/>
              <w:bottom w:w="0" w:type="dxa"/>
              <w:right w:w="115" w:type="dxa"/>
            </w:tcMar>
            <w:hideMark/>
          </w:tcPr>
          <w:p w14:paraId="3113F3F2" w14:textId="77777777" w:rsidR="00C033B5" w:rsidRPr="00746567" w:rsidRDefault="00C033B5" w:rsidP="00C033B5">
            <w:pPr>
              <w:rPr>
                <w:rFonts w:asciiTheme="majorBidi" w:hAnsiTheme="majorBidi" w:cstheme="majorBidi"/>
              </w:rPr>
            </w:pPr>
            <w:r w:rsidRPr="00746567">
              <w:rPr>
                <w:rFonts w:asciiTheme="majorBidi" w:hAnsiTheme="majorBidi" w:cstheme="majorBidi"/>
              </w:rPr>
              <w:t>-0.0627***</w:t>
            </w:r>
          </w:p>
        </w:tc>
        <w:tc>
          <w:tcPr>
            <w:tcW w:w="0" w:type="auto"/>
            <w:tcMar>
              <w:top w:w="0" w:type="dxa"/>
              <w:left w:w="115" w:type="dxa"/>
              <w:bottom w:w="0" w:type="dxa"/>
              <w:right w:w="115" w:type="dxa"/>
            </w:tcMar>
            <w:hideMark/>
          </w:tcPr>
          <w:p w14:paraId="658264F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5668B165" w14:textId="77777777" w:rsidR="00C033B5" w:rsidRPr="00746567" w:rsidRDefault="00C033B5" w:rsidP="00C033B5">
            <w:pPr>
              <w:rPr>
                <w:rFonts w:asciiTheme="majorBidi" w:hAnsiTheme="majorBidi" w:cstheme="majorBidi"/>
              </w:rPr>
            </w:pPr>
            <w:r w:rsidRPr="00746567">
              <w:rPr>
                <w:rFonts w:asciiTheme="majorBidi" w:hAnsiTheme="majorBidi" w:cstheme="majorBidi"/>
              </w:rPr>
              <w:t>-0.1992***</w:t>
            </w:r>
          </w:p>
        </w:tc>
        <w:tc>
          <w:tcPr>
            <w:tcW w:w="0" w:type="auto"/>
            <w:tcMar>
              <w:top w:w="0" w:type="dxa"/>
              <w:left w:w="115" w:type="dxa"/>
              <w:bottom w:w="0" w:type="dxa"/>
              <w:right w:w="115" w:type="dxa"/>
            </w:tcMar>
            <w:hideMark/>
          </w:tcPr>
          <w:p w14:paraId="096A631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-0.0005</w:t>
            </w:r>
          </w:p>
        </w:tc>
        <w:tc>
          <w:tcPr>
            <w:tcW w:w="0" w:type="auto"/>
            <w:tcMar>
              <w:top w:w="0" w:type="dxa"/>
              <w:left w:w="115" w:type="dxa"/>
              <w:bottom w:w="0" w:type="dxa"/>
              <w:right w:w="115" w:type="dxa"/>
            </w:tcMar>
            <w:hideMark/>
          </w:tcPr>
          <w:p w14:paraId="5167EBFA" w14:textId="77777777" w:rsidR="00C033B5" w:rsidRPr="00746567" w:rsidRDefault="00C033B5" w:rsidP="00C033B5">
            <w:pPr>
              <w:rPr>
                <w:rFonts w:asciiTheme="majorBidi" w:hAnsiTheme="majorBidi" w:cstheme="majorBidi"/>
              </w:rPr>
            </w:pPr>
            <w:r w:rsidRPr="00746567">
              <w:rPr>
                <w:rFonts w:asciiTheme="majorBidi" w:hAnsiTheme="majorBidi" w:cstheme="majorBidi"/>
              </w:rPr>
              <w:t>-0.1583***</w:t>
            </w:r>
          </w:p>
        </w:tc>
      </w:tr>
      <w:tr w:rsidR="00C033B5" w:rsidRPr="00746567" w14:paraId="2376647A" w14:textId="77777777">
        <w:trPr>
          <w:trHeight w:val="20"/>
        </w:trPr>
        <w:tc>
          <w:tcPr>
            <w:tcW w:w="0" w:type="auto"/>
            <w:tcMar>
              <w:top w:w="0" w:type="dxa"/>
              <w:left w:w="115" w:type="dxa"/>
              <w:bottom w:w="0" w:type="dxa"/>
              <w:right w:w="115" w:type="dxa"/>
            </w:tcMar>
            <w:hideMark/>
          </w:tcPr>
          <w:p w14:paraId="6E71C06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1CEEEF8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(0.0033)</w:t>
            </w:r>
          </w:p>
        </w:tc>
        <w:tc>
          <w:tcPr>
            <w:tcW w:w="0" w:type="auto"/>
            <w:tcMar>
              <w:top w:w="0" w:type="dxa"/>
              <w:left w:w="115" w:type="dxa"/>
              <w:bottom w:w="0" w:type="dxa"/>
              <w:right w:w="115" w:type="dxa"/>
            </w:tcMar>
            <w:hideMark/>
          </w:tcPr>
          <w:p w14:paraId="1569070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(0.0022)</w:t>
            </w:r>
          </w:p>
        </w:tc>
        <w:tc>
          <w:tcPr>
            <w:tcW w:w="0" w:type="auto"/>
            <w:tcMar>
              <w:top w:w="0" w:type="dxa"/>
              <w:left w:w="115" w:type="dxa"/>
              <w:bottom w:w="0" w:type="dxa"/>
              <w:right w:w="115" w:type="dxa"/>
            </w:tcMar>
            <w:hideMark/>
          </w:tcPr>
          <w:p w14:paraId="793EAB3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(0.0014)</w:t>
            </w:r>
          </w:p>
        </w:tc>
        <w:tc>
          <w:tcPr>
            <w:tcW w:w="0" w:type="auto"/>
            <w:tcMar>
              <w:top w:w="0" w:type="dxa"/>
              <w:left w:w="115" w:type="dxa"/>
              <w:bottom w:w="0" w:type="dxa"/>
              <w:right w:w="115" w:type="dxa"/>
            </w:tcMar>
            <w:hideMark/>
          </w:tcPr>
          <w:p w14:paraId="743A8456" w14:textId="77777777" w:rsidR="00C033B5" w:rsidRPr="00746567" w:rsidRDefault="00C033B5" w:rsidP="00C033B5">
            <w:pPr>
              <w:rPr>
                <w:rFonts w:asciiTheme="majorBidi" w:hAnsiTheme="majorBidi" w:cstheme="majorBidi"/>
              </w:rPr>
            </w:pPr>
            <w:r w:rsidRPr="00746567">
              <w:rPr>
                <w:rFonts w:asciiTheme="majorBidi" w:hAnsiTheme="majorBidi" w:cstheme="majorBidi"/>
              </w:rPr>
              <w:t>(0.0378)</w:t>
            </w:r>
          </w:p>
        </w:tc>
        <w:tc>
          <w:tcPr>
            <w:tcW w:w="0" w:type="auto"/>
            <w:tcMar>
              <w:top w:w="0" w:type="dxa"/>
              <w:left w:w="115" w:type="dxa"/>
              <w:bottom w:w="0" w:type="dxa"/>
              <w:right w:w="115" w:type="dxa"/>
            </w:tcMar>
            <w:hideMark/>
          </w:tcPr>
          <w:p w14:paraId="03F3DC1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(0.0005)</w:t>
            </w:r>
          </w:p>
        </w:tc>
        <w:tc>
          <w:tcPr>
            <w:tcW w:w="0" w:type="auto"/>
            <w:tcMar>
              <w:top w:w="0" w:type="dxa"/>
              <w:left w:w="115" w:type="dxa"/>
              <w:bottom w:w="0" w:type="dxa"/>
              <w:right w:w="115" w:type="dxa"/>
            </w:tcMar>
            <w:hideMark/>
          </w:tcPr>
          <w:p w14:paraId="3D4F3A25" w14:textId="77777777" w:rsidR="00C033B5" w:rsidRPr="00746567" w:rsidRDefault="00C033B5" w:rsidP="00C033B5">
            <w:pPr>
              <w:rPr>
                <w:rFonts w:asciiTheme="majorBidi" w:hAnsiTheme="majorBidi" w:cstheme="majorBidi"/>
              </w:rPr>
            </w:pPr>
            <w:r w:rsidRPr="00746567">
              <w:rPr>
                <w:rFonts w:asciiTheme="majorBidi" w:hAnsiTheme="majorBidi" w:cstheme="majorBidi"/>
              </w:rPr>
              <w:t>(0.0376)</w:t>
            </w:r>
          </w:p>
        </w:tc>
      </w:tr>
      <w:tr w:rsidR="00C033B5" w:rsidRPr="00746567" w14:paraId="03C410F9" w14:textId="77777777">
        <w:trPr>
          <w:trHeight w:val="20"/>
        </w:trPr>
        <w:tc>
          <w:tcPr>
            <w:tcW w:w="0" w:type="auto"/>
            <w:tcMar>
              <w:top w:w="0" w:type="dxa"/>
              <w:left w:w="115" w:type="dxa"/>
              <w:bottom w:w="0" w:type="dxa"/>
              <w:right w:w="115" w:type="dxa"/>
            </w:tcMar>
            <w:hideMark/>
          </w:tcPr>
          <w:p w14:paraId="0FF9574B" w14:textId="77777777" w:rsidR="00C033B5" w:rsidRPr="00746567" w:rsidRDefault="00C033B5" w:rsidP="00C033B5">
            <w:pPr>
              <w:rPr>
                <w:rFonts w:asciiTheme="majorBidi" w:hAnsiTheme="majorBidi" w:cstheme="majorBidi"/>
              </w:rPr>
            </w:pPr>
            <w:r w:rsidRPr="00746567">
              <w:rPr>
                <w:rFonts w:asciiTheme="majorBidi" w:hAnsiTheme="majorBidi" w:cstheme="majorBidi"/>
              </w:rPr>
              <w:t>Car Loan</w:t>
            </w:r>
          </w:p>
        </w:tc>
        <w:tc>
          <w:tcPr>
            <w:tcW w:w="0" w:type="auto"/>
            <w:tcMar>
              <w:top w:w="0" w:type="dxa"/>
              <w:left w:w="115" w:type="dxa"/>
              <w:bottom w:w="0" w:type="dxa"/>
              <w:right w:w="115" w:type="dxa"/>
            </w:tcMar>
            <w:hideMark/>
          </w:tcPr>
          <w:p w14:paraId="6B9689D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0.0089***</w:t>
            </w:r>
          </w:p>
        </w:tc>
        <w:tc>
          <w:tcPr>
            <w:tcW w:w="0" w:type="auto"/>
            <w:tcMar>
              <w:top w:w="0" w:type="dxa"/>
              <w:left w:w="115" w:type="dxa"/>
              <w:bottom w:w="0" w:type="dxa"/>
              <w:right w:w="115" w:type="dxa"/>
            </w:tcMar>
            <w:hideMark/>
          </w:tcPr>
          <w:p w14:paraId="09332D1E" w14:textId="77777777" w:rsidR="00C033B5" w:rsidRPr="00746567" w:rsidRDefault="00C033B5" w:rsidP="00C033B5">
            <w:pPr>
              <w:rPr>
                <w:rFonts w:asciiTheme="majorBidi" w:hAnsiTheme="majorBidi" w:cstheme="majorBidi"/>
              </w:rPr>
            </w:pPr>
            <w:r w:rsidRPr="00746567">
              <w:rPr>
                <w:rFonts w:asciiTheme="majorBidi" w:hAnsiTheme="majorBidi" w:cstheme="majorBidi"/>
              </w:rPr>
              <w:t>-0.0485***</w:t>
            </w:r>
          </w:p>
        </w:tc>
        <w:tc>
          <w:tcPr>
            <w:tcW w:w="0" w:type="auto"/>
            <w:tcMar>
              <w:top w:w="0" w:type="dxa"/>
              <w:left w:w="115" w:type="dxa"/>
              <w:bottom w:w="0" w:type="dxa"/>
              <w:right w:w="115" w:type="dxa"/>
            </w:tcMar>
            <w:hideMark/>
          </w:tcPr>
          <w:p w14:paraId="0B567EF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-0.0013</w:t>
            </w:r>
          </w:p>
        </w:tc>
        <w:tc>
          <w:tcPr>
            <w:tcW w:w="0" w:type="auto"/>
            <w:tcMar>
              <w:top w:w="0" w:type="dxa"/>
              <w:left w:w="115" w:type="dxa"/>
              <w:bottom w:w="0" w:type="dxa"/>
              <w:right w:w="115" w:type="dxa"/>
            </w:tcMar>
            <w:hideMark/>
          </w:tcPr>
          <w:p w14:paraId="10508905" w14:textId="77777777" w:rsidR="00C033B5" w:rsidRPr="00746567" w:rsidRDefault="00C033B5" w:rsidP="00C033B5">
            <w:pPr>
              <w:rPr>
                <w:rFonts w:asciiTheme="majorBidi" w:hAnsiTheme="majorBidi" w:cstheme="majorBidi"/>
              </w:rPr>
            </w:pPr>
            <w:r w:rsidRPr="00746567">
              <w:rPr>
                <w:rFonts w:asciiTheme="majorBidi" w:hAnsiTheme="majorBidi" w:cstheme="majorBidi"/>
              </w:rPr>
              <w:t>-0.1597***</w:t>
            </w:r>
          </w:p>
        </w:tc>
        <w:tc>
          <w:tcPr>
            <w:tcW w:w="0" w:type="auto"/>
            <w:tcMar>
              <w:top w:w="0" w:type="dxa"/>
              <w:left w:w="115" w:type="dxa"/>
              <w:bottom w:w="0" w:type="dxa"/>
              <w:right w:w="115" w:type="dxa"/>
            </w:tcMar>
            <w:hideMark/>
          </w:tcPr>
          <w:p w14:paraId="7CA5316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6864F2D0" w14:textId="77777777" w:rsidR="00C033B5" w:rsidRPr="00746567" w:rsidRDefault="00C033B5" w:rsidP="00C033B5">
            <w:pPr>
              <w:rPr>
                <w:rFonts w:asciiTheme="majorBidi" w:hAnsiTheme="majorBidi" w:cstheme="majorBidi"/>
              </w:rPr>
            </w:pPr>
            <w:r w:rsidRPr="00746567">
              <w:rPr>
                <w:rFonts w:asciiTheme="majorBidi" w:hAnsiTheme="majorBidi" w:cstheme="majorBidi"/>
              </w:rPr>
              <w:t>-0.1371***</w:t>
            </w:r>
          </w:p>
        </w:tc>
      </w:tr>
      <w:tr w:rsidR="00C033B5" w:rsidRPr="00746567" w14:paraId="74A461A0" w14:textId="77777777">
        <w:trPr>
          <w:trHeight w:val="20"/>
        </w:trPr>
        <w:tc>
          <w:tcPr>
            <w:tcW w:w="0" w:type="auto"/>
            <w:tcMar>
              <w:top w:w="0" w:type="dxa"/>
              <w:left w:w="115" w:type="dxa"/>
              <w:bottom w:w="0" w:type="dxa"/>
              <w:right w:w="115" w:type="dxa"/>
            </w:tcMar>
            <w:hideMark/>
          </w:tcPr>
          <w:p w14:paraId="13CBDA2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0E7CDEC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(0.0024)</w:t>
            </w:r>
          </w:p>
        </w:tc>
        <w:tc>
          <w:tcPr>
            <w:tcW w:w="0" w:type="auto"/>
            <w:tcMar>
              <w:top w:w="0" w:type="dxa"/>
              <w:left w:w="115" w:type="dxa"/>
              <w:bottom w:w="0" w:type="dxa"/>
              <w:right w:w="115" w:type="dxa"/>
            </w:tcMar>
            <w:hideMark/>
          </w:tcPr>
          <w:p w14:paraId="677ABB7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(0.0011)</w:t>
            </w:r>
          </w:p>
        </w:tc>
        <w:tc>
          <w:tcPr>
            <w:tcW w:w="0" w:type="auto"/>
            <w:tcMar>
              <w:top w:w="0" w:type="dxa"/>
              <w:left w:w="115" w:type="dxa"/>
              <w:bottom w:w="0" w:type="dxa"/>
              <w:right w:w="115" w:type="dxa"/>
            </w:tcMar>
            <w:hideMark/>
          </w:tcPr>
          <w:p w14:paraId="6A76181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(0.0008)</w:t>
            </w:r>
          </w:p>
        </w:tc>
        <w:tc>
          <w:tcPr>
            <w:tcW w:w="0" w:type="auto"/>
            <w:tcMar>
              <w:top w:w="0" w:type="dxa"/>
              <w:left w:w="115" w:type="dxa"/>
              <w:bottom w:w="0" w:type="dxa"/>
              <w:right w:w="115" w:type="dxa"/>
            </w:tcMar>
            <w:hideMark/>
          </w:tcPr>
          <w:p w14:paraId="4F875172" w14:textId="77777777" w:rsidR="00C033B5" w:rsidRPr="00746567" w:rsidRDefault="00C033B5" w:rsidP="00C033B5">
            <w:pPr>
              <w:rPr>
                <w:rFonts w:asciiTheme="majorBidi" w:hAnsiTheme="majorBidi" w:cstheme="majorBidi"/>
              </w:rPr>
            </w:pPr>
            <w:r w:rsidRPr="00746567">
              <w:rPr>
                <w:rFonts w:asciiTheme="majorBidi" w:hAnsiTheme="majorBidi" w:cstheme="majorBidi"/>
              </w:rPr>
              <w:t>(0.0183)</w:t>
            </w:r>
          </w:p>
        </w:tc>
        <w:tc>
          <w:tcPr>
            <w:tcW w:w="0" w:type="auto"/>
            <w:tcMar>
              <w:top w:w="0" w:type="dxa"/>
              <w:left w:w="115" w:type="dxa"/>
              <w:bottom w:w="0" w:type="dxa"/>
              <w:right w:w="115" w:type="dxa"/>
            </w:tcMar>
            <w:hideMark/>
          </w:tcPr>
          <w:p w14:paraId="154C5E8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(0.0009)</w:t>
            </w:r>
          </w:p>
        </w:tc>
        <w:tc>
          <w:tcPr>
            <w:tcW w:w="0" w:type="auto"/>
            <w:tcMar>
              <w:top w:w="0" w:type="dxa"/>
              <w:left w:w="115" w:type="dxa"/>
              <w:bottom w:w="0" w:type="dxa"/>
              <w:right w:w="115" w:type="dxa"/>
            </w:tcMar>
            <w:hideMark/>
          </w:tcPr>
          <w:p w14:paraId="2DD23768" w14:textId="77777777" w:rsidR="00C033B5" w:rsidRPr="00746567" w:rsidRDefault="00C033B5" w:rsidP="00C033B5">
            <w:pPr>
              <w:rPr>
                <w:rFonts w:asciiTheme="majorBidi" w:hAnsiTheme="majorBidi" w:cstheme="majorBidi"/>
              </w:rPr>
            </w:pPr>
            <w:r w:rsidRPr="00746567">
              <w:rPr>
                <w:rFonts w:asciiTheme="majorBidi" w:hAnsiTheme="majorBidi" w:cstheme="majorBidi"/>
              </w:rPr>
              <w:t>(0.0178)</w:t>
            </w:r>
          </w:p>
        </w:tc>
      </w:tr>
      <w:tr w:rsidR="00C033B5" w:rsidRPr="00746567" w14:paraId="604CC2FD" w14:textId="77777777">
        <w:trPr>
          <w:trHeight w:val="20"/>
        </w:trPr>
        <w:tc>
          <w:tcPr>
            <w:tcW w:w="0" w:type="auto"/>
            <w:tcMar>
              <w:top w:w="0" w:type="dxa"/>
              <w:left w:w="115" w:type="dxa"/>
              <w:bottom w:w="0" w:type="dxa"/>
              <w:right w:w="115" w:type="dxa"/>
            </w:tcMar>
            <w:hideMark/>
          </w:tcPr>
          <w:p w14:paraId="614236F3" w14:textId="77777777" w:rsidR="00C033B5" w:rsidRPr="00746567" w:rsidRDefault="00C033B5" w:rsidP="00C033B5">
            <w:pPr>
              <w:rPr>
                <w:rFonts w:asciiTheme="majorBidi" w:hAnsiTheme="majorBidi" w:cstheme="majorBidi"/>
              </w:rPr>
            </w:pPr>
            <w:r w:rsidRPr="00746567">
              <w:rPr>
                <w:rFonts w:asciiTheme="majorBidi" w:hAnsiTheme="majorBidi" w:cstheme="majorBidi"/>
              </w:rPr>
              <w:t>Mortgage Loan</w:t>
            </w:r>
          </w:p>
        </w:tc>
        <w:tc>
          <w:tcPr>
            <w:tcW w:w="0" w:type="auto"/>
            <w:tcMar>
              <w:top w:w="0" w:type="dxa"/>
              <w:left w:w="115" w:type="dxa"/>
              <w:bottom w:w="0" w:type="dxa"/>
              <w:right w:w="115" w:type="dxa"/>
            </w:tcMar>
            <w:hideMark/>
          </w:tcPr>
          <w:p w14:paraId="444303FC" w14:textId="77777777" w:rsidR="00C033B5" w:rsidRPr="00746567" w:rsidRDefault="00C033B5" w:rsidP="00C033B5">
            <w:pPr>
              <w:rPr>
                <w:rFonts w:asciiTheme="majorBidi" w:hAnsiTheme="majorBidi" w:cstheme="majorBidi"/>
              </w:rPr>
            </w:pPr>
            <w:r w:rsidRPr="00746567">
              <w:rPr>
                <w:rFonts w:asciiTheme="majorBidi" w:hAnsiTheme="majorBidi" w:cstheme="majorBidi"/>
              </w:rPr>
              <w:t>-0.0593***</w:t>
            </w:r>
          </w:p>
        </w:tc>
        <w:tc>
          <w:tcPr>
            <w:tcW w:w="0" w:type="auto"/>
            <w:tcMar>
              <w:top w:w="0" w:type="dxa"/>
              <w:left w:w="115" w:type="dxa"/>
              <w:bottom w:w="0" w:type="dxa"/>
              <w:right w:w="115" w:type="dxa"/>
            </w:tcMar>
            <w:hideMark/>
          </w:tcPr>
          <w:p w14:paraId="59FCB01D" w14:textId="77777777" w:rsidR="00C033B5" w:rsidRPr="00746567" w:rsidRDefault="00C033B5" w:rsidP="00C033B5">
            <w:pPr>
              <w:rPr>
                <w:rFonts w:asciiTheme="majorBidi" w:hAnsiTheme="majorBidi" w:cstheme="majorBidi"/>
              </w:rPr>
            </w:pPr>
            <w:r w:rsidRPr="00746567">
              <w:rPr>
                <w:rFonts w:asciiTheme="majorBidi" w:hAnsiTheme="majorBidi" w:cstheme="majorBidi"/>
              </w:rPr>
              <w:t>-0.1359***</w:t>
            </w:r>
          </w:p>
        </w:tc>
        <w:tc>
          <w:tcPr>
            <w:tcW w:w="0" w:type="auto"/>
            <w:tcMar>
              <w:top w:w="0" w:type="dxa"/>
              <w:left w:w="115" w:type="dxa"/>
              <w:bottom w:w="0" w:type="dxa"/>
              <w:right w:w="115" w:type="dxa"/>
            </w:tcMar>
            <w:hideMark/>
          </w:tcPr>
          <w:p w14:paraId="4DFD330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-0.0012</w:t>
            </w:r>
          </w:p>
        </w:tc>
        <w:tc>
          <w:tcPr>
            <w:tcW w:w="0" w:type="auto"/>
            <w:tcMar>
              <w:top w:w="0" w:type="dxa"/>
              <w:left w:w="115" w:type="dxa"/>
              <w:bottom w:w="0" w:type="dxa"/>
              <w:right w:w="115" w:type="dxa"/>
            </w:tcMar>
            <w:hideMark/>
          </w:tcPr>
          <w:p w14:paraId="059AB1D7" w14:textId="77777777" w:rsidR="00C033B5" w:rsidRPr="00746567" w:rsidRDefault="00C033B5" w:rsidP="00C033B5">
            <w:pPr>
              <w:rPr>
                <w:rFonts w:asciiTheme="majorBidi" w:hAnsiTheme="majorBidi" w:cstheme="majorBidi"/>
              </w:rPr>
            </w:pPr>
            <w:r w:rsidRPr="00746567">
              <w:rPr>
                <w:rFonts w:asciiTheme="majorBidi" w:hAnsiTheme="majorBidi" w:cstheme="majorBidi"/>
              </w:rPr>
              <w:t>-0.2277***</w:t>
            </w:r>
          </w:p>
        </w:tc>
        <w:tc>
          <w:tcPr>
            <w:tcW w:w="0" w:type="auto"/>
            <w:tcMar>
              <w:top w:w="0" w:type="dxa"/>
              <w:left w:w="115" w:type="dxa"/>
              <w:bottom w:w="0" w:type="dxa"/>
              <w:right w:w="115" w:type="dxa"/>
            </w:tcMar>
            <w:hideMark/>
          </w:tcPr>
          <w:p w14:paraId="1AA53DF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-0.0006</w:t>
            </w:r>
          </w:p>
        </w:tc>
        <w:tc>
          <w:tcPr>
            <w:tcW w:w="0" w:type="auto"/>
            <w:tcMar>
              <w:top w:w="0" w:type="dxa"/>
              <w:left w:w="115" w:type="dxa"/>
              <w:bottom w:w="0" w:type="dxa"/>
              <w:right w:w="115" w:type="dxa"/>
            </w:tcMar>
            <w:hideMark/>
          </w:tcPr>
          <w:p w14:paraId="5047747D" w14:textId="77777777" w:rsidR="00C033B5" w:rsidRPr="00746567" w:rsidRDefault="00C033B5" w:rsidP="00C033B5">
            <w:pPr>
              <w:rPr>
                <w:rFonts w:asciiTheme="majorBidi" w:hAnsiTheme="majorBidi" w:cstheme="majorBidi"/>
              </w:rPr>
            </w:pPr>
            <w:r w:rsidRPr="00746567">
              <w:rPr>
                <w:rFonts w:asciiTheme="majorBidi" w:hAnsiTheme="majorBidi" w:cstheme="majorBidi"/>
              </w:rPr>
              <w:t>-0.1899***</w:t>
            </w:r>
          </w:p>
        </w:tc>
      </w:tr>
      <w:tr w:rsidR="00C033B5" w:rsidRPr="00746567" w14:paraId="096C3A4D" w14:textId="77777777">
        <w:trPr>
          <w:trHeight w:val="20"/>
        </w:trPr>
        <w:tc>
          <w:tcPr>
            <w:tcW w:w="0" w:type="auto"/>
            <w:tcMar>
              <w:top w:w="0" w:type="dxa"/>
              <w:left w:w="115" w:type="dxa"/>
              <w:bottom w:w="0" w:type="dxa"/>
              <w:right w:w="115" w:type="dxa"/>
            </w:tcMar>
            <w:hideMark/>
          </w:tcPr>
          <w:p w14:paraId="7BE14D1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0D5805E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(0.0040)</w:t>
            </w:r>
          </w:p>
        </w:tc>
        <w:tc>
          <w:tcPr>
            <w:tcW w:w="0" w:type="auto"/>
            <w:tcMar>
              <w:top w:w="0" w:type="dxa"/>
              <w:left w:w="115" w:type="dxa"/>
              <w:bottom w:w="0" w:type="dxa"/>
              <w:right w:w="115" w:type="dxa"/>
            </w:tcMar>
            <w:hideMark/>
          </w:tcPr>
          <w:p w14:paraId="04E7944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(0.0049)</w:t>
            </w:r>
          </w:p>
        </w:tc>
        <w:tc>
          <w:tcPr>
            <w:tcW w:w="0" w:type="auto"/>
            <w:tcMar>
              <w:top w:w="0" w:type="dxa"/>
              <w:left w:w="115" w:type="dxa"/>
              <w:bottom w:w="0" w:type="dxa"/>
              <w:right w:w="115" w:type="dxa"/>
            </w:tcMar>
            <w:hideMark/>
          </w:tcPr>
          <w:p w14:paraId="433089C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(0.0009)</w:t>
            </w:r>
          </w:p>
        </w:tc>
        <w:tc>
          <w:tcPr>
            <w:tcW w:w="0" w:type="auto"/>
            <w:tcMar>
              <w:top w:w="0" w:type="dxa"/>
              <w:left w:w="115" w:type="dxa"/>
              <w:bottom w:w="0" w:type="dxa"/>
              <w:right w:w="115" w:type="dxa"/>
            </w:tcMar>
            <w:hideMark/>
          </w:tcPr>
          <w:p w14:paraId="3822D8FC" w14:textId="77777777" w:rsidR="00C033B5" w:rsidRPr="00746567" w:rsidRDefault="00C033B5" w:rsidP="00C033B5">
            <w:pPr>
              <w:rPr>
                <w:rFonts w:asciiTheme="majorBidi" w:hAnsiTheme="majorBidi" w:cstheme="majorBidi"/>
              </w:rPr>
            </w:pPr>
            <w:r w:rsidRPr="00746567">
              <w:rPr>
                <w:rFonts w:asciiTheme="majorBidi" w:hAnsiTheme="majorBidi" w:cstheme="majorBidi"/>
              </w:rPr>
              <w:t>(0.0130)</w:t>
            </w:r>
          </w:p>
        </w:tc>
        <w:tc>
          <w:tcPr>
            <w:tcW w:w="0" w:type="auto"/>
            <w:tcMar>
              <w:top w:w="0" w:type="dxa"/>
              <w:left w:w="115" w:type="dxa"/>
              <w:bottom w:w="0" w:type="dxa"/>
              <w:right w:w="115" w:type="dxa"/>
            </w:tcMar>
            <w:hideMark/>
          </w:tcPr>
          <w:p w14:paraId="2BEB03C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(0.0005)</w:t>
            </w:r>
          </w:p>
        </w:tc>
        <w:tc>
          <w:tcPr>
            <w:tcW w:w="0" w:type="auto"/>
            <w:tcMar>
              <w:top w:w="0" w:type="dxa"/>
              <w:left w:w="115" w:type="dxa"/>
              <w:bottom w:w="0" w:type="dxa"/>
              <w:right w:w="115" w:type="dxa"/>
            </w:tcMar>
            <w:hideMark/>
          </w:tcPr>
          <w:p w14:paraId="71FCC707" w14:textId="77777777" w:rsidR="00C033B5" w:rsidRPr="00746567" w:rsidRDefault="00C033B5" w:rsidP="00C033B5">
            <w:pPr>
              <w:rPr>
                <w:rFonts w:asciiTheme="majorBidi" w:hAnsiTheme="majorBidi" w:cstheme="majorBidi"/>
              </w:rPr>
            </w:pPr>
            <w:r w:rsidRPr="00746567">
              <w:rPr>
                <w:rFonts w:asciiTheme="majorBidi" w:hAnsiTheme="majorBidi" w:cstheme="majorBidi"/>
              </w:rPr>
              <w:t>(0.0168)</w:t>
            </w:r>
          </w:p>
        </w:tc>
      </w:tr>
      <w:tr w:rsidR="00C033B5" w:rsidRPr="00746567" w14:paraId="1A932725" w14:textId="77777777">
        <w:trPr>
          <w:trHeight w:val="20"/>
        </w:trPr>
        <w:tc>
          <w:tcPr>
            <w:tcW w:w="0" w:type="auto"/>
            <w:tcMar>
              <w:top w:w="0" w:type="dxa"/>
              <w:left w:w="115" w:type="dxa"/>
              <w:bottom w:w="0" w:type="dxa"/>
              <w:right w:w="115" w:type="dxa"/>
            </w:tcMar>
            <w:hideMark/>
          </w:tcPr>
          <w:p w14:paraId="18055F09" w14:textId="77777777" w:rsidR="00C033B5" w:rsidRPr="00746567" w:rsidRDefault="00C033B5" w:rsidP="00C033B5">
            <w:pPr>
              <w:rPr>
                <w:rFonts w:asciiTheme="majorBidi" w:hAnsiTheme="majorBidi" w:cstheme="majorBidi"/>
              </w:rPr>
            </w:pPr>
            <w:r w:rsidRPr="00746567">
              <w:rPr>
                <w:rFonts w:asciiTheme="majorBidi" w:hAnsiTheme="majorBidi" w:cstheme="majorBidi"/>
              </w:rPr>
              <w:t>Pawnbroking Loan</w:t>
            </w:r>
          </w:p>
        </w:tc>
        <w:tc>
          <w:tcPr>
            <w:tcW w:w="0" w:type="auto"/>
            <w:tcMar>
              <w:top w:w="0" w:type="dxa"/>
              <w:left w:w="115" w:type="dxa"/>
              <w:bottom w:w="0" w:type="dxa"/>
              <w:right w:w="115" w:type="dxa"/>
            </w:tcMar>
            <w:hideMark/>
          </w:tcPr>
          <w:p w14:paraId="211BA58D" w14:textId="77777777" w:rsidR="00C033B5" w:rsidRPr="00746567" w:rsidRDefault="00C033B5" w:rsidP="00C033B5">
            <w:pPr>
              <w:rPr>
                <w:rFonts w:asciiTheme="majorBidi" w:hAnsiTheme="majorBidi" w:cstheme="majorBidi"/>
              </w:rPr>
            </w:pPr>
            <w:r w:rsidRPr="00746567">
              <w:rPr>
                <w:rFonts w:asciiTheme="majorBidi" w:hAnsiTheme="majorBidi" w:cstheme="majorBidi"/>
              </w:rPr>
              <w:t>0.0162***</w:t>
            </w:r>
          </w:p>
        </w:tc>
        <w:tc>
          <w:tcPr>
            <w:tcW w:w="0" w:type="auto"/>
            <w:tcMar>
              <w:top w:w="0" w:type="dxa"/>
              <w:left w:w="115" w:type="dxa"/>
              <w:bottom w:w="0" w:type="dxa"/>
              <w:right w:w="115" w:type="dxa"/>
            </w:tcMar>
            <w:hideMark/>
          </w:tcPr>
          <w:p w14:paraId="3CAADE6D" w14:textId="77777777" w:rsidR="00C033B5" w:rsidRPr="00746567" w:rsidRDefault="00C033B5" w:rsidP="00C033B5">
            <w:pPr>
              <w:rPr>
                <w:rFonts w:asciiTheme="majorBidi" w:hAnsiTheme="majorBidi" w:cstheme="majorBidi"/>
              </w:rPr>
            </w:pPr>
            <w:r w:rsidRPr="00746567">
              <w:rPr>
                <w:rFonts w:asciiTheme="majorBidi" w:hAnsiTheme="majorBidi" w:cstheme="majorBidi"/>
              </w:rPr>
              <w:t>-0.0942***</w:t>
            </w:r>
          </w:p>
        </w:tc>
        <w:tc>
          <w:tcPr>
            <w:tcW w:w="0" w:type="auto"/>
            <w:tcMar>
              <w:top w:w="0" w:type="dxa"/>
              <w:left w:w="115" w:type="dxa"/>
              <w:bottom w:w="0" w:type="dxa"/>
              <w:right w:w="115" w:type="dxa"/>
            </w:tcMar>
            <w:hideMark/>
          </w:tcPr>
          <w:p w14:paraId="0223CB0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-0.0018***</w:t>
            </w:r>
          </w:p>
        </w:tc>
        <w:tc>
          <w:tcPr>
            <w:tcW w:w="0" w:type="auto"/>
            <w:tcMar>
              <w:top w:w="0" w:type="dxa"/>
              <w:left w:w="115" w:type="dxa"/>
              <w:bottom w:w="0" w:type="dxa"/>
              <w:right w:w="115" w:type="dxa"/>
            </w:tcMar>
            <w:hideMark/>
          </w:tcPr>
          <w:p w14:paraId="32306D56" w14:textId="77777777" w:rsidR="00C033B5" w:rsidRPr="00746567" w:rsidRDefault="00C033B5" w:rsidP="00C033B5">
            <w:pPr>
              <w:rPr>
                <w:rFonts w:asciiTheme="majorBidi" w:hAnsiTheme="majorBidi" w:cstheme="majorBidi"/>
              </w:rPr>
            </w:pPr>
            <w:r w:rsidRPr="00746567">
              <w:rPr>
                <w:rFonts w:asciiTheme="majorBidi" w:hAnsiTheme="majorBidi" w:cstheme="majorBidi"/>
              </w:rPr>
              <w:t>-0.1480***</w:t>
            </w:r>
          </w:p>
        </w:tc>
        <w:tc>
          <w:tcPr>
            <w:tcW w:w="0" w:type="auto"/>
            <w:tcMar>
              <w:top w:w="0" w:type="dxa"/>
              <w:left w:w="115" w:type="dxa"/>
              <w:bottom w:w="0" w:type="dxa"/>
              <w:right w:w="115" w:type="dxa"/>
            </w:tcMar>
            <w:hideMark/>
          </w:tcPr>
          <w:p w14:paraId="06DF530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-0.0009***</w:t>
            </w:r>
          </w:p>
        </w:tc>
        <w:tc>
          <w:tcPr>
            <w:tcW w:w="0" w:type="auto"/>
            <w:tcMar>
              <w:top w:w="0" w:type="dxa"/>
              <w:left w:w="115" w:type="dxa"/>
              <w:bottom w:w="0" w:type="dxa"/>
              <w:right w:w="115" w:type="dxa"/>
            </w:tcMar>
            <w:hideMark/>
          </w:tcPr>
          <w:p w14:paraId="4080719B" w14:textId="77777777" w:rsidR="00C033B5" w:rsidRPr="00746567" w:rsidRDefault="00C033B5" w:rsidP="00C033B5">
            <w:pPr>
              <w:rPr>
                <w:rFonts w:asciiTheme="majorBidi" w:hAnsiTheme="majorBidi" w:cstheme="majorBidi"/>
              </w:rPr>
            </w:pPr>
            <w:r w:rsidRPr="00746567">
              <w:rPr>
                <w:rFonts w:asciiTheme="majorBidi" w:hAnsiTheme="majorBidi" w:cstheme="majorBidi"/>
              </w:rPr>
              <w:t>-0.0958***</w:t>
            </w:r>
          </w:p>
        </w:tc>
      </w:tr>
      <w:tr w:rsidR="00C033B5" w:rsidRPr="00746567" w14:paraId="0914CD5B" w14:textId="77777777">
        <w:trPr>
          <w:trHeight w:val="20"/>
        </w:trPr>
        <w:tc>
          <w:tcPr>
            <w:tcW w:w="0" w:type="auto"/>
            <w:tcMar>
              <w:top w:w="0" w:type="dxa"/>
              <w:left w:w="115" w:type="dxa"/>
              <w:bottom w:w="0" w:type="dxa"/>
              <w:right w:w="115" w:type="dxa"/>
            </w:tcMar>
            <w:hideMark/>
          </w:tcPr>
          <w:p w14:paraId="1A51762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22DB8F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(0.0029)</w:t>
            </w:r>
          </w:p>
        </w:tc>
        <w:tc>
          <w:tcPr>
            <w:tcW w:w="0" w:type="auto"/>
            <w:tcMar>
              <w:top w:w="0" w:type="dxa"/>
              <w:left w:w="115" w:type="dxa"/>
              <w:bottom w:w="0" w:type="dxa"/>
              <w:right w:w="115" w:type="dxa"/>
            </w:tcMar>
            <w:hideMark/>
          </w:tcPr>
          <w:p w14:paraId="6F1DA19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(0.0013)</w:t>
            </w:r>
          </w:p>
        </w:tc>
        <w:tc>
          <w:tcPr>
            <w:tcW w:w="0" w:type="auto"/>
            <w:tcMar>
              <w:top w:w="0" w:type="dxa"/>
              <w:left w:w="115" w:type="dxa"/>
              <w:bottom w:w="0" w:type="dxa"/>
              <w:right w:w="115" w:type="dxa"/>
            </w:tcMar>
            <w:hideMark/>
          </w:tcPr>
          <w:p w14:paraId="5ECBF63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(0.0007)</w:t>
            </w:r>
          </w:p>
        </w:tc>
        <w:tc>
          <w:tcPr>
            <w:tcW w:w="0" w:type="auto"/>
            <w:tcMar>
              <w:top w:w="0" w:type="dxa"/>
              <w:left w:w="115" w:type="dxa"/>
              <w:bottom w:w="0" w:type="dxa"/>
              <w:right w:w="115" w:type="dxa"/>
            </w:tcMar>
            <w:hideMark/>
          </w:tcPr>
          <w:p w14:paraId="51B275C6" w14:textId="77777777" w:rsidR="00C033B5" w:rsidRPr="00746567" w:rsidRDefault="00C033B5" w:rsidP="00C033B5">
            <w:pPr>
              <w:rPr>
                <w:rFonts w:asciiTheme="majorBidi" w:hAnsiTheme="majorBidi" w:cstheme="majorBidi"/>
              </w:rPr>
            </w:pPr>
            <w:r w:rsidRPr="00746567">
              <w:rPr>
                <w:rFonts w:asciiTheme="majorBidi" w:hAnsiTheme="majorBidi" w:cstheme="majorBidi"/>
              </w:rPr>
              <w:t>(0.0207)</w:t>
            </w:r>
          </w:p>
        </w:tc>
        <w:tc>
          <w:tcPr>
            <w:tcW w:w="0" w:type="auto"/>
            <w:tcMar>
              <w:top w:w="0" w:type="dxa"/>
              <w:left w:w="115" w:type="dxa"/>
              <w:bottom w:w="0" w:type="dxa"/>
              <w:right w:w="115" w:type="dxa"/>
            </w:tcMar>
            <w:hideMark/>
          </w:tcPr>
          <w:p w14:paraId="465D112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(0.0003)</w:t>
            </w:r>
          </w:p>
        </w:tc>
        <w:tc>
          <w:tcPr>
            <w:tcW w:w="0" w:type="auto"/>
            <w:tcMar>
              <w:top w:w="0" w:type="dxa"/>
              <w:left w:w="115" w:type="dxa"/>
              <w:bottom w:w="0" w:type="dxa"/>
              <w:right w:w="115" w:type="dxa"/>
            </w:tcMar>
            <w:hideMark/>
          </w:tcPr>
          <w:p w14:paraId="7B691342" w14:textId="77777777" w:rsidR="00C033B5" w:rsidRPr="00746567" w:rsidRDefault="00C033B5" w:rsidP="00C033B5">
            <w:pPr>
              <w:rPr>
                <w:rFonts w:asciiTheme="majorBidi" w:hAnsiTheme="majorBidi" w:cstheme="majorBidi"/>
              </w:rPr>
            </w:pPr>
            <w:r w:rsidRPr="00746567">
              <w:rPr>
                <w:rFonts w:asciiTheme="majorBidi" w:hAnsiTheme="majorBidi" w:cstheme="majorBidi"/>
              </w:rPr>
              <w:t>(0.0235)</w:t>
            </w:r>
          </w:p>
        </w:tc>
      </w:tr>
      <w:tr w:rsidR="00C033B5" w:rsidRPr="00746567" w14:paraId="26245432" w14:textId="77777777">
        <w:trPr>
          <w:trHeight w:val="20"/>
        </w:trPr>
        <w:tc>
          <w:tcPr>
            <w:tcW w:w="0" w:type="auto"/>
            <w:tcMar>
              <w:top w:w="0" w:type="dxa"/>
              <w:left w:w="115" w:type="dxa"/>
              <w:bottom w:w="0" w:type="dxa"/>
              <w:right w:w="115" w:type="dxa"/>
            </w:tcMar>
            <w:hideMark/>
          </w:tcPr>
          <w:p w14:paraId="7E16D1A1" w14:textId="77777777" w:rsidR="00C033B5" w:rsidRPr="00746567" w:rsidRDefault="00C033B5" w:rsidP="00C033B5">
            <w:pPr>
              <w:rPr>
                <w:rFonts w:asciiTheme="majorBidi" w:hAnsiTheme="majorBidi" w:cstheme="majorBidi"/>
              </w:rPr>
            </w:pPr>
            <w:r w:rsidRPr="00746567">
              <w:rPr>
                <w:rFonts w:asciiTheme="majorBidi" w:hAnsiTheme="majorBidi" w:cstheme="majorBidi"/>
              </w:rPr>
              <w:t>Personal Loan</w:t>
            </w:r>
          </w:p>
        </w:tc>
        <w:tc>
          <w:tcPr>
            <w:tcW w:w="0" w:type="auto"/>
            <w:tcMar>
              <w:top w:w="0" w:type="dxa"/>
              <w:left w:w="115" w:type="dxa"/>
              <w:bottom w:w="0" w:type="dxa"/>
              <w:right w:w="115" w:type="dxa"/>
            </w:tcMar>
            <w:hideMark/>
          </w:tcPr>
          <w:p w14:paraId="4C7508D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-0.0015***</w:t>
            </w:r>
          </w:p>
        </w:tc>
        <w:tc>
          <w:tcPr>
            <w:tcW w:w="0" w:type="auto"/>
            <w:tcMar>
              <w:top w:w="0" w:type="dxa"/>
              <w:left w:w="115" w:type="dxa"/>
              <w:bottom w:w="0" w:type="dxa"/>
              <w:right w:w="115" w:type="dxa"/>
            </w:tcMar>
            <w:hideMark/>
          </w:tcPr>
          <w:p w14:paraId="40E03987" w14:textId="77777777" w:rsidR="00C033B5" w:rsidRPr="00746567" w:rsidRDefault="00C033B5" w:rsidP="00C033B5">
            <w:pPr>
              <w:rPr>
                <w:rFonts w:asciiTheme="majorBidi" w:hAnsiTheme="majorBidi" w:cstheme="majorBidi"/>
              </w:rPr>
            </w:pPr>
            <w:r w:rsidRPr="00746567">
              <w:rPr>
                <w:rFonts w:asciiTheme="majorBidi" w:hAnsiTheme="majorBidi" w:cstheme="majorBidi"/>
              </w:rPr>
              <w:t>-0.0302***</w:t>
            </w:r>
          </w:p>
        </w:tc>
        <w:tc>
          <w:tcPr>
            <w:tcW w:w="0" w:type="auto"/>
            <w:tcMar>
              <w:top w:w="0" w:type="dxa"/>
              <w:left w:w="115" w:type="dxa"/>
              <w:bottom w:w="0" w:type="dxa"/>
              <w:right w:w="115" w:type="dxa"/>
            </w:tcMar>
            <w:hideMark/>
          </w:tcPr>
          <w:p w14:paraId="750BD6B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0.0004</w:t>
            </w:r>
          </w:p>
        </w:tc>
        <w:tc>
          <w:tcPr>
            <w:tcW w:w="0" w:type="auto"/>
            <w:tcMar>
              <w:top w:w="0" w:type="dxa"/>
              <w:left w:w="115" w:type="dxa"/>
              <w:bottom w:w="0" w:type="dxa"/>
              <w:right w:w="115" w:type="dxa"/>
            </w:tcMar>
            <w:hideMark/>
          </w:tcPr>
          <w:p w14:paraId="62383EA8" w14:textId="77777777" w:rsidR="00C033B5" w:rsidRPr="00746567" w:rsidRDefault="00C033B5" w:rsidP="00C033B5">
            <w:pPr>
              <w:rPr>
                <w:rFonts w:asciiTheme="majorBidi" w:hAnsiTheme="majorBidi" w:cstheme="majorBidi"/>
              </w:rPr>
            </w:pPr>
            <w:r w:rsidRPr="00746567">
              <w:rPr>
                <w:rFonts w:asciiTheme="majorBidi" w:hAnsiTheme="majorBidi" w:cstheme="majorBidi"/>
              </w:rPr>
              <w:t>0.0157***</w:t>
            </w:r>
          </w:p>
        </w:tc>
        <w:tc>
          <w:tcPr>
            <w:tcW w:w="0" w:type="auto"/>
            <w:tcMar>
              <w:top w:w="0" w:type="dxa"/>
              <w:left w:w="115" w:type="dxa"/>
              <w:bottom w:w="0" w:type="dxa"/>
              <w:right w:w="115" w:type="dxa"/>
            </w:tcMar>
            <w:hideMark/>
          </w:tcPr>
          <w:p w14:paraId="22C8A4B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-0.0003**</w:t>
            </w:r>
          </w:p>
        </w:tc>
        <w:tc>
          <w:tcPr>
            <w:tcW w:w="0" w:type="auto"/>
            <w:tcMar>
              <w:top w:w="0" w:type="dxa"/>
              <w:left w:w="115" w:type="dxa"/>
              <w:bottom w:w="0" w:type="dxa"/>
              <w:right w:w="115" w:type="dxa"/>
            </w:tcMar>
            <w:hideMark/>
          </w:tcPr>
          <w:p w14:paraId="06632F90" w14:textId="77777777" w:rsidR="00C033B5" w:rsidRPr="00746567" w:rsidRDefault="00C033B5" w:rsidP="00C033B5">
            <w:pPr>
              <w:rPr>
                <w:rFonts w:asciiTheme="majorBidi" w:hAnsiTheme="majorBidi" w:cstheme="majorBidi"/>
              </w:rPr>
            </w:pPr>
            <w:r w:rsidRPr="00746567">
              <w:rPr>
                <w:rFonts w:asciiTheme="majorBidi" w:hAnsiTheme="majorBidi" w:cstheme="majorBidi"/>
              </w:rPr>
              <w:t>0.0140***</w:t>
            </w:r>
          </w:p>
        </w:tc>
      </w:tr>
      <w:tr w:rsidR="00C033B5" w:rsidRPr="00746567" w14:paraId="3DD02F20" w14:textId="77777777">
        <w:trPr>
          <w:trHeight w:val="20"/>
        </w:trPr>
        <w:tc>
          <w:tcPr>
            <w:tcW w:w="0" w:type="auto"/>
            <w:tcMar>
              <w:top w:w="0" w:type="dxa"/>
              <w:left w:w="115" w:type="dxa"/>
              <w:bottom w:w="0" w:type="dxa"/>
              <w:right w:w="115" w:type="dxa"/>
            </w:tcMar>
            <w:hideMark/>
          </w:tcPr>
          <w:p w14:paraId="5ABED46F"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65E8911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26133FB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4B7FAB2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(0.0003)</w:t>
            </w:r>
          </w:p>
        </w:tc>
        <w:tc>
          <w:tcPr>
            <w:tcW w:w="0" w:type="auto"/>
            <w:tcMar>
              <w:top w:w="0" w:type="dxa"/>
              <w:left w:w="115" w:type="dxa"/>
              <w:bottom w:w="0" w:type="dxa"/>
              <w:right w:w="115" w:type="dxa"/>
            </w:tcMar>
            <w:hideMark/>
          </w:tcPr>
          <w:p w14:paraId="7BD55A3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(0.0035)</w:t>
            </w:r>
          </w:p>
        </w:tc>
        <w:tc>
          <w:tcPr>
            <w:tcW w:w="0" w:type="auto"/>
            <w:tcMar>
              <w:top w:w="0" w:type="dxa"/>
              <w:left w:w="115" w:type="dxa"/>
              <w:bottom w:w="0" w:type="dxa"/>
              <w:right w:w="115" w:type="dxa"/>
            </w:tcMar>
            <w:hideMark/>
          </w:tcPr>
          <w:p w14:paraId="42F3F86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248C84D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(0.0031)</w:t>
            </w:r>
          </w:p>
        </w:tc>
      </w:tr>
      <w:tr w:rsidR="00C033B5" w:rsidRPr="00746567" w14:paraId="4310A90F" w14:textId="77777777">
        <w:trPr>
          <w:trHeight w:val="20"/>
        </w:trPr>
        <w:tc>
          <w:tcPr>
            <w:tcW w:w="0" w:type="auto"/>
            <w:tcMar>
              <w:top w:w="0" w:type="dxa"/>
              <w:left w:w="115" w:type="dxa"/>
              <w:bottom w:w="0" w:type="dxa"/>
              <w:right w:w="115" w:type="dxa"/>
            </w:tcMar>
            <w:hideMark/>
          </w:tcPr>
          <w:p w14:paraId="76ACB95C" w14:textId="77777777" w:rsidR="00C033B5" w:rsidRPr="00746567" w:rsidRDefault="00C033B5" w:rsidP="00C033B5">
            <w:pPr>
              <w:rPr>
                <w:rFonts w:asciiTheme="majorBidi" w:hAnsiTheme="majorBidi" w:cstheme="majorBidi"/>
              </w:rPr>
            </w:pPr>
            <w:r w:rsidRPr="00746567">
              <w:rPr>
                <w:rFonts w:asciiTheme="majorBidi" w:hAnsiTheme="majorBidi" w:cstheme="majorBidi"/>
              </w:rPr>
              <w:t>Age</w:t>
            </w:r>
          </w:p>
        </w:tc>
        <w:tc>
          <w:tcPr>
            <w:tcW w:w="0" w:type="auto"/>
            <w:tcMar>
              <w:top w:w="0" w:type="dxa"/>
              <w:left w:w="115" w:type="dxa"/>
              <w:bottom w:w="0" w:type="dxa"/>
              <w:right w:w="115" w:type="dxa"/>
            </w:tcMar>
            <w:hideMark/>
          </w:tcPr>
          <w:p w14:paraId="5B4FFD5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-0.0021***</w:t>
            </w:r>
          </w:p>
        </w:tc>
        <w:tc>
          <w:tcPr>
            <w:tcW w:w="0" w:type="auto"/>
            <w:tcMar>
              <w:top w:w="0" w:type="dxa"/>
              <w:left w:w="115" w:type="dxa"/>
              <w:bottom w:w="0" w:type="dxa"/>
              <w:right w:w="115" w:type="dxa"/>
            </w:tcMar>
            <w:hideMark/>
          </w:tcPr>
          <w:p w14:paraId="26B73426" w14:textId="77777777" w:rsidR="00C033B5" w:rsidRPr="00746567" w:rsidRDefault="00C033B5" w:rsidP="00C033B5">
            <w:pPr>
              <w:rPr>
                <w:rFonts w:asciiTheme="majorBidi" w:hAnsiTheme="majorBidi" w:cstheme="majorBidi"/>
              </w:rPr>
            </w:pPr>
            <w:r w:rsidRPr="00746567">
              <w:rPr>
                <w:rFonts w:asciiTheme="majorBidi" w:hAnsiTheme="majorBidi" w:cstheme="majorBidi"/>
              </w:rPr>
              <w:t>-0.0144***</w:t>
            </w:r>
          </w:p>
        </w:tc>
        <w:tc>
          <w:tcPr>
            <w:tcW w:w="0" w:type="auto"/>
            <w:tcMar>
              <w:top w:w="0" w:type="dxa"/>
              <w:left w:w="115" w:type="dxa"/>
              <w:bottom w:w="0" w:type="dxa"/>
              <w:right w:w="115" w:type="dxa"/>
            </w:tcMar>
            <w:hideMark/>
          </w:tcPr>
          <w:p w14:paraId="5D58501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-0.0014***</w:t>
            </w:r>
          </w:p>
        </w:tc>
        <w:tc>
          <w:tcPr>
            <w:tcW w:w="0" w:type="auto"/>
            <w:tcMar>
              <w:top w:w="0" w:type="dxa"/>
              <w:left w:w="115" w:type="dxa"/>
              <w:bottom w:w="0" w:type="dxa"/>
              <w:right w:w="115" w:type="dxa"/>
            </w:tcMar>
            <w:hideMark/>
          </w:tcPr>
          <w:p w14:paraId="2005B51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0.0017</w:t>
            </w:r>
          </w:p>
        </w:tc>
        <w:tc>
          <w:tcPr>
            <w:tcW w:w="0" w:type="auto"/>
            <w:tcMar>
              <w:top w:w="0" w:type="dxa"/>
              <w:left w:w="115" w:type="dxa"/>
              <w:bottom w:w="0" w:type="dxa"/>
              <w:right w:w="115" w:type="dxa"/>
            </w:tcMar>
            <w:hideMark/>
          </w:tcPr>
          <w:p w14:paraId="15FFE27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149F6C76" w14:textId="77777777" w:rsidR="00C033B5" w:rsidRPr="00746567" w:rsidRDefault="00C033B5" w:rsidP="00C033B5">
            <w:pPr>
              <w:rPr>
                <w:rFonts w:asciiTheme="majorBidi" w:hAnsiTheme="majorBidi" w:cstheme="majorBidi"/>
              </w:rPr>
            </w:pPr>
            <w:r w:rsidRPr="00746567">
              <w:rPr>
                <w:rFonts w:asciiTheme="majorBidi" w:hAnsiTheme="majorBidi" w:cstheme="majorBidi"/>
              </w:rPr>
              <w:t>0.0144***</w:t>
            </w:r>
          </w:p>
        </w:tc>
      </w:tr>
      <w:tr w:rsidR="00C033B5" w:rsidRPr="00746567" w14:paraId="5FDB60BF" w14:textId="77777777">
        <w:trPr>
          <w:trHeight w:val="20"/>
        </w:trPr>
        <w:tc>
          <w:tcPr>
            <w:tcW w:w="0" w:type="auto"/>
            <w:tcMar>
              <w:top w:w="0" w:type="dxa"/>
              <w:left w:w="115" w:type="dxa"/>
              <w:bottom w:w="0" w:type="dxa"/>
              <w:right w:w="115" w:type="dxa"/>
            </w:tcMar>
            <w:hideMark/>
          </w:tcPr>
          <w:p w14:paraId="71327525"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37C4FE5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1B5DE05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7B734A4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hideMark/>
          </w:tcPr>
          <w:p w14:paraId="10F68C1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(0.0026)</w:t>
            </w:r>
          </w:p>
        </w:tc>
        <w:tc>
          <w:tcPr>
            <w:tcW w:w="0" w:type="auto"/>
            <w:tcMar>
              <w:top w:w="0" w:type="dxa"/>
              <w:left w:w="115" w:type="dxa"/>
              <w:bottom w:w="0" w:type="dxa"/>
              <w:right w:w="115" w:type="dxa"/>
            </w:tcMar>
            <w:hideMark/>
          </w:tcPr>
          <w:p w14:paraId="5D69550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2CEECA8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(0.0031)</w:t>
            </w:r>
          </w:p>
        </w:tc>
      </w:tr>
      <w:tr w:rsidR="00C033B5" w:rsidRPr="00746567" w14:paraId="7A95414A" w14:textId="77777777">
        <w:trPr>
          <w:trHeight w:val="20"/>
        </w:trPr>
        <w:tc>
          <w:tcPr>
            <w:tcW w:w="0" w:type="auto"/>
            <w:tcMar>
              <w:top w:w="0" w:type="dxa"/>
              <w:left w:w="115" w:type="dxa"/>
              <w:bottom w:w="0" w:type="dxa"/>
              <w:right w:w="115" w:type="dxa"/>
            </w:tcMar>
            <w:hideMark/>
          </w:tcPr>
          <w:p w14:paraId="7E1B6DD4"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Loanport</w:t>
            </w:r>
            <w:proofErr w:type="spellEnd"/>
          </w:p>
        </w:tc>
        <w:tc>
          <w:tcPr>
            <w:tcW w:w="0" w:type="auto"/>
            <w:tcMar>
              <w:top w:w="0" w:type="dxa"/>
              <w:left w:w="115" w:type="dxa"/>
              <w:bottom w:w="0" w:type="dxa"/>
              <w:right w:w="115" w:type="dxa"/>
            </w:tcMar>
            <w:hideMark/>
          </w:tcPr>
          <w:p w14:paraId="7D51542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-0.0017***</w:t>
            </w:r>
          </w:p>
        </w:tc>
        <w:tc>
          <w:tcPr>
            <w:tcW w:w="0" w:type="auto"/>
            <w:tcMar>
              <w:top w:w="0" w:type="dxa"/>
              <w:left w:w="115" w:type="dxa"/>
              <w:bottom w:w="0" w:type="dxa"/>
              <w:right w:w="115" w:type="dxa"/>
            </w:tcMar>
            <w:hideMark/>
          </w:tcPr>
          <w:p w14:paraId="34172D6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-0.0010***</w:t>
            </w:r>
          </w:p>
        </w:tc>
        <w:tc>
          <w:tcPr>
            <w:tcW w:w="0" w:type="auto"/>
            <w:tcMar>
              <w:top w:w="0" w:type="dxa"/>
              <w:left w:w="115" w:type="dxa"/>
              <w:bottom w:w="0" w:type="dxa"/>
              <w:right w:w="115" w:type="dxa"/>
            </w:tcMar>
            <w:hideMark/>
          </w:tcPr>
          <w:p w14:paraId="7836517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56DF214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490CC11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0.0003***</w:t>
            </w:r>
          </w:p>
        </w:tc>
        <w:tc>
          <w:tcPr>
            <w:tcW w:w="0" w:type="auto"/>
            <w:tcMar>
              <w:top w:w="0" w:type="dxa"/>
              <w:left w:w="115" w:type="dxa"/>
              <w:bottom w:w="0" w:type="dxa"/>
              <w:right w:w="115" w:type="dxa"/>
            </w:tcMar>
            <w:hideMark/>
          </w:tcPr>
          <w:p w14:paraId="095770F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r>
      <w:tr w:rsidR="00C033B5" w:rsidRPr="00746567" w14:paraId="4A722E12" w14:textId="77777777">
        <w:trPr>
          <w:trHeight w:val="20"/>
        </w:trPr>
        <w:tc>
          <w:tcPr>
            <w:tcW w:w="0" w:type="auto"/>
            <w:tcMar>
              <w:top w:w="0" w:type="dxa"/>
              <w:left w:w="115" w:type="dxa"/>
              <w:bottom w:w="0" w:type="dxa"/>
              <w:right w:w="115" w:type="dxa"/>
            </w:tcMar>
            <w:hideMark/>
          </w:tcPr>
          <w:p w14:paraId="4AF6AF5D"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74B269C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7B92210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300A336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1262EE3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785A11E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326E3EF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r>
      <w:tr w:rsidR="00C033B5" w:rsidRPr="00746567" w14:paraId="1CA7A799" w14:textId="77777777">
        <w:trPr>
          <w:trHeight w:val="20"/>
        </w:trPr>
        <w:tc>
          <w:tcPr>
            <w:tcW w:w="0" w:type="auto"/>
            <w:tcMar>
              <w:top w:w="0" w:type="dxa"/>
              <w:left w:w="115" w:type="dxa"/>
              <w:bottom w:w="0" w:type="dxa"/>
              <w:right w:w="115" w:type="dxa"/>
            </w:tcMar>
            <w:hideMark/>
          </w:tcPr>
          <w:p w14:paraId="195E460D"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Loanport</w:t>
            </w:r>
            <w:proofErr w:type="spellEnd"/>
            <w:r w:rsidRPr="00746567">
              <w:rPr>
                <w:rFonts w:asciiTheme="majorBidi" w:hAnsiTheme="majorBidi" w:cstheme="majorBidi"/>
              </w:rPr>
              <w:t xml:space="preserve"> × </w:t>
            </w:r>
            <w:proofErr w:type="spellStart"/>
            <w:r w:rsidRPr="00746567">
              <w:rPr>
                <w:rFonts w:asciiTheme="majorBidi" w:hAnsiTheme="majorBidi" w:cstheme="majorBidi"/>
              </w:rPr>
              <w:t>Loanport</w:t>
            </w:r>
            <w:proofErr w:type="spellEnd"/>
          </w:p>
        </w:tc>
        <w:tc>
          <w:tcPr>
            <w:tcW w:w="0" w:type="auto"/>
            <w:tcMar>
              <w:top w:w="0" w:type="dxa"/>
              <w:left w:w="115" w:type="dxa"/>
              <w:bottom w:w="0" w:type="dxa"/>
              <w:right w:w="115" w:type="dxa"/>
            </w:tcMar>
            <w:hideMark/>
          </w:tcPr>
          <w:p w14:paraId="50B22E9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0.0031***</w:t>
            </w:r>
          </w:p>
        </w:tc>
        <w:tc>
          <w:tcPr>
            <w:tcW w:w="0" w:type="auto"/>
            <w:tcMar>
              <w:top w:w="0" w:type="dxa"/>
              <w:left w:w="115" w:type="dxa"/>
              <w:bottom w:w="0" w:type="dxa"/>
              <w:right w:w="115" w:type="dxa"/>
            </w:tcMar>
            <w:hideMark/>
          </w:tcPr>
          <w:p w14:paraId="5EB18CA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-0.0013***</w:t>
            </w:r>
          </w:p>
        </w:tc>
        <w:tc>
          <w:tcPr>
            <w:tcW w:w="0" w:type="auto"/>
            <w:tcMar>
              <w:top w:w="0" w:type="dxa"/>
              <w:left w:w="115" w:type="dxa"/>
              <w:bottom w:w="0" w:type="dxa"/>
              <w:right w:w="115" w:type="dxa"/>
            </w:tcMar>
            <w:hideMark/>
          </w:tcPr>
          <w:p w14:paraId="5C6EA96E"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1C66BFF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2CDF733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13541B4A" w14:textId="77777777" w:rsidR="00C033B5" w:rsidRPr="00746567" w:rsidRDefault="00C033B5" w:rsidP="00C033B5">
            <w:pPr>
              <w:rPr>
                <w:rFonts w:asciiTheme="majorBidi" w:hAnsiTheme="majorBidi" w:cstheme="majorBidi"/>
              </w:rPr>
            </w:pPr>
          </w:p>
        </w:tc>
      </w:tr>
      <w:tr w:rsidR="00C033B5" w:rsidRPr="00746567" w14:paraId="6A12B526" w14:textId="77777777">
        <w:trPr>
          <w:trHeight w:val="20"/>
        </w:trPr>
        <w:tc>
          <w:tcPr>
            <w:tcW w:w="0" w:type="auto"/>
            <w:tcMar>
              <w:top w:w="0" w:type="dxa"/>
              <w:left w:w="115" w:type="dxa"/>
              <w:bottom w:w="0" w:type="dxa"/>
              <w:right w:w="115" w:type="dxa"/>
            </w:tcMar>
            <w:hideMark/>
          </w:tcPr>
          <w:p w14:paraId="66D55785"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218B795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7EBAA0E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58BC5EEA"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D92277A"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7B013F7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79EBE73B" w14:textId="77777777" w:rsidR="00C033B5" w:rsidRPr="00746567" w:rsidRDefault="00C033B5" w:rsidP="00C033B5">
            <w:pPr>
              <w:rPr>
                <w:rFonts w:asciiTheme="majorBidi" w:hAnsiTheme="majorBidi" w:cstheme="majorBidi"/>
              </w:rPr>
            </w:pPr>
          </w:p>
        </w:tc>
      </w:tr>
      <w:tr w:rsidR="00C033B5" w:rsidRPr="00746567" w14:paraId="0979CE41" w14:textId="77777777">
        <w:trPr>
          <w:trHeight w:val="20"/>
        </w:trPr>
        <w:tc>
          <w:tcPr>
            <w:tcW w:w="0" w:type="auto"/>
            <w:tcMar>
              <w:top w:w="0" w:type="dxa"/>
              <w:left w:w="115" w:type="dxa"/>
              <w:bottom w:w="0" w:type="dxa"/>
              <w:right w:w="115" w:type="dxa"/>
            </w:tcMar>
            <w:hideMark/>
          </w:tcPr>
          <w:p w14:paraId="6ABC503D" w14:textId="77777777" w:rsidR="00C033B5" w:rsidRPr="00746567" w:rsidRDefault="00C033B5" w:rsidP="00C033B5">
            <w:pPr>
              <w:rPr>
                <w:rFonts w:asciiTheme="majorBidi" w:hAnsiTheme="majorBidi" w:cstheme="majorBidi"/>
              </w:rPr>
            </w:pPr>
            <w:r w:rsidRPr="00746567">
              <w:rPr>
                <w:rFonts w:asciiTheme="majorBidi" w:hAnsiTheme="majorBidi" w:cstheme="majorBidi"/>
              </w:rPr>
              <w:t>Country Fixed effects</w:t>
            </w:r>
          </w:p>
        </w:tc>
        <w:tc>
          <w:tcPr>
            <w:tcW w:w="0" w:type="auto"/>
            <w:tcMar>
              <w:top w:w="0" w:type="dxa"/>
              <w:left w:w="115" w:type="dxa"/>
              <w:bottom w:w="0" w:type="dxa"/>
              <w:right w:w="115" w:type="dxa"/>
            </w:tcMar>
            <w:hideMark/>
          </w:tcPr>
          <w:p w14:paraId="555F2168"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c>
          <w:tcPr>
            <w:tcW w:w="0" w:type="auto"/>
            <w:tcMar>
              <w:top w:w="0" w:type="dxa"/>
              <w:left w:w="115" w:type="dxa"/>
              <w:bottom w:w="0" w:type="dxa"/>
              <w:right w:w="115" w:type="dxa"/>
            </w:tcMar>
            <w:hideMark/>
          </w:tcPr>
          <w:p w14:paraId="3D91662D"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0E09AC8F"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c>
          <w:tcPr>
            <w:tcW w:w="0" w:type="auto"/>
            <w:tcMar>
              <w:top w:w="0" w:type="dxa"/>
              <w:left w:w="115" w:type="dxa"/>
              <w:bottom w:w="0" w:type="dxa"/>
              <w:right w:w="115" w:type="dxa"/>
            </w:tcMar>
            <w:hideMark/>
          </w:tcPr>
          <w:p w14:paraId="242DA61E"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c>
          <w:tcPr>
            <w:tcW w:w="0" w:type="auto"/>
            <w:tcMar>
              <w:top w:w="0" w:type="dxa"/>
              <w:left w:w="115" w:type="dxa"/>
              <w:bottom w:w="0" w:type="dxa"/>
              <w:right w:w="115" w:type="dxa"/>
            </w:tcMar>
            <w:hideMark/>
          </w:tcPr>
          <w:p w14:paraId="064AA146"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c>
          <w:tcPr>
            <w:tcW w:w="0" w:type="auto"/>
            <w:tcMar>
              <w:top w:w="0" w:type="dxa"/>
              <w:left w:w="115" w:type="dxa"/>
              <w:bottom w:w="0" w:type="dxa"/>
              <w:right w:w="115" w:type="dxa"/>
            </w:tcMar>
            <w:hideMark/>
          </w:tcPr>
          <w:p w14:paraId="78199BC5"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r>
      <w:tr w:rsidR="00C033B5" w:rsidRPr="00746567" w14:paraId="3B1AB3E9" w14:textId="77777777">
        <w:trPr>
          <w:trHeight w:val="20"/>
        </w:trPr>
        <w:tc>
          <w:tcPr>
            <w:tcW w:w="0" w:type="auto"/>
            <w:tcMar>
              <w:top w:w="0" w:type="dxa"/>
              <w:left w:w="115" w:type="dxa"/>
              <w:bottom w:w="0" w:type="dxa"/>
              <w:right w:w="115" w:type="dxa"/>
            </w:tcMar>
            <w:hideMark/>
          </w:tcPr>
          <w:p w14:paraId="20EA467E"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Month_dummies</w:t>
            </w:r>
            <w:proofErr w:type="spellEnd"/>
          </w:p>
        </w:tc>
        <w:tc>
          <w:tcPr>
            <w:tcW w:w="0" w:type="auto"/>
            <w:tcMar>
              <w:top w:w="0" w:type="dxa"/>
              <w:left w:w="115" w:type="dxa"/>
              <w:bottom w:w="0" w:type="dxa"/>
              <w:right w:w="115" w:type="dxa"/>
            </w:tcMar>
            <w:hideMark/>
          </w:tcPr>
          <w:p w14:paraId="569F101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2F3809CF"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13DD156E"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238BDE8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7E4920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26C3A842" w14:textId="77777777" w:rsidR="00C033B5" w:rsidRPr="00746567" w:rsidRDefault="00C033B5" w:rsidP="00C033B5">
            <w:pPr>
              <w:rPr>
                <w:rFonts w:asciiTheme="majorBidi" w:hAnsiTheme="majorBidi" w:cstheme="majorBidi"/>
              </w:rPr>
            </w:pPr>
          </w:p>
        </w:tc>
      </w:tr>
      <w:tr w:rsidR="00C033B5" w:rsidRPr="00746567" w14:paraId="06B7FB30" w14:textId="77777777">
        <w:trPr>
          <w:trHeight w:val="20"/>
        </w:trPr>
        <w:tc>
          <w:tcPr>
            <w:tcW w:w="0" w:type="auto"/>
            <w:tcMar>
              <w:top w:w="0" w:type="dxa"/>
              <w:left w:w="115" w:type="dxa"/>
              <w:bottom w:w="0" w:type="dxa"/>
              <w:right w:w="115" w:type="dxa"/>
            </w:tcMar>
            <w:hideMark/>
          </w:tcPr>
          <w:p w14:paraId="0A74B383" w14:textId="77777777" w:rsidR="00C033B5" w:rsidRPr="00746567" w:rsidRDefault="00C033B5" w:rsidP="00C033B5">
            <w:pPr>
              <w:rPr>
                <w:rFonts w:asciiTheme="majorBidi" w:hAnsiTheme="majorBidi" w:cstheme="majorBidi"/>
              </w:rPr>
            </w:pPr>
            <w:r w:rsidRPr="00746567">
              <w:rPr>
                <w:rFonts w:asciiTheme="majorBidi" w:hAnsiTheme="majorBidi" w:cstheme="majorBidi"/>
              </w:rPr>
              <w:t>1</w:t>
            </w:r>
          </w:p>
        </w:tc>
        <w:tc>
          <w:tcPr>
            <w:tcW w:w="0" w:type="auto"/>
            <w:tcMar>
              <w:top w:w="0" w:type="dxa"/>
              <w:left w:w="115" w:type="dxa"/>
              <w:bottom w:w="0" w:type="dxa"/>
              <w:right w:w="115" w:type="dxa"/>
            </w:tcMar>
            <w:hideMark/>
          </w:tcPr>
          <w:p w14:paraId="3A174F1B" w14:textId="77777777" w:rsidR="00C033B5" w:rsidRPr="00746567" w:rsidRDefault="00C033B5" w:rsidP="00C033B5">
            <w:pPr>
              <w:rPr>
                <w:rFonts w:asciiTheme="majorBidi" w:hAnsiTheme="majorBidi" w:cstheme="majorBidi"/>
              </w:rPr>
            </w:pPr>
            <w:r w:rsidRPr="00746567">
              <w:rPr>
                <w:rFonts w:asciiTheme="majorBidi" w:hAnsiTheme="majorBidi" w:cstheme="majorBidi"/>
              </w:rPr>
              <w:t>0.0393***</w:t>
            </w:r>
          </w:p>
        </w:tc>
        <w:tc>
          <w:tcPr>
            <w:tcW w:w="0" w:type="auto"/>
            <w:tcMar>
              <w:top w:w="0" w:type="dxa"/>
              <w:left w:w="115" w:type="dxa"/>
              <w:bottom w:w="0" w:type="dxa"/>
              <w:right w:w="115" w:type="dxa"/>
            </w:tcMar>
            <w:hideMark/>
          </w:tcPr>
          <w:p w14:paraId="2B428039"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hideMark/>
          </w:tcPr>
          <w:p w14:paraId="313DD42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-0.0050***</w:t>
            </w:r>
          </w:p>
        </w:tc>
        <w:tc>
          <w:tcPr>
            <w:tcW w:w="0" w:type="auto"/>
            <w:tcMar>
              <w:top w:w="0" w:type="dxa"/>
              <w:left w:w="115" w:type="dxa"/>
              <w:bottom w:w="0" w:type="dxa"/>
              <w:right w:w="115" w:type="dxa"/>
            </w:tcMar>
            <w:hideMark/>
          </w:tcPr>
          <w:p w14:paraId="2C001CD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1B5FC4B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-0.0024***</w:t>
            </w:r>
          </w:p>
        </w:tc>
        <w:tc>
          <w:tcPr>
            <w:tcW w:w="0" w:type="auto"/>
            <w:tcMar>
              <w:top w:w="0" w:type="dxa"/>
              <w:left w:w="115" w:type="dxa"/>
              <w:bottom w:w="0" w:type="dxa"/>
              <w:right w:w="115" w:type="dxa"/>
            </w:tcMar>
            <w:hideMark/>
          </w:tcPr>
          <w:p w14:paraId="440B75EE" w14:textId="77777777" w:rsidR="00C033B5" w:rsidRPr="00746567" w:rsidRDefault="00C033B5" w:rsidP="00C033B5">
            <w:pPr>
              <w:rPr>
                <w:rFonts w:asciiTheme="majorBidi" w:hAnsiTheme="majorBidi" w:cstheme="majorBidi"/>
              </w:rPr>
            </w:pPr>
          </w:p>
        </w:tc>
      </w:tr>
      <w:tr w:rsidR="00C033B5" w:rsidRPr="00746567" w14:paraId="3E06E325" w14:textId="77777777">
        <w:trPr>
          <w:trHeight w:val="20"/>
        </w:trPr>
        <w:tc>
          <w:tcPr>
            <w:tcW w:w="0" w:type="auto"/>
            <w:tcMar>
              <w:top w:w="0" w:type="dxa"/>
              <w:left w:w="115" w:type="dxa"/>
              <w:bottom w:w="0" w:type="dxa"/>
              <w:right w:w="115" w:type="dxa"/>
            </w:tcMar>
            <w:hideMark/>
          </w:tcPr>
          <w:p w14:paraId="5B2C1E1A"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68BB81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792232BA"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30010AB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(0.0004)</w:t>
            </w:r>
          </w:p>
        </w:tc>
        <w:tc>
          <w:tcPr>
            <w:tcW w:w="0" w:type="auto"/>
            <w:tcMar>
              <w:top w:w="0" w:type="dxa"/>
              <w:left w:w="115" w:type="dxa"/>
              <w:bottom w:w="0" w:type="dxa"/>
              <w:right w:w="115" w:type="dxa"/>
            </w:tcMar>
            <w:hideMark/>
          </w:tcPr>
          <w:p w14:paraId="330620E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0D29C7E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hideMark/>
          </w:tcPr>
          <w:p w14:paraId="16E72F1B" w14:textId="77777777" w:rsidR="00C033B5" w:rsidRPr="00746567" w:rsidRDefault="00C033B5" w:rsidP="00C033B5">
            <w:pPr>
              <w:rPr>
                <w:rFonts w:asciiTheme="majorBidi" w:hAnsiTheme="majorBidi" w:cstheme="majorBidi"/>
              </w:rPr>
            </w:pPr>
          </w:p>
        </w:tc>
      </w:tr>
      <w:tr w:rsidR="00C033B5" w:rsidRPr="00746567" w14:paraId="0DC994D9" w14:textId="77777777">
        <w:trPr>
          <w:trHeight w:val="20"/>
        </w:trPr>
        <w:tc>
          <w:tcPr>
            <w:tcW w:w="0" w:type="auto"/>
            <w:tcMar>
              <w:top w:w="0" w:type="dxa"/>
              <w:left w:w="115" w:type="dxa"/>
              <w:bottom w:w="0" w:type="dxa"/>
              <w:right w:w="115" w:type="dxa"/>
            </w:tcMar>
            <w:hideMark/>
          </w:tcPr>
          <w:p w14:paraId="2944CF18" w14:textId="77777777" w:rsidR="00C033B5" w:rsidRPr="00746567" w:rsidRDefault="00C033B5" w:rsidP="00C033B5">
            <w:pPr>
              <w:rPr>
                <w:rFonts w:asciiTheme="majorBidi" w:hAnsiTheme="majorBidi" w:cstheme="majorBidi"/>
              </w:rPr>
            </w:pPr>
            <w:r w:rsidRPr="00746567">
              <w:rPr>
                <w:rFonts w:asciiTheme="majorBidi" w:hAnsiTheme="majorBidi" w:cstheme="majorBidi"/>
              </w:rPr>
              <w:t>2</w:t>
            </w:r>
          </w:p>
        </w:tc>
        <w:tc>
          <w:tcPr>
            <w:tcW w:w="0" w:type="auto"/>
            <w:tcMar>
              <w:top w:w="0" w:type="dxa"/>
              <w:left w:w="115" w:type="dxa"/>
              <w:bottom w:w="0" w:type="dxa"/>
              <w:right w:w="115" w:type="dxa"/>
            </w:tcMar>
            <w:vAlign w:val="center"/>
            <w:hideMark/>
          </w:tcPr>
          <w:p w14:paraId="4FC99E97" w14:textId="77777777" w:rsidR="00C033B5" w:rsidRPr="00746567" w:rsidRDefault="00C033B5" w:rsidP="00C033B5">
            <w:pPr>
              <w:rPr>
                <w:rFonts w:asciiTheme="majorBidi" w:hAnsiTheme="majorBidi" w:cstheme="majorBidi"/>
              </w:rPr>
            </w:pPr>
            <w:r w:rsidRPr="00746567">
              <w:rPr>
                <w:rFonts w:asciiTheme="majorBidi" w:hAnsiTheme="majorBidi" w:cstheme="majorBidi"/>
              </w:rPr>
              <w:t>0.0329***</w:t>
            </w:r>
          </w:p>
        </w:tc>
        <w:tc>
          <w:tcPr>
            <w:tcW w:w="0" w:type="auto"/>
            <w:tcMar>
              <w:top w:w="0" w:type="dxa"/>
              <w:left w:w="115" w:type="dxa"/>
              <w:bottom w:w="0" w:type="dxa"/>
              <w:right w:w="115" w:type="dxa"/>
            </w:tcMar>
            <w:hideMark/>
          </w:tcPr>
          <w:p w14:paraId="04D5DCA7"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1B7EA55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-0.0050***</w:t>
            </w:r>
          </w:p>
        </w:tc>
        <w:tc>
          <w:tcPr>
            <w:tcW w:w="0" w:type="auto"/>
            <w:tcMar>
              <w:top w:w="0" w:type="dxa"/>
              <w:left w:w="115" w:type="dxa"/>
              <w:bottom w:w="0" w:type="dxa"/>
              <w:right w:w="115" w:type="dxa"/>
            </w:tcMar>
            <w:hideMark/>
          </w:tcPr>
          <w:p w14:paraId="64990C8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5E82C42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-0.0024***</w:t>
            </w:r>
          </w:p>
        </w:tc>
        <w:tc>
          <w:tcPr>
            <w:tcW w:w="0" w:type="auto"/>
            <w:tcMar>
              <w:top w:w="0" w:type="dxa"/>
              <w:left w:w="115" w:type="dxa"/>
              <w:bottom w:w="0" w:type="dxa"/>
              <w:right w:w="115" w:type="dxa"/>
            </w:tcMar>
            <w:hideMark/>
          </w:tcPr>
          <w:p w14:paraId="59AAF017" w14:textId="77777777" w:rsidR="00C033B5" w:rsidRPr="00746567" w:rsidRDefault="00C033B5" w:rsidP="00C033B5">
            <w:pPr>
              <w:rPr>
                <w:rFonts w:asciiTheme="majorBidi" w:hAnsiTheme="majorBidi" w:cstheme="majorBidi"/>
              </w:rPr>
            </w:pPr>
          </w:p>
        </w:tc>
      </w:tr>
      <w:tr w:rsidR="00C033B5" w:rsidRPr="00746567" w14:paraId="2551635B" w14:textId="77777777">
        <w:trPr>
          <w:trHeight w:val="20"/>
        </w:trPr>
        <w:tc>
          <w:tcPr>
            <w:tcW w:w="0" w:type="auto"/>
            <w:tcMar>
              <w:top w:w="0" w:type="dxa"/>
              <w:left w:w="115" w:type="dxa"/>
              <w:bottom w:w="0" w:type="dxa"/>
              <w:right w:w="115" w:type="dxa"/>
            </w:tcMar>
            <w:hideMark/>
          </w:tcPr>
          <w:p w14:paraId="0960114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584102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766CCB4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6BF99E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(0.0004)</w:t>
            </w:r>
          </w:p>
        </w:tc>
        <w:tc>
          <w:tcPr>
            <w:tcW w:w="0" w:type="auto"/>
            <w:tcMar>
              <w:top w:w="0" w:type="dxa"/>
              <w:left w:w="115" w:type="dxa"/>
              <w:bottom w:w="0" w:type="dxa"/>
              <w:right w:w="115" w:type="dxa"/>
            </w:tcMar>
            <w:hideMark/>
          </w:tcPr>
          <w:p w14:paraId="3F80A383"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50DBBF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hideMark/>
          </w:tcPr>
          <w:p w14:paraId="3AF00736" w14:textId="77777777" w:rsidR="00C033B5" w:rsidRPr="00746567" w:rsidRDefault="00C033B5" w:rsidP="00C033B5">
            <w:pPr>
              <w:rPr>
                <w:rFonts w:asciiTheme="majorBidi" w:hAnsiTheme="majorBidi" w:cstheme="majorBidi"/>
              </w:rPr>
            </w:pPr>
          </w:p>
        </w:tc>
      </w:tr>
      <w:tr w:rsidR="00C033B5" w:rsidRPr="00746567" w14:paraId="23AF75A0" w14:textId="77777777">
        <w:trPr>
          <w:trHeight w:val="20"/>
        </w:trPr>
        <w:tc>
          <w:tcPr>
            <w:tcW w:w="0" w:type="auto"/>
            <w:tcMar>
              <w:top w:w="0" w:type="dxa"/>
              <w:left w:w="115" w:type="dxa"/>
              <w:bottom w:w="0" w:type="dxa"/>
              <w:right w:w="115" w:type="dxa"/>
            </w:tcMar>
            <w:hideMark/>
          </w:tcPr>
          <w:p w14:paraId="3E5D7180" w14:textId="77777777" w:rsidR="00C033B5" w:rsidRPr="00746567" w:rsidRDefault="00C033B5" w:rsidP="00C033B5">
            <w:pPr>
              <w:rPr>
                <w:rFonts w:asciiTheme="majorBidi" w:hAnsiTheme="majorBidi" w:cstheme="majorBidi"/>
              </w:rPr>
            </w:pPr>
            <w:r w:rsidRPr="00746567">
              <w:rPr>
                <w:rFonts w:asciiTheme="majorBidi" w:hAnsiTheme="majorBidi" w:cstheme="majorBidi"/>
              </w:rPr>
              <w:t>3</w:t>
            </w:r>
          </w:p>
        </w:tc>
        <w:tc>
          <w:tcPr>
            <w:tcW w:w="0" w:type="auto"/>
            <w:tcMar>
              <w:top w:w="0" w:type="dxa"/>
              <w:left w:w="115" w:type="dxa"/>
              <w:bottom w:w="0" w:type="dxa"/>
              <w:right w:w="115" w:type="dxa"/>
            </w:tcMar>
            <w:hideMark/>
          </w:tcPr>
          <w:p w14:paraId="21D8145E" w14:textId="77777777" w:rsidR="00C033B5" w:rsidRPr="00746567" w:rsidRDefault="00C033B5" w:rsidP="00C033B5">
            <w:pPr>
              <w:rPr>
                <w:rFonts w:asciiTheme="majorBidi" w:hAnsiTheme="majorBidi" w:cstheme="majorBidi"/>
              </w:rPr>
            </w:pPr>
            <w:r w:rsidRPr="00746567">
              <w:rPr>
                <w:rFonts w:asciiTheme="majorBidi" w:hAnsiTheme="majorBidi" w:cstheme="majorBidi"/>
              </w:rPr>
              <w:t>0.0261***</w:t>
            </w:r>
          </w:p>
        </w:tc>
        <w:tc>
          <w:tcPr>
            <w:tcW w:w="0" w:type="auto"/>
            <w:tcMar>
              <w:top w:w="0" w:type="dxa"/>
              <w:left w:w="115" w:type="dxa"/>
              <w:bottom w:w="0" w:type="dxa"/>
              <w:right w:w="115" w:type="dxa"/>
            </w:tcMar>
            <w:hideMark/>
          </w:tcPr>
          <w:p w14:paraId="79921DF5"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hideMark/>
          </w:tcPr>
          <w:p w14:paraId="7594289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-0.0049***</w:t>
            </w:r>
          </w:p>
        </w:tc>
        <w:tc>
          <w:tcPr>
            <w:tcW w:w="0" w:type="auto"/>
            <w:tcMar>
              <w:top w:w="0" w:type="dxa"/>
              <w:left w:w="115" w:type="dxa"/>
              <w:bottom w:w="0" w:type="dxa"/>
              <w:right w:w="115" w:type="dxa"/>
            </w:tcMar>
            <w:hideMark/>
          </w:tcPr>
          <w:p w14:paraId="4FE68BAA"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5A88CC0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-0.0022***</w:t>
            </w:r>
          </w:p>
        </w:tc>
        <w:tc>
          <w:tcPr>
            <w:tcW w:w="0" w:type="auto"/>
            <w:tcMar>
              <w:top w:w="0" w:type="dxa"/>
              <w:left w:w="115" w:type="dxa"/>
              <w:bottom w:w="0" w:type="dxa"/>
              <w:right w:w="115" w:type="dxa"/>
            </w:tcMar>
            <w:hideMark/>
          </w:tcPr>
          <w:p w14:paraId="4D0714A2" w14:textId="77777777" w:rsidR="00C033B5" w:rsidRPr="00746567" w:rsidRDefault="00C033B5" w:rsidP="00C033B5">
            <w:pPr>
              <w:rPr>
                <w:rFonts w:asciiTheme="majorBidi" w:hAnsiTheme="majorBidi" w:cstheme="majorBidi"/>
              </w:rPr>
            </w:pPr>
          </w:p>
        </w:tc>
      </w:tr>
      <w:tr w:rsidR="00C033B5" w:rsidRPr="00746567" w14:paraId="4EDA5C70" w14:textId="77777777">
        <w:trPr>
          <w:trHeight w:val="20"/>
        </w:trPr>
        <w:tc>
          <w:tcPr>
            <w:tcW w:w="0" w:type="auto"/>
            <w:tcMar>
              <w:top w:w="0" w:type="dxa"/>
              <w:left w:w="115" w:type="dxa"/>
              <w:bottom w:w="0" w:type="dxa"/>
              <w:right w:w="115" w:type="dxa"/>
            </w:tcMar>
            <w:hideMark/>
          </w:tcPr>
          <w:p w14:paraId="1D404EBF"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719C42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428648E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34A6DB9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(0.0004)</w:t>
            </w:r>
          </w:p>
        </w:tc>
        <w:tc>
          <w:tcPr>
            <w:tcW w:w="0" w:type="auto"/>
            <w:tcMar>
              <w:top w:w="0" w:type="dxa"/>
              <w:left w:w="115" w:type="dxa"/>
              <w:bottom w:w="0" w:type="dxa"/>
              <w:right w:w="115" w:type="dxa"/>
            </w:tcMar>
            <w:hideMark/>
          </w:tcPr>
          <w:p w14:paraId="004339BA"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2E0A507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hideMark/>
          </w:tcPr>
          <w:p w14:paraId="5CBCB78C" w14:textId="77777777" w:rsidR="00C033B5" w:rsidRPr="00746567" w:rsidRDefault="00C033B5" w:rsidP="00C033B5">
            <w:pPr>
              <w:rPr>
                <w:rFonts w:asciiTheme="majorBidi" w:hAnsiTheme="majorBidi" w:cstheme="majorBidi"/>
              </w:rPr>
            </w:pPr>
          </w:p>
        </w:tc>
      </w:tr>
      <w:tr w:rsidR="00C033B5" w:rsidRPr="00746567" w14:paraId="488185A1" w14:textId="77777777">
        <w:trPr>
          <w:trHeight w:val="20"/>
        </w:trPr>
        <w:tc>
          <w:tcPr>
            <w:tcW w:w="0" w:type="auto"/>
            <w:tcMar>
              <w:top w:w="0" w:type="dxa"/>
              <w:left w:w="115" w:type="dxa"/>
              <w:bottom w:w="0" w:type="dxa"/>
              <w:right w:w="115" w:type="dxa"/>
            </w:tcMar>
            <w:hideMark/>
          </w:tcPr>
          <w:p w14:paraId="2A1901B7" w14:textId="77777777" w:rsidR="00C033B5" w:rsidRPr="00746567" w:rsidRDefault="00C033B5" w:rsidP="00C033B5">
            <w:pPr>
              <w:rPr>
                <w:rFonts w:asciiTheme="majorBidi" w:hAnsiTheme="majorBidi" w:cstheme="majorBidi"/>
              </w:rPr>
            </w:pPr>
            <w:r w:rsidRPr="00746567">
              <w:rPr>
                <w:rFonts w:asciiTheme="majorBidi" w:hAnsiTheme="majorBidi" w:cstheme="majorBidi"/>
              </w:rPr>
              <w:t>4</w:t>
            </w:r>
          </w:p>
        </w:tc>
        <w:tc>
          <w:tcPr>
            <w:tcW w:w="0" w:type="auto"/>
            <w:tcMar>
              <w:top w:w="0" w:type="dxa"/>
              <w:left w:w="115" w:type="dxa"/>
              <w:bottom w:w="0" w:type="dxa"/>
              <w:right w:w="115" w:type="dxa"/>
            </w:tcMar>
            <w:hideMark/>
          </w:tcPr>
          <w:p w14:paraId="1C6398D5" w14:textId="77777777" w:rsidR="00C033B5" w:rsidRPr="00746567" w:rsidRDefault="00C033B5" w:rsidP="00C033B5">
            <w:pPr>
              <w:rPr>
                <w:rFonts w:asciiTheme="majorBidi" w:hAnsiTheme="majorBidi" w:cstheme="majorBidi"/>
              </w:rPr>
            </w:pPr>
            <w:r w:rsidRPr="00746567">
              <w:rPr>
                <w:rFonts w:asciiTheme="majorBidi" w:hAnsiTheme="majorBidi" w:cstheme="majorBidi"/>
              </w:rPr>
              <w:t>0.0170***</w:t>
            </w:r>
          </w:p>
        </w:tc>
        <w:tc>
          <w:tcPr>
            <w:tcW w:w="0" w:type="auto"/>
            <w:tcMar>
              <w:top w:w="0" w:type="dxa"/>
              <w:left w:w="115" w:type="dxa"/>
              <w:bottom w:w="0" w:type="dxa"/>
              <w:right w:w="115" w:type="dxa"/>
            </w:tcMar>
            <w:hideMark/>
          </w:tcPr>
          <w:p w14:paraId="33EAE491"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hideMark/>
          </w:tcPr>
          <w:p w14:paraId="554F699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-0.0049***</w:t>
            </w:r>
          </w:p>
        </w:tc>
        <w:tc>
          <w:tcPr>
            <w:tcW w:w="0" w:type="auto"/>
            <w:tcMar>
              <w:top w:w="0" w:type="dxa"/>
              <w:left w:w="115" w:type="dxa"/>
              <w:bottom w:w="0" w:type="dxa"/>
              <w:right w:w="115" w:type="dxa"/>
            </w:tcMar>
            <w:hideMark/>
          </w:tcPr>
          <w:p w14:paraId="62919FD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07ACDAF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-0.0024***</w:t>
            </w:r>
          </w:p>
        </w:tc>
        <w:tc>
          <w:tcPr>
            <w:tcW w:w="0" w:type="auto"/>
            <w:tcMar>
              <w:top w:w="0" w:type="dxa"/>
              <w:left w:w="115" w:type="dxa"/>
              <w:bottom w:w="0" w:type="dxa"/>
              <w:right w:w="115" w:type="dxa"/>
            </w:tcMar>
            <w:hideMark/>
          </w:tcPr>
          <w:p w14:paraId="0D59C905" w14:textId="77777777" w:rsidR="00C033B5" w:rsidRPr="00746567" w:rsidRDefault="00C033B5" w:rsidP="00C033B5">
            <w:pPr>
              <w:rPr>
                <w:rFonts w:asciiTheme="majorBidi" w:hAnsiTheme="majorBidi" w:cstheme="majorBidi"/>
              </w:rPr>
            </w:pPr>
          </w:p>
        </w:tc>
      </w:tr>
      <w:tr w:rsidR="00C033B5" w:rsidRPr="00746567" w14:paraId="1CA17B9C" w14:textId="77777777">
        <w:trPr>
          <w:trHeight w:val="20"/>
        </w:trPr>
        <w:tc>
          <w:tcPr>
            <w:tcW w:w="0" w:type="auto"/>
            <w:tcMar>
              <w:top w:w="0" w:type="dxa"/>
              <w:left w:w="115" w:type="dxa"/>
              <w:bottom w:w="0" w:type="dxa"/>
              <w:right w:w="115" w:type="dxa"/>
            </w:tcMar>
            <w:hideMark/>
          </w:tcPr>
          <w:p w14:paraId="2BF04FE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3D35FF4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5B8FF12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3C23709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(0.0004)</w:t>
            </w:r>
          </w:p>
        </w:tc>
        <w:tc>
          <w:tcPr>
            <w:tcW w:w="0" w:type="auto"/>
            <w:tcMar>
              <w:top w:w="0" w:type="dxa"/>
              <w:left w:w="115" w:type="dxa"/>
              <w:bottom w:w="0" w:type="dxa"/>
              <w:right w:w="115" w:type="dxa"/>
            </w:tcMar>
            <w:hideMark/>
          </w:tcPr>
          <w:p w14:paraId="36A3EBC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999531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hideMark/>
          </w:tcPr>
          <w:p w14:paraId="1A146CE0" w14:textId="77777777" w:rsidR="00C033B5" w:rsidRPr="00746567" w:rsidRDefault="00C033B5" w:rsidP="00C033B5">
            <w:pPr>
              <w:rPr>
                <w:rFonts w:asciiTheme="majorBidi" w:hAnsiTheme="majorBidi" w:cstheme="majorBidi"/>
              </w:rPr>
            </w:pPr>
          </w:p>
        </w:tc>
      </w:tr>
      <w:tr w:rsidR="00C033B5" w:rsidRPr="00746567" w14:paraId="051E2A97" w14:textId="77777777">
        <w:trPr>
          <w:trHeight w:val="20"/>
        </w:trPr>
        <w:tc>
          <w:tcPr>
            <w:tcW w:w="0" w:type="auto"/>
            <w:tcMar>
              <w:top w:w="0" w:type="dxa"/>
              <w:left w:w="115" w:type="dxa"/>
              <w:bottom w:w="0" w:type="dxa"/>
              <w:right w:w="115" w:type="dxa"/>
            </w:tcMar>
            <w:hideMark/>
          </w:tcPr>
          <w:p w14:paraId="7A0FC5EB" w14:textId="77777777" w:rsidR="00C033B5" w:rsidRPr="00746567" w:rsidRDefault="00C033B5" w:rsidP="00C033B5">
            <w:pPr>
              <w:rPr>
                <w:rFonts w:asciiTheme="majorBidi" w:hAnsiTheme="majorBidi" w:cstheme="majorBidi"/>
              </w:rPr>
            </w:pPr>
            <w:r w:rsidRPr="00746567">
              <w:rPr>
                <w:rFonts w:asciiTheme="majorBidi" w:hAnsiTheme="majorBidi" w:cstheme="majorBidi"/>
              </w:rPr>
              <w:t>5</w:t>
            </w:r>
          </w:p>
        </w:tc>
        <w:tc>
          <w:tcPr>
            <w:tcW w:w="0" w:type="auto"/>
            <w:tcMar>
              <w:top w:w="0" w:type="dxa"/>
              <w:left w:w="115" w:type="dxa"/>
              <w:bottom w:w="0" w:type="dxa"/>
              <w:right w:w="115" w:type="dxa"/>
            </w:tcMar>
            <w:hideMark/>
          </w:tcPr>
          <w:p w14:paraId="4A28B5B1" w14:textId="77777777" w:rsidR="00C033B5" w:rsidRPr="00746567" w:rsidRDefault="00C033B5" w:rsidP="00C033B5">
            <w:pPr>
              <w:rPr>
                <w:rFonts w:asciiTheme="majorBidi" w:hAnsiTheme="majorBidi" w:cstheme="majorBidi"/>
              </w:rPr>
            </w:pPr>
            <w:r w:rsidRPr="00746567">
              <w:rPr>
                <w:rFonts w:asciiTheme="majorBidi" w:hAnsiTheme="majorBidi" w:cstheme="majorBidi"/>
              </w:rPr>
              <w:t>0.0108***</w:t>
            </w:r>
          </w:p>
        </w:tc>
        <w:tc>
          <w:tcPr>
            <w:tcW w:w="0" w:type="auto"/>
            <w:tcMar>
              <w:top w:w="0" w:type="dxa"/>
              <w:left w:w="115" w:type="dxa"/>
              <w:bottom w:w="0" w:type="dxa"/>
              <w:right w:w="115" w:type="dxa"/>
            </w:tcMar>
            <w:hideMark/>
          </w:tcPr>
          <w:p w14:paraId="16CF21BE" w14:textId="77777777" w:rsidR="00C033B5" w:rsidRPr="00746567" w:rsidRDefault="00C033B5" w:rsidP="00C033B5">
            <w:pPr>
              <w:rPr>
                <w:rFonts w:asciiTheme="majorBidi" w:hAnsiTheme="majorBidi" w:cstheme="majorBidi"/>
              </w:rPr>
            </w:pPr>
            <w:r w:rsidRPr="00746567">
              <w:rPr>
                <w:rFonts w:asciiTheme="majorBidi" w:hAnsiTheme="majorBidi" w:cstheme="majorBidi"/>
              </w:rPr>
              <w:t>0.0109***</w:t>
            </w:r>
          </w:p>
        </w:tc>
        <w:tc>
          <w:tcPr>
            <w:tcW w:w="0" w:type="auto"/>
            <w:tcMar>
              <w:top w:w="0" w:type="dxa"/>
              <w:left w:w="115" w:type="dxa"/>
              <w:bottom w:w="0" w:type="dxa"/>
              <w:right w:w="115" w:type="dxa"/>
            </w:tcMar>
            <w:hideMark/>
          </w:tcPr>
          <w:p w14:paraId="234E32B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-0.0049***</w:t>
            </w:r>
          </w:p>
        </w:tc>
        <w:tc>
          <w:tcPr>
            <w:tcW w:w="0" w:type="auto"/>
            <w:tcMar>
              <w:top w:w="0" w:type="dxa"/>
              <w:left w:w="115" w:type="dxa"/>
              <w:bottom w:w="0" w:type="dxa"/>
              <w:right w:w="115" w:type="dxa"/>
            </w:tcMar>
            <w:hideMark/>
          </w:tcPr>
          <w:p w14:paraId="09FC7545" w14:textId="77777777" w:rsidR="00C033B5" w:rsidRPr="00746567" w:rsidRDefault="00C033B5" w:rsidP="00C033B5">
            <w:pPr>
              <w:rPr>
                <w:rFonts w:asciiTheme="majorBidi" w:hAnsiTheme="majorBidi" w:cstheme="majorBidi"/>
              </w:rPr>
            </w:pPr>
            <w:r w:rsidRPr="00746567">
              <w:rPr>
                <w:rFonts w:asciiTheme="majorBidi" w:hAnsiTheme="majorBidi" w:cstheme="majorBidi"/>
              </w:rPr>
              <w:t>0.3305***</w:t>
            </w:r>
          </w:p>
        </w:tc>
        <w:tc>
          <w:tcPr>
            <w:tcW w:w="0" w:type="auto"/>
            <w:tcMar>
              <w:top w:w="0" w:type="dxa"/>
              <w:left w:w="115" w:type="dxa"/>
              <w:bottom w:w="0" w:type="dxa"/>
              <w:right w:w="115" w:type="dxa"/>
            </w:tcMar>
            <w:hideMark/>
          </w:tcPr>
          <w:p w14:paraId="352B82E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-0.0024***</w:t>
            </w:r>
          </w:p>
        </w:tc>
        <w:tc>
          <w:tcPr>
            <w:tcW w:w="0" w:type="auto"/>
            <w:tcMar>
              <w:top w:w="0" w:type="dxa"/>
              <w:left w:w="115" w:type="dxa"/>
              <w:bottom w:w="0" w:type="dxa"/>
              <w:right w:w="115" w:type="dxa"/>
            </w:tcMar>
            <w:hideMark/>
          </w:tcPr>
          <w:p w14:paraId="614A940A" w14:textId="77777777" w:rsidR="00C033B5" w:rsidRPr="00746567" w:rsidRDefault="00C033B5" w:rsidP="00C033B5">
            <w:pPr>
              <w:rPr>
                <w:rFonts w:asciiTheme="majorBidi" w:hAnsiTheme="majorBidi" w:cstheme="majorBidi"/>
              </w:rPr>
            </w:pPr>
            <w:r w:rsidRPr="00746567">
              <w:rPr>
                <w:rFonts w:asciiTheme="majorBidi" w:hAnsiTheme="majorBidi" w:cstheme="majorBidi"/>
              </w:rPr>
              <w:t>0.3151***</w:t>
            </w:r>
          </w:p>
        </w:tc>
      </w:tr>
      <w:tr w:rsidR="00C033B5" w:rsidRPr="00746567" w14:paraId="1C6B7C26" w14:textId="77777777">
        <w:trPr>
          <w:trHeight w:val="20"/>
        </w:trPr>
        <w:tc>
          <w:tcPr>
            <w:tcW w:w="0" w:type="auto"/>
            <w:tcMar>
              <w:top w:w="0" w:type="dxa"/>
              <w:left w:w="115" w:type="dxa"/>
              <w:bottom w:w="0" w:type="dxa"/>
              <w:right w:w="115" w:type="dxa"/>
            </w:tcMar>
            <w:hideMark/>
          </w:tcPr>
          <w:p w14:paraId="715485FF"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52A568B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2EB02A7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hideMark/>
          </w:tcPr>
          <w:p w14:paraId="3759470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(0.0004)</w:t>
            </w:r>
          </w:p>
        </w:tc>
        <w:tc>
          <w:tcPr>
            <w:tcW w:w="0" w:type="auto"/>
            <w:tcMar>
              <w:top w:w="0" w:type="dxa"/>
              <w:left w:w="115" w:type="dxa"/>
              <w:bottom w:w="0" w:type="dxa"/>
              <w:right w:w="115" w:type="dxa"/>
            </w:tcMar>
            <w:hideMark/>
          </w:tcPr>
          <w:p w14:paraId="7707D6A6" w14:textId="77777777" w:rsidR="00C033B5" w:rsidRPr="00746567" w:rsidRDefault="00C033B5" w:rsidP="00C033B5">
            <w:pPr>
              <w:rPr>
                <w:rFonts w:asciiTheme="majorBidi" w:hAnsiTheme="majorBidi" w:cstheme="majorBidi"/>
              </w:rPr>
            </w:pPr>
            <w:r w:rsidRPr="00746567">
              <w:rPr>
                <w:rFonts w:asciiTheme="majorBidi" w:hAnsiTheme="majorBidi" w:cstheme="majorBidi"/>
              </w:rPr>
              <w:t>(0.0135)</w:t>
            </w:r>
          </w:p>
        </w:tc>
        <w:tc>
          <w:tcPr>
            <w:tcW w:w="0" w:type="auto"/>
            <w:tcMar>
              <w:top w:w="0" w:type="dxa"/>
              <w:left w:w="115" w:type="dxa"/>
              <w:bottom w:w="0" w:type="dxa"/>
              <w:right w:w="115" w:type="dxa"/>
            </w:tcMar>
            <w:hideMark/>
          </w:tcPr>
          <w:p w14:paraId="02C2941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hideMark/>
          </w:tcPr>
          <w:p w14:paraId="7DB824DF" w14:textId="77777777" w:rsidR="00C033B5" w:rsidRPr="00746567" w:rsidRDefault="00C033B5" w:rsidP="00C033B5">
            <w:pPr>
              <w:rPr>
                <w:rFonts w:asciiTheme="majorBidi" w:hAnsiTheme="majorBidi" w:cstheme="majorBidi"/>
              </w:rPr>
            </w:pPr>
            <w:r w:rsidRPr="00746567">
              <w:rPr>
                <w:rFonts w:asciiTheme="majorBidi" w:hAnsiTheme="majorBidi" w:cstheme="majorBidi"/>
              </w:rPr>
              <w:t>(0.0132)</w:t>
            </w:r>
          </w:p>
        </w:tc>
      </w:tr>
      <w:tr w:rsidR="00C033B5" w:rsidRPr="00746567" w14:paraId="52B4CCC4" w14:textId="77777777">
        <w:trPr>
          <w:trHeight w:val="20"/>
        </w:trPr>
        <w:tc>
          <w:tcPr>
            <w:tcW w:w="0" w:type="auto"/>
            <w:tcMar>
              <w:top w:w="0" w:type="dxa"/>
              <w:left w:w="115" w:type="dxa"/>
              <w:bottom w:w="0" w:type="dxa"/>
              <w:right w:w="115" w:type="dxa"/>
            </w:tcMar>
            <w:hideMark/>
          </w:tcPr>
          <w:p w14:paraId="62866F08" w14:textId="77777777" w:rsidR="00C033B5" w:rsidRPr="00746567" w:rsidRDefault="00C033B5" w:rsidP="00C033B5">
            <w:pPr>
              <w:rPr>
                <w:rFonts w:asciiTheme="majorBidi" w:hAnsiTheme="majorBidi" w:cstheme="majorBidi"/>
              </w:rPr>
            </w:pPr>
            <w:r w:rsidRPr="00746567">
              <w:rPr>
                <w:rFonts w:asciiTheme="majorBidi" w:hAnsiTheme="majorBidi" w:cstheme="majorBidi"/>
              </w:rPr>
              <w:t>6</w:t>
            </w:r>
          </w:p>
        </w:tc>
        <w:tc>
          <w:tcPr>
            <w:tcW w:w="0" w:type="auto"/>
            <w:tcMar>
              <w:top w:w="0" w:type="dxa"/>
              <w:left w:w="115" w:type="dxa"/>
              <w:bottom w:w="0" w:type="dxa"/>
              <w:right w:w="115" w:type="dxa"/>
            </w:tcMar>
            <w:hideMark/>
          </w:tcPr>
          <w:p w14:paraId="5A5E6CB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0.0078***</w:t>
            </w:r>
          </w:p>
        </w:tc>
        <w:tc>
          <w:tcPr>
            <w:tcW w:w="0" w:type="auto"/>
            <w:tcMar>
              <w:top w:w="0" w:type="dxa"/>
              <w:left w:w="115" w:type="dxa"/>
              <w:bottom w:w="0" w:type="dxa"/>
              <w:right w:w="115" w:type="dxa"/>
            </w:tcMar>
            <w:hideMark/>
          </w:tcPr>
          <w:p w14:paraId="737D3DA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0.0046***</w:t>
            </w:r>
          </w:p>
        </w:tc>
        <w:tc>
          <w:tcPr>
            <w:tcW w:w="0" w:type="auto"/>
            <w:tcMar>
              <w:top w:w="0" w:type="dxa"/>
              <w:left w:w="115" w:type="dxa"/>
              <w:bottom w:w="0" w:type="dxa"/>
              <w:right w:w="115" w:type="dxa"/>
            </w:tcMar>
            <w:hideMark/>
          </w:tcPr>
          <w:p w14:paraId="26B44BE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-0.0045***</w:t>
            </w:r>
          </w:p>
        </w:tc>
        <w:tc>
          <w:tcPr>
            <w:tcW w:w="0" w:type="auto"/>
            <w:tcMar>
              <w:top w:w="0" w:type="dxa"/>
              <w:left w:w="115" w:type="dxa"/>
              <w:bottom w:w="0" w:type="dxa"/>
              <w:right w:w="115" w:type="dxa"/>
            </w:tcMar>
            <w:hideMark/>
          </w:tcPr>
          <w:p w14:paraId="6DD1858E" w14:textId="77777777" w:rsidR="00C033B5" w:rsidRPr="00746567" w:rsidRDefault="00C033B5" w:rsidP="00C033B5">
            <w:pPr>
              <w:rPr>
                <w:rFonts w:asciiTheme="majorBidi" w:hAnsiTheme="majorBidi" w:cstheme="majorBidi"/>
              </w:rPr>
            </w:pPr>
            <w:r w:rsidRPr="00746567">
              <w:rPr>
                <w:rFonts w:asciiTheme="majorBidi" w:hAnsiTheme="majorBidi" w:cstheme="majorBidi"/>
              </w:rPr>
              <w:t>0.2948***</w:t>
            </w:r>
          </w:p>
        </w:tc>
        <w:tc>
          <w:tcPr>
            <w:tcW w:w="0" w:type="auto"/>
            <w:tcMar>
              <w:top w:w="0" w:type="dxa"/>
              <w:left w:w="115" w:type="dxa"/>
              <w:bottom w:w="0" w:type="dxa"/>
              <w:right w:w="115" w:type="dxa"/>
            </w:tcMar>
            <w:hideMark/>
          </w:tcPr>
          <w:p w14:paraId="19FD9D3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-0.0021***</w:t>
            </w:r>
          </w:p>
        </w:tc>
        <w:tc>
          <w:tcPr>
            <w:tcW w:w="0" w:type="auto"/>
            <w:tcMar>
              <w:top w:w="0" w:type="dxa"/>
              <w:left w:w="115" w:type="dxa"/>
              <w:bottom w:w="0" w:type="dxa"/>
              <w:right w:w="115" w:type="dxa"/>
            </w:tcMar>
            <w:hideMark/>
          </w:tcPr>
          <w:p w14:paraId="3184E793" w14:textId="77777777" w:rsidR="00C033B5" w:rsidRPr="00746567" w:rsidRDefault="00C033B5" w:rsidP="00C033B5">
            <w:pPr>
              <w:rPr>
                <w:rFonts w:asciiTheme="majorBidi" w:hAnsiTheme="majorBidi" w:cstheme="majorBidi"/>
              </w:rPr>
            </w:pPr>
            <w:r w:rsidRPr="00746567">
              <w:rPr>
                <w:rFonts w:asciiTheme="majorBidi" w:hAnsiTheme="majorBidi" w:cstheme="majorBidi"/>
              </w:rPr>
              <w:t>0.2933***</w:t>
            </w:r>
          </w:p>
        </w:tc>
      </w:tr>
      <w:tr w:rsidR="00C033B5" w:rsidRPr="00746567" w14:paraId="2C2BD001" w14:textId="77777777">
        <w:trPr>
          <w:trHeight w:val="20"/>
        </w:trPr>
        <w:tc>
          <w:tcPr>
            <w:tcW w:w="0" w:type="auto"/>
            <w:tcMar>
              <w:top w:w="0" w:type="dxa"/>
              <w:left w:w="115" w:type="dxa"/>
              <w:bottom w:w="0" w:type="dxa"/>
              <w:right w:w="115" w:type="dxa"/>
            </w:tcMar>
            <w:hideMark/>
          </w:tcPr>
          <w:p w14:paraId="7D20574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5CC194C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0975DA3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hideMark/>
          </w:tcPr>
          <w:p w14:paraId="0941E2E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(0.0004)</w:t>
            </w:r>
          </w:p>
        </w:tc>
        <w:tc>
          <w:tcPr>
            <w:tcW w:w="0" w:type="auto"/>
            <w:tcMar>
              <w:top w:w="0" w:type="dxa"/>
              <w:left w:w="115" w:type="dxa"/>
              <w:bottom w:w="0" w:type="dxa"/>
              <w:right w:w="115" w:type="dxa"/>
            </w:tcMar>
            <w:hideMark/>
          </w:tcPr>
          <w:p w14:paraId="3FAA66C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(0.0084)</w:t>
            </w:r>
          </w:p>
        </w:tc>
        <w:tc>
          <w:tcPr>
            <w:tcW w:w="0" w:type="auto"/>
            <w:tcMar>
              <w:top w:w="0" w:type="dxa"/>
              <w:left w:w="115" w:type="dxa"/>
              <w:bottom w:w="0" w:type="dxa"/>
              <w:right w:w="115" w:type="dxa"/>
            </w:tcMar>
            <w:hideMark/>
          </w:tcPr>
          <w:p w14:paraId="07349B6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hideMark/>
          </w:tcPr>
          <w:p w14:paraId="0839CAF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(0.0081)</w:t>
            </w:r>
          </w:p>
        </w:tc>
      </w:tr>
      <w:tr w:rsidR="00C033B5" w:rsidRPr="00746567" w14:paraId="1EEF565B" w14:textId="77777777">
        <w:trPr>
          <w:trHeight w:val="20"/>
        </w:trPr>
        <w:tc>
          <w:tcPr>
            <w:tcW w:w="0" w:type="auto"/>
            <w:tcMar>
              <w:top w:w="0" w:type="dxa"/>
              <w:left w:w="115" w:type="dxa"/>
              <w:bottom w:w="0" w:type="dxa"/>
              <w:right w:w="115" w:type="dxa"/>
            </w:tcMar>
            <w:hideMark/>
          </w:tcPr>
          <w:p w14:paraId="27D77647" w14:textId="77777777" w:rsidR="00C033B5" w:rsidRPr="00746567" w:rsidRDefault="00C033B5" w:rsidP="00C033B5">
            <w:pPr>
              <w:rPr>
                <w:rFonts w:asciiTheme="majorBidi" w:hAnsiTheme="majorBidi" w:cstheme="majorBidi"/>
              </w:rPr>
            </w:pPr>
            <w:r w:rsidRPr="00746567">
              <w:rPr>
                <w:rFonts w:asciiTheme="majorBidi" w:hAnsiTheme="majorBidi" w:cstheme="majorBidi"/>
              </w:rPr>
              <w:t>7</w:t>
            </w:r>
          </w:p>
        </w:tc>
        <w:tc>
          <w:tcPr>
            <w:tcW w:w="0" w:type="auto"/>
            <w:tcMar>
              <w:top w:w="0" w:type="dxa"/>
              <w:left w:w="115" w:type="dxa"/>
              <w:bottom w:w="0" w:type="dxa"/>
              <w:right w:w="115" w:type="dxa"/>
            </w:tcMar>
            <w:hideMark/>
          </w:tcPr>
          <w:p w14:paraId="0FE1595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0.0064***</w:t>
            </w:r>
          </w:p>
        </w:tc>
        <w:tc>
          <w:tcPr>
            <w:tcW w:w="0" w:type="auto"/>
            <w:tcMar>
              <w:top w:w="0" w:type="dxa"/>
              <w:left w:w="115" w:type="dxa"/>
              <w:bottom w:w="0" w:type="dxa"/>
              <w:right w:w="115" w:type="dxa"/>
            </w:tcMar>
            <w:hideMark/>
          </w:tcPr>
          <w:p w14:paraId="532C0B88" w14:textId="77777777" w:rsidR="00C033B5" w:rsidRPr="00746567" w:rsidRDefault="00C033B5" w:rsidP="00C033B5">
            <w:pPr>
              <w:rPr>
                <w:rFonts w:asciiTheme="majorBidi" w:hAnsiTheme="majorBidi" w:cstheme="majorBidi"/>
              </w:rPr>
            </w:pPr>
            <w:r w:rsidRPr="00746567">
              <w:rPr>
                <w:rFonts w:asciiTheme="majorBidi" w:hAnsiTheme="majorBidi" w:cstheme="majorBidi"/>
              </w:rPr>
              <w:t>0.0132***</w:t>
            </w:r>
          </w:p>
        </w:tc>
        <w:tc>
          <w:tcPr>
            <w:tcW w:w="0" w:type="auto"/>
            <w:tcMar>
              <w:top w:w="0" w:type="dxa"/>
              <w:left w:w="115" w:type="dxa"/>
              <w:bottom w:w="0" w:type="dxa"/>
              <w:right w:w="115" w:type="dxa"/>
            </w:tcMar>
            <w:hideMark/>
          </w:tcPr>
          <w:p w14:paraId="5BC3467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-0.0042***</w:t>
            </w:r>
          </w:p>
        </w:tc>
        <w:tc>
          <w:tcPr>
            <w:tcW w:w="0" w:type="auto"/>
            <w:tcMar>
              <w:top w:w="0" w:type="dxa"/>
              <w:left w:w="115" w:type="dxa"/>
              <w:bottom w:w="0" w:type="dxa"/>
              <w:right w:w="115" w:type="dxa"/>
            </w:tcMar>
            <w:hideMark/>
          </w:tcPr>
          <w:p w14:paraId="6D72DF7A" w14:textId="77777777" w:rsidR="00C033B5" w:rsidRPr="00746567" w:rsidRDefault="00C033B5" w:rsidP="00C033B5">
            <w:pPr>
              <w:rPr>
                <w:rFonts w:asciiTheme="majorBidi" w:hAnsiTheme="majorBidi" w:cstheme="majorBidi"/>
              </w:rPr>
            </w:pPr>
            <w:r w:rsidRPr="00746567">
              <w:rPr>
                <w:rFonts w:asciiTheme="majorBidi" w:hAnsiTheme="majorBidi" w:cstheme="majorBidi"/>
              </w:rPr>
              <w:t>0.3085***</w:t>
            </w:r>
          </w:p>
        </w:tc>
        <w:tc>
          <w:tcPr>
            <w:tcW w:w="0" w:type="auto"/>
            <w:tcMar>
              <w:top w:w="0" w:type="dxa"/>
              <w:left w:w="115" w:type="dxa"/>
              <w:bottom w:w="0" w:type="dxa"/>
              <w:right w:w="115" w:type="dxa"/>
            </w:tcMar>
            <w:hideMark/>
          </w:tcPr>
          <w:p w14:paraId="6AF4378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-0.0019***</w:t>
            </w:r>
          </w:p>
        </w:tc>
        <w:tc>
          <w:tcPr>
            <w:tcW w:w="0" w:type="auto"/>
            <w:tcMar>
              <w:top w:w="0" w:type="dxa"/>
              <w:left w:w="115" w:type="dxa"/>
              <w:bottom w:w="0" w:type="dxa"/>
              <w:right w:w="115" w:type="dxa"/>
            </w:tcMar>
            <w:hideMark/>
          </w:tcPr>
          <w:p w14:paraId="3602A7E2" w14:textId="77777777" w:rsidR="00C033B5" w:rsidRPr="00746567" w:rsidRDefault="00C033B5" w:rsidP="00C033B5">
            <w:pPr>
              <w:rPr>
                <w:rFonts w:asciiTheme="majorBidi" w:hAnsiTheme="majorBidi" w:cstheme="majorBidi"/>
              </w:rPr>
            </w:pPr>
            <w:r w:rsidRPr="00746567">
              <w:rPr>
                <w:rFonts w:asciiTheme="majorBidi" w:hAnsiTheme="majorBidi" w:cstheme="majorBidi"/>
              </w:rPr>
              <w:t>0.2296***</w:t>
            </w:r>
          </w:p>
        </w:tc>
      </w:tr>
      <w:tr w:rsidR="00C033B5" w:rsidRPr="00746567" w14:paraId="75E587F4" w14:textId="77777777">
        <w:trPr>
          <w:trHeight w:val="20"/>
        </w:trPr>
        <w:tc>
          <w:tcPr>
            <w:tcW w:w="0" w:type="auto"/>
            <w:tcMar>
              <w:top w:w="0" w:type="dxa"/>
              <w:left w:w="115" w:type="dxa"/>
              <w:bottom w:w="0" w:type="dxa"/>
              <w:right w:w="115" w:type="dxa"/>
            </w:tcMar>
            <w:hideMark/>
          </w:tcPr>
          <w:p w14:paraId="5ED09EF3"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046EAB7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24B4D03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47A5B67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(0.0004)</w:t>
            </w:r>
          </w:p>
        </w:tc>
        <w:tc>
          <w:tcPr>
            <w:tcW w:w="0" w:type="auto"/>
            <w:tcMar>
              <w:top w:w="0" w:type="dxa"/>
              <w:left w:w="115" w:type="dxa"/>
              <w:bottom w:w="0" w:type="dxa"/>
              <w:right w:w="115" w:type="dxa"/>
            </w:tcMar>
            <w:hideMark/>
          </w:tcPr>
          <w:p w14:paraId="3B55A1D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(0.0052)</w:t>
            </w:r>
          </w:p>
        </w:tc>
        <w:tc>
          <w:tcPr>
            <w:tcW w:w="0" w:type="auto"/>
            <w:tcMar>
              <w:top w:w="0" w:type="dxa"/>
              <w:left w:w="115" w:type="dxa"/>
              <w:bottom w:w="0" w:type="dxa"/>
              <w:right w:w="115" w:type="dxa"/>
            </w:tcMar>
            <w:hideMark/>
          </w:tcPr>
          <w:p w14:paraId="5F2E67D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hideMark/>
          </w:tcPr>
          <w:p w14:paraId="12522F1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(0.0049)</w:t>
            </w:r>
          </w:p>
        </w:tc>
      </w:tr>
      <w:tr w:rsidR="00C033B5" w:rsidRPr="00746567" w14:paraId="3FDF9365" w14:textId="77777777">
        <w:trPr>
          <w:trHeight w:val="20"/>
        </w:trPr>
        <w:tc>
          <w:tcPr>
            <w:tcW w:w="0" w:type="auto"/>
            <w:tcMar>
              <w:top w:w="0" w:type="dxa"/>
              <w:left w:w="115" w:type="dxa"/>
              <w:bottom w:w="0" w:type="dxa"/>
              <w:right w:w="115" w:type="dxa"/>
            </w:tcMar>
            <w:hideMark/>
          </w:tcPr>
          <w:p w14:paraId="019D8C7D" w14:textId="77777777" w:rsidR="00C033B5" w:rsidRPr="00746567" w:rsidRDefault="00C033B5" w:rsidP="00C033B5">
            <w:pPr>
              <w:rPr>
                <w:rFonts w:asciiTheme="majorBidi" w:hAnsiTheme="majorBidi" w:cstheme="majorBidi"/>
              </w:rPr>
            </w:pPr>
            <w:r w:rsidRPr="00746567">
              <w:rPr>
                <w:rFonts w:asciiTheme="majorBidi" w:hAnsiTheme="majorBidi" w:cstheme="majorBidi"/>
              </w:rPr>
              <w:t>8</w:t>
            </w:r>
          </w:p>
        </w:tc>
        <w:tc>
          <w:tcPr>
            <w:tcW w:w="0" w:type="auto"/>
            <w:tcMar>
              <w:top w:w="0" w:type="dxa"/>
              <w:left w:w="115" w:type="dxa"/>
              <w:bottom w:w="0" w:type="dxa"/>
              <w:right w:w="115" w:type="dxa"/>
            </w:tcMar>
            <w:hideMark/>
          </w:tcPr>
          <w:p w14:paraId="142339C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0.0059***</w:t>
            </w:r>
          </w:p>
        </w:tc>
        <w:tc>
          <w:tcPr>
            <w:tcW w:w="0" w:type="auto"/>
            <w:tcMar>
              <w:top w:w="0" w:type="dxa"/>
              <w:left w:w="115" w:type="dxa"/>
              <w:bottom w:w="0" w:type="dxa"/>
              <w:right w:w="115" w:type="dxa"/>
            </w:tcMar>
            <w:hideMark/>
          </w:tcPr>
          <w:p w14:paraId="266D55A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0.0078***</w:t>
            </w:r>
          </w:p>
        </w:tc>
        <w:tc>
          <w:tcPr>
            <w:tcW w:w="0" w:type="auto"/>
            <w:tcMar>
              <w:top w:w="0" w:type="dxa"/>
              <w:left w:w="115" w:type="dxa"/>
              <w:bottom w:w="0" w:type="dxa"/>
              <w:right w:w="115" w:type="dxa"/>
            </w:tcMar>
            <w:hideMark/>
          </w:tcPr>
          <w:p w14:paraId="4B7AAC8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-0.0028***</w:t>
            </w:r>
          </w:p>
        </w:tc>
        <w:tc>
          <w:tcPr>
            <w:tcW w:w="0" w:type="auto"/>
            <w:tcMar>
              <w:top w:w="0" w:type="dxa"/>
              <w:left w:w="115" w:type="dxa"/>
              <w:bottom w:w="0" w:type="dxa"/>
              <w:right w:w="115" w:type="dxa"/>
            </w:tcMar>
            <w:hideMark/>
          </w:tcPr>
          <w:p w14:paraId="3C39D7F4" w14:textId="77777777" w:rsidR="00C033B5" w:rsidRPr="00746567" w:rsidRDefault="00C033B5" w:rsidP="00C033B5">
            <w:pPr>
              <w:rPr>
                <w:rFonts w:asciiTheme="majorBidi" w:hAnsiTheme="majorBidi" w:cstheme="majorBidi"/>
              </w:rPr>
            </w:pPr>
            <w:r w:rsidRPr="00746567">
              <w:rPr>
                <w:rFonts w:asciiTheme="majorBidi" w:hAnsiTheme="majorBidi" w:cstheme="majorBidi"/>
              </w:rPr>
              <w:t>-0.0572***</w:t>
            </w:r>
          </w:p>
        </w:tc>
        <w:tc>
          <w:tcPr>
            <w:tcW w:w="0" w:type="auto"/>
            <w:tcMar>
              <w:top w:w="0" w:type="dxa"/>
              <w:left w:w="115" w:type="dxa"/>
              <w:bottom w:w="0" w:type="dxa"/>
              <w:right w:w="115" w:type="dxa"/>
            </w:tcMar>
            <w:hideMark/>
          </w:tcPr>
          <w:p w14:paraId="121E751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-0.0015***</w:t>
            </w:r>
          </w:p>
        </w:tc>
        <w:tc>
          <w:tcPr>
            <w:tcW w:w="0" w:type="auto"/>
            <w:tcMar>
              <w:top w:w="0" w:type="dxa"/>
              <w:left w:w="115" w:type="dxa"/>
              <w:bottom w:w="0" w:type="dxa"/>
              <w:right w:w="115" w:type="dxa"/>
            </w:tcMar>
            <w:hideMark/>
          </w:tcPr>
          <w:p w14:paraId="357E0DAE" w14:textId="77777777" w:rsidR="00C033B5" w:rsidRPr="00746567" w:rsidRDefault="00C033B5" w:rsidP="00C033B5">
            <w:pPr>
              <w:rPr>
                <w:rFonts w:asciiTheme="majorBidi" w:hAnsiTheme="majorBidi" w:cstheme="majorBidi"/>
              </w:rPr>
            </w:pPr>
            <w:r w:rsidRPr="00746567">
              <w:rPr>
                <w:rFonts w:asciiTheme="majorBidi" w:hAnsiTheme="majorBidi" w:cstheme="majorBidi"/>
              </w:rPr>
              <w:t>-0.0916***</w:t>
            </w:r>
          </w:p>
        </w:tc>
      </w:tr>
      <w:tr w:rsidR="00C033B5" w:rsidRPr="00746567" w14:paraId="6F9A5E41" w14:textId="77777777">
        <w:trPr>
          <w:trHeight w:val="20"/>
        </w:trPr>
        <w:tc>
          <w:tcPr>
            <w:tcW w:w="0" w:type="auto"/>
            <w:tcMar>
              <w:top w:w="0" w:type="dxa"/>
              <w:left w:w="115" w:type="dxa"/>
              <w:bottom w:w="0" w:type="dxa"/>
              <w:right w:w="115" w:type="dxa"/>
            </w:tcMar>
            <w:hideMark/>
          </w:tcPr>
          <w:p w14:paraId="7F26529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7C3B874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12C29F5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4F689F8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(0.0004)</w:t>
            </w:r>
          </w:p>
        </w:tc>
        <w:tc>
          <w:tcPr>
            <w:tcW w:w="0" w:type="auto"/>
            <w:tcMar>
              <w:top w:w="0" w:type="dxa"/>
              <w:left w:w="115" w:type="dxa"/>
              <w:bottom w:w="0" w:type="dxa"/>
              <w:right w:w="115" w:type="dxa"/>
            </w:tcMar>
            <w:hideMark/>
          </w:tcPr>
          <w:p w14:paraId="7BBC073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(0.0033)</w:t>
            </w:r>
          </w:p>
        </w:tc>
        <w:tc>
          <w:tcPr>
            <w:tcW w:w="0" w:type="auto"/>
            <w:tcMar>
              <w:top w:w="0" w:type="dxa"/>
              <w:left w:w="115" w:type="dxa"/>
              <w:bottom w:w="0" w:type="dxa"/>
              <w:right w:w="115" w:type="dxa"/>
            </w:tcMar>
            <w:hideMark/>
          </w:tcPr>
          <w:p w14:paraId="776D52F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hideMark/>
          </w:tcPr>
          <w:p w14:paraId="3813EDE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(0.0032)</w:t>
            </w:r>
          </w:p>
        </w:tc>
      </w:tr>
      <w:tr w:rsidR="00C033B5" w:rsidRPr="00746567" w14:paraId="388CCAE6" w14:textId="77777777">
        <w:trPr>
          <w:trHeight w:val="20"/>
        </w:trPr>
        <w:tc>
          <w:tcPr>
            <w:tcW w:w="0" w:type="auto"/>
            <w:tcMar>
              <w:top w:w="0" w:type="dxa"/>
              <w:left w:w="115" w:type="dxa"/>
              <w:bottom w:w="0" w:type="dxa"/>
              <w:right w:w="115" w:type="dxa"/>
            </w:tcMar>
            <w:hideMark/>
          </w:tcPr>
          <w:p w14:paraId="101ECB51" w14:textId="77777777" w:rsidR="00C033B5" w:rsidRPr="00746567" w:rsidRDefault="00C033B5" w:rsidP="00C033B5">
            <w:pPr>
              <w:rPr>
                <w:rFonts w:asciiTheme="majorBidi" w:hAnsiTheme="majorBidi" w:cstheme="majorBidi"/>
              </w:rPr>
            </w:pPr>
            <w:r w:rsidRPr="00746567">
              <w:rPr>
                <w:rFonts w:asciiTheme="majorBidi" w:hAnsiTheme="majorBidi" w:cstheme="majorBidi"/>
              </w:rPr>
              <w:t>9</w:t>
            </w:r>
          </w:p>
        </w:tc>
        <w:tc>
          <w:tcPr>
            <w:tcW w:w="0" w:type="auto"/>
            <w:tcMar>
              <w:top w:w="0" w:type="dxa"/>
              <w:left w:w="115" w:type="dxa"/>
              <w:bottom w:w="0" w:type="dxa"/>
              <w:right w:w="115" w:type="dxa"/>
            </w:tcMar>
            <w:hideMark/>
          </w:tcPr>
          <w:p w14:paraId="086AA4E4" w14:textId="77777777" w:rsidR="00C033B5" w:rsidRPr="00746567" w:rsidRDefault="00C033B5" w:rsidP="00C033B5">
            <w:pPr>
              <w:rPr>
                <w:rFonts w:asciiTheme="majorBidi" w:hAnsiTheme="majorBidi" w:cstheme="majorBidi"/>
              </w:rPr>
            </w:pPr>
            <w:r w:rsidRPr="00746567">
              <w:rPr>
                <w:rFonts w:asciiTheme="majorBidi" w:hAnsiTheme="majorBidi" w:cstheme="majorBidi"/>
              </w:rPr>
              <w:t>0.0136***</w:t>
            </w:r>
          </w:p>
        </w:tc>
        <w:tc>
          <w:tcPr>
            <w:tcW w:w="0" w:type="auto"/>
            <w:tcMar>
              <w:top w:w="0" w:type="dxa"/>
              <w:left w:w="115" w:type="dxa"/>
              <w:bottom w:w="0" w:type="dxa"/>
              <w:right w:w="115" w:type="dxa"/>
            </w:tcMar>
            <w:hideMark/>
          </w:tcPr>
          <w:p w14:paraId="7E4476B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-0.0009***</w:t>
            </w:r>
          </w:p>
        </w:tc>
        <w:tc>
          <w:tcPr>
            <w:tcW w:w="0" w:type="auto"/>
            <w:tcMar>
              <w:top w:w="0" w:type="dxa"/>
              <w:left w:w="115" w:type="dxa"/>
              <w:bottom w:w="0" w:type="dxa"/>
              <w:right w:w="115" w:type="dxa"/>
            </w:tcMar>
            <w:hideMark/>
          </w:tcPr>
          <w:p w14:paraId="238B846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-0.0046***</w:t>
            </w:r>
          </w:p>
        </w:tc>
        <w:tc>
          <w:tcPr>
            <w:tcW w:w="0" w:type="auto"/>
            <w:tcMar>
              <w:top w:w="0" w:type="dxa"/>
              <w:left w:w="115" w:type="dxa"/>
              <w:bottom w:w="0" w:type="dxa"/>
              <w:right w:w="115" w:type="dxa"/>
            </w:tcMar>
            <w:hideMark/>
          </w:tcPr>
          <w:p w14:paraId="3A6249BE" w14:textId="77777777" w:rsidR="00C033B5" w:rsidRPr="00746567" w:rsidRDefault="00C033B5" w:rsidP="00C033B5">
            <w:pPr>
              <w:rPr>
                <w:rFonts w:asciiTheme="majorBidi" w:hAnsiTheme="majorBidi" w:cstheme="majorBidi"/>
              </w:rPr>
            </w:pPr>
            <w:r w:rsidRPr="00746567">
              <w:rPr>
                <w:rFonts w:asciiTheme="majorBidi" w:hAnsiTheme="majorBidi" w:cstheme="majorBidi"/>
              </w:rPr>
              <w:t>0.0443***</w:t>
            </w:r>
          </w:p>
        </w:tc>
        <w:tc>
          <w:tcPr>
            <w:tcW w:w="0" w:type="auto"/>
            <w:tcMar>
              <w:top w:w="0" w:type="dxa"/>
              <w:left w:w="115" w:type="dxa"/>
              <w:bottom w:w="0" w:type="dxa"/>
              <w:right w:w="115" w:type="dxa"/>
            </w:tcMar>
            <w:hideMark/>
          </w:tcPr>
          <w:p w14:paraId="67B3C2F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-0.0023***</w:t>
            </w:r>
          </w:p>
        </w:tc>
        <w:tc>
          <w:tcPr>
            <w:tcW w:w="0" w:type="auto"/>
            <w:tcMar>
              <w:top w:w="0" w:type="dxa"/>
              <w:left w:w="115" w:type="dxa"/>
              <w:bottom w:w="0" w:type="dxa"/>
              <w:right w:w="115" w:type="dxa"/>
            </w:tcMar>
            <w:hideMark/>
          </w:tcPr>
          <w:p w14:paraId="764B0F0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-0.0079***</w:t>
            </w:r>
          </w:p>
        </w:tc>
      </w:tr>
      <w:tr w:rsidR="00C033B5" w:rsidRPr="00746567" w14:paraId="1EB4B45C" w14:textId="77777777">
        <w:trPr>
          <w:trHeight w:val="20"/>
        </w:trPr>
        <w:tc>
          <w:tcPr>
            <w:tcW w:w="0" w:type="auto"/>
            <w:tcMar>
              <w:top w:w="0" w:type="dxa"/>
              <w:left w:w="115" w:type="dxa"/>
              <w:bottom w:w="0" w:type="dxa"/>
              <w:right w:w="115" w:type="dxa"/>
            </w:tcMar>
            <w:hideMark/>
          </w:tcPr>
          <w:p w14:paraId="0C50B28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0EDC7CE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3BB1017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hideMark/>
          </w:tcPr>
          <w:p w14:paraId="1092E22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(0.0005)</w:t>
            </w:r>
          </w:p>
        </w:tc>
        <w:tc>
          <w:tcPr>
            <w:tcW w:w="0" w:type="auto"/>
            <w:tcMar>
              <w:top w:w="0" w:type="dxa"/>
              <w:left w:w="115" w:type="dxa"/>
              <w:bottom w:w="0" w:type="dxa"/>
              <w:right w:w="115" w:type="dxa"/>
            </w:tcMar>
            <w:hideMark/>
          </w:tcPr>
          <w:p w14:paraId="6DFA4EB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(0.0069)</w:t>
            </w:r>
          </w:p>
        </w:tc>
        <w:tc>
          <w:tcPr>
            <w:tcW w:w="0" w:type="auto"/>
            <w:tcMar>
              <w:top w:w="0" w:type="dxa"/>
              <w:left w:w="115" w:type="dxa"/>
              <w:bottom w:w="0" w:type="dxa"/>
              <w:right w:w="115" w:type="dxa"/>
            </w:tcMar>
            <w:hideMark/>
          </w:tcPr>
          <w:p w14:paraId="36AB12A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hideMark/>
          </w:tcPr>
          <w:p w14:paraId="5BF69B6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(0.0061)</w:t>
            </w:r>
          </w:p>
        </w:tc>
      </w:tr>
      <w:tr w:rsidR="00C033B5" w:rsidRPr="00746567" w14:paraId="41B57486" w14:textId="77777777">
        <w:trPr>
          <w:trHeight w:val="20"/>
        </w:trPr>
        <w:tc>
          <w:tcPr>
            <w:tcW w:w="0" w:type="auto"/>
            <w:tcMar>
              <w:top w:w="0" w:type="dxa"/>
              <w:left w:w="115" w:type="dxa"/>
              <w:bottom w:w="0" w:type="dxa"/>
              <w:right w:w="115" w:type="dxa"/>
            </w:tcMar>
            <w:hideMark/>
          </w:tcPr>
          <w:p w14:paraId="1577DD27" w14:textId="77777777" w:rsidR="00C033B5" w:rsidRPr="00746567" w:rsidRDefault="00C033B5" w:rsidP="00C033B5">
            <w:pPr>
              <w:rPr>
                <w:rFonts w:asciiTheme="majorBidi" w:hAnsiTheme="majorBidi" w:cstheme="majorBidi"/>
              </w:rPr>
            </w:pPr>
            <w:r w:rsidRPr="00746567">
              <w:rPr>
                <w:rFonts w:asciiTheme="majorBidi" w:hAnsiTheme="majorBidi" w:cstheme="majorBidi"/>
              </w:rPr>
              <w:t>10</w:t>
            </w:r>
          </w:p>
        </w:tc>
        <w:tc>
          <w:tcPr>
            <w:tcW w:w="0" w:type="auto"/>
            <w:tcMar>
              <w:top w:w="0" w:type="dxa"/>
              <w:left w:w="115" w:type="dxa"/>
              <w:bottom w:w="0" w:type="dxa"/>
              <w:right w:w="115" w:type="dxa"/>
            </w:tcMar>
            <w:hideMark/>
          </w:tcPr>
          <w:p w14:paraId="326BEFB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0.0079***</w:t>
            </w:r>
          </w:p>
        </w:tc>
        <w:tc>
          <w:tcPr>
            <w:tcW w:w="0" w:type="auto"/>
            <w:tcMar>
              <w:top w:w="0" w:type="dxa"/>
              <w:left w:w="115" w:type="dxa"/>
              <w:bottom w:w="0" w:type="dxa"/>
              <w:right w:w="115" w:type="dxa"/>
            </w:tcMar>
            <w:hideMark/>
          </w:tcPr>
          <w:p w14:paraId="71D740E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0.0025***</w:t>
            </w:r>
          </w:p>
        </w:tc>
        <w:tc>
          <w:tcPr>
            <w:tcW w:w="0" w:type="auto"/>
            <w:tcMar>
              <w:top w:w="0" w:type="dxa"/>
              <w:left w:w="115" w:type="dxa"/>
              <w:bottom w:w="0" w:type="dxa"/>
              <w:right w:w="115" w:type="dxa"/>
            </w:tcMar>
            <w:hideMark/>
          </w:tcPr>
          <w:p w14:paraId="69E2A5F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-0.0028***</w:t>
            </w:r>
          </w:p>
        </w:tc>
        <w:tc>
          <w:tcPr>
            <w:tcW w:w="0" w:type="auto"/>
            <w:tcMar>
              <w:top w:w="0" w:type="dxa"/>
              <w:left w:w="115" w:type="dxa"/>
              <w:bottom w:w="0" w:type="dxa"/>
              <w:right w:w="115" w:type="dxa"/>
            </w:tcMar>
            <w:hideMark/>
          </w:tcPr>
          <w:p w14:paraId="3705642C" w14:textId="77777777" w:rsidR="00C033B5" w:rsidRPr="00746567" w:rsidRDefault="00C033B5" w:rsidP="00C033B5">
            <w:pPr>
              <w:rPr>
                <w:rFonts w:asciiTheme="majorBidi" w:hAnsiTheme="majorBidi" w:cstheme="majorBidi"/>
              </w:rPr>
            </w:pPr>
            <w:r w:rsidRPr="00746567">
              <w:rPr>
                <w:rFonts w:asciiTheme="majorBidi" w:hAnsiTheme="majorBidi" w:cstheme="majorBidi"/>
              </w:rPr>
              <w:t>-0.1207***</w:t>
            </w:r>
          </w:p>
        </w:tc>
        <w:tc>
          <w:tcPr>
            <w:tcW w:w="0" w:type="auto"/>
            <w:tcMar>
              <w:top w:w="0" w:type="dxa"/>
              <w:left w:w="115" w:type="dxa"/>
              <w:bottom w:w="0" w:type="dxa"/>
              <w:right w:w="115" w:type="dxa"/>
            </w:tcMar>
            <w:hideMark/>
          </w:tcPr>
          <w:p w14:paraId="64E0C05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-0.0017***</w:t>
            </w:r>
          </w:p>
        </w:tc>
        <w:tc>
          <w:tcPr>
            <w:tcW w:w="0" w:type="auto"/>
            <w:tcMar>
              <w:top w:w="0" w:type="dxa"/>
              <w:left w:w="115" w:type="dxa"/>
              <w:bottom w:w="0" w:type="dxa"/>
              <w:right w:w="115" w:type="dxa"/>
            </w:tcMar>
            <w:hideMark/>
          </w:tcPr>
          <w:p w14:paraId="1D402AC4" w14:textId="77777777" w:rsidR="00C033B5" w:rsidRPr="00746567" w:rsidRDefault="00C033B5" w:rsidP="00C033B5">
            <w:pPr>
              <w:rPr>
                <w:rFonts w:asciiTheme="majorBidi" w:hAnsiTheme="majorBidi" w:cstheme="majorBidi"/>
              </w:rPr>
            </w:pPr>
            <w:r w:rsidRPr="00746567">
              <w:rPr>
                <w:rFonts w:asciiTheme="majorBidi" w:hAnsiTheme="majorBidi" w:cstheme="majorBidi"/>
              </w:rPr>
              <w:t>-0.1336***</w:t>
            </w:r>
          </w:p>
        </w:tc>
      </w:tr>
      <w:tr w:rsidR="00C033B5" w:rsidRPr="00746567" w14:paraId="3BE02D4D" w14:textId="77777777">
        <w:trPr>
          <w:trHeight w:val="20"/>
        </w:trPr>
        <w:tc>
          <w:tcPr>
            <w:tcW w:w="0" w:type="auto"/>
            <w:tcMar>
              <w:top w:w="0" w:type="dxa"/>
              <w:left w:w="115" w:type="dxa"/>
              <w:bottom w:w="0" w:type="dxa"/>
              <w:right w:w="115" w:type="dxa"/>
            </w:tcMar>
            <w:hideMark/>
          </w:tcPr>
          <w:p w14:paraId="694411E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73704B0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35FAF92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hideMark/>
          </w:tcPr>
          <w:p w14:paraId="7835FEA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(0.0004)</w:t>
            </w:r>
          </w:p>
        </w:tc>
        <w:tc>
          <w:tcPr>
            <w:tcW w:w="0" w:type="auto"/>
            <w:tcMar>
              <w:top w:w="0" w:type="dxa"/>
              <w:left w:w="115" w:type="dxa"/>
              <w:bottom w:w="0" w:type="dxa"/>
              <w:right w:w="115" w:type="dxa"/>
            </w:tcMar>
            <w:hideMark/>
          </w:tcPr>
          <w:p w14:paraId="4A77153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(0.0035)</w:t>
            </w:r>
          </w:p>
        </w:tc>
        <w:tc>
          <w:tcPr>
            <w:tcW w:w="0" w:type="auto"/>
            <w:tcMar>
              <w:top w:w="0" w:type="dxa"/>
              <w:left w:w="115" w:type="dxa"/>
              <w:bottom w:w="0" w:type="dxa"/>
              <w:right w:w="115" w:type="dxa"/>
            </w:tcMar>
            <w:hideMark/>
          </w:tcPr>
          <w:p w14:paraId="557518C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hideMark/>
          </w:tcPr>
          <w:p w14:paraId="0844363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(0.0035)</w:t>
            </w:r>
          </w:p>
        </w:tc>
      </w:tr>
      <w:tr w:rsidR="00C033B5" w:rsidRPr="00746567" w14:paraId="6E9FA9B8" w14:textId="77777777">
        <w:trPr>
          <w:trHeight w:val="20"/>
        </w:trPr>
        <w:tc>
          <w:tcPr>
            <w:tcW w:w="0" w:type="auto"/>
            <w:tcMar>
              <w:top w:w="0" w:type="dxa"/>
              <w:left w:w="115" w:type="dxa"/>
              <w:bottom w:w="0" w:type="dxa"/>
              <w:right w:w="115" w:type="dxa"/>
            </w:tcMar>
            <w:hideMark/>
          </w:tcPr>
          <w:p w14:paraId="2236B698" w14:textId="77777777" w:rsidR="00C033B5" w:rsidRPr="00746567" w:rsidRDefault="00C033B5" w:rsidP="00C033B5">
            <w:pPr>
              <w:rPr>
                <w:rFonts w:asciiTheme="majorBidi" w:hAnsiTheme="majorBidi" w:cstheme="majorBidi"/>
              </w:rPr>
            </w:pPr>
            <w:r w:rsidRPr="00746567">
              <w:rPr>
                <w:rFonts w:asciiTheme="majorBidi" w:hAnsiTheme="majorBidi" w:cstheme="majorBidi"/>
              </w:rPr>
              <w:t>11</w:t>
            </w:r>
          </w:p>
        </w:tc>
        <w:tc>
          <w:tcPr>
            <w:tcW w:w="0" w:type="auto"/>
            <w:tcMar>
              <w:top w:w="0" w:type="dxa"/>
              <w:left w:w="115" w:type="dxa"/>
              <w:bottom w:w="0" w:type="dxa"/>
              <w:right w:w="115" w:type="dxa"/>
            </w:tcMar>
            <w:hideMark/>
          </w:tcPr>
          <w:p w14:paraId="2807B3F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-0.0044***</w:t>
            </w:r>
          </w:p>
        </w:tc>
        <w:tc>
          <w:tcPr>
            <w:tcW w:w="0" w:type="auto"/>
            <w:tcMar>
              <w:top w:w="0" w:type="dxa"/>
              <w:left w:w="115" w:type="dxa"/>
              <w:bottom w:w="0" w:type="dxa"/>
              <w:right w:w="115" w:type="dxa"/>
            </w:tcMar>
            <w:hideMark/>
          </w:tcPr>
          <w:p w14:paraId="4A90074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0.0016***</w:t>
            </w:r>
          </w:p>
        </w:tc>
        <w:tc>
          <w:tcPr>
            <w:tcW w:w="0" w:type="auto"/>
            <w:tcMar>
              <w:top w:w="0" w:type="dxa"/>
              <w:left w:w="115" w:type="dxa"/>
              <w:bottom w:w="0" w:type="dxa"/>
              <w:right w:w="115" w:type="dxa"/>
            </w:tcMar>
            <w:hideMark/>
          </w:tcPr>
          <w:p w14:paraId="12736AD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-0.0019***</w:t>
            </w:r>
          </w:p>
        </w:tc>
        <w:tc>
          <w:tcPr>
            <w:tcW w:w="0" w:type="auto"/>
            <w:tcMar>
              <w:top w:w="0" w:type="dxa"/>
              <w:left w:w="115" w:type="dxa"/>
              <w:bottom w:w="0" w:type="dxa"/>
              <w:right w:w="115" w:type="dxa"/>
            </w:tcMar>
            <w:hideMark/>
          </w:tcPr>
          <w:p w14:paraId="70D650E2" w14:textId="77777777" w:rsidR="00C033B5" w:rsidRPr="00746567" w:rsidRDefault="00C033B5" w:rsidP="00C033B5">
            <w:pPr>
              <w:rPr>
                <w:rFonts w:asciiTheme="majorBidi" w:hAnsiTheme="majorBidi" w:cstheme="majorBidi"/>
              </w:rPr>
            </w:pPr>
            <w:r w:rsidRPr="00746567">
              <w:rPr>
                <w:rFonts w:asciiTheme="majorBidi" w:hAnsiTheme="majorBidi" w:cstheme="majorBidi"/>
              </w:rPr>
              <w:t>0.0439***</w:t>
            </w:r>
          </w:p>
        </w:tc>
        <w:tc>
          <w:tcPr>
            <w:tcW w:w="0" w:type="auto"/>
            <w:tcMar>
              <w:top w:w="0" w:type="dxa"/>
              <w:left w:w="115" w:type="dxa"/>
              <w:bottom w:w="0" w:type="dxa"/>
              <w:right w:w="115" w:type="dxa"/>
            </w:tcMar>
            <w:hideMark/>
          </w:tcPr>
          <w:p w14:paraId="68E9D05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-0.0015***</w:t>
            </w:r>
          </w:p>
        </w:tc>
        <w:tc>
          <w:tcPr>
            <w:tcW w:w="0" w:type="auto"/>
            <w:tcMar>
              <w:top w:w="0" w:type="dxa"/>
              <w:left w:w="115" w:type="dxa"/>
              <w:bottom w:w="0" w:type="dxa"/>
              <w:right w:w="115" w:type="dxa"/>
            </w:tcMar>
            <w:hideMark/>
          </w:tcPr>
          <w:p w14:paraId="6CEA2BD0" w14:textId="77777777" w:rsidR="00C033B5" w:rsidRPr="00746567" w:rsidRDefault="00C033B5" w:rsidP="00C033B5">
            <w:pPr>
              <w:rPr>
                <w:rFonts w:asciiTheme="majorBidi" w:hAnsiTheme="majorBidi" w:cstheme="majorBidi"/>
              </w:rPr>
            </w:pPr>
            <w:r w:rsidRPr="00746567">
              <w:rPr>
                <w:rFonts w:asciiTheme="majorBidi" w:hAnsiTheme="majorBidi" w:cstheme="majorBidi"/>
              </w:rPr>
              <w:t>0.0494***</w:t>
            </w:r>
          </w:p>
        </w:tc>
      </w:tr>
      <w:tr w:rsidR="00C033B5" w:rsidRPr="00746567" w14:paraId="6F5529C1" w14:textId="77777777">
        <w:trPr>
          <w:trHeight w:val="20"/>
        </w:trPr>
        <w:tc>
          <w:tcPr>
            <w:tcW w:w="0" w:type="auto"/>
            <w:tcMar>
              <w:top w:w="0" w:type="dxa"/>
              <w:left w:w="115" w:type="dxa"/>
              <w:bottom w:w="0" w:type="dxa"/>
              <w:right w:w="115" w:type="dxa"/>
            </w:tcMar>
            <w:hideMark/>
          </w:tcPr>
          <w:p w14:paraId="7E3EEC0E"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EF2CAC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535ADBB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5FAC9D2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(0.0003)</w:t>
            </w:r>
          </w:p>
        </w:tc>
        <w:tc>
          <w:tcPr>
            <w:tcW w:w="0" w:type="auto"/>
            <w:tcMar>
              <w:top w:w="0" w:type="dxa"/>
              <w:left w:w="115" w:type="dxa"/>
              <w:bottom w:w="0" w:type="dxa"/>
              <w:right w:w="115" w:type="dxa"/>
            </w:tcMar>
            <w:hideMark/>
          </w:tcPr>
          <w:p w14:paraId="7C15C38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(0.0031)</w:t>
            </w:r>
          </w:p>
        </w:tc>
        <w:tc>
          <w:tcPr>
            <w:tcW w:w="0" w:type="auto"/>
            <w:tcMar>
              <w:top w:w="0" w:type="dxa"/>
              <w:left w:w="115" w:type="dxa"/>
              <w:bottom w:w="0" w:type="dxa"/>
              <w:right w:w="115" w:type="dxa"/>
            </w:tcMar>
            <w:hideMark/>
          </w:tcPr>
          <w:p w14:paraId="69FBBEA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79CE02F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(0.0033)</w:t>
            </w:r>
          </w:p>
        </w:tc>
      </w:tr>
      <w:tr w:rsidR="00C033B5" w:rsidRPr="00746567" w14:paraId="6F1590C1" w14:textId="77777777">
        <w:trPr>
          <w:trHeight w:val="20"/>
        </w:trPr>
        <w:tc>
          <w:tcPr>
            <w:tcW w:w="0" w:type="auto"/>
            <w:tcMar>
              <w:top w:w="0" w:type="dxa"/>
              <w:left w:w="115" w:type="dxa"/>
              <w:bottom w:w="0" w:type="dxa"/>
              <w:right w:w="115" w:type="dxa"/>
            </w:tcMar>
            <w:hideMark/>
          </w:tcPr>
          <w:p w14:paraId="312FB18C"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Unemplymt</w:t>
            </w:r>
            <w:proofErr w:type="spellEnd"/>
          </w:p>
        </w:tc>
        <w:tc>
          <w:tcPr>
            <w:tcW w:w="0" w:type="auto"/>
            <w:tcMar>
              <w:top w:w="0" w:type="dxa"/>
              <w:left w:w="115" w:type="dxa"/>
              <w:bottom w:w="0" w:type="dxa"/>
              <w:right w:w="115" w:type="dxa"/>
            </w:tcMar>
            <w:hideMark/>
          </w:tcPr>
          <w:p w14:paraId="0DBB190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0.0026***</w:t>
            </w:r>
          </w:p>
        </w:tc>
        <w:tc>
          <w:tcPr>
            <w:tcW w:w="0" w:type="auto"/>
            <w:tcMar>
              <w:top w:w="0" w:type="dxa"/>
              <w:left w:w="115" w:type="dxa"/>
              <w:bottom w:w="0" w:type="dxa"/>
              <w:right w:w="115" w:type="dxa"/>
            </w:tcMar>
            <w:hideMark/>
          </w:tcPr>
          <w:p w14:paraId="5DBB30B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-0.0070***</w:t>
            </w:r>
          </w:p>
        </w:tc>
        <w:tc>
          <w:tcPr>
            <w:tcW w:w="0" w:type="auto"/>
            <w:tcMar>
              <w:top w:w="0" w:type="dxa"/>
              <w:left w:w="115" w:type="dxa"/>
              <w:bottom w:w="0" w:type="dxa"/>
              <w:right w:w="115" w:type="dxa"/>
            </w:tcMar>
            <w:hideMark/>
          </w:tcPr>
          <w:p w14:paraId="71482E1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0.0003</w:t>
            </w:r>
          </w:p>
        </w:tc>
        <w:tc>
          <w:tcPr>
            <w:tcW w:w="0" w:type="auto"/>
            <w:tcMar>
              <w:top w:w="0" w:type="dxa"/>
              <w:left w:w="115" w:type="dxa"/>
              <w:bottom w:w="0" w:type="dxa"/>
              <w:right w:w="115" w:type="dxa"/>
            </w:tcMar>
            <w:hideMark/>
          </w:tcPr>
          <w:p w14:paraId="791D6492" w14:textId="77777777" w:rsidR="00C033B5" w:rsidRPr="00746567" w:rsidRDefault="00C033B5" w:rsidP="00C033B5">
            <w:pPr>
              <w:rPr>
                <w:rFonts w:asciiTheme="majorBidi" w:hAnsiTheme="majorBidi" w:cstheme="majorBidi"/>
              </w:rPr>
            </w:pPr>
            <w:r w:rsidRPr="00746567">
              <w:rPr>
                <w:rFonts w:asciiTheme="majorBidi" w:hAnsiTheme="majorBidi" w:cstheme="majorBidi"/>
              </w:rPr>
              <w:t>0.1241***</w:t>
            </w:r>
          </w:p>
        </w:tc>
        <w:tc>
          <w:tcPr>
            <w:tcW w:w="0" w:type="auto"/>
            <w:tcMar>
              <w:top w:w="0" w:type="dxa"/>
              <w:left w:w="115" w:type="dxa"/>
              <w:bottom w:w="0" w:type="dxa"/>
              <w:right w:w="115" w:type="dxa"/>
            </w:tcMar>
            <w:hideMark/>
          </w:tcPr>
          <w:p w14:paraId="77A84007" w14:textId="77777777" w:rsidR="00C033B5" w:rsidRPr="00746567" w:rsidRDefault="00C033B5" w:rsidP="00C033B5">
            <w:pPr>
              <w:rPr>
                <w:rFonts w:asciiTheme="majorBidi" w:hAnsiTheme="majorBidi" w:cstheme="majorBidi"/>
              </w:rPr>
            </w:pPr>
            <w:r w:rsidRPr="00746567">
              <w:rPr>
                <w:rFonts w:asciiTheme="majorBidi" w:hAnsiTheme="majorBidi" w:cstheme="majorBidi"/>
              </w:rPr>
              <w:t>-0.0638***</w:t>
            </w:r>
          </w:p>
        </w:tc>
        <w:tc>
          <w:tcPr>
            <w:tcW w:w="0" w:type="auto"/>
            <w:tcMar>
              <w:top w:w="0" w:type="dxa"/>
              <w:left w:w="115" w:type="dxa"/>
              <w:bottom w:w="0" w:type="dxa"/>
              <w:right w:w="115" w:type="dxa"/>
            </w:tcMar>
            <w:hideMark/>
          </w:tcPr>
          <w:p w14:paraId="0CAD4AA7" w14:textId="77777777" w:rsidR="00C033B5" w:rsidRPr="00746567" w:rsidRDefault="00C033B5" w:rsidP="00C033B5">
            <w:pPr>
              <w:rPr>
                <w:rFonts w:asciiTheme="majorBidi" w:hAnsiTheme="majorBidi" w:cstheme="majorBidi"/>
              </w:rPr>
            </w:pPr>
            <w:r w:rsidRPr="00746567">
              <w:rPr>
                <w:rFonts w:asciiTheme="majorBidi" w:hAnsiTheme="majorBidi" w:cstheme="majorBidi"/>
              </w:rPr>
              <w:t>0.1753***</w:t>
            </w:r>
          </w:p>
        </w:tc>
      </w:tr>
      <w:tr w:rsidR="00C033B5" w:rsidRPr="00746567" w14:paraId="493F3EBC" w14:textId="77777777">
        <w:trPr>
          <w:trHeight w:val="20"/>
        </w:trPr>
        <w:tc>
          <w:tcPr>
            <w:tcW w:w="0" w:type="auto"/>
            <w:tcMar>
              <w:top w:w="0" w:type="dxa"/>
              <w:left w:w="115" w:type="dxa"/>
              <w:bottom w:w="0" w:type="dxa"/>
              <w:right w:w="115" w:type="dxa"/>
            </w:tcMar>
            <w:hideMark/>
          </w:tcPr>
          <w:p w14:paraId="295F1CC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0DF97B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5CCB513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hideMark/>
          </w:tcPr>
          <w:p w14:paraId="7EF89F9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hideMark/>
          </w:tcPr>
          <w:p w14:paraId="230F95E3" w14:textId="77777777" w:rsidR="00C033B5" w:rsidRPr="00746567" w:rsidRDefault="00C033B5" w:rsidP="00C033B5">
            <w:pPr>
              <w:rPr>
                <w:rFonts w:asciiTheme="majorBidi" w:hAnsiTheme="majorBidi" w:cstheme="majorBidi"/>
              </w:rPr>
            </w:pPr>
            <w:r w:rsidRPr="00746567">
              <w:rPr>
                <w:rFonts w:asciiTheme="majorBidi" w:hAnsiTheme="majorBidi" w:cstheme="majorBidi"/>
              </w:rPr>
              <w:t>(0.0128)</w:t>
            </w:r>
          </w:p>
        </w:tc>
        <w:tc>
          <w:tcPr>
            <w:tcW w:w="0" w:type="auto"/>
            <w:tcMar>
              <w:top w:w="0" w:type="dxa"/>
              <w:left w:w="115" w:type="dxa"/>
              <w:bottom w:w="0" w:type="dxa"/>
              <w:right w:w="115" w:type="dxa"/>
            </w:tcMar>
            <w:hideMark/>
          </w:tcPr>
          <w:p w14:paraId="27F5EF1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(0.0072)</w:t>
            </w:r>
          </w:p>
        </w:tc>
        <w:tc>
          <w:tcPr>
            <w:tcW w:w="0" w:type="auto"/>
            <w:tcMar>
              <w:top w:w="0" w:type="dxa"/>
              <w:left w:w="115" w:type="dxa"/>
              <w:bottom w:w="0" w:type="dxa"/>
              <w:right w:w="115" w:type="dxa"/>
            </w:tcMar>
            <w:hideMark/>
          </w:tcPr>
          <w:p w14:paraId="20E340F2" w14:textId="77777777" w:rsidR="00C033B5" w:rsidRPr="00746567" w:rsidRDefault="00C033B5" w:rsidP="00C033B5">
            <w:pPr>
              <w:rPr>
                <w:rFonts w:asciiTheme="majorBidi" w:hAnsiTheme="majorBidi" w:cstheme="majorBidi"/>
              </w:rPr>
            </w:pPr>
            <w:r w:rsidRPr="00746567">
              <w:rPr>
                <w:rFonts w:asciiTheme="majorBidi" w:hAnsiTheme="majorBidi" w:cstheme="majorBidi"/>
              </w:rPr>
              <w:t>(0.0112)</w:t>
            </w:r>
          </w:p>
        </w:tc>
      </w:tr>
      <w:tr w:rsidR="00C033B5" w:rsidRPr="00746567" w14:paraId="7B6120C0" w14:textId="77777777">
        <w:trPr>
          <w:trHeight w:val="20"/>
        </w:trPr>
        <w:tc>
          <w:tcPr>
            <w:tcW w:w="0" w:type="auto"/>
            <w:tcMar>
              <w:top w:w="0" w:type="dxa"/>
              <w:left w:w="115" w:type="dxa"/>
              <w:bottom w:w="0" w:type="dxa"/>
              <w:right w:w="115" w:type="dxa"/>
            </w:tcMar>
            <w:hideMark/>
          </w:tcPr>
          <w:p w14:paraId="1A567C54"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Govtbond</w:t>
            </w:r>
            <w:proofErr w:type="spellEnd"/>
          </w:p>
        </w:tc>
        <w:tc>
          <w:tcPr>
            <w:tcW w:w="0" w:type="auto"/>
            <w:tcMar>
              <w:top w:w="0" w:type="dxa"/>
              <w:left w:w="115" w:type="dxa"/>
              <w:bottom w:w="0" w:type="dxa"/>
              <w:right w:w="115" w:type="dxa"/>
            </w:tcMar>
            <w:hideMark/>
          </w:tcPr>
          <w:p w14:paraId="02EC67AE" w14:textId="77777777" w:rsidR="00C033B5" w:rsidRPr="00746567" w:rsidRDefault="00C033B5" w:rsidP="00C033B5">
            <w:pPr>
              <w:rPr>
                <w:rFonts w:asciiTheme="majorBidi" w:hAnsiTheme="majorBidi" w:cstheme="majorBidi"/>
              </w:rPr>
            </w:pPr>
            <w:r w:rsidRPr="00746567">
              <w:rPr>
                <w:rFonts w:asciiTheme="majorBidi" w:hAnsiTheme="majorBidi" w:cstheme="majorBidi"/>
              </w:rPr>
              <w:t>-0.2267***</w:t>
            </w:r>
          </w:p>
        </w:tc>
        <w:tc>
          <w:tcPr>
            <w:tcW w:w="0" w:type="auto"/>
            <w:tcMar>
              <w:top w:w="0" w:type="dxa"/>
              <w:left w:w="115" w:type="dxa"/>
              <w:bottom w:w="0" w:type="dxa"/>
              <w:right w:w="115" w:type="dxa"/>
            </w:tcMar>
            <w:hideMark/>
          </w:tcPr>
          <w:p w14:paraId="4252246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0.0066***</w:t>
            </w:r>
          </w:p>
        </w:tc>
        <w:tc>
          <w:tcPr>
            <w:tcW w:w="0" w:type="auto"/>
            <w:tcMar>
              <w:top w:w="0" w:type="dxa"/>
              <w:left w:w="115" w:type="dxa"/>
              <w:bottom w:w="0" w:type="dxa"/>
              <w:right w:w="115" w:type="dxa"/>
            </w:tcMar>
            <w:hideMark/>
          </w:tcPr>
          <w:p w14:paraId="644C3580" w14:textId="77777777" w:rsidR="00C033B5" w:rsidRPr="00746567" w:rsidRDefault="00C033B5" w:rsidP="00C033B5">
            <w:pPr>
              <w:rPr>
                <w:rFonts w:asciiTheme="majorBidi" w:hAnsiTheme="majorBidi" w:cstheme="majorBidi"/>
              </w:rPr>
            </w:pPr>
            <w:r w:rsidRPr="00746567">
              <w:rPr>
                <w:rFonts w:asciiTheme="majorBidi" w:hAnsiTheme="majorBidi" w:cstheme="majorBidi"/>
              </w:rPr>
              <w:t>-0.0849***</w:t>
            </w:r>
          </w:p>
        </w:tc>
        <w:tc>
          <w:tcPr>
            <w:tcW w:w="0" w:type="auto"/>
            <w:tcMar>
              <w:top w:w="0" w:type="dxa"/>
              <w:left w:w="115" w:type="dxa"/>
              <w:bottom w:w="0" w:type="dxa"/>
              <w:right w:w="115" w:type="dxa"/>
            </w:tcMar>
            <w:hideMark/>
          </w:tcPr>
          <w:p w14:paraId="5AAD606A" w14:textId="77777777" w:rsidR="00C033B5" w:rsidRPr="00746567" w:rsidRDefault="00C033B5" w:rsidP="00C033B5">
            <w:pPr>
              <w:rPr>
                <w:rFonts w:asciiTheme="majorBidi" w:hAnsiTheme="majorBidi" w:cstheme="majorBidi"/>
              </w:rPr>
            </w:pPr>
            <w:r w:rsidRPr="00746567">
              <w:rPr>
                <w:rFonts w:asciiTheme="majorBidi" w:hAnsiTheme="majorBidi" w:cstheme="majorBidi"/>
              </w:rPr>
              <w:t>0.1104***</w:t>
            </w:r>
          </w:p>
        </w:tc>
        <w:tc>
          <w:tcPr>
            <w:tcW w:w="0" w:type="auto"/>
            <w:tcMar>
              <w:top w:w="0" w:type="dxa"/>
              <w:left w:w="115" w:type="dxa"/>
              <w:bottom w:w="0" w:type="dxa"/>
              <w:right w:w="115" w:type="dxa"/>
            </w:tcMar>
            <w:hideMark/>
          </w:tcPr>
          <w:p w14:paraId="4858B872" w14:textId="77777777" w:rsidR="00C033B5" w:rsidRPr="00746567" w:rsidRDefault="00C033B5" w:rsidP="00C033B5">
            <w:pPr>
              <w:rPr>
                <w:rFonts w:asciiTheme="majorBidi" w:hAnsiTheme="majorBidi" w:cstheme="majorBidi"/>
              </w:rPr>
            </w:pPr>
            <w:r w:rsidRPr="00746567">
              <w:rPr>
                <w:rFonts w:asciiTheme="majorBidi" w:hAnsiTheme="majorBidi" w:cstheme="majorBidi"/>
              </w:rPr>
              <w:t>-0.0234***</w:t>
            </w:r>
          </w:p>
        </w:tc>
        <w:tc>
          <w:tcPr>
            <w:tcW w:w="0" w:type="auto"/>
            <w:tcMar>
              <w:top w:w="0" w:type="dxa"/>
              <w:left w:w="115" w:type="dxa"/>
              <w:bottom w:w="0" w:type="dxa"/>
              <w:right w:w="115" w:type="dxa"/>
            </w:tcMar>
            <w:hideMark/>
          </w:tcPr>
          <w:p w14:paraId="0EA8C383" w14:textId="77777777" w:rsidR="00C033B5" w:rsidRPr="00746567" w:rsidRDefault="00C033B5" w:rsidP="00C033B5">
            <w:pPr>
              <w:rPr>
                <w:rFonts w:asciiTheme="majorBidi" w:hAnsiTheme="majorBidi" w:cstheme="majorBidi"/>
              </w:rPr>
            </w:pPr>
            <w:r w:rsidRPr="00746567">
              <w:rPr>
                <w:rFonts w:asciiTheme="majorBidi" w:hAnsiTheme="majorBidi" w:cstheme="majorBidi"/>
              </w:rPr>
              <w:t>0.0804***</w:t>
            </w:r>
          </w:p>
        </w:tc>
      </w:tr>
      <w:tr w:rsidR="00C033B5" w:rsidRPr="00746567" w14:paraId="008807CD" w14:textId="77777777">
        <w:trPr>
          <w:trHeight w:val="20"/>
        </w:trPr>
        <w:tc>
          <w:tcPr>
            <w:tcW w:w="0" w:type="auto"/>
            <w:tcMar>
              <w:top w:w="0" w:type="dxa"/>
              <w:left w:w="115" w:type="dxa"/>
              <w:bottom w:w="0" w:type="dxa"/>
              <w:right w:w="115" w:type="dxa"/>
            </w:tcMar>
            <w:hideMark/>
          </w:tcPr>
          <w:p w14:paraId="58324D6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1CCF3DC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(0.0055)</w:t>
            </w:r>
          </w:p>
        </w:tc>
        <w:tc>
          <w:tcPr>
            <w:tcW w:w="0" w:type="auto"/>
            <w:tcMar>
              <w:top w:w="0" w:type="dxa"/>
              <w:left w:w="115" w:type="dxa"/>
              <w:bottom w:w="0" w:type="dxa"/>
              <w:right w:w="115" w:type="dxa"/>
            </w:tcMar>
            <w:hideMark/>
          </w:tcPr>
          <w:p w14:paraId="5582F12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1B6B80C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(0.0079)</w:t>
            </w:r>
          </w:p>
        </w:tc>
        <w:tc>
          <w:tcPr>
            <w:tcW w:w="0" w:type="auto"/>
            <w:tcMar>
              <w:top w:w="0" w:type="dxa"/>
              <w:left w:w="115" w:type="dxa"/>
              <w:bottom w:w="0" w:type="dxa"/>
              <w:right w:w="115" w:type="dxa"/>
            </w:tcMar>
            <w:hideMark/>
          </w:tcPr>
          <w:p w14:paraId="0637161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(0.0062)</w:t>
            </w:r>
          </w:p>
        </w:tc>
        <w:tc>
          <w:tcPr>
            <w:tcW w:w="0" w:type="auto"/>
            <w:tcMar>
              <w:top w:w="0" w:type="dxa"/>
              <w:left w:w="115" w:type="dxa"/>
              <w:bottom w:w="0" w:type="dxa"/>
              <w:right w:w="115" w:type="dxa"/>
            </w:tcMar>
            <w:hideMark/>
          </w:tcPr>
          <w:p w14:paraId="0A56A5F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(0.0076)</w:t>
            </w:r>
          </w:p>
        </w:tc>
        <w:tc>
          <w:tcPr>
            <w:tcW w:w="0" w:type="auto"/>
            <w:tcMar>
              <w:top w:w="0" w:type="dxa"/>
              <w:left w:w="115" w:type="dxa"/>
              <w:bottom w:w="0" w:type="dxa"/>
              <w:right w:w="115" w:type="dxa"/>
            </w:tcMar>
            <w:hideMark/>
          </w:tcPr>
          <w:p w14:paraId="39294D5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(0.0056)</w:t>
            </w:r>
          </w:p>
        </w:tc>
      </w:tr>
      <w:tr w:rsidR="00C033B5" w:rsidRPr="00746567" w14:paraId="766F6BBF" w14:textId="77777777">
        <w:trPr>
          <w:trHeight w:val="20"/>
        </w:trPr>
        <w:tc>
          <w:tcPr>
            <w:tcW w:w="0" w:type="auto"/>
            <w:tcMar>
              <w:top w:w="0" w:type="dxa"/>
              <w:left w:w="115" w:type="dxa"/>
              <w:bottom w:w="0" w:type="dxa"/>
              <w:right w:w="115" w:type="dxa"/>
            </w:tcMar>
            <w:hideMark/>
          </w:tcPr>
          <w:p w14:paraId="7DA0021C" w14:textId="77777777" w:rsidR="00C033B5" w:rsidRPr="00746567" w:rsidRDefault="00C033B5" w:rsidP="00C033B5">
            <w:pPr>
              <w:rPr>
                <w:rFonts w:asciiTheme="majorBidi" w:hAnsiTheme="majorBidi" w:cstheme="majorBidi"/>
              </w:rPr>
            </w:pPr>
            <w:r w:rsidRPr="00746567">
              <w:rPr>
                <w:rFonts w:asciiTheme="majorBidi" w:hAnsiTheme="majorBidi" w:cstheme="majorBidi"/>
              </w:rPr>
              <w:t>_cons</w:t>
            </w:r>
          </w:p>
        </w:tc>
        <w:tc>
          <w:tcPr>
            <w:tcW w:w="0" w:type="auto"/>
            <w:tcMar>
              <w:top w:w="0" w:type="dxa"/>
              <w:left w:w="115" w:type="dxa"/>
              <w:bottom w:w="0" w:type="dxa"/>
              <w:right w:w="115" w:type="dxa"/>
            </w:tcMar>
            <w:hideMark/>
          </w:tcPr>
          <w:p w14:paraId="7E7DE6AD" w14:textId="77777777" w:rsidR="00C033B5" w:rsidRPr="00746567" w:rsidRDefault="00C033B5" w:rsidP="00C033B5">
            <w:pPr>
              <w:rPr>
                <w:rFonts w:asciiTheme="majorBidi" w:hAnsiTheme="majorBidi" w:cstheme="majorBidi"/>
              </w:rPr>
            </w:pPr>
            <w:r w:rsidRPr="00746567">
              <w:rPr>
                <w:rFonts w:asciiTheme="majorBidi" w:hAnsiTheme="majorBidi" w:cstheme="majorBidi"/>
              </w:rPr>
              <w:t>0.1595***</w:t>
            </w:r>
          </w:p>
        </w:tc>
        <w:tc>
          <w:tcPr>
            <w:tcW w:w="0" w:type="auto"/>
            <w:tcMar>
              <w:top w:w="0" w:type="dxa"/>
              <w:left w:w="115" w:type="dxa"/>
              <w:bottom w:w="0" w:type="dxa"/>
              <w:right w:w="115" w:type="dxa"/>
            </w:tcMar>
            <w:hideMark/>
          </w:tcPr>
          <w:p w14:paraId="3F0785FD" w14:textId="77777777" w:rsidR="00C033B5" w:rsidRPr="00746567" w:rsidRDefault="00C033B5" w:rsidP="00C033B5">
            <w:pPr>
              <w:rPr>
                <w:rFonts w:asciiTheme="majorBidi" w:hAnsiTheme="majorBidi" w:cstheme="majorBidi"/>
              </w:rPr>
            </w:pPr>
            <w:r w:rsidRPr="00746567">
              <w:rPr>
                <w:rFonts w:asciiTheme="majorBidi" w:hAnsiTheme="majorBidi" w:cstheme="majorBidi"/>
              </w:rPr>
              <w:t>0.2091***</w:t>
            </w:r>
          </w:p>
        </w:tc>
        <w:tc>
          <w:tcPr>
            <w:tcW w:w="0" w:type="auto"/>
            <w:tcMar>
              <w:top w:w="0" w:type="dxa"/>
              <w:left w:w="115" w:type="dxa"/>
              <w:bottom w:w="0" w:type="dxa"/>
              <w:right w:w="115" w:type="dxa"/>
            </w:tcMar>
            <w:hideMark/>
          </w:tcPr>
          <w:p w14:paraId="1EAC2097"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C6B06FD"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0F7F25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03192364" w14:textId="77777777" w:rsidR="00C033B5" w:rsidRPr="00746567" w:rsidRDefault="00C033B5" w:rsidP="00C033B5">
            <w:pPr>
              <w:rPr>
                <w:rFonts w:asciiTheme="majorBidi" w:hAnsiTheme="majorBidi" w:cstheme="majorBidi"/>
              </w:rPr>
            </w:pPr>
          </w:p>
        </w:tc>
      </w:tr>
      <w:tr w:rsidR="00C033B5" w:rsidRPr="00746567" w14:paraId="78ACFA68" w14:textId="77777777">
        <w:trPr>
          <w:trHeight w:val="20"/>
        </w:trPr>
        <w:tc>
          <w:tcPr>
            <w:tcW w:w="0" w:type="auto"/>
            <w:tcMar>
              <w:top w:w="0" w:type="dxa"/>
              <w:left w:w="115" w:type="dxa"/>
              <w:bottom w:w="0" w:type="dxa"/>
              <w:right w:w="115" w:type="dxa"/>
            </w:tcMar>
            <w:hideMark/>
          </w:tcPr>
          <w:p w14:paraId="2B8575FA"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3A0BBE7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(0.0010)</w:t>
            </w:r>
          </w:p>
        </w:tc>
        <w:tc>
          <w:tcPr>
            <w:tcW w:w="0" w:type="auto"/>
            <w:tcMar>
              <w:top w:w="0" w:type="dxa"/>
              <w:left w:w="115" w:type="dxa"/>
              <w:bottom w:w="0" w:type="dxa"/>
              <w:right w:w="115" w:type="dxa"/>
            </w:tcMar>
            <w:hideMark/>
          </w:tcPr>
          <w:p w14:paraId="6F97332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(0.0010)</w:t>
            </w:r>
          </w:p>
        </w:tc>
        <w:tc>
          <w:tcPr>
            <w:tcW w:w="0" w:type="auto"/>
            <w:tcMar>
              <w:top w:w="0" w:type="dxa"/>
              <w:left w:w="115" w:type="dxa"/>
              <w:bottom w:w="0" w:type="dxa"/>
              <w:right w:w="115" w:type="dxa"/>
            </w:tcMar>
            <w:hideMark/>
          </w:tcPr>
          <w:p w14:paraId="16930B8F"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222F281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0620FA15"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3A26AC4E" w14:textId="77777777" w:rsidR="00C033B5" w:rsidRPr="00746567" w:rsidRDefault="00C033B5" w:rsidP="00C033B5">
            <w:pPr>
              <w:rPr>
                <w:rFonts w:asciiTheme="majorBidi" w:hAnsiTheme="majorBidi" w:cstheme="majorBidi"/>
              </w:rPr>
            </w:pPr>
          </w:p>
        </w:tc>
      </w:tr>
      <w:tr w:rsidR="00C033B5" w:rsidRPr="00746567" w14:paraId="72D2709E" w14:textId="77777777">
        <w:trPr>
          <w:trHeight w:val="20"/>
        </w:trPr>
        <w:tc>
          <w:tcPr>
            <w:tcW w:w="0" w:type="auto"/>
            <w:tcMar>
              <w:top w:w="0" w:type="dxa"/>
              <w:left w:w="115" w:type="dxa"/>
              <w:bottom w:w="0" w:type="dxa"/>
              <w:right w:w="115" w:type="dxa"/>
            </w:tcMar>
            <w:hideMark/>
          </w:tcPr>
          <w:p w14:paraId="1F0F7253" w14:textId="77777777" w:rsidR="00C033B5" w:rsidRPr="00746567" w:rsidRDefault="00C033B5" w:rsidP="00C033B5">
            <w:pPr>
              <w:rPr>
                <w:rFonts w:asciiTheme="majorBidi" w:hAnsiTheme="majorBidi" w:cstheme="majorBidi"/>
              </w:rPr>
            </w:pPr>
            <w:r w:rsidRPr="00746567">
              <w:rPr>
                <w:rFonts w:asciiTheme="majorBidi" w:hAnsiTheme="majorBidi" w:cstheme="majorBidi"/>
              </w:rPr>
              <w:lastRenderedPageBreak/>
              <w:t>Adjusted - r squared</w:t>
            </w:r>
          </w:p>
        </w:tc>
        <w:tc>
          <w:tcPr>
            <w:tcW w:w="0" w:type="auto"/>
            <w:tcMar>
              <w:top w:w="0" w:type="dxa"/>
              <w:left w:w="115" w:type="dxa"/>
              <w:bottom w:w="0" w:type="dxa"/>
              <w:right w:w="115" w:type="dxa"/>
            </w:tcMar>
            <w:hideMark/>
          </w:tcPr>
          <w:p w14:paraId="2EA1AE73" w14:textId="77777777" w:rsidR="00C033B5" w:rsidRPr="00746567" w:rsidRDefault="00C033B5" w:rsidP="00C033B5">
            <w:pPr>
              <w:rPr>
                <w:rFonts w:asciiTheme="majorBidi" w:hAnsiTheme="majorBidi" w:cstheme="majorBidi"/>
              </w:rPr>
            </w:pPr>
            <w:r w:rsidRPr="00746567">
              <w:rPr>
                <w:rFonts w:asciiTheme="majorBidi" w:hAnsiTheme="majorBidi" w:cstheme="majorBidi"/>
              </w:rPr>
              <w:t>0.7385</w:t>
            </w:r>
          </w:p>
        </w:tc>
        <w:tc>
          <w:tcPr>
            <w:tcW w:w="0" w:type="auto"/>
            <w:tcMar>
              <w:top w:w="0" w:type="dxa"/>
              <w:left w:w="115" w:type="dxa"/>
              <w:bottom w:w="0" w:type="dxa"/>
              <w:right w:w="115" w:type="dxa"/>
            </w:tcMar>
            <w:hideMark/>
          </w:tcPr>
          <w:p w14:paraId="0BAE3285" w14:textId="77777777" w:rsidR="00C033B5" w:rsidRPr="00746567" w:rsidRDefault="00C033B5" w:rsidP="00C033B5">
            <w:pPr>
              <w:rPr>
                <w:rFonts w:asciiTheme="majorBidi" w:hAnsiTheme="majorBidi" w:cstheme="majorBidi"/>
              </w:rPr>
            </w:pPr>
            <w:r w:rsidRPr="00746567">
              <w:rPr>
                <w:rFonts w:asciiTheme="majorBidi" w:hAnsiTheme="majorBidi" w:cstheme="majorBidi"/>
              </w:rPr>
              <w:t>0.4142</w:t>
            </w:r>
          </w:p>
        </w:tc>
        <w:tc>
          <w:tcPr>
            <w:tcW w:w="0" w:type="auto"/>
            <w:tcMar>
              <w:top w:w="0" w:type="dxa"/>
              <w:left w:w="115" w:type="dxa"/>
              <w:bottom w:w="0" w:type="dxa"/>
              <w:right w:w="115" w:type="dxa"/>
            </w:tcMar>
            <w:hideMark/>
          </w:tcPr>
          <w:p w14:paraId="34D4C965"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623F008E"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260531C3"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3052C814" w14:textId="77777777" w:rsidR="00C033B5" w:rsidRPr="00746567" w:rsidRDefault="00C033B5" w:rsidP="00C033B5">
            <w:pPr>
              <w:rPr>
                <w:rFonts w:asciiTheme="majorBidi" w:hAnsiTheme="majorBidi" w:cstheme="majorBidi"/>
              </w:rPr>
            </w:pPr>
          </w:p>
        </w:tc>
      </w:tr>
      <w:tr w:rsidR="00C033B5" w:rsidRPr="00746567" w14:paraId="58E245B6" w14:textId="77777777">
        <w:trPr>
          <w:trHeight w:val="20"/>
        </w:trPr>
        <w:tc>
          <w:tcPr>
            <w:tcW w:w="0" w:type="auto"/>
            <w:tcBorders>
              <w:bottom w:val="single" w:sz="4" w:space="0" w:color="000000"/>
            </w:tcBorders>
            <w:tcMar>
              <w:top w:w="0" w:type="dxa"/>
              <w:left w:w="115" w:type="dxa"/>
              <w:bottom w:w="0" w:type="dxa"/>
              <w:right w:w="115" w:type="dxa"/>
            </w:tcMar>
            <w:hideMark/>
          </w:tcPr>
          <w:p w14:paraId="0E3756EF" w14:textId="77777777" w:rsidR="00C033B5" w:rsidRPr="00746567" w:rsidRDefault="00C033B5" w:rsidP="00C033B5">
            <w:pPr>
              <w:rPr>
                <w:rFonts w:asciiTheme="majorBidi" w:hAnsiTheme="majorBidi" w:cstheme="majorBidi"/>
              </w:rPr>
            </w:pPr>
            <w:r w:rsidRPr="00746567">
              <w:rPr>
                <w:rFonts w:asciiTheme="majorBidi" w:hAnsiTheme="majorBidi" w:cstheme="majorBidi"/>
              </w:rPr>
              <w:t>N</w:t>
            </w:r>
          </w:p>
        </w:tc>
        <w:tc>
          <w:tcPr>
            <w:tcW w:w="0" w:type="auto"/>
            <w:tcBorders>
              <w:bottom w:val="single" w:sz="4" w:space="0" w:color="000000"/>
            </w:tcBorders>
            <w:tcMar>
              <w:top w:w="0" w:type="dxa"/>
              <w:left w:w="115" w:type="dxa"/>
              <w:bottom w:w="0" w:type="dxa"/>
              <w:right w:w="115" w:type="dxa"/>
            </w:tcMar>
            <w:hideMark/>
          </w:tcPr>
          <w:p w14:paraId="7C0EDA46" w14:textId="77777777" w:rsidR="00C033B5" w:rsidRPr="00746567" w:rsidRDefault="00C033B5" w:rsidP="00C033B5">
            <w:pPr>
              <w:rPr>
                <w:rFonts w:asciiTheme="majorBidi" w:hAnsiTheme="majorBidi" w:cstheme="majorBidi"/>
              </w:rPr>
            </w:pPr>
            <w:r w:rsidRPr="00746567">
              <w:rPr>
                <w:rFonts w:asciiTheme="majorBidi" w:hAnsiTheme="majorBidi" w:cstheme="majorBidi"/>
              </w:rPr>
              <w:t>1,452,900</w:t>
            </w:r>
          </w:p>
        </w:tc>
        <w:tc>
          <w:tcPr>
            <w:tcW w:w="0" w:type="auto"/>
            <w:tcBorders>
              <w:bottom w:val="single" w:sz="4" w:space="0" w:color="000000"/>
            </w:tcBorders>
            <w:tcMar>
              <w:top w:w="0" w:type="dxa"/>
              <w:left w:w="115" w:type="dxa"/>
              <w:bottom w:w="0" w:type="dxa"/>
              <w:right w:w="115" w:type="dxa"/>
            </w:tcMar>
            <w:hideMark/>
          </w:tcPr>
          <w:p w14:paraId="60D8AC42" w14:textId="77777777" w:rsidR="00C033B5" w:rsidRPr="00746567" w:rsidRDefault="00C033B5" w:rsidP="00C033B5">
            <w:pPr>
              <w:rPr>
                <w:rFonts w:asciiTheme="majorBidi" w:hAnsiTheme="majorBidi" w:cstheme="majorBidi"/>
              </w:rPr>
            </w:pPr>
            <w:r w:rsidRPr="00746567">
              <w:rPr>
                <w:rFonts w:asciiTheme="majorBidi" w:hAnsiTheme="majorBidi" w:cstheme="majorBidi"/>
              </w:rPr>
              <w:t>530,434</w:t>
            </w:r>
          </w:p>
        </w:tc>
        <w:tc>
          <w:tcPr>
            <w:tcW w:w="0" w:type="auto"/>
            <w:tcBorders>
              <w:bottom w:val="single" w:sz="4" w:space="0" w:color="000000"/>
            </w:tcBorders>
            <w:tcMar>
              <w:top w:w="0" w:type="dxa"/>
              <w:left w:w="115" w:type="dxa"/>
              <w:bottom w:w="0" w:type="dxa"/>
              <w:right w:w="115" w:type="dxa"/>
            </w:tcMar>
            <w:hideMark/>
          </w:tcPr>
          <w:p w14:paraId="7355517D" w14:textId="77777777" w:rsidR="00C033B5" w:rsidRPr="00746567" w:rsidRDefault="00C033B5" w:rsidP="00C033B5">
            <w:pPr>
              <w:rPr>
                <w:rFonts w:asciiTheme="majorBidi" w:hAnsiTheme="majorBidi" w:cstheme="majorBidi"/>
              </w:rPr>
            </w:pPr>
            <w:r w:rsidRPr="00746567">
              <w:rPr>
                <w:rFonts w:asciiTheme="majorBidi" w:hAnsiTheme="majorBidi" w:cstheme="majorBidi"/>
              </w:rPr>
              <w:t>1,404,090</w:t>
            </w:r>
          </w:p>
        </w:tc>
        <w:tc>
          <w:tcPr>
            <w:tcW w:w="0" w:type="auto"/>
            <w:tcBorders>
              <w:bottom w:val="single" w:sz="4" w:space="0" w:color="000000"/>
            </w:tcBorders>
            <w:tcMar>
              <w:top w:w="0" w:type="dxa"/>
              <w:left w:w="115" w:type="dxa"/>
              <w:bottom w:w="0" w:type="dxa"/>
              <w:right w:w="115" w:type="dxa"/>
            </w:tcMar>
            <w:hideMark/>
          </w:tcPr>
          <w:p w14:paraId="2B242FBB" w14:textId="77777777" w:rsidR="00C033B5" w:rsidRPr="00746567" w:rsidRDefault="00C033B5" w:rsidP="00C033B5">
            <w:pPr>
              <w:rPr>
                <w:rFonts w:asciiTheme="majorBidi" w:hAnsiTheme="majorBidi" w:cstheme="majorBidi"/>
              </w:rPr>
            </w:pPr>
            <w:r w:rsidRPr="00746567">
              <w:rPr>
                <w:rFonts w:asciiTheme="majorBidi" w:hAnsiTheme="majorBidi" w:cstheme="majorBidi"/>
              </w:rPr>
              <w:t>213,088</w:t>
            </w:r>
          </w:p>
        </w:tc>
        <w:tc>
          <w:tcPr>
            <w:tcW w:w="0" w:type="auto"/>
            <w:tcBorders>
              <w:bottom w:val="single" w:sz="4" w:space="0" w:color="000000"/>
            </w:tcBorders>
            <w:tcMar>
              <w:top w:w="0" w:type="dxa"/>
              <w:left w:w="115" w:type="dxa"/>
              <w:bottom w:w="0" w:type="dxa"/>
              <w:right w:w="115" w:type="dxa"/>
            </w:tcMar>
            <w:hideMark/>
          </w:tcPr>
          <w:p w14:paraId="2647F493" w14:textId="77777777" w:rsidR="00C033B5" w:rsidRPr="00746567" w:rsidRDefault="00C033B5" w:rsidP="00C033B5">
            <w:pPr>
              <w:rPr>
                <w:rFonts w:asciiTheme="majorBidi" w:hAnsiTheme="majorBidi" w:cstheme="majorBidi"/>
              </w:rPr>
            </w:pPr>
            <w:r w:rsidRPr="00746567">
              <w:rPr>
                <w:rFonts w:asciiTheme="majorBidi" w:hAnsiTheme="majorBidi" w:cstheme="majorBidi"/>
              </w:rPr>
              <w:t>1,404,090</w:t>
            </w:r>
          </w:p>
        </w:tc>
        <w:tc>
          <w:tcPr>
            <w:tcW w:w="0" w:type="auto"/>
            <w:tcBorders>
              <w:bottom w:val="single" w:sz="4" w:space="0" w:color="000000"/>
            </w:tcBorders>
            <w:tcMar>
              <w:top w:w="0" w:type="dxa"/>
              <w:left w:w="115" w:type="dxa"/>
              <w:bottom w:w="0" w:type="dxa"/>
              <w:right w:w="115" w:type="dxa"/>
            </w:tcMar>
            <w:hideMark/>
          </w:tcPr>
          <w:p w14:paraId="317E6480" w14:textId="77777777" w:rsidR="00C033B5" w:rsidRPr="00746567" w:rsidRDefault="00C033B5" w:rsidP="00C033B5">
            <w:pPr>
              <w:rPr>
                <w:rFonts w:asciiTheme="majorBidi" w:hAnsiTheme="majorBidi" w:cstheme="majorBidi"/>
              </w:rPr>
            </w:pPr>
            <w:r w:rsidRPr="00746567">
              <w:rPr>
                <w:rFonts w:asciiTheme="majorBidi" w:hAnsiTheme="majorBidi" w:cstheme="majorBidi"/>
              </w:rPr>
              <w:t>213,088</w:t>
            </w:r>
          </w:p>
        </w:tc>
      </w:tr>
      <w:tr w:rsidR="00C033B5" w:rsidRPr="00746567" w14:paraId="3E935D34" w14:textId="77777777">
        <w:trPr>
          <w:trHeight w:val="20"/>
        </w:trPr>
        <w:tc>
          <w:tcPr>
            <w:tcW w:w="0" w:type="auto"/>
            <w:gridSpan w:val="7"/>
            <w:tcBorders>
              <w:top w:val="single" w:sz="4" w:space="0" w:color="000000"/>
            </w:tcBorders>
            <w:tcMar>
              <w:top w:w="0" w:type="dxa"/>
              <w:left w:w="115" w:type="dxa"/>
              <w:bottom w:w="0" w:type="dxa"/>
              <w:right w:w="115" w:type="dxa"/>
            </w:tcMar>
            <w:hideMark/>
          </w:tcPr>
          <w:p w14:paraId="7B992E55" w14:textId="77777777" w:rsidR="00C033B5" w:rsidRPr="00746567" w:rsidRDefault="00C033B5" w:rsidP="00C033B5">
            <w:pPr>
              <w:rPr>
                <w:rFonts w:asciiTheme="majorBidi" w:hAnsiTheme="majorBidi" w:cstheme="majorBidi"/>
              </w:rPr>
            </w:pPr>
            <w:r w:rsidRPr="00746567">
              <w:rPr>
                <w:rFonts w:asciiTheme="majorBidi" w:hAnsiTheme="majorBidi" w:cstheme="majorBidi"/>
                <w:i/>
                <w:iCs/>
              </w:rPr>
              <w:t>Note: The table reports the results of OLS, regression analysis for the impact of skin in the game on interest rates in Panel A respectively. Panel B and C reports the margin coefficients of Logit and Fractional regression analysis for the impact of skin in the game on default likelihood and severity of default respectively. Specification (1), (3) and (5) in Panel A, B and C reports the results for claims respectively. Specification (2), (4) and (6) in Panel A, B, and C reports the results for notes respectively. All specifications of the model employ robust standard errors in parentheses. *, **, *** indicate significance at 10%, 5%, and 1% levels respectively.</w:t>
            </w:r>
          </w:p>
        </w:tc>
      </w:tr>
    </w:tbl>
    <w:p w14:paraId="190DD1F6" w14:textId="77777777" w:rsidR="00E53478" w:rsidRDefault="00E53478" w:rsidP="00C033B5"/>
    <w:p w14:paraId="366B6424" w14:textId="55542B4B" w:rsidR="00C033B5" w:rsidRPr="00746567" w:rsidRDefault="00C033B5" w:rsidP="00746567">
      <w:pPr>
        <w:jc w:val="center"/>
        <w:rPr>
          <w:rFonts w:asciiTheme="majorBidi" w:hAnsiTheme="majorBidi" w:cstheme="majorBidi"/>
        </w:rPr>
      </w:pPr>
      <w:r w:rsidRPr="00746567">
        <w:rPr>
          <w:rFonts w:asciiTheme="majorBidi" w:hAnsiTheme="majorBidi" w:cstheme="majorBidi"/>
          <w:b/>
          <w:bCs/>
        </w:rPr>
        <w:t>Appendix Table A11</w:t>
      </w:r>
      <w:r w:rsidRPr="00746567">
        <w:rPr>
          <w:rFonts w:asciiTheme="majorBidi" w:hAnsiTheme="majorBidi" w:cstheme="majorBidi"/>
        </w:rPr>
        <w:t>: Robustness Tests – Exclusion of old loans</w:t>
      </w:r>
    </w:p>
    <w:tbl>
      <w:tblPr>
        <w:tblW w:w="0" w:type="auto"/>
        <w:tblCellMar>
          <w:top w:w="15" w:type="dxa"/>
          <w:left w:w="15" w:type="dxa"/>
          <w:bottom w:w="15" w:type="dxa"/>
          <w:right w:w="15" w:type="dxa"/>
        </w:tblCellMar>
        <w:tblLook w:val="04A0" w:firstRow="1" w:lastRow="0" w:firstColumn="1" w:lastColumn="0" w:noHBand="0" w:noVBand="1"/>
      </w:tblPr>
      <w:tblGrid>
        <w:gridCol w:w="1545"/>
        <w:gridCol w:w="1238"/>
        <w:gridCol w:w="1238"/>
        <w:gridCol w:w="1291"/>
        <w:gridCol w:w="1238"/>
        <w:gridCol w:w="1238"/>
        <w:gridCol w:w="1238"/>
      </w:tblGrid>
      <w:tr w:rsidR="00C033B5" w:rsidRPr="00746567" w14:paraId="68C0B74B" w14:textId="77777777">
        <w:trPr>
          <w:trHeight w:val="20"/>
        </w:trPr>
        <w:tc>
          <w:tcPr>
            <w:tcW w:w="0" w:type="auto"/>
            <w:tcBorders>
              <w:top w:val="single" w:sz="4" w:space="0" w:color="000000"/>
            </w:tcBorders>
            <w:tcMar>
              <w:top w:w="0" w:type="dxa"/>
              <w:left w:w="115" w:type="dxa"/>
              <w:bottom w:w="0" w:type="dxa"/>
              <w:right w:w="115" w:type="dxa"/>
            </w:tcMar>
            <w:vAlign w:val="center"/>
            <w:hideMark/>
          </w:tcPr>
          <w:p w14:paraId="50ED8129"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Variables</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4280D1B1"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PANEL A</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62F95E4C" w14:textId="77777777" w:rsidR="00C033B5" w:rsidRPr="00746567"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hideMark/>
          </w:tcPr>
          <w:p w14:paraId="13A37223"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PANEL B</w:t>
            </w:r>
          </w:p>
        </w:tc>
        <w:tc>
          <w:tcPr>
            <w:tcW w:w="0" w:type="auto"/>
            <w:tcBorders>
              <w:top w:val="single" w:sz="4" w:space="0" w:color="000000"/>
              <w:bottom w:val="single" w:sz="4" w:space="0" w:color="000000"/>
            </w:tcBorders>
            <w:tcMar>
              <w:top w:w="0" w:type="dxa"/>
              <w:left w:w="115" w:type="dxa"/>
              <w:bottom w:w="0" w:type="dxa"/>
              <w:right w:w="115" w:type="dxa"/>
            </w:tcMar>
            <w:hideMark/>
          </w:tcPr>
          <w:p w14:paraId="005E6B1B" w14:textId="77777777" w:rsidR="00C033B5" w:rsidRPr="00746567"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hideMark/>
          </w:tcPr>
          <w:p w14:paraId="413F9BBD"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PANEL C</w:t>
            </w:r>
          </w:p>
        </w:tc>
        <w:tc>
          <w:tcPr>
            <w:tcW w:w="0" w:type="auto"/>
            <w:tcBorders>
              <w:top w:val="single" w:sz="4" w:space="0" w:color="000000"/>
              <w:bottom w:val="single" w:sz="4" w:space="0" w:color="000000"/>
            </w:tcBorders>
            <w:tcMar>
              <w:top w:w="0" w:type="dxa"/>
              <w:left w:w="115" w:type="dxa"/>
              <w:bottom w:w="0" w:type="dxa"/>
              <w:right w:w="115" w:type="dxa"/>
            </w:tcMar>
            <w:hideMark/>
          </w:tcPr>
          <w:p w14:paraId="40466C97" w14:textId="77777777" w:rsidR="00C033B5" w:rsidRPr="00746567" w:rsidRDefault="00C033B5" w:rsidP="00C033B5">
            <w:pPr>
              <w:rPr>
                <w:rFonts w:asciiTheme="majorBidi" w:hAnsiTheme="majorBidi" w:cstheme="majorBidi"/>
              </w:rPr>
            </w:pPr>
          </w:p>
        </w:tc>
      </w:tr>
      <w:tr w:rsidR="00C033B5" w:rsidRPr="00746567" w14:paraId="41796753" w14:textId="77777777">
        <w:trPr>
          <w:trHeight w:val="20"/>
        </w:trPr>
        <w:tc>
          <w:tcPr>
            <w:tcW w:w="0" w:type="auto"/>
            <w:tcBorders>
              <w:bottom w:val="single" w:sz="4" w:space="0" w:color="000000"/>
            </w:tcBorders>
            <w:tcMar>
              <w:top w:w="0" w:type="dxa"/>
              <w:left w:w="115" w:type="dxa"/>
              <w:bottom w:w="0" w:type="dxa"/>
              <w:right w:w="115" w:type="dxa"/>
            </w:tcMar>
            <w:vAlign w:val="center"/>
            <w:hideMark/>
          </w:tcPr>
          <w:p w14:paraId="44449B4D" w14:textId="77777777" w:rsidR="00C033B5" w:rsidRPr="00746567"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1706B7C3"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1)</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77C45EB2"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2)</w:t>
            </w:r>
          </w:p>
        </w:tc>
        <w:tc>
          <w:tcPr>
            <w:tcW w:w="0" w:type="auto"/>
            <w:tcBorders>
              <w:top w:val="single" w:sz="4" w:space="0" w:color="000000"/>
              <w:bottom w:val="single" w:sz="4" w:space="0" w:color="000000"/>
            </w:tcBorders>
            <w:tcMar>
              <w:top w:w="0" w:type="dxa"/>
              <w:left w:w="115" w:type="dxa"/>
              <w:bottom w:w="0" w:type="dxa"/>
              <w:right w:w="115" w:type="dxa"/>
            </w:tcMar>
            <w:hideMark/>
          </w:tcPr>
          <w:p w14:paraId="4371CEF8"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3)</w:t>
            </w:r>
          </w:p>
        </w:tc>
        <w:tc>
          <w:tcPr>
            <w:tcW w:w="0" w:type="auto"/>
            <w:tcBorders>
              <w:top w:val="single" w:sz="4" w:space="0" w:color="000000"/>
              <w:bottom w:val="single" w:sz="4" w:space="0" w:color="000000"/>
            </w:tcBorders>
            <w:tcMar>
              <w:top w:w="0" w:type="dxa"/>
              <w:left w:w="115" w:type="dxa"/>
              <w:bottom w:w="0" w:type="dxa"/>
              <w:right w:w="115" w:type="dxa"/>
            </w:tcMar>
            <w:hideMark/>
          </w:tcPr>
          <w:p w14:paraId="001DE720"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4)</w:t>
            </w:r>
          </w:p>
        </w:tc>
        <w:tc>
          <w:tcPr>
            <w:tcW w:w="0" w:type="auto"/>
            <w:tcBorders>
              <w:top w:val="single" w:sz="4" w:space="0" w:color="000000"/>
              <w:bottom w:val="single" w:sz="4" w:space="0" w:color="000000"/>
            </w:tcBorders>
            <w:tcMar>
              <w:top w:w="0" w:type="dxa"/>
              <w:left w:w="115" w:type="dxa"/>
              <w:bottom w:w="0" w:type="dxa"/>
              <w:right w:w="115" w:type="dxa"/>
            </w:tcMar>
            <w:hideMark/>
          </w:tcPr>
          <w:p w14:paraId="163860BD"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5)</w:t>
            </w:r>
          </w:p>
        </w:tc>
        <w:tc>
          <w:tcPr>
            <w:tcW w:w="0" w:type="auto"/>
            <w:tcBorders>
              <w:top w:val="single" w:sz="4" w:space="0" w:color="000000"/>
              <w:bottom w:val="single" w:sz="4" w:space="0" w:color="000000"/>
            </w:tcBorders>
            <w:tcMar>
              <w:top w:w="0" w:type="dxa"/>
              <w:left w:w="115" w:type="dxa"/>
              <w:bottom w:w="0" w:type="dxa"/>
              <w:right w:w="115" w:type="dxa"/>
            </w:tcMar>
            <w:hideMark/>
          </w:tcPr>
          <w:p w14:paraId="0BE3E94A"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6)</w:t>
            </w:r>
          </w:p>
        </w:tc>
      </w:tr>
      <w:tr w:rsidR="00C033B5" w:rsidRPr="00746567" w14:paraId="16355782" w14:textId="77777777">
        <w:trPr>
          <w:trHeight w:val="20"/>
        </w:trPr>
        <w:tc>
          <w:tcPr>
            <w:tcW w:w="0" w:type="auto"/>
            <w:tcBorders>
              <w:top w:val="single" w:sz="4" w:space="0" w:color="000000"/>
            </w:tcBorders>
            <w:tcMar>
              <w:top w:w="0" w:type="dxa"/>
              <w:left w:w="115" w:type="dxa"/>
              <w:bottom w:w="0" w:type="dxa"/>
              <w:right w:w="115" w:type="dxa"/>
            </w:tcMar>
            <w:vAlign w:val="center"/>
            <w:hideMark/>
          </w:tcPr>
          <w:p w14:paraId="697DA3F6" w14:textId="77777777" w:rsidR="00C033B5" w:rsidRPr="00746567" w:rsidRDefault="00C033B5" w:rsidP="00C033B5">
            <w:pPr>
              <w:rPr>
                <w:rFonts w:asciiTheme="majorBidi" w:hAnsiTheme="majorBidi" w:cstheme="majorBidi"/>
              </w:rPr>
            </w:pPr>
            <w:r w:rsidRPr="00746567">
              <w:rPr>
                <w:rFonts w:asciiTheme="majorBidi" w:hAnsiTheme="majorBidi" w:cstheme="majorBidi"/>
              </w:rPr>
              <w:t>SITG</w:t>
            </w:r>
          </w:p>
        </w:tc>
        <w:tc>
          <w:tcPr>
            <w:tcW w:w="0" w:type="auto"/>
            <w:tcBorders>
              <w:top w:val="single" w:sz="4" w:space="0" w:color="000000"/>
            </w:tcBorders>
            <w:tcMar>
              <w:top w:w="0" w:type="dxa"/>
              <w:left w:w="115" w:type="dxa"/>
              <w:bottom w:w="0" w:type="dxa"/>
              <w:right w:w="115" w:type="dxa"/>
            </w:tcMar>
            <w:vAlign w:val="center"/>
            <w:hideMark/>
          </w:tcPr>
          <w:p w14:paraId="14080B5B" w14:textId="77777777" w:rsidR="00C033B5" w:rsidRPr="00746567" w:rsidRDefault="00C033B5" w:rsidP="00C033B5">
            <w:pPr>
              <w:rPr>
                <w:rFonts w:asciiTheme="majorBidi" w:hAnsiTheme="majorBidi" w:cstheme="majorBidi"/>
              </w:rPr>
            </w:pPr>
            <w:r w:rsidRPr="00746567">
              <w:rPr>
                <w:rFonts w:asciiTheme="majorBidi" w:hAnsiTheme="majorBidi" w:cstheme="majorBidi"/>
              </w:rPr>
              <w:t>-0.0789***</w:t>
            </w:r>
          </w:p>
        </w:tc>
        <w:tc>
          <w:tcPr>
            <w:tcW w:w="0" w:type="auto"/>
            <w:tcBorders>
              <w:top w:val="single" w:sz="4" w:space="0" w:color="000000"/>
            </w:tcBorders>
            <w:tcMar>
              <w:top w:w="0" w:type="dxa"/>
              <w:left w:w="115" w:type="dxa"/>
              <w:bottom w:w="0" w:type="dxa"/>
              <w:right w:w="115" w:type="dxa"/>
            </w:tcMar>
            <w:vAlign w:val="center"/>
            <w:hideMark/>
          </w:tcPr>
          <w:p w14:paraId="13A8669F" w14:textId="77777777" w:rsidR="00C033B5" w:rsidRPr="00746567" w:rsidRDefault="00C033B5" w:rsidP="00C033B5">
            <w:pPr>
              <w:rPr>
                <w:rFonts w:asciiTheme="majorBidi" w:hAnsiTheme="majorBidi" w:cstheme="majorBidi"/>
              </w:rPr>
            </w:pPr>
            <w:r w:rsidRPr="00746567">
              <w:rPr>
                <w:rFonts w:asciiTheme="majorBidi" w:hAnsiTheme="majorBidi" w:cstheme="majorBidi"/>
              </w:rPr>
              <w:t>-0.5771***</w:t>
            </w:r>
          </w:p>
        </w:tc>
        <w:tc>
          <w:tcPr>
            <w:tcW w:w="0" w:type="auto"/>
            <w:tcBorders>
              <w:top w:val="single" w:sz="4" w:space="0" w:color="000000"/>
            </w:tcBorders>
            <w:tcMar>
              <w:top w:w="0" w:type="dxa"/>
              <w:left w:w="115" w:type="dxa"/>
              <w:bottom w:w="0" w:type="dxa"/>
              <w:right w:w="115" w:type="dxa"/>
            </w:tcMar>
            <w:hideMark/>
          </w:tcPr>
          <w:p w14:paraId="3E759CF5" w14:textId="77777777" w:rsidR="00C033B5" w:rsidRPr="00746567" w:rsidRDefault="00C033B5" w:rsidP="00C033B5">
            <w:pPr>
              <w:rPr>
                <w:rFonts w:asciiTheme="majorBidi" w:hAnsiTheme="majorBidi" w:cstheme="majorBidi"/>
              </w:rPr>
            </w:pPr>
            <w:r w:rsidRPr="00746567">
              <w:rPr>
                <w:rFonts w:asciiTheme="majorBidi" w:hAnsiTheme="majorBidi" w:cstheme="majorBidi"/>
              </w:rPr>
              <w:t>-0.0202***</w:t>
            </w:r>
          </w:p>
        </w:tc>
        <w:tc>
          <w:tcPr>
            <w:tcW w:w="0" w:type="auto"/>
            <w:tcBorders>
              <w:top w:val="single" w:sz="4" w:space="0" w:color="000000"/>
            </w:tcBorders>
            <w:tcMar>
              <w:top w:w="0" w:type="dxa"/>
              <w:left w:w="115" w:type="dxa"/>
              <w:bottom w:w="0" w:type="dxa"/>
              <w:right w:w="115" w:type="dxa"/>
            </w:tcMar>
            <w:hideMark/>
          </w:tcPr>
          <w:p w14:paraId="41132983" w14:textId="77777777" w:rsidR="00C033B5" w:rsidRPr="00746567" w:rsidRDefault="00C033B5" w:rsidP="00C033B5">
            <w:pPr>
              <w:rPr>
                <w:rFonts w:asciiTheme="majorBidi" w:hAnsiTheme="majorBidi" w:cstheme="majorBidi"/>
              </w:rPr>
            </w:pPr>
            <w:r w:rsidRPr="00746567">
              <w:rPr>
                <w:rFonts w:asciiTheme="majorBidi" w:hAnsiTheme="majorBidi" w:cstheme="majorBidi"/>
              </w:rPr>
              <w:t>-1.3609***</w:t>
            </w:r>
          </w:p>
        </w:tc>
        <w:tc>
          <w:tcPr>
            <w:tcW w:w="0" w:type="auto"/>
            <w:tcBorders>
              <w:top w:val="single" w:sz="4" w:space="0" w:color="000000"/>
            </w:tcBorders>
            <w:tcMar>
              <w:top w:w="0" w:type="dxa"/>
              <w:left w:w="115" w:type="dxa"/>
              <w:bottom w:w="0" w:type="dxa"/>
              <w:right w:w="115" w:type="dxa"/>
            </w:tcMar>
            <w:hideMark/>
          </w:tcPr>
          <w:p w14:paraId="172C5D8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-0.0053**</w:t>
            </w:r>
          </w:p>
        </w:tc>
        <w:tc>
          <w:tcPr>
            <w:tcW w:w="0" w:type="auto"/>
            <w:tcBorders>
              <w:top w:val="single" w:sz="4" w:space="0" w:color="000000"/>
            </w:tcBorders>
            <w:tcMar>
              <w:top w:w="0" w:type="dxa"/>
              <w:left w:w="115" w:type="dxa"/>
              <w:bottom w:w="0" w:type="dxa"/>
              <w:right w:w="115" w:type="dxa"/>
            </w:tcMar>
            <w:hideMark/>
          </w:tcPr>
          <w:p w14:paraId="1C0C12AE" w14:textId="77777777" w:rsidR="00C033B5" w:rsidRPr="00746567" w:rsidRDefault="00C033B5" w:rsidP="00C033B5">
            <w:pPr>
              <w:rPr>
                <w:rFonts w:asciiTheme="majorBidi" w:hAnsiTheme="majorBidi" w:cstheme="majorBidi"/>
              </w:rPr>
            </w:pPr>
            <w:r w:rsidRPr="00746567">
              <w:rPr>
                <w:rFonts w:asciiTheme="majorBidi" w:hAnsiTheme="majorBidi" w:cstheme="majorBidi"/>
              </w:rPr>
              <w:t>-0.5997***</w:t>
            </w:r>
          </w:p>
        </w:tc>
      </w:tr>
      <w:tr w:rsidR="00C033B5" w:rsidRPr="00746567" w14:paraId="4B0A5DDE" w14:textId="77777777">
        <w:trPr>
          <w:trHeight w:val="20"/>
        </w:trPr>
        <w:tc>
          <w:tcPr>
            <w:tcW w:w="0" w:type="auto"/>
            <w:tcMar>
              <w:top w:w="0" w:type="dxa"/>
              <w:left w:w="115" w:type="dxa"/>
              <w:bottom w:w="0" w:type="dxa"/>
              <w:right w:w="115" w:type="dxa"/>
            </w:tcMar>
            <w:vAlign w:val="center"/>
            <w:hideMark/>
          </w:tcPr>
          <w:p w14:paraId="176AD5D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89A7B1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(0.0042)</w:t>
            </w:r>
          </w:p>
        </w:tc>
        <w:tc>
          <w:tcPr>
            <w:tcW w:w="0" w:type="auto"/>
            <w:tcMar>
              <w:top w:w="0" w:type="dxa"/>
              <w:left w:w="115" w:type="dxa"/>
              <w:bottom w:w="0" w:type="dxa"/>
              <w:right w:w="115" w:type="dxa"/>
            </w:tcMar>
            <w:vAlign w:val="center"/>
            <w:hideMark/>
          </w:tcPr>
          <w:p w14:paraId="5971D17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(0.0061)</w:t>
            </w:r>
          </w:p>
        </w:tc>
        <w:tc>
          <w:tcPr>
            <w:tcW w:w="0" w:type="auto"/>
            <w:tcMar>
              <w:top w:w="0" w:type="dxa"/>
              <w:left w:w="115" w:type="dxa"/>
              <w:bottom w:w="0" w:type="dxa"/>
              <w:right w:w="115" w:type="dxa"/>
            </w:tcMar>
            <w:hideMark/>
          </w:tcPr>
          <w:p w14:paraId="7E7E8D0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(0.0050)</w:t>
            </w:r>
          </w:p>
        </w:tc>
        <w:tc>
          <w:tcPr>
            <w:tcW w:w="0" w:type="auto"/>
            <w:tcMar>
              <w:top w:w="0" w:type="dxa"/>
              <w:left w:w="115" w:type="dxa"/>
              <w:bottom w:w="0" w:type="dxa"/>
              <w:right w:w="115" w:type="dxa"/>
            </w:tcMar>
            <w:hideMark/>
          </w:tcPr>
          <w:p w14:paraId="57F5904C" w14:textId="77777777" w:rsidR="00C033B5" w:rsidRPr="00746567" w:rsidRDefault="00C033B5" w:rsidP="00C033B5">
            <w:pPr>
              <w:rPr>
                <w:rFonts w:asciiTheme="majorBidi" w:hAnsiTheme="majorBidi" w:cstheme="majorBidi"/>
              </w:rPr>
            </w:pPr>
            <w:r w:rsidRPr="00746567">
              <w:rPr>
                <w:rFonts w:asciiTheme="majorBidi" w:hAnsiTheme="majorBidi" w:cstheme="majorBidi"/>
              </w:rPr>
              <w:t>(0.1423)</w:t>
            </w:r>
          </w:p>
        </w:tc>
        <w:tc>
          <w:tcPr>
            <w:tcW w:w="0" w:type="auto"/>
            <w:tcMar>
              <w:top w:w="0" w:type="dxa"/>
              <w:left w:w="115" w:type="dxa"/>
              <w:bottom w:w="0" w:type="dxa"/>
              <w:right w:w="115" w:type="dxa"/>
            </w:tcMar>
            <w:hideMark/>
          </w:tcPr>
          <w:p w14:paraId="02ADA18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(0.0028)</w:t>
            </w:r>
          </w:p>
        </w:tc>
        <w:tc>
          <w:tcPr>
            <w:tcW w:w="0" w:type="auto"/>
            <w:tcMar>
              <w:top w:w="0" w:type="dxa"/>
              <w:left w:w="115" w:type="dxa"/>
              <w:bottom w:w="0" w:type="dxa"/>
              <w:right w:w="115" w:type="dxa"/>
            </w:tcMar>
            <w:hideMark/>
          </w:tcPr>
          <w:p w14:paraId="5A1AA3CA" w14:textId="77777777" w:rsidR="00C033B5" w:rsidRPr="00746567" w:rsidRDefault="00C033B5" w:rsidP="00C033B5">
            <w:pPr>
              <w:rPr>
                <w:rFonts w:asciiTheme="majorBidi" w:hAnsiTheme="majorBidi" w:cstheme="majorBidi"/>
              </w:rPr>
            </w:pPr>
            <w:r w:rsidRPr="00746567">
              <w:rPr>
                <w:rFonts w:asciiTheme="majorBidi" w:hAnsiTheme="majorBidi" w:cstheme="majorBidi"/>
              </w:rPr>
              <w:t>(0.1248)</w:t>
            </w:r>
          </w:p>
        </w:tc>
      </w:tr>
      <w:tr w:rsidR="00C033B5" w:rsidRPr="00746567" w14:paraId="71EC051E" w14:textId="77777777">
        <w:trPr>
          <w:trHeight w:val="20"/>
        </w:trPr>
        <w:tc>
          <w:tcPr>
            <w:tcW w:w="0" w:type="auto"/>
            <w:tcMar>
              <w:top w:w="0" w:type="dxa"/>
              <w:left w:w="115" w:type="dxa"/>
              <w:bottom w:w="0" w:type="dxa"/>
              <w:right w:w="115" w:type="dxa"/>
            </w:tcMar>
            <w:vAlign w:val="center"/>
            <w:hideMark/>
          </w:tcPr>
          <w:p w14:paraId="67BFE430" w14:textId="77777777" w:rsidR="00C033B5" w:rsidRPr="00746567" w:rsidRDefault="00C033B5" w:rsidP="00C033B5">
            <w:pPr>
              <w:rPr>
                <w:rFonts w:asciiTheme="majorBidi" w:hAnsiTheme="majorBidi" w:cstheme="majorBidi"/>
              </w:rPr>
            </w:pPr>
            <w:r w:rsidRPr="00746567">
              <w:rPr>
                <w:rFonts w:asciiTheme="majorBidi" w:hAnsiTheme="majorBidi" w:cstheme="majorBidi"/>
              </w:rPr>
              <w:t>Term</w:t>
            </w:r>
          </w:p>
        </w:tc>
        <w:tc>
          <w:tcPr>
            <w:tcW w:w="0" w:type="auto"/>
            <w:tcMar>
              <w:top w:w="0" w:type="dxa"/>
              <w:left w:w="115" w:type="dxa"/>
              <w:bottom w:w="0" w:type="dxa"/>
              <w:right w:w="115" w:type="dxa"/>
            </w:tcMar>
            <w:vAlign w:val="center"/>
            <w:hideMark/>
          </w:tcPr>
          <w:p w14:paraId="47A1FDC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0.0004***</w:t>
            </w:r>
          </w:p>
        </w:tc>
        <w:tc>
          <w:tcPr>
            <w:tcW w:w="0" w:type="auto"/>
            <w:tcMar>
              <w:top w:w="0" w:type="dxa"/>
              <w:left w:w="115" w:type="dxa"/>
              <w:bottom w:w="0" w:type="dxa"/>
              <w:right w:w="115" w:type="dxa"/>
            </w:tcMar>
            <w:vAlign w:val="center"/>
            <w:hideMark/>
          </w:tcPr>
          <w:p w14:paraId="2C9163D5" w14:textId="77777777" w:rsidR="00C033B5" w:rsidRPr="00746567" w:rsidRDefault="00C033B5" w:rsidP="00C033B5">
            <w:pPr>
              <w:rPr>
                <w:rFonts w:asciiTheme="majorBidi" w:hAnsiTheme="majorBidi" w:cstheme="majorBidi"/>
              </w:rPr>
            </w:pPr>
            <w:r w:rsidRPr="00746567">
              <w:rPr>
                <w:rFonts w:asciiTheme="majorBidi" w:hAnsiTheme="majorBidi" w:cstheme="majorBidi"/>
              </w:rPr>
              <w:t>0.0160***</w:t>
            </w:r>
          </w:p>
        </w:tc>
        <w:tc>
          <w:tcPr>
            <w:tcW w:w="0" w:type="auto"/>
            <w:tcMar>
              <w:top w:w="0" w:type="dxa"/>
              <w:left w:w="115" w:type="dxa"/>
              <w:bottom w:w="0" w:type="dxa"/>
              <w:right w:w="115" w:type="dxa"/>
            </w:tcMar>
            <w:hideMark/>
          </w:tcPr>
          <w:p w14:paraId="60AFA01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4C9E928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hideMark/>
          </w:tcPr>
          <w:p w14:paraId="7A678FD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0.0006***</w:t>
            </w:r>
          </w:p>
        </w:tc>
        <w:tc>
          <w:tcPr>
            <w:tcW w:w="0" w:type="auto"/>
            <w:tcMar>
              <w:top w:w="0" w:type="dxa"/>
              <w:left w:w="115" w:type="dxa"/>
              <w:bottom w:w="0" w:type="dxa"/>
              <w:right w:w="115" w:type="dxa"/>
            </w:tcMar>
            <w:hideMark/>
          </w:tcPr>
          <w:p w14:paraId="72062CA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-0.0008***</w:t>
            </w:r>
          </w:p>
        </w:tc>
      </w:tr>
      <w:tr w:rsidR="00C033B5" w:rsidRPr="00746567" w14:paraId="5AE58E0E" w14:textId="77777777">
        <w:trPr>
          <w:trHeight w:val="20"/>
        </w:trPr>
        <w:tc>
          <w:tcPr>
            <w:tcW w:w="0" w:type="auto"/>
            <w:tcMar>
              <w:top w:w="0" w:type="dxa"/>
              <w:left w:w="115" w:type="dxa"/>
              <w:bottom w:w="0" w:type="dxa"/>
              <w:right w:w="115" w:type="dxa"/>
            </w:tcMar>
            <w:vAlign w:val="center"/>
            <w:hideMark/>
          </w:tcPr>
          <w:p w14:paraId="068D32E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1E5B9A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150F31C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(0.0003)</w:t>
            </w:r>
          </w:p>
        </w:tc>
        <w:tc>
          <w:tcPr>
            <w:tcW w:w="0" w:type="auto"/>
            <w:tcMar>
              <w:top w:w="0" w:type="dxa"/>
              <w:left w:w="115" w:type="dxa"/>
              <w:bottom w:w="0" w:type="dxa"/>
              <w:right w:w="115" w:type="dxa"/>
            </w:tcMar>
            <w:hideMark/>
          </w:tcPr>
          <w:p w14:paraId="02F656E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3F71603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hideMark/>
          </w:tcPr>
          <w:p w14:paraId="7B851EE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3D00987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r>
      <w:tr w:rsidR="00C033B5" w:rsidRPr="00746567" w14:paraId="07C2BECC" w14:textId="77777777">
        <w:trPr>
          <w:trHeight w:val="20"/>
        </w:trPr>
        <w:tc>
          <w:tcPr>
            <w:tcW w:w="0" w:type="auto"/>
            <w:tcMar>
              <w:top w:w="0" w:type="dxa"/>
              <w:left w:w="115" w:type="dxa"/>
              <w:bottom w:w="0" w:type="dxa"/>
              <w:right w:w="115" w:type="dxa"/>
            </w:tcMar>
            <w:vAlign w:val="center"/>
            <w:hideMark/>
          </w:tcPr>
          <w:p w14:paraId="338788DA" w14:textId="77777777" w:rsidR="00C033B5" w:rsidRPr="00746567" w:rsidRDefault="00C033B5" w:rsidP="00C033B5">
            <w:pPr>
              <w:rPr>
                <w:rFonts w:asciiTheme="majorBidi" w:hAnsiTheme="majorBidi" w:cstheme="majorBidi"/>
              </w:rPr>
            </w:pPr>
            <w:r w:rsidRPr="00746567">
              <w:rPr>
                <w:rFonts w:asciiTheme="majorBidi" w:hAnsiTheme="majorBidi" w:cstheme="majorBidi"/>
              </w:rPr>
              <w:t>Term × Term</w:t>
            </w:r>
          </w:p>
        </w:tc>
        <w:tc>
          <w:tcPr>
            <w:tcW w:w="0" w:type="auto"/>
            <w:tcMar>
              <w:top w:w="0" w:type="dxa"/>
              <w:left w:w="115" w:type="dxa"/>
              <w:bottom w:w="0" w:type="dxa"/>
              <w:right w:w="115" w:type="dxa"/>
            </w:tcMar>
            <w:vAlign w:val="center"/>
            <w:hideMark/>
          </w:tcPr>
          <w:p w14:paraId="7199DDE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36E29E1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-0.0029***</w:t>
            </w:r>
          </w:p>
        </w:tc>
        <w:tc>
          <w:tcPr>
            <w:tcW w:w="0" w:type="auto"/>
            <w:tcMar>
              <w:top w:w="0" w:type="dxa"/>
              <w:left w:w="115" w:type="dxa"/>
              <w:bottom w:w="0" w:type="dxa"/>
              <w:right w:w="115" w:type="dxa"/>
            </w:tcMar>
            <w:hideMark/>
          </w:tcPr>
          <w:p w14:paraId="2ED6C007"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7F919BD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10138183"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575C374F" w14:textId="77777777" w:rsidR="00C033B5" w:rsidRPr="00746567" w:rsidRDefault="00C033B5" w:rsidP="00C033B5">
            <w:pPr>
              <w:rPr>
                <w:rFonts w:asciiTheme="majorBidi" w:hAnsiTheme="majorBidi" w:cstheme="majorBidi"/>
              </w:rPr>
            </w:pPr>
          </w:p>
        </w:tc>
      </w:tr>
      <w:tr w:rsidR="00C033B5" w:rsidRPr="00746567" w14:paraId="5E71C841" w14:textId="77777777">
        <w:trPr>
          <w:trHeight w:val="20"/>
        </w:trPr>
        <w:tc>
          <w:tcPr>
            <w:tcW w:w="0" w:type="auto"/>
            <w:tcMar>
              <w:top w:w="0" w:type="dxa"/>
              <w:left w:w="115" w:type="dxa"/>
              <w:bottom w:w="0" w:type="dxa"/>
              <w:right w:w="115" w:type="dxa"/>
            </w:tcMar>
            <w:vAlign w:val="center"/>
            <w:hideMark/>
          </w:tcPr>
          <w:p w14:paraId="551E5D91"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8F86C2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3D58E96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16FF163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530346B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3FBCD06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9946EF7" w14:textId="77777777" w:rsidR="00C033B5" w:rsidRPr="00746567" w:rsidRDefault="00C033B5" w:rsidP="00C033B5">
            <w:pPr>
              <w:rPr>
                <w:rFonts w:asciiTheme="majorBidi" w:hAnsiTheme="majorBidi" w:cstheme="majorBidi"/>
              </w:rPr>
            </w:pPr>
          </w:p>
        </w:tc>
      </w:tr>
      <w:tr w:rsidR="00C033B5" w:rsidRPr="00746567" w14:paraId="3B1A77C6" w14:textId="77777777">
        <w:trPr>
          <w:trHeight w:val="20"/>
        </w:trPr>
        <w:tc>
          <w:tcPr>
            <w:tcW w:w="0" w:type="auto"/>
            <w:tcMar>
              <w:top w:w="0" w:type="dxa"/>
              <w:left w:w="115" w:type="dxa"/>
              <w:bottom w:w="0" w:type="dxa"/>
              <w:right w:w="115" w:type="dxa"/>
            </w:tcMar>
            <w:vAlign w:val="center"/>
            <w:hideMark/>
          </w:tcPr>
          <w:p w14:paraId="4E1C4D3D" w14:textId="77777777" w:rsidR="00C033B5" w:rsidRPr="00746567" w:rsidRDefault="00C033B5" w:rsidP="00C033B5">
            <w:pPr>
              <w:rPr>
                <w:rFonts w:asciiTheme="majorBidi" w:hAnsiTheme="majorBidi" w:cstheme="majorBidi"/>
              </w:rPr>
            </w:pPr>
            <w:r w:rsidRPr="00746567">
              <w:rPr>
                <w:rFonts w:asciiTheme="majorBidi" w:hAnsiTheme="majorBidi" w:cstheme="majorBidi"/>
              </w:rPr>
              <w:t>Amount</w:t>
            </w:r>
          </w:p>
        </w:tc>
        <w:tc>
          <w:tcPr>
            <w:tcW w:w="0" w:type="auto"/>
            <w:tcMar>
              <w:top w:w="0" w:type="dxa"/>
              <w:left w:w="115" w:type="dxa"/>
              <w:bottom w:w="0" w:type="dxa"/>
              <w:right w:w="115" w:type="dxa"/>
            </w:tcMar>
            <w:vAlign w:val="center"/>
            <w:hideMark/>
          </w:tcPr>
          <w:p w14:paraId="2ECBFF0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63031ED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-0.0011***</w:t>
            </w:r>
          </w:p>
        </w:tc>
        <w:tc>
          <w:tcPr>
            <w:tcW w:w="0" w:type="auto"/>
            <w:tcMar>
              <w:top w:w="0" w:type="dxa"/>
              <w:left w:w="115" w:type="dxa"/>
              <w:bottom w:w="0" w:type="dxa"/>
              <w:right w:w="115" w:type="dxa"/>
            </w:tcMar>
            <w:hideMark/>
          </w:tcPr>
          <w:p w14:paraId="09C2BE2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0F06944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0A73FA2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1E5196F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r>
      <w:tr w:rsidR="00C033B5" w:rsidRPr="00746567" w14:paraId="444ABF9B" w14:textId="77777777">
        <w:trPr>
          <w:trHeight w:val="20"/>
        </w:trPr>
        <w:tc>
          <w:tcPr>
            <w:tcW w:w="0" w:type="auto"/>
            <w:tcMar>
              <w:top w:w="0" w:type="dxa"/>
              <w:left w:w="115" w:type="dxa"/>
              <w:bottom w:w="0" w:type="dxa"/>
              <w:right w:w="115" w:type="dxa"/>
            </w:tcMar>
            <w:vAlign w:val="center"/>
            <w:hideMark/>
          </w:tcPr>
          <w:p w14:paraId="0171B72F"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28D27C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7C3C668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3436D8F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372F688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30CAF91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75C2913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r>
      <w:tr w:rsidR="00C033B5" w:rsidRPr="00746567" w14:paraId="65A47D9B" w14:textId="77777777">
        <w:trPr>
          <w:trHeight w:val="20"/>
        </w:trPr>
        <w:tc>
          <w:tcPr>
            <w:tcW w:w="0" w:type="auto"/>
            <w:tcMar>
              <w:top w:w="0" w:type="dxa"/>
              <w:left w:w="115" w:type="dxa"/>
              <w:bottom w:w="0" w:type="dxa"/>
              <w:right w:w="115" w:type="dxa"/>
            </w:tcMar>
            <w:vAlign w:val="center"/>
            <w:hideMark/>
          </w:tcPr>
          <w:p w14:paraId="02A56D43"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Riskscore</w:t>
            </w:r>
            <w:proofErr w:type="spellEnd"/>
          </w:p>
        </w:tc>
        <w:tc>
          <w:tcPr>
            <w:tcW w:w="0" w:type="auto"/>
            <w:tcMar>
              <w:top w:w="0" w:type="dxa"/>
              <w:left w:w="115" w:type="dxa"/>
              <w:bottom w:w="0" w:type="dxa"/>
              <w:right w:w="115" w:type="dxa"/>
            </w:tcMar>
            <w:vAlign w:val="center"/>
            <w:hideMark/>
          </w:tcPr>
          <w:p w14:paraId="1F5D4F8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-0.0098***</w:t>
            </w:r>
          </w:p>
        </w:tc>
        <w:tc>
          <w:tcPr>
            <w:tcW w:w="0" w:type="auto"/>
            <w:tcMar>
              <w:top w:w="0" w:type="dxa"/>
              <w:left w:w="115" w:type="dxa"/>
              <w:bottom w:w="0" w:type="dxa"/>
              <w:right w:w="115" w:type="dxa"/>
            </w:tcMar>
            <w:vAlign w:val="center"/>
            <w:hideMark/>
          </w:tcPr>
          <w:p w14:paraId="59C18E2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-0.0032***</w:t>
            </w:r>
          </w:p>
        </w:tc>
        <w:tc>
          <w:tcPr>
            <w:tcW w:w="0" w:type="auto"/>
            <w:tcMar>
              <w:top w:w="0" w:type="dxa"/>
              <w:left w:w="115" w:type="dxa"/>
              <w:bottom w:w="0" w:type="dxa"/>
              <w:right w:w="115" w:type="dxa"/>
            </w:tcMar>
            <w:hideMark/>
          </w:tcPr>
          <w:p w14:paraId="7176FB9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-0.0007***</w:t>
            </w:r>
          </w:p>
        </w:tc>
        <w:tc>
          <w:tcPr>
            <w:tcW w:w="0" w:type="auto"/>
            <w:tcMar>
              <w:top w:w="0" w:type="dxa"/>
              <w:left w:w="115" w:type="dxa"/>
              <w:bottom w:w="0" w:type="dxa"/>
              <w:right w:w="115" w:type="dxa"/>
            </w:tcMar>
            <w:hideMark/>
          </w:tcPr>
          <w:p w14:paraId="7C9E4A4F" w14:textId="77777777" w:rsidR="00C033B5" w:rsidRPr="00746567" w:rsidRDefault="00C033B5" w:rsidP="00C033B5">
            <w:pPr>
              <w:rPr>
                <w:rFonts w:asciiTheme="majorBidi" w:hAnsiTheme="majorBidi" w:cstheme="majorBidi"/>
              </w:rPr>
            </w:pPr>
            <w:r w:rsidRPr="00746567">
              <w:rPr>
                <w:rFonts w:asciiTheme="majorBidi" w:hAnsiTheme="majorBidi" w:cstheme="majorBidi"/>
              </w:rPr>
              <w:t>0.0768***</w:t>
            </w:r>
          </w:p>
        </w:tc>
        <w:tc>
          <w:tcPr>
            <w:tcW w:w="0" w:type="auto"/>
            <w:tcMar>
              <w:top w:w="0" w:type="dxa"/>
              <w:left w:w="115" w:type="dxa"/>
              <w:bottom w:w="0" w:type="dxa"/>
              <w:right w:w="115" w:type="dxa"/>
            </w:tcMar>
            <w:hideMark/>
          </w:tcPr>
          <w:p w14:paraId="5F95A81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-0.0010***</w:t>
            </w:r>
          </w:p>
        </w:tc>
        <w:tc>
          <w:tcPr>
            <w:tcW w:w="0" w:type="auto"/>
            <w:tcMar>
              <w:top w:w="0" w:type="dxa"/>
              <w:left w:w="115" w:type="dxa"/>
              <w:bottom w:w="0" w:type="dxa"/>
              <w:right w:w="115" w:type="dxa"/>
            </w:tcMar>
            <w:hideMark/>
          </w:tcPr>
          <w:p w14:paraId="0B5F64A3" w14:textId="77777777" w:rsidR="00C033B5" w:rsidRPr="00746567" w:rsidRDefault="00C033B5" w:rsidP="00C033B5">
            <w:pPr>
              <w:rPr>
                <w:rFonts w:asciiTheme="majorBidi" w:hAnsiTheme="majorBidi" w:cstheme="majorBidi"/>
              </w:rPr>
            </w:pPr>
            <w:r w:rsidRPr="00746567">
              <w:rPr>
                <w:rFonts w:asciiTheme="majorBidi" w:hAnsiTheme="majorBidi" w:cstheme="majorBidi"/>
              </w:rPr>
              <w:t>0.1197***</w:t>
            </w:r>
          </w:p>
        </w:tc>
      </w:tr>
      <w:tr w:rsidR="00C033B5" w:rsidRPr="00746567" w14:paraId="70A551AE" w14:textId="77777777">
        <w:trPr>
          <w:trHeight w:val="20"/>
        </w:trPr>
        <w:tc>
          <w:tcPr>
            <w:tcW w:w="0" w:type="auto"/>
            <w:tcMar>
              <w:top w:w="0" w:type="dxa"/>
              <w:left w:w="115" w:type="dxa"/>
              <w:bottom w:w="0" w:type="dxa"/>
              <w:right w:w="115" w:type="dxa"/>
            </w:tcMar>
            <w:vAlign w:val="center"/>
            <w:hideMark/>
          </w:tcPr>
          <w:p w14:paraId="72738C95"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5E511D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4FEA133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61EEE71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252512B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(0.0038)</w:t>
            </w:r>
          </w:p>
        </w:tc>
        <w:tc>
          <w:tcPr>
            <w:tcW w:w="0" w:type="auto"/>
            <w:tcMar>
              <w:top w:w="0" w:type="dxa"/>
              <w:left w:w="115" w:type="dxa"/>
              <w:bottom w:w="0" w:type="dxa"/>
              <w:right w:w="115" w:type="dxa"/>
            </w:tcMar>
            <w:hideMark/>
          </w:tcPr>
          <w:p w14:paraId="1A4C8FE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0639C0C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(0.0034)</w:t>
            </w:r>
          </w:p>
        </w:tc>
      </w:tr>
      <w:tr w:rsidR="00C033B5" w:rsidRPr="00746567" w14:paraId="75706745" w14:textId="77777777">
        <w:trPr>
          <w:trHeight w:val="20"/>
        </w:trPr>
        <w:tc>
          <w:tcPr>
            <w:tcW w:w="0" w:type="auto"/>
            <w:tcMar>
              <w:top w:w="0" w:type="dxa"/>
              <w:left w:w="115" w:type="dxa"/>
              <w:bottom w:w="0" w:type="dxa"/>
              <w:right w:w="115" w:type="dxa"/>
            </w:tcMar>
            <w:vAlign w:val="center"/>
            <w:hideMark/>
          </w:tcPr>
          <w:p w14:paraId="113B73AE"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0D18A3E"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1B1308E"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35A0B517" w14:textId="77777777" w:rsidR="00C033B5" w:rsidRPr="00746567" w:rsidRDefault="00C033B5" w:rsidP="00C033B5">
            <w:pPr>
              <w:rPr>
                <w:rFonts w:asciiTheme="majorBidi" w:hAnsiTheme="majorBidi" w:cstheme="majorBidi"/>
              </w:rPr>
            </w:pPr>
            <w:r w:rsidRPr="00746567">
              <w:rPr>
                <w:rFonts w:asciiTheme="majorBidi" w:hAnsiTheme="majorBidi" w:cstheme="majorBidi"/>
              </w:rPr>
              <w:t>-0.0392***</w:t>
            </w:r>
          </w:p>
        </w:tc>
        <w:tc>
          <w:tcPr>
            <w:tcW w:w="0" w:type="auto"/>
            <w:tcMar>
              <w:top w:w="0" w:type="dxa"/>
              <w:left w:w="115" w:type="dxa"/>
              <w:bottom w:w="0" w:type="dxa"/>
              <w:right w:w="115" w:type="dxa"/>
            </w:tcMar>
            <w:hideMark/>
          </w:tcPr>
          <w:p w14:paraId="715016C8" w14:textId="77777777" w:rsidR="00C033B5" w:rsidRPr="00746567" w:rsidRDefault="00C033B5" w:rsidP="00C033B5">
            <w:pPr>
              <w:rPr>
                <w:rFonts w:asciiTheme="majorBidi" w:hAnsiTheme="majorBidi" w:cstheme="majorBidi"/>
              </w:rPr>
            </w:pPr>
            <w:r w:rsidRPr="00746567">
              <w:rPr>
                <w:rFonts w:asciiTheme="majorBidi" w:hAnsiTheme="majorBidi" w:cstheme="majorBidi"/>
              </w:rPr>
              <w:t>1.1920***</w:t>
            </w:r>
          </w:p>
        </w:tc>
        <w:tc>
          <w:tcPr>
            <w:tcW w:w="0" w:type="auto"/>
            <w:tcMar>
              <w:top w:w="0" w:type="dxa"/>
              <w:left w:w="115" w:type="dxa"/>
              <w:bottom w:w="0" w:type="dxa"/>
              <w:right w:w="115" w:type="dxa"/>
            </w:tcMar>
            <w:hideMark/>
          </w:tcPr>
          <w:p w14:paraId="2886F849" w14:textId="77777777" w:rsidR="00C033B5" w:rsidRPr="00746567" w:rsidRDefault="00C033B5" w:rsidP="00C033B5">
            <w:pPr>
              <w:rPr>
                <w:rFonts w:asciiTheme="majorBidi" w:hAnsiTheme="majorBidi" w:cstheme="majorBidi"/>
              </w:rPr>
            </w:pPr>
            <w:r w:rsidRPr="00746567">
              <w:rPr>
                <w:rFonts w:asciiTheme="majorBidi" w:hAnsiTheme="majorBidi" w:cstheme="majorBidi"/>
              </w:rPr>
              <w:t>-0.0242***</w:t>
            </w:r>
          </w:p>
        </w:tc>
        <w:tc>
          <w:tcPr>
            <w:tcW w:w="0" w:type="auto"/>
            <w:tcMar>
              <w:top w:w="0" w:type="dxa"/>
              <w:left w:w="115" w:type="dxa"/>
              <w:bottom w:w="0" w:type="dxa"/>
              <w:right w:w="115" w:type="dxa"/>
            </w:tcMar>
            <w:hideMark/>
          </w:tcPr>
          <w:p w14:paraId="5CEFC549" w14:textId="77777777" w:rsidR="00C033B5" w:rsidRPr="00746567" w:rsidRDefault="00C033B5" w:rsidP="00C033B5">
            <w:pPr>
              <w:rPr>
                <w:rFonts w:asciiTheme="majorBidi" w:hAnsiTheme="majorBidi" w:cstheme="majorBidi"/>
              </w:rPr>
            </w:pPr>
            <w:r w:rsidRPr="00746567">
              <w:rPr>
                <w:rFonts w:asciiTheme="majorBidi" w:hAnsiTheme="majorBidi" w:cstheme="majorBidi"/>
              </w:rPr>
              <w:t>1.1734***</w:t>
            </w:r>
          </w:p>
        </w:tc>
      </w:tr>
      <w:tr w:rsidR="00C033B5" w:rsidRPr="00746567" w14:paraId="69974D70" w14:textId="77777777">
        <w:trPr>
          <w:trHeight w:val="20"/>
        </w:trPr>
        <w:tc>
          <w:tcPr>
            <w:tcW w:w="0" w:type="auto"/>
            <w:tcMar>
              <w:top w:w="0" w:type="dxa"/>
              <w:left w:w="115" w:type="dxa"/>
              <w:bottom w:w="0" w:type="dxa"/>
              <w:right w:w="115" w:type="dxa"/>
            </w:tcMar>
            <w:vAlign w:val="center"/>
            <w:hideMark/>
          </w:tcPr>
          <w:p w14:paraId="7436B587"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1DEF8C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1FB949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7B7FF64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(0.0022)</w:t>
            </w:r>
          </w:p>
        </w:tc>
        <w:tc>
          <w:tcPr>
            <w:tcW w:w="0" w:type="auto"/>
            <w:tcMar>
              <w:top w:w="0" w:type="dxa"/>
              <w:left w:w="115" w:type="dxa"/>
              <w:bottom w:w="0" w:type="dxa"/>
              <w:right w:w="115" w:type="dxa"/>
            </w:tcMar>
            <w:hideMark/>
          </w:tcPr>
          <w:p w14:paraId="77194143" w14:textId="77777777" w:rsidR="00C033B5" w:rsidRPr="00746567" w:rsidRDefault="00C033B5" w:rsidP="00C033B5">
            <w:pPr>
              <w:rPr>
                <w:rFonts w:asciiTheme="majorBidi" w:hAnsiTheme="majorBidi" w:cstheme="majorBidi"/>
              </w:rPr>
            </w:pPr>
            <w:r w:rsidRPr="00746567">
              <w:rPr>
                <w:rFonts w:asciiTheme="majorBidi" w:hAnsiTheme="majorBidi" w:cstheme="majorBidi"/>
              </w:rPr>
              <w:t>(0.0621)</w:t>
            </w:r>
          </w:p>
        </w:tc>
        <w:tc>
          <w:tcPr>
            <w:tcW w:w="0" w:type="auto"/>
            <w:tcMar>
              <w:top w:w="0" w:type="dxa"/>
              <w:left w:w="115" w:type="dxa"/>
              <w:bottom w:w="0" w:type="dxa"/>
              <w:right w:w="115" w:type="dxa"/>
            </w:tcMar>
            <w:hideMark/>
          </w:tcPr>
          <w:p w14:paraId="1EE99E4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(0.0019)</w:t>
            </w:r>
          </w:p>
        </w:tc>
        <w:tc>
          <w:tcPr>
            <w:tcW w:w="0" w:type="auto"/>
            <w:tcMar>
              <w:top w:w="0" w:type="dxa"/>
              <w:left w:w="115" w:type="dxa"/>
              <w:bottom w:w="0" w:type="dxa"/>
              <w:right w:w="115" w:type="dxa"/>
            </w:tcMar>
            <w:hideMark/>
          </w:tcPr>
          <w:p w14:paraId="0368E149" w14:textId="77777777" w:rsidR="00C033B5" w:rsidRPr="00746567" w:rsidRDefault="00C033B5" w:rsidP="00C033B5">
            <w:pPr>
              <w:rPr>
                <w:rFonts w:asciiTheme="majorBidi" w:hAnsiTheme="majorBidi" w:cstheme="majorBidi"/>
              </w:rPr>
            </w:pPr>
            <w:r w:rsidRPr="00746567">
              <w:rPr>
                <w:rFonts w:asciiTheme="majorBidi" w:hAnsiTheme="majorBidi" w:cstheme="majorBidi"/>
              </w:rPr>
              <w:t>(0.0599)</w:t>
            </w:r>
          </w:p>
        </w:tc>
      </w:tr>
      <w:tr w:rsidR="00C033B5" w:rsidRPr="00746567" w14:paraId="5D19F33A" w14:textId="77777777">
        <w:trPr>
          <w:trHeight w:val="20"/>
        </w:trPr>
        <w:tc>
          <w:tcPr>
            <w:tcW w:w="0" w:type="auto"/>
            <w:tcMar>
              <w:top w:w="0" w:type="dxa"/>
              <w:left w:w="115" w:type="dxa"/>
              <w:bottom w:w="0" w:type="dxa"/>
              <w:right w:w="115" w:type="dxa"/>
            </w:tcMar>
            <w:vAlign w:val="center"/>
            <w:hideMark/>
          </w:tcPr>
          <w:p w14:paraId="6C82AA0F" w14:textId="77777777" w:rsidR="00C033B5" w:rsidRPr="00746567" w:rsidRDefault="00C033B5" w:rsidP="00C033B5">
            <w:pPr>
              <w:rPr>
                <w:rFonts w:asciiTheme="majorBidi" w:hAnsiTheme="majorBidi" w:cstheme="majorBidi"/>
              </w:rPr>
            </w:pPr>
            <w:r w:rsidRPr="00746567">
              <w:rPr>
                <w:rFonts w:asciiTheme="majorBidi" w:hAnsiTheme="majorBidi" w:cstheme="majorBidi"/>
              </w:rPr>
              <w:t>Collateral</w:t>
            </w:r>
          </w:p>
        </w:tc>
        <w:tc>
          <w:tcPr>
            <w:tcW w:w="0" w:type="auto"/>
            <w:tcMar>
              <w:top w:w="0" w:type="dxa"/>
              <w:left w:w="115" w:type="dxa"/>
              <w:bottom w:w="0" w:type="dxa"/>
              <w:right w:w="115" w:type="dxa"/>
            </w:tcMar>
            <w:vAlign w:val="center"/>
            <w:hideMark/>
          </w:tcPr>
          <w:p w14:paraId="6BC302A0" w14:textId="77777777" w:rsidR="00C033B5" w:rsidRPr="00746567" w:rsidRDefault="00C033B5" w:rsidP="00C033B5">
            <w:pPr>
              <w:rPr>
                <w:rFonts w:asciiTheme="majorBidi" w:hAnsiTheme="majorBidi" w:cstheme="majorBidi"/>
              </w:rPr>
            </w:pPr>
            <w:r w:rsidRPr="00746567">
              <w:rPr>
                <w:rFonts w:asciiTheme="majorBidi" w:hAnsiTheme="majorBidi" w:cstheme="majorBidi"/>
              </w:rPr>
              <w:t>-0.0156***</w:t>
            </w:r>
          </w:p>
        </w:tc>
        <w:tc>
          <w:tcPr>
            <w:tcW w:w="0" w:type="auto"/>
            <w:tcMar>
              <w:top w:w="0" w:type="dxa"/>
              <w:left w:w="115" w:type="dxa"/>
              <w:bottom w:w="0" w:type="dxa"/>
              <w:right w:w="115" w:type="dxa"/>
            </w:tcMar>
            <w:vAlign w:val="center"/>
            <w:hideMark/>
          </w:tcPr>
          <w:p w14:paraId="334893A9" w14:textId="77777777" w:rsidR="00C033B5" w:rsidRPr="00746567" w:rsidRDefault="00C033B5" w:rsidP="00C033B5">
            <w:pPr>
              <w:rPr>
                <w:rFonts w:asciiTheme="majorBidi" w:hAnsiTheme="majorBidi" w:cstheme="majorBidi"/>
              </w:rPr>
            </w:pPr>
            <w:r w:rsidRPr="00746567">
              <w:rPr>
                <w:rFonts w:asciiTheme="majorBidi" w:hAnsiTheme="majorBidi" w:cstheme="majorBidi"/>
              </w:rPr>
              <w:t>0.0666***</w:t>
            </w:r>
          </w:p>
        </w:tc>
        <w:tc>
          <w:tcPr>
            <w:tcW w:w="0" w:type="auto"/>
            <w:tcMar>
              <w:top w:w="0" w:type="dxa"/>
              <w:left w:w="115" w:type="dxa"/>
              <w:bottom w:w="0" w:type="dxa"/>
              <w:right w:w="115" w:type="dxa"/>
            </w:tcMar>
            <w:hideMark/>
          </w:tcPr>
          <w:p w14:paraId="025584A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0.0011</w:t>
            </w:r>
          </w:p>
        </w:tc>
        <w:tc>
          <w:tcPr>
            <w:tcW w:w="0" w:type="auto"/>
            <w:tcMar>
              <w:top w:w="0" w:type="dxa"/>
              <w:left w:w="115" w:type="dxa"/>
              <w:bottom w:w="0" w:type="dxa"/>
              <w:right w:w="115" w:type="dxa"/>
            </w:tcMar>
            <w:hideMark/>
          </w:tcPr>
          <w:p w14:paraId="25CEAE5F" w14:textId="77777777" w:rsidR="00C033B5" w:rsidRPr="00746567" w:rsidRDefault="00C033B5" w:rsidP="00C033B5">
            <w:pPr>
              <w:rPr>
                <w:rFonts w:asciiTheme="majorBidi" w:hAnsiTheme="majorBidi" w:cstheme="majorBidi"/>
              </w:rPr>
            </w:pPr>
            <w:r w:rsidRPr="00746567">
              <w:rPr>
                <w:rFonts w:asciiTheme="majorBidi" w:hAnsiTheme="majorBidi" w:cstheme="majorBidi"/>
              </w:rPr>
              <w:t>0.4867***</w:t>
            </w:r>
          </w:p>
        </w:tc>
        <w:tc>
          <w:tcPr>
            <w:tcW w:w="0" w:type="auto"/>
            <w:tcMar>
              <w:top w:w="0" w:type="dxa"/>
              <w:left w:w="115" w:type="dxa"/>
              <w:bottom w:w="0" w:type="dxa"/>
              <w:right w:w="115" w:type="dxa"/>
            </w:tcMar>
            <w:hideMark/>
          </w:tcPr>
          <w:p w14:paraId="050432B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0.0020</w:t>
            </w:r>
          </w:p>
        </w:tc>
        <w:tc>
          <w:tcPr>
            <w:tcW w:w="0" w:type="auto"/>
            <w:tcMar>
              <w:top w:w="0" w:type="dxa"/>
              <w:left w:w="115" w:type="dxa"/>
              <w:bottom w:w="0" w:type="dxa"/>
              <w:right w:w="115" w:type="dxa"/>
            </w:tcMar>
            <w:hideMark/>
          </w:tcPr>
          <w:p w14:paraId="0D1AED9A" w14:textId="77777777" w:rsidR="00C033B5" w:rsidRPr="00746567" w:rsidRDefault="00C033B5" w:rsidP="00C033B5">
            <w:pPr>
              <w:rPr>
                <w:rFonts w:asciiTheme="majorBidi" w:hAnsiTheme="majorBidi" w:cstheme="majorBidi"/>
              </w:rPr>
            </w:pPr>
            <w:r w:rsidRPr="00746567">
              <w:rPr>
                <w:rFonts w:asciiTheme="majorBidi" w:hAnsiTheme="majorBidi" w:cstheme="majorBidi"/>
              </w:rPr>
              <w:t>0.2430***</w:t>
            </w:r>
          </w:p>
        </w:tc>
      </w:tr>
      <w:tr w:rsidR="00C033B5" w:rsidRPr="00746567" w14:paraId="3B93CCFE" w14:textId="77777777">
        <w:trPr>
          <w:trHeight w:val="20"/>
        </w:trPr>
        <w:tc>
          <w:tcPr>
            <w:tcW w:w="0" w:type="auto"/>
            <w:tcMar>
              <w:top w:w="0" w:type="dxa"/>
              <w:left w:w="115" w:type="dxa"/>
              <w:bottom w:w="0" w:type="dxa"/>
              <w:right w:w="115" w:type="dxa"/>
            </w:tcMar>
            <w:vAlign w:val="center"/>
            <w:hideMark/>
          </w:tcPr>
          <w:p w14:paraId="4794E07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573503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(0.0038)</w:t>
            </w:r>
          </w:p>
        </w:tc>
        <w:tc>
          <w:tcPr>
            <w:tcW w:w="0" w:type="auto"/>
            <w:tcMar>
              <w:top w:w="0" w:type="dxa"/>
              <w:left w:w="115" w:type="dxa"/>
              <w:bottom w:w="0" w:type="dxa"/>
              <w:right w:w="115" w:type="dxa"/>
            </w:tcMar>
            <w:vAlign w:val="center"/>
            <w:hideMark/>
          </w:tcPr>
          <w:p w14:paraId="23D9A09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(0.0021)</w:t>
            </w:r>
          </w:p>
        </w:tc>
        <w:tc>
          <w:tcPr>
            <w:tcW w:w="0" w:type="auto"/>
            <w:tcMar>
              <w:top w:w="0" w:type="dxa"/>
              <w:left w:w="115" w:type="dxa"/>
              <w:bottom w:w="0" w:type="dxa"/>
              <w:right w:w="115" w:type="dxa"/>
            </w:tcMar>
            <w:hideMark/>
          </w:tcPr>
          <w:p w14:paraId="6EF3247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(0.0013)</w:t>
            </w:r>
          </w:p>
        </w:tc>
        <w:tc>
          <w:tcPr>
            <w:tcW w:w="0" w:type="auto"/>
            <w:tcMar>
              <w:top w:w="0" w:type="dxa"/>
              <w:left w:w="115" w:type="dxa"/>
              <w:bottom w:w="0" w:type="dxa"/>
              <w:right w:w="115" w:type="dxa"/>
            </w:tcMar>
            <w:hideMark/>
          </w:tcPr>
          <w:p w14:paraId="00CBA283" w14:textId="77777777" w:rsidR="00C033B5" w:rsidRPr="00746567" w:rsidRDefault="00C033B5" w:rsidP="00C033B5">
            <w:pPr>
              <w:rPr>
                <w:rFonts w:asciiTheme="majorBidi" w:hAnsiTheme="majorBidi" w:cstheme="majorBidi"/>
              </w:rPr>
            </w:pPr>
            <w:r w:rsidRPr="00746567">
              <w:rPr>
                <w:rFonts w:asciiTheme="majorBidi" w:hAnsiTheme="majorBidi" w:cstheme="majorBidi"/>
              </w:rPr>
              <w:t>(0.0751)</w:t>
            </w:r>
          </w:p>
        </w:tc>
        <w:tc>
          <w:tcPr>
            <w:tcW w:w="0" w:type="auto"/>
            <w:tcMar>
              <w:top w:w="0" w:type="dxa"/>
              <w:left w:w="115" w:type="dxa"/>
              <w:bottom w:w="0" w:type="dxa"/>
              <w:right w:w="115" w:type="dxa"/>
            </w:tcMar>
            <w:hideMark/>
          </w:tcPr>
          <w:p w14:paraId="1F2619A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(0.0026)</w:t>
            </w:r>
          </w:p>
        </w:tc>
        <w:tc>
          <w:tcPr>
            <w:tcW w:w="0" w:type="auto"/>
            <w:tcMar>
              <w:top w:w="0" w:type="dxa"/>
              <w:left w:w="115" w:type="dxa"/>
              <w:bottom w:w="0" w:type="dxa"/>
              <w:right w:w="115" w:type="dxa"/>
            </w:tcMar>
            <w:hideMark/>
          </w:tcPr>
          <w:p w14:paraId="13B255D7" w14:textId="77777777" w:rsidR="00C033B5" w:rsidRPr="00746567" w:rsidRDefault="00C033B5" w:rsidP="00C033B5">
            <w:pPr>
              <w:rPr>
                <w:rFonts w:asciiTheme="majorBidi" w:hAnsiTheme="majorBidi" w:cstheme="majorBidi"/>
              </w:rPr>
            </w:pPr>
            <w:r w:rsidRPr="00746567">
              <w:rPr>
                <w:rFonts w:asciiTheme="majorBidi" w:hAnsiTheme="majorBidi" w:cstheme="majorBidi"/>
              </w:rPr>
              <w:t>(0.0362)</w:t>
            </w:r>
          </w:p>
        </w:tc>
      </w:tr>
      <w:tr w:rsidR="00C033B5" w:rsidRPr="00746567" w14:paraId="7C241FD4" w14:textId="77777777">
        <w:trPr>
          <w:trHeight w:val="20"/>
        </w:trPr>
        <w:tc>
          <w:tcPr>
            <w:tcW w:w="0" w:type="auto"/>
            <w:tcMar>
              <w:top w:w="0" w:type="dxa"/>
              <w:left w:w="115" w:type="dxa"/>
              <w:bottom w:w="0" w:type="dxa"/>
              <w:right w:w="115" w:type="dxa"/>
            </w:tcMar>
            <w:vAlign w:val="center"/>
            <w:hideMark/>
          </w:tcPr>
          <w:p w14:paraId="302C1117"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Extsched</w:t>
            </w:r>
            <w:proofErr w:type="spellEnd"/>
          </w:p>
        </w:tc>
        <w:tc>
          <w:tcPr>
            <w:tcW w:w="0" w:type="auto"/>
            <w:tcMar>
              <w:top w:w="0" w:type="dxa"/>
              <w:left w:w="115" w:type="dxa"/>
              <w:bottom w:w="0" w:type="dxa"/>
              <w:right w:w="115" w:type="dxa"/>
            </w:tcMar>
            <w:vAlign w:val="center"/>
            <w:hideMark/>
          </w:tcPr>
          <w:p w14:paraId="2598753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vAlign w:val="center"/>
            <w:hideMark/>
          </w:tcPr>
          <w:p w14:paraId="64D5EBB0" w14:textId="77777777" w:rsidR="00C033B5" w:rsidRPr="00746567" w:rsidRDefault="00C033B5" w:rsidP="00C033B5">
            <w:pPr>
              <w:rPr>
                <w:rFonts w:asciiTheme="majorBidi" w:hAnsiTheme="majorBidi" w:cstheme="majorBidi"/>
              </w:rPr>
            </w:pPr>
            <w:r w:rsidRPr="00746567">
              <w:rPr>
                <w:rFonts w:asciiTheme="majorBidi" w:hAnsiTheme="majorBidi" w:cstheme="majorBidi"/>
              </w:rPr>
              <w:t>-0.0148*</w:t>
            </w:r>
          </w:p>
        </w:tc>
        <w:tc>
          <w:tcPr>
            <w:tcW w:w="0" w:type="auto"/>
            <w:tcMar>
              <w:top w:w="0" w:type="dxa"/>
              <w:left w:w="115" w:type="dxa"/>
              <w:bottom w:w="0" w:type="dxa"/>
              <w:right w:w="115" w:type="dxa"/>
            </w:tcMar>
            <w:hideMark/>
          </w:tcPr>
          <w:p w14:paraId="7DBFB2E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0.0004***</w:t>
            </w:r>
          </w:p>
        </w:tc>
        <w:tc>
          <w:tcPr>
            <w:tcW w:w="0" w:type="auto"/>
            <w:tcMar>
              <w:top w:w="0" w:type="dxa"/>
              <w:left w:w="115" w:type="dxa"/>
              <w:bottom w:w="0" w:type="dxa"/>
              <w:right w:w="115" w:type="dxa"/>
            </w:tcMar>
            <w:hideMark/>
          </w:tcPr>
          <w:p w14:paraId="3E400ED5" w14:textId="77777777" w:rsidR="00C033B5" w:rsidRPr="00746567" w:rsidRDefault="00C033B5" w:rsidP="00C033B5">
            <w:pPr>
              <w:rPr>
                <w:rFonts w:asciiTheme="majorBidi" w:hAnsiTheme="majorBidi" w:cstheme="majorBidi"/>
              </w:rPr>
            </w:pPr>
            <w:r w:rsidRPr="00746567">
              <w:rPr>
                <w:rFonts w:asciiTheme="majorBidi" w:hAnsiTheme="majorBidi" w:cstheme="majorBidi"/>
              </w:rPr>
              <w:t>0.1276***</w:t>
            </w:r>
          </w:p>
        </w:tc>
        <w:tc>
          <w:tcPr>
            <w:tcW w:w="0" w:type="auto"/>
            <w:tcMar>
              <w:top w:w="0" w:type="dxa"/>
              <w:left w:w="115" w:type="dxa"/>
              <w:bottom w:w="0" w:type="dxa"/>
              <w:right w:w="115" w:type="dxa"/>
            </w:tcMar>
            <w:hideMark/>
          </w:tcPr>
          <w:p w14:paraId="3A85C80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0.0004***</w:t>
            </w:r>
          </w:p>
        </w:tc>
        <w:tc>
          <w:tcPr>
            <w:tcW w:w="0" w:type="auto"/>
            <w:tcMar>
              <w:top w:w="0" w:type="dxa"/>
              <w:left w:w="115" w:type="dxa"/>
              <w:bottom w:w="0" w:type="dxa"/>
              <w:right w:w="115" w:type="dxa"/>
            </w:tcMar>
            <w:hideMark/>
          </w:tcPr>
          <w:p w14:paraId="3957E620" w14:textId="77777777" w:rsidR="00C033B5" w:rsidRPr="00746567" w:rsidRDefault="00C033B5" w:rsidP="00C033B5">
            <w:pPr>
              <w:rPr>
                <w:rFonts w:asciiTheme="majorBidi" w:hAnsiTheme="majorBidi" w:cstheme="majorBidi"/>
              </w:rPr>
            </w:pPr>
            <w:r w:rsidRPr="00746567">
              <w:rPr>
                <w:rFonts w:asciiTheme="majorBidi" w:hAnsiTheme="majorBidi" w:cstheme="majorBidi"/>
              </w:rPr>
              <w:t>0.1537***</w:t>
            </w:r>
          </w:p>
        </w:tc>
      </w:tr>
      <w:tr w:rsidR="00C033B5" w:rsidRPr="00746567" w14:paraId="6A8A3B1A" w14:textId="77777777">
        <w:trPr>
          <w:trHeight w:val="20"/>
        </w:trPr>
        <w:tc>
          <w:tcPr>
            <w:tcW w:w="0" w:type="auto"/>
            <w:tcMar>
              <w:top w:w="0" w:type="dxa"/>
              <w:left w:w="115" w:type="dxa"/>
              <w:bottom w:w="0" w:type="dxa"/>
              <w:right w:w="115" w:type="dxa"/>
            </w:tcMar>
            <w:vAlign w:val="center"/>
            <w:hideMark/>
          </w:tcPr>
          <w:p w14:paraId="10E60FCA"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4F870F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2A121FC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145AC92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79E484A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(0.0037)</w:t>
            </w:r>
          </w:p>
        </w:tc>
        <w:tc>
          <w:tcPr>
            <w:tcW w:w="0" w:type="auto"/>
            <w:tcMar>
              <w:top w:w="0" w:type="dxa"/>
              <w:left w:w="115" w:type="dxa"/>
              <w:bottom w:w="0" w:type="dxa"/>
              <w:right w:w="115" w:type="dxa"/>
            </w:tcMar>
            <w:hideMark/>
          </w:tcPr>
          <w:p w14:paraId="4EC3166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2D3F256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(0.0033)</w:t>
            </w:r>
          </w:p>
        </w:tc>
      </w:tr>
      <w:tr w:rsidR="00C033B5" w:rsidRPr="00746567" w14:paraId="3B944904" w14:textId="77777777">
        <w:trPr>
          <w:trHeight w:val="20"/>
        </w:trPr>
        <w:tc>
          <w:tcPr>
            <w:tcW w:w="0" w:type="auto"/>
            <w:tcMar>
              <w:top w:w="0" w:type="dxa"/>
              <w:left w:w="115" w:type="dxa"/>
              <w:bottom w:w="0" w:type="dxa"/>
              <w:right w:w="115" w:type="dxa"/>
            </w:tcMar>
            <w:vAlign w:val="center"/>
            <w:hideMark/>
          </w:tcPr>
          <w:p w14:paraId="540A431D"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Loantype</w:t>
            </w:r>
            <w:proofErr w:type="spellEnd"/>
          </w:p>
        </w:tc>
        <w:tc>
          <w:tcPr>
            <w:tcW w:w="0" w:type="auto"/>
            <w:tcMar>
              <w:top w:w="0" w:type="dxa"/>
              <w:left w:w="115" w:type="dxa"/>
              <w:bottom w:w="0" w:type="dxa"/>
              <w:right w:w="115" w:type="dxa"/>
            </w:tcMar>
            <w:vAlign w:val="center"/>
            <w:hideMark/>
          </w:tcPr>
          <w:p w14:paraId="28BD943E"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BECC6C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1593436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D8D57E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2711294"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06E28851" w14:textId="77777777" w:rsidR="00C033B5" w:rsidRPr="00746567" w:rsidRDefault="00C033B5" w:rsidP="00C033B5">
            <w:pPr>
              <w:rPr>
                <w:rFonts w:asciiTheme="majorBidi" w:hAnsiTheme="majorBidi" w:cstheme="majorBidi"/>
              </w:rPr>
            </w:pPr>
          </w:p>
        </w:tc>
      </w:tr>
      <w:tr w:rsidR="00C033B5" w:rsidRPr="00746567" w14:paraId="2BA56A69" w14:textId="77777777">
        <w:trPr>
          <w:trHeight w:val="20"/>
        </w:trPr>
        <w:tc>
          <w:tcPr>
            <w:tcW w:w="0" w:type="auto"/>
            <w:tcMar>
              <w:top w:w="0" w:type="dxa"/>
              <w:left w:w="115" w:type="dxa"/>
              <w:bottom w:w="0" w:type="dxa"/>
              <w:right w:w="115" w:type="dxa"/>
            </w:tcMar>
            <w:vAlign w:val="center"/>
            <w:hideMark/>
          </w:tcPr>
          <w:p w14:paraId="42C2042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825527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ADA397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60DC2D1A"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79BB1D3A"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1A5D31A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0446CFFA" w14:textId="77777777" w:rsidR="00C033B5" w:rsidRPr="00746567" w:rsidRDefault="00C033B5" w:rsidP="00C033B5">
            <w:pPr>
              <w:rPr>
                <w:rFonts w:asciiTheme="majorBidi" w:hAnsiTheme="majorBidi" w:cstheme="majorBidi"/>
              </w:rPr>
            </w:pPr>
          </w:p>
        </w:tc>
      </w:tr>
      <w:tr w:rsidR="00C033B5" w:rsidRPr="00746567" w14:paraId="32AFA7EB" w14:textId="77777777">
        <w:trPr>
          <w:trHeight w:val="20"/>
        </w:trPr>
        <w:tc>
          <w:tcPr>
            <w:tcW w:w="0" w:type="auto"/>
            <w:tcMar>
              <w:top w:w="0" w:type="dxa"/>
              <w:left w:w="115" w:type="dxa"/>
              <w:bottom w:w="0" w:type="dxa"/>
              <w:right w:w="115" w:type="dxa"/>
            </w:tcMar>
            <w:vAlign w:val="center"/>
            <w:hideMark/>
          </w:tcPr>
          <w:p w14:paraId="03F007A7" w14:textId="77777777" w:rsidR="00C033B5" w:rsidRPr="00746567" w:rsidRDefault="00C033B5" w:rsidP="00C033B5">
            <w:pPr>
              <w:rPr>
                <w:rFonts w:asciiTheme="majorBidi" w:hAnsiTheme="majorBidi" w:cstheme="majorBidi"/>
              </w:rPr>
            </w:pPr>
            <w:r w:rsidRPr="00746567">
              <w:rPr>
                <w:rFonts w:asciiTheme="majorBidi" w:hAnsiTheme="majorBidi" w:cstheme="majorBidi"/>
              </w:rPr>
              <w:t>Agricultural Loan</w:t>
            </w:r>
          </w:p>
        </w:tc>
        <w:tc>
          <w:tcPr>
            <w:tcW w:w="0" w:type="auto"/>
            <w:tcMar>
              <w:top w:w="0" w:type="dxa"/>
              <w:left w:w="115" w:type="dxa"/>
              <w:bottom w:w="0" w:type="dxa"/>
              <w:right w:w="115" w:type="dxa"/>
            </w:tcMar>
            <w:vAlign w:val="center"/>
            <w:hideMark/>
          </w:tcPr>
          <w:p w14:paraId="2A624C6A" w14:textId="77777777" w:rsidR="00C033B5" w:rsidRPr="00746567" w:rsidRDefault="00C033B5" w:rsidP="00C033B5">
            <w:pPr>
              <w:rPr>
                <w:rFonts w:asciiTheme="majorBidi" w:hAnsiTheme="majorBidi" w:cstheme="majorBidi"/>
              </w:rPr>
            </w:pPr>
            <w:r w:rsidRPr="00746567">
              <w:rPr>
                <w:rFonts w:asciiTheme="majorBidi" w:hAnsiTheme="majorBidi" w:cstheme="majorBidi"/>
              </w:rPr>
              <w:t>-0.0247***</w:t>
            </w:r>
          </w:p>
        </w:tc>
        <w:tc>
          <w:tcPr>
            <w:tcW w:w="0" w:type="auto"/>
            <w:tcMar>
              <w:top w:w="0" w:type="dxa"/>
              <w:left w:w="115" w:type="dxa"/>
              <w:bottom w:w="0" w:type="dxa"/>
              <w:right w:w="115" w:type="dxa"/>
            </w:tcMar>
            <w:vAlign w:val="center"/>
            <w:hideMark/>
          </w:tcPr>
          <w:p w14:paraId="181A4192"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hideMark/>
          </w:tcPr>
          <w:p w14:paraId="4252475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0.0069*</w:t>
            </w:r>
          </w:p>
        </w:tc>
        <w:tc>
          <w:tcPr>
            <w:tcW w:w="0" w:type="auto"/>
            <w:tcMar>
              <w:top w:w="0" w:type="dxa"/>
              <w:left w:w="115" w:type="dxa"/>
              <w:bottom w:w="0" w:type="dxa"/>
              <w:right w:w="115" w:type="dxa"/>
            </w:tcMar>
            <w:hideMark/>
          </w:tcPr>
          <w:p w14:paraId="6986E0FD"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76723FB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-0.0011***</w:t>
            </w:r>
          </w:p>
        </w:tc>
        <w:tc>
          <w:tcPr>
            <w:tcW w:w="0" w:type="auto"/>
            <w:tcMar>
              <w:top w:w="0" w:type="dxa"/>
              <w:left w:w="115" w:type="dxa"/>
              <w:bottom w:w="0" w:type="dxa"/>
              <w:right w:w="115" w:type="dxa"/>
            </w:tcMar>
            <w:hideMark/>
          </w:tcPr>
          <w:p w14:paraId="18027E30" w14:textId="77777777" w:rsidR="00C033B5" w:rsidRPr="00746567" w:rsidRDefault="00C033B5" w:rsidP="00C033B5">
            <w:pPr>
              <w:rPr>
                <w:rFonts w:asciiTheme="majorBidi" w:hAnsiTheme="majorBidi" w:cstheme="majorBidi"/>
              </w:rPr>
            </w:pPr>
          </w:p>
        </w:tc>
      </w:tr>
      <w:tr w:rsidR="00C033B5" w:rsidRPr="00746567" w14:paraId="7990C9AC" w14:textId="77777777">
        <w:trPr>
          <w:trHeight w:val="20"/>
        </w:trPr>
        <w:tc>
          <w:tcPr>
            <w:tcW w:w="0" w:type="auto"/>
            <w:tcMar>
              <w:top w:w="0" w:type="dxa"/>
              <w:left w:w="115" w:type="dxa"/>
              <w:bottom w:w="0" w:type="dxa"/>
              <w:right w:w="115" w:type="dxa"/>
            </w:tcMar>
            <w:vAlign w:val="center"/>
            <w:hideMark/>
          </w:tcPr>
          <w:p w14:paraId="17C9A9D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E85F4F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(0.0036)</w:t>
            </w:r>
          </w:p>
        </w:tc>
        <w:tc>
          <w:tcPr>
            <w:tcW w:w="0" w:type="auto"/>
            <w:tcMar>
              <w:top w:w="0" w:type="dxa"/>
              <w:left w:w="115" w:type="dxa"/>
              <w:bottom w:w="0" w:type="dxa"/>
              <w:right w:w="115" w:type="dxa"/>
            </w:tcMar>
            <w:vAlign w:val="center"/>
            <w:hideMark/>
          </w:tcPr>
          <w:p w14:paraId="6413DA0F"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68A156F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(0.0038)</w:t>
            </w:r>
          </w:p>
        </w:tc>
        <w:tc>
          <w:tcPr>
            <w:tcW w:w="0" w:type="auto"/>
            <w:tcMar>
              <w:top w:w="0" w:type="dxa"/>
              <w:left w:w="115" w:type="dxa"/>
              <w:bottom w:w="0" w:type="dxa"/>
              <w:right w:w="115" w:type="dxa"/>
            </w:tcMar>
            <w:hideMark/>
          </w:tcPr>
          <w:p w14:paraId="1092936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622CD2E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(0.0005)</w:t>
            </w:r>
          </w:p>
        </w:tc>
        <w:tc>
          <w:tcPr>
            <w:tcW w:w="0" w:type="auto"/>
            <w:tcMar>
              <w:top w:w="0" w:type="dxa"/>
              <w:left w:w="115" w:type="dxa"/>
              <w:bottom w:w="0" w:type="dxa"/>
              <w:right w:w="115" w:type="dxa"/>
            </w:tcMar>
            <w:hideMark/>
          </w:tcPr>
          <w:p w14:paraId="6CA463AD" w14:textId="77777777" w:rsidR="00C033B5" w:rsidRPr="00746567" w:rsidRDefault="00C033B5" w:rsidP="00C033B5">
            <w:pPr>
              <w:rPr>
                <w:rFonts w:asciiTheme="majorBidi" w:hAnsiTheme="majorBidi" w:cstheme="majorBidi"/>
              </w:rPr>
            </w:pPr>
          </w:p>
        </w:tc>
      </w:tr>
      <w:tr w:rsidR="00C033B5" w:rsidRPr="00746567" w14:paraId="44829CD8" w14:textId="77777777">
        <w:trPr>
          <w:trHeight w:val="20"/>
        </w:trPr>
        <w:tc>
          <w:tcPr>
            <w:tcW w:w="0" w:type="auto"/>
            <w:tcMar>
              <w:top w:w="0" w:type="dxa"/>
              <w:left w:w="115" w:type="dxa"/>
              <w:bottom w:w="0" w:type="dxa"/>
              <w:right w:w="115" w:type="dxa"/>
            </w:tcMar>
            <w:vAlign w:val="center"/>
            <w:hideMark/>
          </w:tcPr>
          <w:p w14:paraId="4295C5FE" w14:textId="77777777" w:rsidR="00C033B5" w:rsidRPr="00746567" w:rsidRDefault="00C033B5" w:rsidP="00C033B5">
            <w:pPr>
              <w:rPr>
                <w:rFonts w:asciiTheme="majorBidi" w:hAnsiTheme="majorBidi" w:cstheme="majorBidi"/>
              </w:rPr>
            </w:pPr>
            <w:r w:rsidRPr="00746567">
              <w:rPr>
                <w:rFonts w:asciiTheme="majorBidi" w:hAnsiTheme="majorBidi" w:cstheme="majorBidi"/>
              </w:rPr>
              <w:t>Business Loan</w:t>
            </w:r>
          </w:p>
        </w:tc>
        <w:tc>
          <w:tcPr>
            <w:tcW w:w="0" w:type="auto"/>
            <w:tcMar>
              <w:top w:w="0" w:type="dxa"/>
              <w:left w:w="115" w:type="dxa"/>
              <w:bottom w:w="0" w:type="dxa"/>
              <w:right w:w="115" w:type="dxa"/>
            </w:tcMar>
            <w:vAlign w:val="center"/>
            <w:hideMark/>
          </w:tcPr>
          <w:p w14:paraId="06D97A84" w14:textId="77777777" w:rsidR="00C033B5" w:rsidRPr="00746567" w:rsidRDefault="00C033B5" w:rsidP="00C033B5">
            <w:pPr>
              <w:rPr>
                <w:rFonts w:asciiTheme="majorBidi" w:hAnsiTheme="majorBidi" w:cstheme="majorBidi"/>
              </w:rPr>
            </w:pPr>
            <w:r w:rsidRPr="00746567">
              <w:rPr>
                <w:rFonts w:asciiTheme="majorBidi" w:hAnsiTheme="majorBidi" w:cstheme="majorBidi"/>
              </w:rPr>
              <w:t>-0.0299***</w:t>
            </w:r>
          </w:p>
        </w:tc>
        <w:tc>
          <w:tcPr>
            <w:tcW w:w="0" w:type="auto"/>
            <w:tcMar>
              <w:top w:w="0" w:type="dxa"/>
              <w:left w:w="115" w:type="dxa"/>
              <w:bottom w:w="0" w:type="dxa"/>
              <w:right w:w="115" w:type="dxa"/>
            </w:tcMar>
            <w:vAlign w:val="center"/>
            <w:hideMark/>
          </w:tcPr>
          <w:p w14:paraId="603DDA3D" w14:textId="77777777" w:rsidR="00C033B5" w:rsidRPr="00746567" w:rsidRDefault="00C033B5" w:rsidP="00C033B5">
            <w:pPr>
              <w:rPr>
                <w:rFonts w:asciiTheme="majorBidi" w:hAnsiTheme="majorBidi" w:cstheme="majorBidi"/>
              </w:rPr>
            </w:pPr>
            <w:r w:rsidRPr="00746567">
              <w:rPr>
                <w:rFonts w:asciiTheme="majorBidi" w:hAnsiTheme="majorBidi" w:cstheme="majorBidi"/>
              </w:rPr>
              <w:t>-0.0412***</w:t>
            </w:r>
          </w:p>
        </w:tc>
        <w:tc>
          <w:tcPr>
            <w:tcW w:w="0" w:type="auto"/>
            <w:tcMar>
              <w:top w:w="0" w:type="dxa"/>
              <w:left w:w="115" w:type="dxa"/>
              <w:bottom w:w="0" w:type="dxa"/>
              <w:right w:w="115" w:type="dxa"/>
            </w:tcMar>
            <w:hideMark/>
          </w:tcPr>
          <w:p w14:paraId="3FEA508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1B1FC98C" w14:textId="77777777" w:rsidR="00C033B5" w:rsidRPr="00746567" w:rsidRDefault="00C033B5" w:rsidP="00C033B5">
            <w:pPr>
              <w:rPr>
                <w:rFonts w:asciiTheme="majorBidi" w:hAnsiTheme="majorBidi" w:cstheme="majorBidi"/>
              </w:rPr>
            </w:pPr>
            <w:r w:rsidRPr="00746567">
              <w:rPr>
                <w:rFonts w:asciiTheme="majorBidi" w:hAnsiTheme="majorBidi" w:cstheme="majorBidi"/>
              </w:rPr>
              <w:t>-0.1314</w:t>
            </w:r>
          </w:p>
        </w:tc>
        <w:tc>
          <w:tcPr>
            <w:tcW w:w="0" w:type="auto"/>
            <w:tcMar>
              <w:top w:w="0" w:type="dxa"/>
              <w:left w:w="115" w:type="dxa"/>
              <w:bottom w:w="0" w:type="dxa"/>
              <w:right w:w="115" w:type="dxa"/>
            </w:tcMar>
            <w:hideMark/>
          </w:tcPr>
          <w:p w14:paraId="2D83C16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-0.0008</w:t>
            </w:r>
          </w:p>
        </w:tc>
        <w:tc>
          <w:tcPr>
            <w:tcW w:w="0" w:type="auto"/>
            <w:tcMar>
              <w:top w:w="0" w:type="dxa"/>
              <w:left w:w="115" w:type="dxa"/>
              <w:bottom w:w="0" w:type="dxa"/>
              <w:right w:w="115" w:type="dxa"/>
            </w:tcMar>
            <w:hideMark/>
          </w:tcPr>
          <w:p w14:paraId="32A0239A" w14:textId="77777777" w:rsidR="00C033B5" w:rsidRPr="00746567" w:rsidRDefault="00C033B5" w:rsidP="00C033B5">
            <w:pPr>
              <w:rPr>
                <w:rFonts w:asciiTheme="majorBidi" w:hAnsiTheme="majorBidi" w:cstheme="majorBidi"/>
              </w:rPr>
            </w:pPr>
            <w:r w:rsidRPr="00746567">
              <w:rPr>
                <w:rFonts w:asciiTheme="majorBidi" w:hAnsiTheme="majorBidi" w:cstheme="majorBidi"/>
              </w:rPr>
              <w:t>-0.1642***</w:t>
            </w:r>
          </w:p>
        </w:tc>
      </w:tr>
      <w:tr w:rsidR="00C033B5" w:rsidRPr="00746567" w14:paraId="49A7D844" w14:textId="77777777">
        <w:trPr>
          <w:trHeight w:val="20"/>
        </w:trPr>
        <w:tc>
          <w:tcPr>
            <w:tcW w:w="0" w:type="auto"/>
            <w:tcMar>
              <w:top w:w="0" w:type="dxa"/>
              <w:left w:w="115" w:type="dxa"/>
              <w:bottom w:w="0" w:type="dxa"/>
              <w:right w:w="115" w:type="dxa"/>
            </w:tcMar>
            <w:vAlign w:val="center"/>
            <w:hideMark/>
          </w:tcPr>
          <w:p w14:paraId="61C7D26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9DF7B4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(0.0037)</w:t>
            </w:r>
          </w:p>
        </w:tc>
        <w:tc>
          <w:tcPr>
            <w:tcW w:w="0" w:type="auto"/>
            <w:tcMar>
              <w:top w:w="0" w:type="dxa"/>
              <w:left w:w="115" w:type="dxa"/>
              <w:bottom w:w="0" w:type="dxa"/>
              <w:right w:w="115" w:type="dxa"/>
            </w:tcMar>
            <w:vAlign w:val="center"/>
            <w:hideMark/>
          </w:tcPr>
          <w:p w14:paraId="1D89460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(0.0025)</w:t>
            </w:r>
          </w:p>
        </w:tc>
        <w:tc>
          <w:tcPr>
            <w:tcW w:w="0" w:type="auto"/>
            <w:tcMar>
              <w:top w:w="0" w:type="dxa"/>
              <w:left w:w="115" w:type="dxa"/>
              <w:bottom w:w="0" w:type="dxa"/>
              <w:right w:w="115" w:type="dxa"/>
            </w:tcMar>
            <w:hideMark/>
          </w:tcPr>
          <w:p w14:paraId="365088A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(0.0011)</w:t>
            </w:r>
          </w:p>
        </w:tc>
        <w:tc>
          <w:tcPr>
            <w:tcW w:w="0" w:type="auto"/>
            <w:tcMar>
              <w:top w:w="0" w:type="dxa"/>
              <w:left w:w="115" w:type="dxa"/>
              <w:bottom w:w="0" w:type="dxa"/>
              <w:right w:w="115" w:type="dxa"/>
            </w:tcMar>
            <w:hideMark/>
          </w:tcPr>
          <w:p w14:paraId="4A986B01" w14:textId="77777777" w:rsidR="00C033B5" w:rsidRPr="00746567" w:rsidRDefault="00C033B5" w:rsidP="00C033B5">
            <w:pPr>
              <w:rPr>
                <w:rFonts w:asciiTheme="majorBidi" w:hAnsiTheme="majorBidi" w:cstheme="majorBidi"/>
              </w:rPr>
            </w:pPr>
            <w:r w:rsidRPr="00746567">
              <w:rPr>
                <w:rFonts w:asciiTheme="majorBidi" w:hAnsiTheme="majorBidi" w:cstheme="majorBidi"/>
              </w:rPr>
              <w:t>(0.0894)</w:t>
            </w:r>
          </w:p>
        </w:tc>
        <w:tc>
          <w:tcPr>
            <w:tcW w:w="0" w:type="auto"/>
            <w:tcMar>
              <w:top w:w="0" w:type="dxa"/>
              <w:left w:w="115" w:type="dxa"/>
              <w:bottom w:w="0" w:type="dxa"/>
              <w:right w:w="115" w:type="dxa"/>
            </w:tcMar>
            <w:hideMark/>
          </w:tcPr>
          <w:p w14:paraId="544DDF8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(0.0006)</w:t>
            </w:r>
          </w:p>
        </w:tc>
        <w:tc>
          <w:tcPr>
            <w:tcW w:w="0" w:type="auto"/>
            <w:tcMar>
              <w:top w:w="0" w:type="dxa"/>
              <w:left w:w="115" w:type="dxa"/>
              <w:bottom w:w="0" w:type="dxa"/>
              <w:right w:w="115" w:type="dxa"/>
            </w:tcMar>
            <w:hideMark/>
          </w:tcPr>
          <w:p w14:paraId="4A841F0B" w14:textId="77777777" w:rsidR="00C033B5" w:rsidRPr="00746567" w:rsidRDefault="00C033B5" w:rsidP="00C033B5">
            <w:pPr>
              <w:rPr>
                <w:rFonts w:asciiTheme="majorBidi" w:hAnsiTheme="majorBidi" w:cstheme="majorBidi"/>
              </w:rPr>
            </w:pPr>
            <w:r w:rsidRPr="00746567">
              <w:rPr>
                <w:rFonts w:asciiTheme="majorBidi" w:hAnsiTheme="majorBidi" w:cstheme="majorBidi"/>
              </w:rPr>
              <w:t>(0.0257)</w:t>
            </w:r>
          </w:p>
        </w:tc>
      </w:tr>
      <w:tr w:rsidR="00C033B5" w:rsidRPr="00746567" w14:paraId="2B1F9757" w14:textId="77777777">
        <w:trPr>
          <w:trHeight w:val="20"/>
        </w:trPr>
        <w:tc>
          <w:tcPr>
            <w:tcW w:w="0" w:type="auto"/>
            <w:tcMar>
              <w:top w:w="0" w:type="dxa"/>
              <w:left w:w="115" w:type="dxa"/>
              <w:bottom w:w="0" w:type="dxa"/>
              <w:right w:w="115" w:type="dxa"/>
            </w:tcMar>
            <w:vAlign w:val="center"/>
            <w:hideMark/>
          </w:tcPr>
          <w:p w14:paraId="4720786D" w14:textId="77777777" w:rsidR="00C033B5" w:rsidRPr="00746567" w:rsidRDefault="00C033B5" w:rsidP="00C033B5">
            <w:pPr>
              <w:rPr>
                <w:rFonts w:asciiTheme="majorBidi" w:hAnsiTheme="majorBidi" w:cstheme="majorBidi"/>
              </w:rPr>
            </w:pPr>
            <w:r w:rsidRPr="00746567">
              <w:rPr>
                <w:rFonts w:asciiTheme="majorBidi" w:hAnsiTheme="majorBidi" w:cstheme="majorBidi"/>
              </w:rPr>
              <w:t>Car Loan</w:t>
            </w:r>
          </w:p>
        </w:tc>
        <w:tc>
          <w:tcPr>
            <w:tcW w:w="0" w:type="auto"/>
            <w:tcMar>
              <w:top w:w="0" w:type="dxa"/>
              <w:left w:w="115" w:type="dxa"/>
              <w:bottom w:w="0" w:type="dxa"/>
              <w:right w:w="115" w:type="dxa"/>
            </w:tcMar>
            <w:vAlign w:val="center"/>
            <w:hideMark/>
          </w:tcPr>
          <w:p w14:paraId="43B8D1A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0.0009</w:t>
            </w:r>
          </w:p>
        </w:tc>
        <w:tc>
          <w:tcPr>
            <w:tcW w:w="0" w:type="auto"/>
            <w:tcMar>
              <w:top w:w="0" w:type="dxa"/>
              <w:left w:w="115" w:type="dxa"/>
              <w:bottom w:w="0" w:type="dxa"/>
              <w:right w:w="115" w:type="dxa"/>
            </w:tcMar>
            <w:vAlign w:val="center"/>
            <w:hideMark/>
          </w:tcPr>
          <w:p w14:paraId="244ED3C6" w14:textId="77777777" w:rsidR="00C033B5" w:rsidRPr="00746567" w:rsidRDefault="00C033B5" w:rsidP="00C033B5">
            <w:pPr>
              <w:rPr>
                <w:rFonts w:asciiTheme="majorBidi" w:hAnsiTheme="majorBidi" w:cstheme="majorBidi"/>
              </w:rPr>
            </w:pPr>
            <w:r w:rsidRPr="00746567">
              <w:rPr>
                <w:rFonts w:asciiTheme="majorBidi" w:hAnsiTheme="majorBidi" w:cstheme="majorBidi"/>
              </w:rPr>
              <w:t>-0.0600</w:t>
            </w:r>
          </w:p>
        </w:tc>
        <w:tc>
          <w:tcPr>
            <w:tcW w:w="0" w:type="auto"/>
            <w:tcMar>
              <w:top w:w="0" w:type="dxa"/>
              <w:left w:w="115" w:type="dxa"/>
              <w:bottom w:w="0" w:type="dxa"/>
              <w:right w:w="115" w:type="dxa"/>
            </w:tcMar>
            <w:hideMark/>
          </w:tcPr>
          <w:p w14:paraId="7F1F14F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-0.0012</w:t>
            </w:r>
          </w:p>
        </w:tc>
        <w:tc>
          <w:tcPr>
            <w:tcW w:w="0" w:type="auto"/>
            <w:tcMar>
              <w:top w:w="0" w:type="dxa"/>
              <w:left w:w="115" w:type="dxa"/>
              <w:bottom w:w="0" w:type="dxa"/>
              <w:right w:w="115" w:type="dxa"/>
            </w:tcMar>
            <w:hideMark/>
          </w:tcPr>
          <w:p w14:paraId="66733C5D" w14:textId="77777777" w:rsidR="00C033B5" w:rsidRPr="00746567" w:rsidRDefault="00C033B5" w:rsidP="00C033B5">
            <w:pPr>
              <w:rPr>
                <w:rFonts w:asciiTheme="majorBidi" w:hAnsiTheme="majorBidi" w:cstheme="majorBidi"/>
              </w:rPr>
            </w:pPr>
            <w:r w:rsidRPr="00746567">
              <w:rPr>
                <w:rFonts w:asciiTheme="majorBidi" w:hAnsiTheme="majorBidi" w:cstheme="majorBidi"/>
              </w:rPr>
              <w:t>-0.1865***</w:t>
            </w:r>
          </w:p>
        </w:tc>
        <w:tc>
          <w:tcPr>
            <w:tcW w:w="0" w:type="auto"/>
            <w:tcMar>
              <w:top w:w="0" w:type="dxa"/>
              <w:left w:w="115" w:type="dxa"/>
              <w:bottom w:w="0" w:type="dxa"/>
              <w:right w:w="115" w:type="dxa"/>
            </w:tcMar>
            <w:hideMark/>
          </w:tcPr>
          <w:p w14:paraId="6DDF9B5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-0.0006</w:t>
            </w:r>
          </w:p>
        </w:tc>
        <w:tc>
          <w:tcPr>
            <w:tcW w:w="0" w:type="auto"/>
            <w:tcMar>
              <w:top w:w="0" w:type="dxa"/>
              <w:left w:w="115" w:type="dxa"/>
              <w:bottom w:w="0" w:type="dxa"/>
              <w:right w:w="115" w:type="dxa"/>
            </w:tcMar>
            <w:hideMark/>
          </w:tcPr>
          <w:p w14:paraId="365662F8" w14:textId="77777777" w:rsidR="00C033B5" w:rsidRPr="00746567" w:rsidRDefault="00C033B5" w:rsidP="00C033B5">
            <w:pPr>
              <w:rPr>
                <w:rFonts w:asciiTheme="majorBidi" w:hAnsiTheme="majorBidi" w:cstheme="majorBidi"/>
              </w:rPr>
            </w:pPr>
            <w:r w:rsidRPr="00746567">
              <w:rPr>
                <w:rFonts w:asciiTheme="majorBidi" w:hAnsiTheme="majorBidi" w:cstheme="majorBidi"/>
              </w:rPr>
              <w:t>-0.1663***</w:t>
            </w:r>
          </w:p>
        </w:tc>
      </w:tr>
      <w:tr w:rsidR="00C033B5" w:rsidRPr="00746567" w14:paraId="7BBD046D" w14:textId="77777777">
        <w:trPr>
          <w:trHeight w:val="20"/>
        </w:trPr>
        <w:tc>
          <w:tcPr>
            <w:tcW w:w="0" w:type="auto"/>
            <w:tcMar>
              <w:top w:w="0" w:type="dxa"/>
              <w:left w:w="115" w:type="dxa"/>
              <w:bottom w:w="0" w:type="dxa"/>
              <w:right w:w="115" w:type="dxa"/>
            </w:tcMar>
            <w:vAlign w:val="center"/>
            <w:hideMark/>
          </w:tcPr>
          <w:p w14:paraId="75FDB6E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15D9A2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(0.0033)</w:t>
            </w:r>
          </w:p>
        </w:tc>
        <w:tc>
          <w:tcPr>
            <w:tcW w:w="0" w:type="auto"/>
            <w:tcMar>
              <w:top w:w="0" w:type="dxa"/>
              <w:left w:w="115" w:type="dxa"/>
              <w:bottom w:w="0" w:type="dxa"/>
              <w:right w:w="115" w:type="dxa"/>
            </w:tcMar>
            <w:vAlign w:val="center"/>
            <w:hideMark/>
          </w:tcPr>
          <w:p w14:paraId="1EEF778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(0.0017)</w:t>
            </w:r>
          </w:p>
        </w:tc>
        <w:tc>
          <w:tcPr>
            <w:tcW w:w="0" w:type="auto"/>
            <w:tcMar>
              <w:top w:w="0" w:type="dxa"/>
              <w:left w:w="115" w:type="dxa"/>
              <w:bottom w:w="0" w:type="dxa"/>
              <w:right w:w="115" w:type="dxa"/>
            </w:tcMar>
            <w:hideMark/>
          </w:tcPr>
          <w:p w14:paraId="63C83F3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(0.0007)</w:t>
            </w:r>
          </w:p>
        </w:tc>
        <w:tc>
          <w:tcPr>
            <w:tcW w:w="0" w:type="auto"/>
            <w:tcMar>
              <w:top w:w="0" w:type="dxa"/>
              <w:left w:w="115" w:type="dxa"/>
              <w:bottom w:w="0" w:type="dxa"/>
              <w:right w:w="115" w:type="dxa"/>
            </w:tcMar>
            <w:hideMark/>
          </w:tcPr>
          <w:p w14:paraId="142E1965" w14:textId="77777777" w:rsidR="00C033B5" w:rsidRPr="00746567" w:rsidRDefault="00C033B5" w:rsidP="00C033B5">
            <w:pPr>
              <w:rPr>
                <w:rFonts w:asciiTheme="majorBidi" w:hAnsiTheme="majorBidi" w:cstheme="majorBidi"/>
              </w:rPr>
            </w:pPr>
            <w:r w:rsidRPr="00746567">
              <w:rPr>
                <w:rFonts w:asciiTheme="majorBidi" w:hAnsiTheme="majorBidi" w:cstheme="majorBidi"/>
              </w:rPr>
              <w:t>(0.0224)</w:t>
            </w:r>
          </w:p>
        </w:tc>
        <w:tc>
          <w:tcPr>
            <w:tcW w:w="0" w:type="auto"/>
            <w:tcMar>
              <w:top w:w="0" w:type="dxa"/>
              <w:left w:w="115" w:type="dxa"/>
              <w:bottom w:w="0" w:type="dxa"/>
              <w:right w:w="115" w:type="dxa"/>
            </w:tcMar>
            <w:hideMark/>
          </w:tcPr>
          <w:p w14:paraId="4790E73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(0.0008)</w:t>
            </w:r>
          </w:p>
        </w:tc>
        <w:tc>
          <w:tcPr>
            <w:tcW w:w="0" w:type="auto"/>
            <w:tcMar>
              <w:top w:w="0" w:type="dxa"/>
              <w:left w:w="115" w:type="dxa"/>
              <w:bottom w:w="0" w:type="dxa"/>
              <w:right w:w="115" w:type="dxa"/>
            </w:tcMar>
            <w:hideMark/>
          </w:tcPr>
          <w:p w14:paraId="1D024926" w14:textId="77777777" w:rsidR="00C033B5" w:rsidRPr="00746567" w:rsidRDefault="00C033B5" w:rsidP="00C033B5">
            <w:pPr>
              <w:rPr>
                <w:rFonts w:asciiTheme="majorBidi" w:hAnsiTheme="majorBidi" w:cstheme="majorBidi"/>
              </w:rPr>
            </w:pPr>
            <w:r w:rsidRPr="00746567">
              <w:rPr>
                <w:rFonts w:asciiTheme="majorBidi" w:hAnsiTheme="majorBidi" w:cstheme="majorBidi"/>
              </w:rPr>
              <w:t>(0.0130)</w:t>
            </w:r>
          </w:p>
        </w:tc>
      </w:tr>
      <w:tr w:rsidR="00C033B5" w:rsidRPr="00746567" w14:paraId="0F8A920B" w14:textId="77777777">
        <w:trPr>
          <w:trHeight w:val="20"/>
        </w:trPr>
        <w:tc>
          <w:tcPr>
            <w:tcW w:w="0" w:type="auto"/>
            <w:tcMar>
              <w:top w:w="0" w:type="dxa"/>
              <w:left w:w="115" w:type="dxa"/>
              <w:bottom w:w="0" w:type="dxa"/>
              <w:right w:w="115" w:type="dxa"/>
            </w:tcMar>
            <w:vAlign w:val="center"/>
            <w:hideMark/>
          </w:tcPr>
          <w:p w14:paraId="1D5FD0B2" w14:textId="77777777" w:rsidR="00C033B5" w:rsidRPr="00746567" w:rsidRDefault="00C033B5" w:rsidP="00C033B5">
            <w:pPr>
              <w:rPr>
                <w:rFonts w:asciiTheme="majorBidi" w:hAnsiTheme="majorBidi" w:cstheme="majorBidi"/>
              </w:rPr>
            </w:pPr>
            <w:r w:rsidRPr="00746567">
              <w:rPr>
                <w:rFonts w:asciiTheme="majorBidi" w:hAnsiTheme="majorBidi" w:cstheme="majorBidi"/>
              </w:rPr>
              <w:t>Mortgage Loan</w:t>
            </w:r>
          </w:p>
        </w:tc>
        <w:tc>
          <w:tcPr>
            <w:tcW w:w="0" w:type="auto"/>
            <w:tcMar>
              <w:top w:w="0" w:type="dxa"/>
              <w:left w:w="115" w:type="dxa"/>
              <w:bottom w:w="0" w:type="dxa"/>
              <w:right w:w="115" w:type="dxa"/>
            </w:tcMar>
            <w:vAlign w:val="center"/>
            <w:hideMark/>
          </w:tcPr>
          <w:p w14:paraId="7FD60351" w14:textId="77777777" w:rsidR="00C033B5" w:rsidRPr="00746567" w:rsidRDefault="00C033B5" w:rsidP="00C033B5">
            <w:pPr>
              <w:rPr>
                <w:rFonts w:asciiTheme="majorBidi" w:hAnsiTheme="majorBidi" w:cstheme="majorBidi"/>
              </w:rPr>
            </w:pPr>
            <w:r w:rsidRPr="00746567">
              <w:rPr>
                <w:rFonts w:asciiTheme="majorBidi" w:hAnsiTheme="majorBidi" w:cstheme="majorBidi"/>
              </w:rPr>
              <w:t>-0.0681***</w:t>
            </w:r>
          </w:p>
        </w:tc>
        <w:tc>
          <w:tcPr>
            <w:tcW w:w="0" w:type="auto"/>
            <w:tcMar>
              <w:top w:w="0" w:type="dxa"/>
              <w:left w:w="115" w:type="dxa"/>
              <w:bottom w:w="0" w:type="dxa"/>
              <w:right w:w="115" w:type="dxa"/>
            </w:tcMar>
            <w:vAlign w:val="center"/>
            <w:hideMark/>
          </w:tcPr>
          <w:p w14:paraId="504A45A4" w14:textId="77777777" w:rsidR="00C033B5" w:rsidRPr="00746567" w:rsidRDefault="00C033B5" w:rsidP="00C033B5">
            <w:pPr>
              <w:rPr>
                <w:rFonts w:asciiTheme="majorBidi" w:hAnsiTheme="majorBidi" w:cstheme="majorBidi"/>
              </w:rPr>
            </w:pPr>
            <w:r w:rsidRPr="00746567">
              <w:rPr>
                <w:rFonts w:asciiTheme="majorBidi" w:hAnsiTheme="majorBidi" w:cstheme="majorBidi"/>
              </w:rPr>
              <w:t>-0.1474***</w:t>
            </w:r>
          </w:p>
        </w:tc>
        <w:tc>
          <w:tcPr>
            <w:tcW w:w="0" w:type="auto"/>
            <w:tcMar>
              <w:top w:w="0" w:type="dxa"/>
              <w:left w:w="115" w:type="dxa"/>
              <w:bottom w:w="0" w:type="dxa"/>
              <w:right w:w="115" w:type="dxa"/>
            </w:tcMar>
            <w:hideMark/>
          </w:tcPr>
          <w:p w14:paraId="4C5E914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-0.0014**</w:t>
            </w:r>
          </w:p>
        </w:tc>
        <w:tc>
          <w:tcPr>
            <w:tcW w:w="0" w:type="auto"/>
            <w:tcMar>
              <w:top w:w="0" w:type="dxa"/>
              <w:left w:w="115" w:type="dxa"/>
              <w:bottom w:w="0" w:type="dxa"/>
              <w:right w:w="115" w:type="dxa"/>
            </w:tcMar>
            <w:hideMark/>
          </w:tcPr>
          <w:p w14:paraId="62F8FFF3" w14:textId="77777777" w:rsidR="00C033B5" w:rsidRPr="00746567" w:rsidRDefault="00C033B5" w:rsidP="00C033B5">
            <w:pPr>
              <w:rPr>
                <w:rFonts w:asciiTheme="majorBidi" w:hAnsiTheme="majorBidi" w:cstheme="majorBidi"/>
              </w:rPr>
            </w:pPr>
            <w:r w:rsidRPr="00746567">
              <w:rPr>
                <w:rFonts w:asciiTheme="majorBidi" w:hAnsiTheme="majorBidi" w:cstheme="majorBidi"/>
              </w:rPr>
              <w:t>-0.1932***</w:t>
            </w:r>
          </w:p>
        </w:tc>
        <w:tc>
          <w:tcPr>
            <w:tcW w:w="0" w:type="auto"/>
            <w:tcMar>
              <w:top w:w="0" w:type="dxa"/>
              <w:left w:w="115" w:type="dxa"/>
              <w:bottom w:w="0" w:type="dxa"/>
              <w:right w:w="115" w:type="dxa"/>
            </w:tcMar>
            <w:hideMark/>
          </w:tcPr>
          <w:p w14:paraId="05800A5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-0.0010*</w:t>
            </w:r>
          </w:p>
        </w:tc>
        <w:tc>
          <w:tcPr>
            <w:tcW w:w="0" w:type="auto"/>
            <w:tcMar>
              <w:top w:w="0" w:type="dxa"/>
              <w:left w:w="115" w:type="dxa"/>
              <w:bottom w:w="0" w:type="dxa"/>
              <w:right w:w="115" w:type="dxa"/>
            </w:tcMar>
            <w:hideMark/>
          </w:tcPr>
          <w:p w14:paraId="1C193ECA" w14:textId="77777777" w:rsidR="00C033B5" w:rsidRPr="00746567" w:rsidRDefault="00C033B5" w:rsidP="00C033B5">
            <w:pPr>
              <w:rPr>
                <w:rFonts w:asciiTheme="majorBidi" w:hAnsiTheme="majorBidi" w:cstheme="majorBidi"/>
              </w:rPr>
            </w:pPr>
            <w:r w:rsidRPr="00746567">
              <w:rPr>
                <w:rFonts w:asciiTheme="majorBidi" w:hAnsiTheme="majorBidi" w:cstheme="majorBidi"/>
              </w:rPr>
              <w:t>-0.1799***</w:t>
            </w:r>
          </w:p>
        </w:tc>
      </w:tr>
      <w:tr w:rsidR="00C033B5" w:rsidRPr="00746567" w14:paraId="3DC5F0C9" w14:textId="77777777">
        <w:trPr>
          <w:trHeight w:val="20"/>
        </w:trPr>
        <w:tc>
          <w:tcPr>
            <w:tcW w:w="0" w:type="auto"/>
            <w:tcMar>
              <w:top w:w="0" w:type="dxa"/>
              <w:left w:w="115" w:type="dxa"/>
              <w:bottom w:w="0" w:type="dxa"/>
              <w:right w:w="115" w:type="dxa"/>
            </w:tcMar>
            <w:vAlign w:val="center"/>
            <w:hideMark/>
          </w:tcPr>
          <w:p w14:paraId="52116E7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1C8779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(0.0070)</w:t>
            </w:r>
          </w:p>
        </w:tc>
        <w:tc>
          <w:tcPr>
            <w:tcW w:w="0" w:type="auto"/>
            <w:tcMar>
              <w:top w:w="0" w:type="dxa"/>
              <w:left w:w="115" w:type="dxa"/>
              <w:bottom w:w="0" w:type="dxa"/>
              <w:right w:w="115" w:type="dxa"/>
            </w:tcMar>
            <w:vAlign w:val="center"/>
            <w:hideMark/>
          </w:tcPr>
          <w:p w14:paraId="02A1C9C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(0.0066)</w:t>
            </w:r>
          </w:p>
        </w:tc>
        <w:tc>
          <w:tcPr>
            <w:tcW w:w="0" w:type="auto"/>
            <w:tcMar>
              <w:top w:w="0" w:type="dxa"/>
              <w:left w:w="115" w:type="dxa"/>
              <w:bottom w:w="0" w:type="dxa"/>
              <w:right w:w="115" w:type="dxa"/>
            </w:tcMar>
            <w:hideMark/>
          </w:tcPr>
          <w:p w14:paraId="13C7C2C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(0.0007)</w:t>
            </w:r>
          </w:p>
        </w:tc>
        <w:tc>
          <w:tcPr>
            <w:tcW w:w="0" w:type="auto"/>
            <w:tcMar>
              <w:top w:w="0" w:type="dxa"/>
              <w:left w:w="115" w:type="dxa"/>
              <w:bottom w:w="0" w:type="dxa"/>
              <w:right w:w="115" w:type="dxa"/>
            </w:tcMar>
            <w:hideMark/>
          </w:tcPr>
          <w:p w14:paraId="7187F5B9" w14:textId="77777777" w:rsidR="00C033B5" w:rsidRPr="00746567" w:rsidRDefault="00C033B5" w:rsidP="00C033B5">
            <w:pPr>
              <w:rPr>
                <w:rFonts w:asciiTheme="majorBidi" w:hAnsiTheme="majorBidi" w:cstheme="majorBidi"/>
              </w:rPr>
            </w:pPr>
            <w:r w:rsidRPr="00746567">
              <w:rPr>
                <w:rFonts w:asciiTheme="majorBidi" w:hAnsiTheme="majorBidi" w:cstheme="majorBidi"/>
              </w:rPr>
              <w:t>(0.0217)</w:t>
            </w:r>
          </w:p>
        </w:tc>
        <w:tc>
          <w:tcPr>
            <w:tcW w:w="0" w:type="auto"/>
            <w:tcMar>
              <w:top w:w="0" w:type="dxa"/>
              <w:left w:w="115" w:type="dxa"/>
              <w:bottom w:w="0" w:type="dxa"/>
              <w:right w:w="115" w:type="dxa"/>
            </w:tcMar>
            <w:hideMark/>
          </w:tcPr>
          <w:p w14:paraId="07EA9D9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(0.0006)</w:t>
            </w:r>
          </w:p>
        </w:tc>
        <w:tc>
          <w:tcPr>
            <w:tcW w:w="0" w:type="auto"/>
            <w:tcMar>
              <w:top w:w="0" w:type="dxa"/>
              <w:left w:w="115" w:type="dxa"/>
              <w:bottom w:w="0" w:type="dxa"/>
              <w:right w:w="115" w:type="dxa"/>
            </w:tcMar>
            <w:hideMark/>
          </w:tcPr>
          <w:p w14:paraId="4EAC29A1" w14:textId="77777777" w:rsidR="00C033B5" w:rsidRPr="00746567" w:rsidRDefault="00C033B5" w:rsidP="00C033B5">
            <w:pPr>
              <w:rPr>
                <w:rFonts w:asciiTheme="majorBidi" w:hAnsiTheme="majorBidi" w:cstheme="majorBidi"/>
              </w:rPr>
            </w:pPr>
            <w:r w:rsidRPr="00746567">
              <w:rPr>
                <w:rFonts w:asciiTheme="majorBidi" w:hAnsiTheme="majorBidi" w:cstheme="majorBidi"/>
              </w:rPr>
              <w:t>(0.0126)</w:t>
            </w:r>
          </w:p>
        </w:tc>
      </w:tr>
      <w:tr w:rsidR="00C033B5" w:rsidRPr="00746567" w14:paraId="4978C509" w14:textId="77777777">
        <w:trPr>
          <w:trHeight w:val="20"/>
        </w:trPr>
        <w:tc>
          <w:tcPr>
            <w:tcW w:w="0" w:type="auto"/>
            <w:tcMar>
              <w:top w:w="0" w:type="dxa"/>
              <w:left w:w="115" w:type="dxa"/>
              <w:bottom w:w="0" w:type="dxa"/>
              <w:right w:w="115" w:type="dxa"/>
            </w:tcMar>
            <w:vAlign w:val="center"/>
            <w:hideMark/>
          </w:tcPr>
          <w:p w14:paraId="6DB32D0D" w14:textId="77777777" w:rsidR="00C033B5" w:rsidRPr="00746567" w:rsidRDefault="00C033B5" w:rsidP="00C033B5">
            <w:pPr>
              <w:rPr>
                <w:rFonts w:asciiTheme="majorBidi" w:hAnsiTheme="majorBidi" w:cstheme="majorBidi"/>
              </w:rPr>
            </w:pPr>
            <w:r w:rsidRPr="00746567">
              <w:rPr>
                <w:rFonts w:asciiTheme="majorBidi" w:hAnsiTheme="majorBidi" w:cstheme="majorBidi"/>
              </w:rPr>
              <w:t>Pawnbroking Loan</w:t>
            </w:r>
          </w:p>
        </w:tc>
        <w:tc>
          <w:tcPr>
            <w:tcW w:w="0" w:type="auto"/>
            <w:tcMar>
              <w:top w:w="0" w:type="dxa"/>
              <w:left w:w="115" w:type="dxa"/>
              <w:bottom w:w="0" w:type="dxa"/>
              <w:right w:w="115" w:type="dxa"/>
            </w:tcMar>
            <w:vAlign w:val="center"/>
            <w:hideMark/>
          </w:tcPr>
          <w:p w14:paraId="0DD44A5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0.0094***</w:t>
            </w:r>
          </w:p>
        </w:tc>
        <w:tc>
          <w:tcPr>
            <w:tcW w:w="0" w:type="auto"/>
            <w:tcMar>
              <w:top w:w="0" w:type="dxa"/>
              <w:left w:w="115" w:type="dxa"/>
              <w:bottom w:w="0" w:type="dxa"/>
              <w:right w:w="115" w:type="dxa"/>
            </w:tcMar>
            <w:vAlign w:val="center"/>
            <w:hideMark/>
          </w:tcPr>
          <w:p w14:paraId="243537A3" w14:textId="77777777" w:rsidR="00C033B5" w:rsidRPr="00746567" w:rsidRDefault="00C033B5" w:rsidP="00C033B5">
            <w:pPr>
              <w:rPr>
                <w:rFonts w:asciiTheme="majorBidi" w:hAnsiTheme="majorBidi" w:cstheme="majorBidi"/>
              </w:rPr>
            </w:pPr>
            <w:r w:rsidRPr="00746567">
              <w:rPr>
                <w:rFonts w:asciiTheme="majorBidi" w:hAnsiTheme="majorBidi" w:cstheme="majorBidi"/>
              </w:rPr>
              <w:t>-0.1089***</w:t>
            </w:r>
          </w:p>
        </w:tc>
        <w:tc>
          <w:tcPr>
            <w:tcW w:w="0" w:type="auto"/>
            <w:tcMar>
              <w:top w:w="0" w:type="dxa"/>
              <w:left w:w="115" w:type="dxa"/>
              <w:bottom w:w="0" w:type="dxa"/>
              <w:right w:w="115" w:type="dxa"/>
            </w:tcMar>
            <w:hideMark/>
          </w:tcPr>
          <w:p w14:paraId="28A432F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-0.0015**</w:t>
            </w:r>
          </w:p>
        </w:tc>
        <w:tc>
          <w:tcPr>
            <w:tcW w:w="0" w:type="auto"/>
            <w:tcMar>
              <w:top w:w="0" w:type="dxa"/>
              <w:left w:w="115" w:type="dxa"/>
              <w:bottom w:w="0" w:type="dxa"/>
              <w:right w:w="115" w:type="dxa"/>
            </w:tcMar>
            <w:hideMark/>
          </w:tcPr>
          <w:p w14:paraId="3E451EC1" w14:textId="77777777" w:rsidR="00C033B5" w:rsidRPr="00746567" w:rsidRDefault="00C033B5" w:rsidP="00C033B5">
            <w:pPr>
              <w:rPr>
                <w:rFonts w:asciiTheme="majorBidi" w:hAnsiTheme="majorBidi" w:cstheme="majorBidi"/>
              </w:rPr>
            </w:pPr>
            <w:r w:rsidRPr="00746567">
              <w:rPr>
                <w:rFonts w:asciiTheme="majorBidi" w:hAnsiTheme="majorBidi" w:cstheme="majorBidi"/>
              </w:rPr>
              <w:t>-0.1167***</w:t>
            </w:r>
          </w:p>
        </w:tc>
        <w:tc>
          <w:tcPr>
            <w:tcW w:w="0" w:type="auto"/>
            <w:tcMar>
              <w:top w:w="0" w:type="dxa"/>
              <w:left w:w="115" w:type="dxa"/>
              <w:bottom w:w="0" w:type="dxa"/>
              <w:right w:w="115" w:type="dxa"/>
            </w:tcMar>
            <w:hideMark/>
          </w:tcPr>
          <w:p w14:paraId="7CB99BD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-0.0011**</w:t>
            </w:r>
          </w:p>
        </w:tc>
        <w:tc>
          <w:tcPr>
            <w:tcW w:w="0" w:type="auto"/>
            <w:tcMar>
              <w:top w:w="0" w:type="dxa"/>
              <w:left w:w="115" w:type="dxa"/>
              <w:bottom w:w="0" w:type="dxa"/>
              <w:right w:w="115" w:type="dxa"/>
            </w:tcMar>
            <w:hideMark/>
          </w:tcPr>
          <w:p w14:paraId="779C7D1D" w14:textId="77777777" w:rsidR="00C033B5" w:rsidRPr="00746567" w:rsidRDefault="00C033B5" w:rsidP="00C033B5">
            <w:pPr>
              <w:rPr>
                <w:rFonts w:asciiTheme="majorBidi" w:hAnsiTheme="majorBidi" w:cstheme="majorBidi"/>
              </w:rPr>
            </w:pPr>
            <w:r w:rsidRPr="00746567">
              <w:rPr>
                <w:rFonts w:asciiTheme="majorBidi" w:hAnsiTheme="majorBidi" w:cstheme="majorBidi"/>
              </w:rPr>
              <w:t>-0.0800***</w:t>
            </w:r>
          </w:p>
        </w:tc>
      </w:tr>
      <w:tr w:rsidR="00C033B5" w:rsidRPr="00746567" w14:paraId="3F304051" w14:textId="77777777">
        <w:trPr>
          <w:trHeight w:val="20"/>
        </w:trPr>
        <w:tc>
          <w:tcPr>
            <w:tcW w:w="0" w:type="auto"/>
            <w:tcMar>
              <w:top w:w="0" w:type="dxa"/>
              <w:left w:w="115" w:type="dxa"/>
              <w:bottom w:w="0" w:type="dxa"/>
              <w:right w:w="115" w:type="dxa"/>
            </w:tcMar>
            <w:vAlign w:val="center"/>
            <w:hideMark/>
          </w:tcPr>
          <w:p w14:paraId="392BBBB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DCD465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(0.0038)</w:t>
            </w:r>
          </w:p>
        </w:tc>
        <w:tc>
          <w:tcPr>
            <w:tcW w:w="0" w:type="auto"/>
            <w:tcMar>
              <w:top w:w="0" w:type="dxa"/>
              <w:left w:w="115" w:type="dxa"/>
              <w:bottom w:w="0" w:type="dxa"/>
              <w:right w:w="115" w:type="dxa"/>
            </w:tcMar>
            <w:vAlign w:val="center"/>
            <w:hideMark/>
          </w:tcPr>
          <w:p w14:paraId="270FDF1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(0.0022)</w:t>
            </w:r>
          </w:p>
        </w:tc>
        <w:tc>
          <w:tcPr>
            <w:tcW w:w="0" w:type="auto"/>
            <w:tcMar>
              <w:top w:w="0" w:type="dxa"/>
              <w:left w:w="115" w:type="dxa"/>
              <w:bottom w:w="0" w:type="dxa"/>
              <w:right w:w="115" w:type="dxa"/>
            </w:tcMar>
            <w:hideMark/>
          </w:tcPr>
          <w:p w14:paraId="26EED97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(0.0007)</w:t>
            </w:r>
          </w:p>
        </w:tc>
        <w:tc>
          <w:tcPr>
            <w:tcW w:w="0" w:type="auto"/>
            <w:tcMar>
              <w:top w:w="0" w:type="dxa"/>
              <w:left w:w="115" w:type="dxa"/>
              <w:bottom w:w="0" w:type="dxa"/>
              <w:right w:w="115" w:type="dxa"/>
            </w:tcMar>
            <w:hideMark/>
          </w:tcPr>
          <w:p w14:paraId="3418743B" w14:textId="77777777" w:rsidR="00C033B5" w:rsidRPr="00746567" w:rsidRDefault="00C033B5" w:rsidP="00C033B5">
            <w:pPr>
              <w:rPr>
                <w:rFonts w:asciiTheme="majorBidi" w:hAnsiTheme="majorBidi" w:cstheme="majorBidi"/>
              </w:rPr>
            </w:pPr>
            <w:r w:rsidRPr="00746567">
              <w:rPr>
                <w:rFonts w:asciiTheme="majorBidi" w:hAnsiTheme="majorBidi" w:cstheme="majorBidi"/>
              </w:rPr>
              <w:t>(0.0382)</w:t>
            </w:r>
          </w:p>
        </w:tc>
        <w:tc>
          <w:tcPr>
            <w:tcW w:w="0" w:type="auto"/>
            <w:tcMar>
              <w:top w:w="0" w:type="dxa"/>
              <w:left w:w="115" w:type="dxa"/>
              <w:bottom w:w="0" w:type="dxa"/>
              <w:right w:w="115" w:type="dxa"/>
            </w:tcMar>
            <w:hideMark/>
          </w:tcPr>
          <w:p w14:paraId="292FCD6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(0.0005)</w:t>
            </w:r>
          </w:p>
        </w:tc>
        <w:tc>
          <w:tcPr>
            <w:tcW w:w="0" w:type="auto"/>
            <w:tcMar>
              <w:top w:w="0" w:type="dxa"/>
              <w:left w:w="115" w:type="dxa"/>
              <w:bottom w:w="0" w:type="dxa"/>
              <w:right w:w="115" w:type="dxa"/>
            </w:tcMar>
            <w:hideMark/>
          </w:tcPr>
          <w:p w14:paraId="29E7DDAF" w14:textId="77777777" w:rsidR="00C033B5" w:rsidRPr="00746567" w:rsidRDefault="00C033B5" w:rsidP="00C033B5">
            <w:pPr>
              <w:rPr>
                <w:rFonts w:asciiTheme="majorBidi" w:hAnsiTheme="majorBidi" w:cstheme="majorBidi"/>
              </w:rPr>
            </w:pPr>
            <w:r w:rsidRPr="00746567">
              <w:rPr>
                <w:rFonts w:asciiTheme="majorBidi" w:hAnsiTheme="majorBidi" w:cstheme="majorBidi"/>
              </w:rPr>
              <w:t>(0.0260)</w:t>
            </w:r>
          </w:p>
        </w:tc>
      </w:tr>
      <w:tr w:rsidR="00C033B5" w:rsidRPr="00746567" w14:paraId="4033B4E7" w14:textId="77777777">
        <w:trPr>
          <w:trHeight w:val="20"/>
        </w:trPr>
        <w:tc>
          <w:tcPr>
            <w:tcW w:w="0" w:type="auto"/>
            <w:tcMar>
              <w:top w:w="0" w:type="dxa"/>
              <w:left w:w="115" w:type="dxa"/>
              <w:bottom w:w="0" w:type="dxa"/>
              <w:right w:w="115" w:type="dxa"/>
            </w:tcMar>
            <w:vAlign w:val="center"/>
            <w:hideMark/>
          </w:tcPr>
          <w:p w14:paraId="392030AD" w14:textId="77777777" w:rsidR="00C033B5" w:rsidRPr="00746567" w:rsidRDefault="00C033B5" w:rsidP="00C033B5">
            <w:pPr>
              <w:rPr>
                <w:rFonts w:asciiTheme="majorBidi" w:hAnsiTheme="majorBidi" w:cstheme="majorBidi"/>
              </w:rPr>
            </w:pPr>
            <w:r w:rsidRPr="00746567">
              <w:rPr>
                <w:rFonts w:asciiTheme="majorBidi" w:hAnsiTheme="majorBidi" w:cstheme="majorBidi"/>
              </w:rPr>
              <w:t>Personal Loan</w:t>
            </w:r>
          </w:p>
        </w:tc>
        <w:tc>
          <w:tcPr>
            <w:tcW w:w="0" w:type="auto"/>
            <w:tcMar>
              <w:top w:w="0" w:type="dxa"/>
              <w:left w:w="115" w:type="dxa"/>
              <w:bottom w:w="0" w:type="dxa"/>
              <w:right w:w="115" w:type="dxa"/>
            </w:tcMar>
            <w:vAlign w:val="center"/>
            <w:hideMark/>
          </w:tcPr>
          <w:p w14:paraId="22F8411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-0.0010***</w:t>
            </w:r>
          </w:p>
        </w:tc>
        <w:tc>
          <w:tcPr>
            <w:tcW w:w="0" w:type="auto"/>
            <w:tcMar>
              <w:top w:w="0" w:type="dxa"/>
              <w:left w:w="115" w:type="dxa"/>
              <w:bottom w:w="0" w:type="dxa"/>
              <w:right w:w="115" w:type="dxa"/>
            </w:tcMar>
            <w:vAlign w:val="center"/>
            <w:hideMark/>
          </w:tcPr>
          <w:p w14:paraId="28E65DA3" w14:textId="77777777" w:rsidR="00C033B5" w:rsidRPr="00746567" w:rsidRDefault="00C033B5" w:rsidP="00C033B5">
            <w:pPr>
              <w:rPr>
                <w:rFonts w:asciiTheme="majorBidi" w:hAnsiTheme="majorBidi" w:cstheme="majorBidi"/>
              </w:rPr>
            </w:pPr>
            <w:r w:rsidRPr="00746567">
              <w:rPr>
                <w:rFonts w:asciiTheme="majorBidi" w:hAnsiTheme="majorBidi" w:cstheme="majorBidi"/>
              </w:rPr>
              <w:t>-0.0310***</w:t>
            </w:r>
          </w:p>
        </w:tc>
        <w:tc>
          <w:tcPr>
            <w:tcW w:w="0" w:type="auto"/>
            <w:tcMar>
              <w:top w:w="0" w:type="dxa"/>
              <w:left w:w="115" w:type="dxa"/>
              <w:bottom w:w="0" w:type="dxa"/>
              <w:right w:w="115" w:type="dxa"/>
            </w:tcMar>
            <w:hideMark/>
          </w:tcPr>
          <w:p w14:paraId="28A2EBD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0.0005***</w:t>
            </w:r>
          </w:p>
        </w:tc>
        <w:tc>
          <w:tcPr>
            <w:tcW w:w="0" w:type="auto"/>
            <w:tcMar>
              <w:top w:w="0" w:type="dxa"/>
              <w:left w:w="115" w:type="dxa"/>
              <w:bottom w:w="0" w:type="dxa"/>
              <w:right w:w="115" w:type="dxa"/>
            </w:tcMar>
            <w:hideMark/>
          </w:tcPr>
          <w:p w14:paraId="0D3F593A" w14:textId="77777777" w:rsidR="00C033B5" w:rsidRPr="00746567" w:rsidRDefault="00C033B5" w:rsidP="00C033B5">
            <w:pPr>
              <w:rPr>
                <w:rFonts w:asciiTheme="majorBidi" w:hAnsiTheme="majorBidi" w:cstheme="majorBidi"/>
              </w:rPr>
            </w:pPr>
            <w:r w:rsidRPr="00746567">
              <w:rPr>
                <w:rFonts w:asciiTheme="majorBidi" w:hAnsiTheme="majorBidi" w:cstheme="majorBidi"/>
              </w:rPr>
              <w:t>0.0937***</w:t>
            </w:r>
          </w:p>
        </w:tc>
        <w:tc>
          <w:tcPr>
            <w:tcW w:w="0" w:type="auto"/>
            <w:tcMar>
              <w:top w:w="0" w:type="dxa"/>
              <w:left w:w="115" w:type="dxa"/>
              <w:bottom w:w="0" w:type="dxa"/>
              <w:right w:w="115" w:type="dxa"/>
            </w:tcMar>
            <w:hideMark/>
          </w:tcPr>
          <w:p w14:paraId="524EB4A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-0.0004**</w:t>
            </w:r>
          </w:p>
        </w:tc>
        <w:tc>
          <w:tcPr>
            <w:tcW w:w="0" w:type="auto"/>
            <w:tcMar>
              <w:top w:w="0" w:type="dxa"/>
              <w:left w:w="115" w:type="dxa"/>
              <w:bottom w:w="0" w:type="dxa"/>
              <w:right w:w="115" w:type="dxa"/>
            </w:tcMar>
            <w:hideMark/>
          </w:tcPr>
          <w:p w14:paraId="307629F0" w14:textId="77777777" w:rsidR="00C033B5" w:rsidRPr="00746567" w:rsidRDefault="00C033B5" w:rsidP="00C033B5">
            <w:pPr>
              <w:rPr>
                <w:rFonts w:asciiTheme="majorBidi" w:hAnsiTheme="majorBidi" w:cstheme="majorBidi"/>
              </w:rPr>
            </w:pPr>
            <w:r w:rsidRPr="00746567">
              <w:rPr>
                <w:rFonts w:asciiTheme="majorBidi" w:hAnsiTheme="majorBidi" w:cstheme="majorBidi"/>
              </w:rPr>
              <w:t>0.0665***</w:t>
            </w:r>
          </w:p>
        </w:tc>
      </w:tr>
      <w:tr w:rsidR="00C033B5" w:rsidRPr="00746567" w14:paraId="2423AFDC" w14:textId="77777777">
        <w:trPr>
          <w:trHeight w:val="20"/>
        </w:trPr>
        <w:tc>
          <w:tcPr>
            <w:tcW w:w="0" w:type="auto"/>
            <w:tcMar>
              <w:top w:w="0" w:type="dxa"/>
              <w:left w:w="115" w:type="dxa"/>
              <w:bottom w:w="0" w:type="dxa"/>
              <w:right w:w="115" w:type="dxa"/>
            </w:tcMar>
            <w:vAlign w:val="center"/>
            <w:hideMark/>
          </w:tcPr>
          <w:p w14:paraId="1AAFDE2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7EA6F0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27B18EB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61BC1CE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hideMark/>
          </w:tcPr>
          <w:p w14:paraId="08ACB1E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(0.0040)</w:t>
            </w:r>
          </w:p>
        </w:tc>
        <w:tc>
          <w:tcPr>
            <w:tcW w:w="0" w:type="auto"/>
            <w:tcMar>
              <w:top w:w="0" w:type="dxa"/>
              <w:left w:w="115" w:type="dxa"/>
              <w:bottom w:w="0" w:type="dxa"/>
              <w:right w:w="115" w:type="dxa"/>
            </w:tcMar>
            <w:hideMark/>
          </w:tcPr>
          <w:p w14:paraId="64313C9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hideMark/>
          </w:tcPr>
          <w:p w14:paraId="4FEF232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(0.0036)</w:t>
            </w:r>
          </w:p>
        </w:tc>
      </w:tr>
      <w:tr w:rsidR="00C033B5" w:rsidRPr="00746567" w14:paraId="788E683F" w14:textId="77777777">
        <w:trPr>
          <w:trHeight w:val="20"/>
        </w:trPr>
        <w:tc>
          <w:tcPr>
            <w:tcW w:w="0" w:type="auto"/>
            <w:tcMar>
              <w:top w:w="0" w:type="dxa"/>
              <w:left w:w="115" w:type="dxa"/>
              <w:bottom w:w="0" w:type="dxa"/>
              <w:right w:w="115" w:type="dxa"/>
            </w:tcMar>
            <w:vAlign w:val="center"/>
            <w:hideMark/>
          </w:tcPr>
          <w:p w14:paraId="081E62F7"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0C7619E"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BF8B39A"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1F0F068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1E7AD60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69722BC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5C064B95" w14:textId="77777777" w:rsidR="00C033B5" w:rsidRPr="00746567" w:rsidRDefault="00C033B5" w:rsidP="00C033B5">
            <w:pPr>
              <w:rPr>
                <w:rFonts w:asciiTheme="majorBidi" w:hAnsiTheme="majorBidi" w:cstheme="majorBidi"/>
              </w:rPr>
            </w:pPr>
          </w:p>
        </w:tc>
      </w:tr>
      <w:tr w:rsidR="00C033B5" w:rsidRPr="00746567" w14:paraId="55713795" w14:textId="77777777">
        <w:trPr>
          <w:trHeight w:val="20"/>
        </w:trPr>
        <w:tc>
          <w:tcPr>
            <w:tcW w:w="0" w:type="auto"/>
            <w:tcMar>
              <w:top w:w="0" w:type="dxa"/>
              <w:left w:w="115" w:type="dxa"/>
              <w:bottom w:w="0" w:type="dxa"/>
              <w:right w:w="115" w:type="dxa"/>
            </w:tcMar>
            <w:vAlign w:val="center"/>
            <w:hideMark/>
          </w:tcPr>
          <w:p w14:paraId="0A421FEB" w14:textId="77777777" w:rsidR="00C033B5" w:rsidRPr="00746567" w:rsidRDefault="00C033B5" w:rsidP="00C033B5">
            <w:pPr>
              <w:rPr>
                <w:rFonts w:asciiTheme="majorBidi" w:hAnsiTheme="majorBidi" w:cstheme="majorBidi"/>
              </w:rPr>
            </w:pPr>
            <w:r w:rsidRPr="00746567">
              <w:rPr>
                <w:rFonts w:asciiTheme="majorBidi" w:hAnsiTheme="majorBidi" w:cstheme="majorBidi"/>
              </w:rPr>
              <w:t>Age</w:t>
            </w:r>
          </w:p>
        </w:tc>
        <w:tc>
          <w:tcPr>
            <w:tcW w:w="0" w:type="auto"/>
            <w:tcMar>
              <w:top w:w="0" w:type="dxa"/>
              <w:left w:w="115" w:type="dxa"/>
              <w:bottom w:w="0" w:type="dxa"/>
              <w:right w:w="115" w:type="dxa"/>
            </w:tcMar>
            <w:vAlign w:val="center"/>
            <w:hideMark/>
          </w:tcPr>
          <w:p w14:paraId="25CF248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-0.0019***</w:t>
            </w:r>
          </w:p>
        </w:tc>
        <w:tc>
          <w:tcPr>
            <w:tcW w:w="0" w:type="auto"/>
            <w:tcMar>
              <w:top w:w="0" w:type="dxa"/>
              <w:left w:w="115" w:type="dxa"/>
              <w:bottom w:w="0" w:type="dxa"/>
              <w:right w:w="115" w:type="dxa"/>
            </w:tcMar>
            <w:vAlign w:val="center"/>
            <w:hideMark/>
          </w:tcPr>
          <w:p w14:paraId="16BA3F8B" w14:textId="77777777" w:rsidR="00C033B5" w:rsidRPr="00746567" w:rsidRDefault="00C033B5" w:rsidP="00C033B5">
            <w:pPr>
              <w:rPr>
                <w:rFonts w:asciiTheme="majorBidi" w:hAnsiTheme="majorBidi" w:cstheme="majorBidi"/>
              </w:rPr>
            </w:pPr>
            <w:r w:rsidRPr="00746567">
              <w:rPr>
                <w:rFonts w:asciiTheme="majorBidi" w:hAnsiTheme="majorBidi" w:cstheme="majorBidi"/>
              </w:rPr>
              <w:t>-0.0151***</w:t>
            </w:r>
          </w:p>
        </w:tc>
        <w:tc>
          <w:tcPr>
            <w:tcW w:w="0" w:type="auto"/>
            <w:tcMar>
              <w:top w:w="0" w:type="dxa"/>
              <w:left w:w="115" w:type="dxa"/>
              <w:bottom w:w="0" w:type="dxa"/>
              <w:right w:w="115" w:type="dxa"/>
            </w:tcMar>
            <w:hideMark/>
          </w:tcPr>
          <w:p w14:paraId="022476D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-0.0014***</w:t>
            </w:r>
          </w:p>
        </w:tc>
        <w:tc>
          <w:tcPr>
            <w:tcW w:w="0" w:type="auto"/>
            <w:tcMar>
              <w:top w:w="0" w:type="dxa"/>
              <w:left w:w="115" w:type="dxa"/>
              <w:bottom w:w="0" w:type="dxa"/>
              <w:right w:w="115" w:type="dxa"/>
            </w:tcMar>
            <w:hideMark/>
          </w:tcPr>
          <w:p w14:paraId="4BEECFB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0.0093***</w:t>
            </w:r>
          </w:p>
        </w:tc>
        <w:tc>
          <w:tcPr>
            <w:tcW w:w="0" w:type="auto"/>
            <w:tcMar>
              <w:top w:w="0" w:type="dxa"/>
              <w:left w:w="115" w:type="dxa"/>
              <w:bottom w:w="0" w:type="dxa"/>
              <w:right w:w="115" w:type="dxa"/>
            </w:tcMar>
            <w:hideMark/>
          </w:tcPr>
          <w:p w14:paraId="23A2BA1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34CA718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-0.0084**</w:t>
            </w:r>
          </w:p>
        </w:tc>
      </w:tr>
      <w:tr w:rsidR="00C033B5" w:rsidRPr="00746567" w14:paraId="170C5790" w14:textId="77777777">
        <w:trPr>
          <w:trHeight w:val="20"/>
        </w:trPr>
        <w:tc>
          <w:tcPr>
            <w:tcW w:w="0" w:type="auto"/>
            <w:tcMar>
              <w:top w:w="0" w:type="dxa"/>
              <w:left w:w="115" w:type="dxa"/>
              <w:bottom w:w="0" w:type="dxa"/>
              <w:right w:w="115" w:type="dxa"/>
            </w:tcMar>
            <w:vAlign w:val="center"/>
            <w:hideMark/>
          </w:tcPr>
          <w:p w14:paraId="736E212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2FB913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67FECB1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34C2F31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hideMark/>
          </w:tcPr>
          <w:p w14:paraId="35F4DE9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(0.0032)</w:t>
            </w:r>
          </w:p>
        </w:tc>
        <w:tc>
          <w:tcPr>
            <w:tcW w:w="0" w:type="auto"/>
            <w:tcMar>
              <w:top w:w="0" w:type="dxa"/>
              <w:left w:w="115" w:type="dxa"/>
              <w:bottom w:w="0" w:type="dxa"/>
              <w:right w:w="115" w:type="dxa"/>
            </w:tcMar>
            <w:hideMark/>
          </w:tcPr>
          <w:p w14:paraId="0E0B74B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688A272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(0.0039)</w:t>
            </w:r>
          </w:p>
        </w:tc>
      </w:tr>
      <w:tr w:rsidR="00C033B5" w:rsidRPr="00746567" w14:paraId="5D02BCC0" w14:textId="77777777">
        <w:trPr>
          <w:trHeight w:val="20"/>
        </w:trPr>
        <w:tc>
          <w:tcPr>
            <w:tcW w:w="0" w:type="auto"/>
            <w:tcMar>
              <w:top w:w="0" w:type="dxa"/>
              <w:left w:w="115" w:type="dxa"/>
              <w:bottom w:w="0" w:type="dxa"/>
              <w:right w:w="115" w:type="dxa"/>
            </w:tcMar>
            <w:vAlign w:val="center"/>
            <w:hideMark/>
          </w:tcPr>
          <w:p w14:paraId="4F87EDBA"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Loanport</w:t>
            </w:r>
            <w:proofErr w:type="spellEnd"/>
          </w:p>
        </w:tc>
        <w:tc>
          <w:tcPr>
            <w:tcW w:w="0" w:type="auto"/>
            <w:tcMar>
              <w:top w:w="0" w:type="dxa"/>
              <w:left w:w="115" w:type="dxa"/>
              <w:bottom w:w="0" w:type="dxa"/>
              <w:right w:w="115" w:type="dxa"/>
            </w:tcMar>
            <w:vAlign w:val="center"/>
            <w:hideMark/>
          </w:tcPr>
          <w:p w14:paraId="2CB7DE2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-0.0011***</w:t>
            </w:r>
          </w:p>
        </w:tc>
        <w:tc>
          <w:tcPr>
            <w:tcW w:w="0" w:type="auto"/>
            <w:tcMar>
              <w:top w:w="0" w:type="dxa"/>
              <w:left w:w="115" w:type="dxa"/>
              <w:bottom w:w="0" w:type="dxa"/>
              <w:right w:w="115" w:type="dxa"/>
            </w:tcMar>
            <w:vAlign w:val="center"/>
            <w:hideMark/>
          </w:tcPr>
          <w:p w14:paraId="24D3238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-0.0015***</w:t>
            </w:r>
          </w:p>
        </w:tc>
        <w:tc>
          <w:tcPr>
            <w:tcW w:w="0" w:type="auto"/>
            <w:tcMar>
              <w:top w:w="0" w:type="dxa"/>
              <w:left w:w="115" w:type="dxa"/>
              <w:bottom w:w="0" w:type="dxa"/>
              <w:right w:w="115" w:type="dxa"/>
            </w:tcMar>
            <w:hideMark/>
          </w:tcPr>
          <w:p w14:paraId="5306372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 </w:t>
            </w:r>
          </w:p>
        </w:tc>
        <w:tc>
          <w:tcPr>
            <w:tcW w:w="0" w:type="auto"/>
            <w:tcMar>
              <w:top w:w="0" w:type="dxa"/>
              <w:left w:w="115" w:type="dxa"/>
              <w:bottom w:w="0" w:type="dxa"/>
              <w:right w:w="115" w:type="dxa"/>
            </w:tcMar>
            <w:hideMark/>
          </w:tcPr>
          <w:p w14:paraId="307E8F7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02536A5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0.0003***</w:t>
            </w:r>
          </w:p>
        </w:tc>
        <w:tc>
          <w:tcPr>
            <w:tcW w:w="0" w:type="auto"/>
            <w:tcMar>
              <w:top w:w="0" w:type="dxa"/>
              <w:left w:w="115" w:type="dxa"/>
              <w:bottom w:w="0" w:type="dxa"/>
              <w:right w:w="115" w:type="dxa"/>
            </w:tcMar>
            <w:hideMark/>
          </w:tcPr>
          <w:p w14:paraId="5523E48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r>
      <w:tr w:rsidR="00C033B5" w:rsidRPr="00746567" w14:paraId="394141C4" w14:textId="77777777">
        <w:trPr>
          <w:trHeight w:val="20"/>
        </w:trPr>
        <w:tc>
          <w:tcPr>
            <w:tcW w:w="0" w:type="auto"/>
            <w:tcMar>
              <w:top w:w="0" w:type="dxa"/>
              <w:left w:w="115" w:type="dxa"/>
              <w:bottom w:w="0" w:type="dxa"/>
              <w:right w:w="115" w:type="dxa"/>
            </w:tcMar>
            <w:vAlign w:val="center"/>
            <w:hideMark/>
          </w:tcPr>
          <w:p w14:paraId="4D0FFAF3"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91B170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1F4ECD0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2D1C074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274F9C5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hideMark/>
          </w:tcPr>
          <w:p w14:paraId="342E5B6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71753A0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r>
      <w:tr w:rsidR="00C033B5" w:rsidRPr="00746567" w14:paraId="4734663C" w14:textId="77777777">
        <w:trPr>
          <w:trHeight w:val="20"/>
        </w:trPr>
        <w:tc>
          <w:tcPr>
            <w:tcW w:w="0" w:type="auto"/>
            <w:tcMar>
              <w:top w:w="0" w:type="dxa"/>
              <w:left w:w="115" w:type="dxa"/>
              <w:bottom w:w="0" w:type="dxa"/>
              <w:right w:w="115" w:type="dxa"/>
            </w:tcMar>
            <w:vAlign w:val="center"/>
            <w:hideMark/>
          </w:tcPr>
          <w:p w14:paraId="1784E0D6"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Loanport</w:t>
            </w:r>
            <w:proofErr w:type="spellEnd"/>
            <w:r w:rsidRPr="00746567">
              <w:rPr>
                <w:rFonts w:asciiTheme="majorBidi" w:hAnsiTheme="majorBidi" w:cstheme="majorBidi"/>
              </w:rPr>
              <w:t xml:space="preserve"> × </w:t>
            </w:r>
            <w:proofErr w:type="spellStart"/>
            <w:r w:rsidRPr="00746567">
              <w:rPr>
                <w:rFonts w:asciiTheme="majorBidi" w:hAnsiTheme="majorBidi" w:cstheme="majorBidi"/>
              </w:rPr>
              <w:t>Loanport</w:t>
            </w:r>
            <w:proofErr w:type="spellEnd"/>
          </w:p>
        </w:tc>
        <w:tc>
          <w:tcPr>
            <w:tcW w:w="0" w:type="auto"/>
            <w:tcMar>
              <w:top w:w="0" w:type="dxa"/>
              <w:left w:w="115" w:type="dxa"/>
              <w:bottom w:w="0" w:type="dxa"/>
              <w:right w:w="115" w:type="dxa"/>
            </w:tcMar>
            <w:vAlign w:val="center"/>
            <w:hideMark/>
          </w:tcPr>
          <w:p w14:paraId="5FB2230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0.0038***</w:t>
            </w:r>
          </w:p>
        </w:tc>
        <w:tc>
          <w:tcPr>
            <w:tcW w:w="0" w:type="auto"/>
            <w:tcMar>
              <w:top w:w="0" w:type="dxa"/>
              <w:left w:w="115" w:type="dxa"/>
              <w:bottom w:w="0" w:type="dxa"/>
              <w:right w:w="115" w:type="dxa"/>
            </w:tcMar>
            <w:vAlign w:val="center"/>
            <w:hideMark/>
          </w:tcPr>
          <w:p w14:paraId="4FF74AC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-0.0017***</w:t>
            </w:r>
          </w:p>
        </w:tc>
        <w:tc>
          <w:tcPr>
            <w:tcW w:w="0" w:type="auto"/>
            <w:tcMar>
              <w:top w:w="0" w:type="dxa"/>
              <w:left w:w="115" w:type="dxa"/>
              <w:bottom w:w="0" w:type="dxa"/>
              <w:right w:w="115" w:type="dxa"/>
            </w:tcMar>
            <w:hideMark/>
          </w:tcPr>
          <w:p w14:paraId="5CFC1F03"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F3E9FD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3085D3B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1917F590" w14:textId="77777777" w:rsidR="00C033B5" w:rsidRPr="00746567" w:rsidRDefault="00C033B5" w:rsidP="00C033B5">
            <w:pPr>
              <w:rPr>
                <w:rFonts w:asciiTheme="majorBidi" w:hAnsiTheme="majorBidi" w:cstheme="majorBidi"/>
              </w:rPr>
            </w:pPr>
          </w:p>
        </w:tc>
      </w:tr>
      <w:tr w:rsidR="00C033B5" w:rsidRPr="00746567" w14:paraId="7E2DC202" w14:textId="77777777">
        <w:trPr>
          <w:trHeight w:val="20"/>
        </w:trPr>
        <w:tc>
          <w:tcPr>
            <w:tcW w:w="0" w:type="auto"/>
            <w:tcMar>
              <w:top w:w="0" w:type="dxa"/>
              <w:left w:w="115" w:type="dxa"/>
              <w:bottom w:w="0" w:type="dxa"/>
              <w:right w:w="115" w:type="dxa"/>
            </w:tcMar>
            <w:vAlign w:val="center"/>
            <w:hideMark/>
          </w:tcPr>
          <w:p w14:paraId="4042EC3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26D648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19B5973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6677A1A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1680663F"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56DF40A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DC0F2C1" w14:textId="77777777" w:rsidR="00C033B5" w:rsidRPr="00746567" w:rsidRDefault="00C033B5" w:rsidP="00C033B5">
            <w:pPr>
              <w:rPr>
                <w:rFonts w:asciiTheme="majorBidi" w:hAnsiTheme="majorBidi" w:cstheme="majorBidi"/>
              </w:rPr>
            </w:pPr>
          </w:p>
        </w:tc>
      </w:tr>
      <w:tr w:rsidR="00C033B5" w:rsidRPr="00746567" w14:paraId="04DDF0EC" w14:textId="77777777">
        <w:trPr>
          <w:trHeight w:val="20"/>
        </w:trPr>
        <w:tc>
          <w:tcPr>
            <w:tcW w:w="0" w:type="auto"/>
            <w:tcMar>
              <w:top w:w="0" w:type="dxa"/>
              <w:left w:w="115" w:type="dxa"/>
              <w:bottom w:w="0" w:type="dxa"/>
              <w:right w:w="115" w:type="dxa"/>
            </w:tcMar>
            <w:vAlign w:val="center"/>
            <w:hideMark/>
          </w:tcPr>
          <w:p w14:paraId="3C78B625" w14:textId="77777777" w:rsidR="00C033B5" w:rsidRPr="00746567" w:rsidRDefault="00C033B5" w:rsidP="00C033B5">
            <w:pPr>
              <w:rPr>
                <w:rFonts w:asciiTheme="majorBidi" w:hAnsiTheme="majorBidi" w:cstheme="majorBidi"/>
              </w:rPr>
            </w:pPr>
            <w:r w:rsidRPr="00746567">
              <w:rPr>
                <w:rFonts w:asciiTheme="majorBidi" w:hAnsiTheme="majorBidi" w:cstheme="majorBidi"/>
              </w:rPr>
              <w:t>Country Fixed effects</w:t>
            </w:r>
          </w:p>
        </w:tc>
        <w:tc>
          <w:tcPr>
            <w:tcW w:w="0" w:type="auto"/>
            <w:tcMar>
              <w:top w:w="0" w:type="dxa"/>
              <w:left w:w="115" w:type="dxa"/>
              <w:bottom w:w="0" w:type="dxa"/>
              <w:right w:w="115" w:type="dxa"/>
            </w:tcMar>
            <w:vAlign w:val="center"/>
            <w:hideMark/>
          </w:tcPr>
          <w:p w14:paraId="7DF0872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F7EAC1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099D4AE0"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c>
          <w:tcPr>
            <w:tcW w:w="0" w:type="auto"/>
            <w:tcMar>
              <w:top w:w="0" w:type="dxa"/>
              <w:left w:w="115" w:type="dxa"/>
              <w:bottom w:w="0" w:type="dxa"/>
              <w:right w:w="115" w:type="dxa"/>
            </w:tcMar>
            <w:hideMark/>
          </w:tcPr>
          <w:p w14:paraId="724E164A"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c>
          <w:tcPr>
            <w:tcW w:w="0" w:type="auto"/>
            <w:tcMar>
              <w:top w:w="0" w:type="dxa"/>
              <w:left w:w="115" w:type="dxa"/>
              <w:bottom w:w="0" w:type="dxa"/>
              <w:right w:w="115" w:type="dxa"/>
            </w:tcMar>
            <w:hideMark/>
          </w:tcPr>
          <w:p w14:paraId="38BA0773"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c>
          <w:tcPr>
            <w:tcW w:w="0" w:type="auto"/>
            <w:tcMar>
              <w:top w:w="0" w:type="dxa"/>
              <w:left w:w="115" w:type="dxa"/>
              <w:bottom w:w="0" w:type="dxa"/>
              <w:right w:w="115" w:type="dxa"/>
            </w:tcMar>
            <w:hideMark/>
          </w:tcPr>
          <w:p w14:paraId="53BC9646"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r>
      <w:tr w:rsidR="00C033B5" w:rsidRPr="00746567" w14:paraId="05D554A8" w14:textId="77777777">
        <w:trPr>
          <w:trHeight w:val="20"/>
        </w:trPr>
        <w:tc>
          <w:tcPr>
            <w:tcW w:w="0" w:type="auto"/>
            <w:tcMar>
              <w:top w:w="0" w:type="dxa"/>
              <w:left w:w="115" w:type="dxa"/>
              <w:bottom w:w="0" w:type="dxa"/>
              <w:right w:w="115" w:type="dxa"/>
            </w:tcMar>
            <w:vAlign w:val="center"/>
            <w:hideMark/>
          </w:tcPr>
          <w:p w14:paraId="51703A04"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Unemplymt</w:t>
            </w:r>
            <w:proofErr w:type="spellEnd"/>
          </w:p>
        </w:tc>
        <w:tc>
          <w:tcPr>
            <w:tcW w:w="0" w:type="auto"/>
            <w:tcMar>
              <w:top w:w="0" w:type="dxa"/>
              <w:left w:w="115" w:type="dxa"/>
              <w:bottom w:w="0" w:type="dxa"/>
              <w:right w:w="115" w:type="dxa"/>
            </w:tcMar>
            <w:vAlign w:val="center"/>
            <w:hideMark/>
          </w:tcPr>
          <w:p w14:paraId="596E92B4" w14:textId="77777777" w:rsidR="00C033B5" w:rsidRPr="00746567" w:rsidRDefault="00C033B5" w:rsidP="00C033B5">
            <w:pPr>
              <w:rPr>
                <w:rFonts w:asciiTheme="majorBidi" w:hAnsiTheme="majorBidi" w:cstheme="majorBidi"/>
              </w:rPr>
            </w:pPr>
            <w:r w:rsidRPr="00746567">
              <w:rPr>
                <w:rFonts w:asciiTheme="majorBidi" w:hAnsiTheme="majorBidi" w:cstheme="majorBidi"/>
              </w:rPr>
              <w:t>0.0104***</w:t>
            </w:r>
          </w:p>
        </w:tc>
        <w:tc>
          <w:tcPr>
            <w:tcW w:w="0" w:type="auto"/>
            <w:tcMar>
              <w:top w:w="0" w:type="dxa"/>
              <w:left w:w="115" w:type="dxa"/>
              <w:bottom w:w="0" w:type="dxa"/>
              <w:right w:w="115" w:type="dxa"/>
            </w:tcMar>
            <w:vAlign w:val="center"/>
            <w:hideMark/>
          </w:tcPr>
          <w:p w14:paraId="01FEE8C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-0.0019***</w:t>
            </w:r>
          </w:p>
        </w:tc>
        <w:tc>
          <w:tcPr>
            <w:tcW w:w="0" w:type="auto"/>
            <w:tcMar>
              <w:top w:w="0" w:type="dxa"/>
              <w:left w:w="115" w:type="dxa"/>
              <w:bottom w:w="0" w:type="dxa"/>
              <w:right w:w="115" w:type="dxa"/>
            </w:tcMar>
            <w:hideMark/>
          </w:tcPr>
          <w:p w14:paraId="2B349E3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0.0010***</w:t>
            </w:r>
          </w:p>
        </w:tc>
        <w:tc>
          <w:tcPr>
            <w:tcW w:w="0" w:type="auto"/>
            <w:tcMar>
              <w:top w:w="0" w:type="dxa"/>
              <w:left w:w="115" w:type="dxa"/>
              <w:bottom w:w="0" w:type="dxa"/>
              <w:right w:w="115" w:type="dxa"/>
            </w:tcMar>
            <w:hideMark/>
          </w:tcPr>
          <w:p w14:paraId="1CA5825D" w14:textId="77777777" w:rsidR="00C033B5" w:rsidRPr="00746567" w:rsidRDefault="00C033B5" w:rsidP="00C033B5">
            <w:pPr>
              <w:rPr>
                <w:rFonts w:asciiTheme="majorBidi" w:hAnsiTheme="majorBidi" w:cstheme="majorBidi"/>
              </w:rPr>
            </w:pPr>
            <w:r w:rsidRPr="00746567">
              <w:rPr>
                <w:rFonts w:asciiTheme="majorBidi" w:hAnsiTheme="majorBidi" w:cstheme="majorBidi"/>
              </w:rPr>
              <w:t>0.3289***</w:t>
            </w:r>
          </w:p>
        </w:tc>
        <w:tc>
          <w:tcPr>
            <w:tcW w:w="0" w:type="auto"/>
            <w:tcMar>
              <w:top w:w="0" w:type="dxa"/>
              <w:left w:w="115" w:type="dxa"/>
              <w:bottom w:w="0" w:type="dxa"/>
              <w:right w:w="115" w:type="dxa"/>
            </w:tcMar>
            <w:hideMark/>
          </w:tcPr>
          <w:p w14:paraId="1486FBFC" w14:textId="77777777" w:rsidR="00C033B5" w:rsidRPr="00746567" w:rsidRDefault="00C033B5" w:rsidP="00C033B5">
            <w:pPr>
              <w:rPr>
                <w:rFonts w:asciiTheme="majorBidi" w:hAnsiTheme="majorBidi" w:cstheme="majorBidi"/>
              </w:rPr>
            </w:pPr>
            <w:r w:rsidRPr="00746567">
              <w:rPr>
                <w:rFonts w:asciiTheme="majorBidi" w:hAnsiTheme="majorBidi" w:cstheme="majorBidi"/>
              </w:rPr>
              <w:t>-0.0817***</w:t>
            </w:r>
          </w:p>
        </w:tc>
        <w:tc>
          <w:tcPr>
            <w:tcW w:w="0" w:type="auto"/>
            <w:tcMar>
              <w:top w:w="0" w:type="dxa"/>
              <w:left w:w="115" w:type="dxa"/>
              <w:bottom w:w="0" w:type="dxa"/>
              <w:right w:w="115" w:type="dxa"/>
            </w:tcMar>
            <w:hideMark/>
          </w:tcPr>
          <w:p w14:paraId="197DAFFE" w14:textId="77777777" w:rsidR="00C033B5" w:rsidRPr="00746567" w:rsidRDefault="00C033B5" w:rsidP="00C033B5">
            <w:pPr>
              <w:rPr>
                <w:rFonts w:asciiTheme="majorBidi" w:hAnsiTheme="majorBidi" w:cstheme="majorBidi"/>
              </w:rPr>
            </w:pPr>
            <w:r w:rsidRPr="00746567">
              <w:rPr>
                <w:rFonts w:asciiTheme="majorBidi" w:hAnsiTheme="majorBidi" w:cstheme="majorBidi"/>
              </w:rPr>
              <w:t>0.2119***</w:t>
            </w:r>
          </w:p>
        </w:tc>
      </w:tr>
      <w:tr w:rsidR="00C033B5" w:rsidRPr="00746567" w14:paraId="58FF30D5" w14:textId="77777777">
        <w:trPr>
          <w:trHeight w:val="20"/>
        </w:trPr>
        <w:tc>
          <w:tcPr>
            <w:tcW w:w="0" w:type="auto"/>
            <w:tcMar>
              <w:top w:w="0" w:type="dxa"/>
              <w:left w:w="115" w:type="dxa"/>
              <w:bottom w:w="0" w:type="dxa"/>
              <w:right w:w="115" w:type="dxa"/>
            </w:tcMar>
            <w:vAlign w:val="center"/>
            <w:hideMark/>
          </w:tcPr>
          <w:p w14:paraId="641D590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4EDD4A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430527A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hideMark/>
          </w:tcPr>
          <w:p w14:paraId="37CFD31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3AE2F36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(0.0064)</w:t>
            </w:r>
          </w:p>
        </w:tc>
        <w:tc>
          <w:tcPr>
            <w:tcW w:w="0" w:type="auto"/>
            <w:tcMar>
              <w:top w:w="0" w:type="dxa"/>
              <w:left w:w="115" w:type="dxa"/>
              <w:bottom w:w="0" w:type="dxa"/>
              <w:right w:w="115" w:type="dxa"/>
            </w:tcMar>
            <w:hideMark/>
          </w:tcPr>
          <w:p w14:paraId="2F9F7CA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(0.0050)</w:t>
            </w:r>
          </w:p>
        </w:tc>
        <w:tc>
          <w:tcPr>
            <w:tcW w:w="0" w:type="auto"/>
            <w:tcMar>
              <w:top w:w="0" w:type="dxa"/>
              <w:left w:w="115" w:type="dxa"/>
              <w:bottom w:w="0" w:type="dxa"/>
              <w:right w:w="115" w:type="dxa"/>
            </w:tcMar>
            <w:hideMark/>
          </w:tcPr>
          <w:p w14:paraId="147EA15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(0.0059)</w:t>
            </w:r>
          </w:p>
        </w:tc>
      </w:tr>
      <w:tr w:rsidR="00C033B5" w:rsidRPr="00746567" w14:paraId="46400AA1" w14:textId="77777777">
        <w:trPr>
          <w:trHeight w:val="20"/>
        </w:trPr>
        <w:tc>
          <w:tcPr>
            <w:tcW w:w="0" w:type="auto"/>
            <w:tcMar>
              <w:top w:w="0" w:type="dxa"/>
              <w:left w:w="115" w:type="dxa"/>
              <w:bottom w:w="0" w:type="dxa"/>
              <w:right w:w="115" w:type="dxa"/>
            </w:tcMar>
            <w:vAlign w:val="center"/>
            <w:hideMark/>
          </w:tcPr>
          <w:p w14:paraId="5101531D"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lastRenderedPageBreak/>
              <w:t>Govtbond</w:t>
            </w:r>
            <w:proofErr w:type="spellEnd"/>
          </w:p>
        </w:tc>
        <w:tc>
          <w:tcPr>
            <w:tcW w:w="0" w:type="auto"/>
            <w:tcMar>
              <w:top w:w="0" w:type="dxa"/>
              <w:left w:w="115" w:type="dxa"/>
              <w:bottom w:w="0" w:type="dxa"/>
              <w:right w:w="115" w:type="dxa"/>
            </w:tcMar>
            <w:vAlign w:val="center"/>
            <w:hideMark/>
          </w:tcPr>
          <w:p w14:paraId="3ADE636A" w14:textId="77777777" w:rsidR="00C033B5" w:rsidRPr="00746567" w:rsidRDefault="00C033B5" w:rsidP="00C033B5">
            <w:pPr>
              <w:rPr>
                <w:rFonts w:asciiTheme="majorBidi" w:hAnsiTheme="majorBidi" w:cstheme="majorBidi"/>
              </w:rPr>
            </w:pPr>
            <w:r w:rsidRPr="00746567">
              <w:rPr>
                <w:rFonts w:asciiTheme="majorBidi" w:hAnsiTheme="majorBidi" w:cstheme="majorBidi"/>
              </w:rPr>
              <w:t>-2.0627***</w:t>
            </w:r>
          </w:p>
        </w:tc>
        <w:tc>
          <w:tcPr>
            <w:tcW w:w="0" w:type="auto"/>
            <w:tcMar>
              <w:top w:w="0" w:type="dxa"/>
              <w:left w:w="115" w:type="dxa"/>
              <w:bottom w:w="0" w:type="dxa"/>
              <w:right w:w="115" w:type="dxa"/>
            </w:tcMar>
            <w:vAlign w:val="center"/>
            <w:hideMark/>
          </w:tcPr>
          <w:p w14:paraId="0098B83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0.0018***</w:t>
            </w:r>
          </w:p>
        </w:tc>
        <w:tc>
          <w:tcPr>
            <w:tcW w:w="0" w:type="auto"/>
            <w:tcMar>
              <w:top w:w="0" w:type="dxa"/>
              <w:left w:w="115" w:type="dxa"/>
              <w:bottom w:w="0" w:type="dxa"/>
              <w:right w:w="115" w:type="dxa"/>
            </w:tcMar>
            <w:hideMark/>
          </w:tcPr>
          <w:p w14:paraId="7DE00698" w14:textId="77777777" w:rsidR="00C033B5" w:rsidRPr="00746567" w:rsidRDefault="00C033B5" w:rsidP="00C033B5">
            <w:pPr>
              <w:rPr>
                <w:rFonts w:asciiTheme="majorBidi" w:hAnsiTheme="majorBidi" w:cstheme="majorBidi"/>
              </w:rPr>
            </w:pPr>
            <w:r w:rsidRPr="00746567">
              <w:rPr>
                <w:rFonts w:asciiTheme="majorBidi" w:hAnsiTheme="majorBidi" w:cstheme="majorBidi"/>
              </w:rPr>
              <w:t>-0.0158***</w:t>
            </w:r>
          </w:p>
        </w:tc>
        <w:tc>
          <w:tcPr>
            <w:tcW w:w="0" w:type="auto"/>
            <w:tcMar>
              <w:top w:w="0" w:type="dxa"/>
              <w:left w:w="115" w:type="dxa"/>
              <w:bottom w:w="0" w:type="dxa"/>
              <w:right w:w="115" w:type="dxa"/>
            </w:tcMar>
            <w:hideMark/>
          </w:tcPr>
          <w:p w14:paraId="1669F5A6" w14:textId="77777777" w:rsidR="00C033B5" w:rsidRPr="00746567" w:rsidRDefault="00C033B5" w:rsidP="00C033B5">
            <w:pPr>
              <w:rPr>
                <w:rFonts w:asciiTheme="majorBidi" w:hAnsiTheme="majorBidi" w:cstheme="majorBidi"/>
              </w:rPr>
            </w:pPr>
            <w:r w:rsidRPr="00746567">
              <w:rPr>
                <w:rFonts w:asciiTheme="majorBidi" w:hAnsiTheme="majorBidi" w:cstheme="majorBidi"/>
              </w:rPr>
              <w:t>-0.0428***</w:t>
            </w:r>
          </w:p>
        </w:tc>
        <w:tc>
          <w:tcPr>
            <w:tcW w:w="0" w:type="auto"/>
            <w:tcMar>
              <w:top w:w="0" w:type="dxa"/>
              <w:left w:w="115" w:type="dxa"/>
              <w:bottom w:w="0" w:type="dxa"/>
              <w:right w:w="115" w:type="dxa"/>
            </w:tcMar>
            <w:hideMark/>
          </w:tcPr>
          <w:p w14:paraId="7A01AD0E" w14:textId="77777777" w:rsidR="00C033B5" w:rsidRPr="00746567" w:rsidRDefault="00C033B5" w:rsidP="00C033B5">
            <w:pPr>
              <w:rPr>
                <w:rFonts w:asciiTheme="majorBidi" w:hAnsiTheme="majorBidi" w:cstheme="majorBidi"/>
              </w:rPr>
            </w:pPr>
            <w:r w:rsidRPr="00746567">
              <w:rPr>
                <w:rFonts w:asciiTheme="majorBidi" w:hAnsiTheme="majorBidi" w:cstheme="majorBidi"/>
              </w:rPr>
              <w:t>0.0179***</w:t>
            </w:r>
          </w:p>
        </w:tc>
        <w:tc>
          <w:tcPr>
            <w:tcW w:w="0" w:type="auto"/>
            <w:tcMar>
              <w:top w:w="0" w:type="dxa"/>
              <w:left w:w="115" w:type="dxa"/>
              <w:bottom w:w="0" w:type="dxa"/>
              <w:right w:w="115" w:type="dxa"/>
            </w:tcMar>
            <w:hideMark/>
          </w:tcPr>
          <w:p w14:paraId="2D58E46E" w14:textId="77777777" w:rsidR="00C033B5" w:rsidRPr="00746567" w:rsidRDefault="00C033B5" w:rsidP="00C033B5">
            <w:pPr>
              <w:rPr>
                <w:rFonts w:asciiTheme="majorBidi" w:hAnsiTheme="majorBidi" w:cstheme="majorBidi"/>
              </w:rPr>
            </w:pPr>
            <w:r w:rsidRPr="00746567">
              <w:rPr>
                <w:rFonts w:asciiTheme="majorBidi" w:hAnsiTheme="majorBidi" w:cstheme="majorBidi"/>
              </w:rPr>
              <w:t>-0.0273***</w:t>
            </w:r>
          </w:p>
        </w:tc>
      </w:tr>
      <w:tr w:rsidR="00C033B5" w:rsidRPr="00746567" w14:paraId="03F99A75" w14:textId="77777777">
        <w:trPr>
          <w:trHeight w:val="20"/>
        </w:trPr>
        <w:tc>
          <w:tcPr>
            <w:tcW w:w="0" w:type="auto"/>
            <w:tcMar>
              <w:top w:w="0" w:type="dxa"/>
              <w:left w:w="115" w:type="dxa"/>
              <w:bottom w:w="0" w:type="dxa"/>
              <w:right w:w="115" w:type="dxa"/>
            </w:tcMar>
            <w:vAlign w:val="center"/>
            <w:hideMark/>
          </w:tcPr>
          <w:p w14:paraId="21E4A4F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B98A55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(0.0071)</w:t>
            </w:r>
          </w:p>
        </w:tc>
        <w:tc>
          <w:tcPr>
            <w:tcW w:w="0" w:type="auto"/>
            <w:tcMar>
              <w:top w:w="0" w:type="dxa"/>
              <w:left w:w="115" w:type="dxa"/>
              <w:bottom w:w="0" w:type="dxa"/>
              <w:right w:w="115" w:type="dxa"/>
            </w:tcMar>
            <w:vAlign w:val="center"/>
            <w:hideMark/>
          </w:tcPr>
          <w:p w14:paraId="0A0AE04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hideMark/>
          </w:tcPr>
          <w:p w14:paraId="5E49F08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(0.0048)</w:t>
            </w:r>
          </w:p>
        </w:tc>
        <w:tc>
          <w:tcPr>
            <w:tcW w:w="0" w:type="auto"/>
            <w:tcMar>
              <w:top w:w="0" w:type="dxa"/>
              <w:left w:w="115" w:type="dxa"/>
              <w:bottom w:w="0" w:type="dxa"/>
              <w:right w:w="115" w:type="dxa"/>
            </w:tcMar>
            <w:hideMark/>
          </w:tcPr>
          <w:p w14:paraId="559E7AB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(0.0021)</w:t>
            </w:r>
          </w:p>
        </w:tc>
        <w:tc>
          <w:tcPr>
            <w:tcW w:w="0" w:type="auto"/>
            <w:tcMar>
              <w:top w:w="0" w:type="dxa"/>
              <w:left w:w="115" w:type="dxa"/>
              <w:bottom w:w="0" w:type="dxa"/>
              <w:right w:w="115" w:type="dxa"/>
            </w:tcMar>
            <w:hideMark/>
          </w:tcPr>
          <w:p w14:paraId="3BD66D0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(0.0040)</w:t>
            </w:r>
          </w:p>
        </w:tc>
        <w:tc>
          <w:tcPr>
            <w:tcW w:w="0" w:type="auto"/>
            <w:tcMar>
              <w:top w:w="0" w:type="dxa"/>
              <w:left w:w="115" w:type="dxa"/>
              <w:bottom w:w="0" w:type="dxa"/>
              <w:right w:w="115" w:type="dxa"/>
            </w:tcMar>
            <w:hideMark/>
          </w:tcPr>
          <w:p w14:paraId="2C20DE3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(0.0019)</w:t>
            </w:r>
          </w:p>
        </w:tc>
      </w:tr>
      <w:tr w:rsidR="00C033B5" w:rsidRPr="00746567" w14:paraId="038B78B5" w14:textId="77777777">
        <w:trPr>
          <w:trHeight w:val="20"/>
        </w:trPr>
        <w:tc>
          <w:tcPr>
            <w:tcW w:w="0" w:type="auto"/>
            <w:tcMar>
              <w:top w:w="0" w:type="dxa"/>
              <w:left w:w="115" w:type="dxa"/>
              <w:bottom w:w="0" w:type="dxa"/>
              <w:right w:w="115" w:type="dxa"/>
            </w:tcMar>
            <w:vAlign w:val="center"/>
            <w:hideMark/>
          </w:tcPr>
          <w:p w14:paraId="19A73001" w14:textId="77777777" w:rsidR="00C033B5" w:rsidRPr="00746567" w:rsidRDefault="00C033B5" w:rsidP="00C033B5">
            <w:pPr>
              <w:rPr>
                <w:rFonts w:asciiTheme="majorBidi" w:hAnsiTheme="majorBidi" w:cstheme="majorBidi"/>
              </w:rPr>
            </w:pPr>
            <w:r w:rsidRPr="00746567">
              <w:rPr>
                <w:rFonts w:asciiTheme="majorBidi" w:hAnsiTheme="majorBidi" w:cstheme="majorBidi"/>
              </w:rPr>
              <w:t>_cons</w:t>
            </w:r>
          </w:p>
        </w:tc>
        <w:tc>
          <w:tcPr>
            <w:tcW w:w="0" w:type="auto"/>
            <w:tcMar>
              <w:top w:w="0" w:type="dxa"/>
              <w:left w:w="115" w:type="dxa"/>
              <w:bottom w:w="0" w:type="dxa"/>
              <w:right w:w="115" w:type="dxa"/>
            </w:tcMar>
            <w:vAlign w:val="center"/>
            <w:hideMark/>
          </w:tcPr>
          <w:p w14:paraId="3DE9645D" w14:textId="77777777" w:rsidR="00C033B5" w:rsidRPr="00746567" w:rsidRDefault="00C033B5" w:rsidP="00C033B5">
            <w:pPr>
              <w:rPr>
                <w:rFonts w:asciiTheme="majorBidi" w:hAnsiTheme="majorBidi" w:cstheme="majorBidi"/>
              </w:rPr>
            </w:pPr>
            <w:r w:rsidRPr="00746567">
              <w:rPr>
                <w:rFonts w:asciiTheme="majorBidi" w:hAnsiTheme="majorBidi" w:cstheme="majorBidi"/>
              </w:rPr>
              <w:t>0.2141***</w:t>
            </w:r>
          </w:p>
        </w:tc>
        <w:tc>
          <w:tcPr>
            <w:tcW w:w="0" w:type="auto"/>
            <w:tcMar>
              <w:top w:w="0" w:type="dxa"/>
              <w:left w:w="115" w:type="dxa"/>
              <w:bottom w:w="0" w:type="dxa"/>
              <w:right w:w="115" w:type="dxa"/>
            </w:tcMar>
            <w:vAlign w:val="center"/>
            <w:hideMark/>
          </w:tcPr>
          <w:p w14:paraId="3DBC20FF" w14:textId="77777777" w:rsidR="00C033B5" w:rsidRPr="00746567" w:rsidRDefault="00C033B5" w:rsidP="00C033B5">
            <w:pPr>
              <w:rPr>
                <w:rFonts w:asciiTheme="majorBidi" w:hAnsiTheme="majorBidi" w:cstheme="majorBidi"/>
              </w:rPr>
            </w:pPr>
            <w:r w:rsidRPr="00746567">
              <w:rPr>
                <w:rFonts w:asciiTheme="majorBidi" w:hAnsiTheme="majorBidi" w:cstheme="majorBidi"/>
              </w:rPr>
              <w:t>0.2541***</w:t>
            </w:r>
          </w:p>
        </w:tc>
        <w:tc>
          <w:tcPr>
            <w:tcW w:w="0" w:type="auto"/>
            <w:tcMar>
              <w:top w:w="0" w:type="dxa"/>
              <w:left w:w="115" w:type="dxa"/>
              <w:bottom w:w="0" w:type="dxa"/>
              <w:right w:w="115" w:type="dxa"/>
            </w:tcMar>
            <w:hideMark/>
          </w:tcPr>
          <w:p w14:paraId="754AAEF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D278C94"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0148E901"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651F79AB" w14:textId="77777777" w:rsidR="00C033B5" w:rsidRPr="00746567" w:rsidRDefault="00C033B5" w:rsidP="00C033B5">
            <w:pPr>
              <w:rPr>
                <w:rFonts w:asciiTheme="majorBidi" w:hAnsiTheme="majorBidi" w:cstheme="majorBidi"/>
              </w:rPr>
            </w:pPr>
          </w:p>
        </w:tc>
      </w:tr>
      <w:tr w:rsidR="00C033B5" w:rsidRPr="00746567" w14:paraId="676C2816" w14:textId="77777777">
        <w:trPr>
          <w:trHeight w:val="20"/>
        </w:trPr>
        <w:tc>
          <w:tcPr>
            <w:tcW w:w="0" w:type="auto"/>
            <w:tcMar>
              <w:top w:w="0" w:type="dxa"/>
              <w:left w:w="115" w:type="dxa"/>
              <w:bottom w:w="0" w:type="dxa"/>
              <w:right w:w="115" w:type="dxa"/>
            </w:tcMar>
            <w:vAlign w:val="center"/>
            <w:hideMark/>
          </w:tcPr>
          <w:p w14:paraId="18A25FB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83DDC0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(0.0010)</w:t>
            </w:r>
          </w:p>
        </w:tc>
        <w:tc>
          <w:tcPr>
            <w:tcW w:w="0" w:type="auto"/>
            <w:tcMar>
              <w:top w:w="0" w:type="dxa"/>
              <w:left w:w="115" w:type="dxa"/>
              <w:bottom w:w="0" w:type="dxa"/>
              <w:right w:w="115" w:type="dxa"/>
            </w:tcMar>
            <w:vAlign w:val="center"/>
            <w:hideMark/>
          </w:tcPr>
          <w:p w14:paraId="682E9A0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(0.0010)</w:t>
            </w:r>
          </w:p>
        </w:tc>
        <w:tc>
          <w:tcPr>
            <w:tcW w:w="0" w:type="auto"/>
            <w:tcMar>
              <w:top w:w="0" w:type="dxa"/>
              <w:left w:w="115" w:type="dxa"/>
              <w:bottom w:w="0" w:type="dxa"/>
              <w:right w:w="115" w:type="dxa"/>
            </w:tcMar>
            <w:hideMark/>
          </w:tcPr>
          <w:p w14:paraId="5ED82C8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2631080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20E4F0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39FAD939" w14:textId="77777777" w:rsidR="00C033B5" w:rsidRPr="00746567" w:rsidRDefault="00C033B5" w:rsidP="00C033B5">
            <w:pPr>
              <w:rPr>
                <w:rFonts w:asciiTheme="majorBidi" w:hAnsiTheme="majorBidi" w:cstheme="majorBidi"/>
              </w:rPr>
            </w:pPr>
          </w:p>
        </w:tc>
      </w:tr>
      <w:tr w:rsidR="00C033B5" w:rsidRPr="00746567" w14:paraId="12C7EE95" w14:textId="77777777">
        <w:trPr>
          <w:trHeight w:val="20"/>
        </w:trPr>
        <w:tc>
          <w:tcPr>
            <w:tcW w:w="0" w:type="auto"/>
            <w:tcMar>
              <w:top w:w="0" w:type="dxa"/>
              <w:left w:w="115" w:type="dxa"/>
              <w:bottom w:w="0" w:type="dxa"/>
              <w:right w:w="115" w:type="dxa"/>
            </w:tcMar>
            <w:vAlign w:val="center"/>
            <w:hideMark/>
          </w:tcPr>
          <w:p w14:paraId="3B4ABFAA" w14:textId="77777777" w:rsidR="00C033B5" w:rsidRPr="00746567" w:rsidRDefault="00C033B5" w:rsidP="00C033B5">
            <w:pPr>
              <w:rPr>
                <w:rFonts w:asciiTheme="majorBidi" w:hAnsiTheme="majorBidi" w:cstheme="majorBidi"/>
              </w:rPr>
            </w:pPr>
            <w:r w:rsidRPr="00746567">
              <w:rPr>
                <w:rFonts w:asciiTheme="majorBidi" w:hAnsiTheme="majorBidi" w:cstheme="majorBidi"/>
              </w:rPr>
              <w:t>Adjusted - r squared</w:t>
            </w:r>
          </w:p>
        </w:tc>
        <w:tc>
          <w:tcPr>
            <w:tcW w:w="0" w:type="auto"/>
            <w:tcMar>
              <w:top w:w="0" w:type="dxa"/>
              <w:left w:w="115" w:type="dxa"/>
              <w:bottom w:w="0" w:type="dxa"/>
              <w:right w:w="115" w:type="dxa"/>
            </w:tcMar>
            <w:vAlign w:val="center"/>
            <w:hideMark/>
          </w:tcPr>
          <w:p w14:paraId="3DA7B746" w14:textId="77777777" w:rsidR="00C033B5" w:rsidRPr="00746567" w:rsidRDefault="00C033B5" w:rsidP="00C033B5">
            <w:pPr>
              <w:rPr>
                <w:rFonts w:asciiTheme="majorBidi" w:hAnsiTheme="majorBidi" w:cstheme="majorBidi"/>
              </w:rPr>
            </w:pPr>
            <w:r w:rsidRPr="00746567">
              <w:rPr>
                <w:rFonts w:asciiTheme="majorBidi" w:hAnsiTheme="majorBidi" w:cstheme="majorBidi"/>
              </w:rPr>
              <w:t>0.5078</w:t>
            </w:r>
          </w:p>
        </w:tc>
        <w:tc>
          <w:tcPr>
            <w:tcW w:w="0" w:type="auto"/>
            <w:tcMar>
              <w:top w:w="0" w:type="dxa"/>
              <w:left w:w="115" w:type="dxa"/>
              <w:bottom w:w="0" w:type="dxa"/>
              <w:right w:w="115" w:type="dxa"/>
            </w:tcMar>
            <w:vAlign w:val="center"/>
            <w:hideMark/>
          </w:tcPr>
          <w:p w14:paraId="662EBC17" w14:textId="77777777" w:rsidR="00C033B5" w:rsidRPr="00746567" w:rsidRDefault="00C033B5" w:rsidP="00C033B5">
            <w:pPr>
              <w:rPr>
                <w:rFonts w:asciiTheme="majorBidi" w:hAnsiTheme="majorBidi" w:cstheme="majorBidi"/>
              </w:rPr>
            </w:pPr>
            <w:r w:rsidRPr="00746567">
              <w:rPr>
                <w:rFonts w:asciiTheme="majorBidi" w:hAnsiTheme="majorBidi" w:cstheme="majorBidi"/>
              </w:rPr>
              <w:t>0.4304</w:t>
            </w:r>
          </w:p>
        </w:tc>
        <w:tc>
          <w:tcPr>
            <w:tcW w:w="0" w:type="auto"/>
            <w:tcMar>
              <w:top w:w="0" w:type="dxa"/>
              <w:left w:w="115" w:type="dxa"/>
              <w:bottom w:w="0" w:type="dxa"/>
              <w:right w:w="115" w:type="dxa"/>
            </w:tcMar>
            <w:hideMark/>
          </w:tcPr>
          <w:p w14:paraId="29F29905"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5AE5266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23FF82EE"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1C4EB6CF" w14:textId="77777777" w:rsidR="00C033B5" w:rsidRPr="00746567" w:rsidRDefault="00C033B5" w:rsidP="00C033B5">
            <w:pPr>
              <w:rPr>
                <w:rFonts w:asciiTheme="majorBidi" w:hAnsiTheme="majorBidi" w:cstheme="majorBidi"/>
              </w:rPr>
            </w:pPr>
          </w:p>
        </w:tc>
      </w:tr>
      <w:tr w:rsidR="00C033B5" w:rsidRPr="00746567" w14:paraId="525AB923" w14:textId="77777777">
        <w:trPr>
          <w:trHeight w:val="20"/>
        </w:trPr>
        <w:tc>
          <w:tcPr>
            <w:tcW w:w="0" w:type="auto"/>
            <w:tcBorders>
              <w:bottom w:val="single" w:sz="4" w:space="0" w:color="000000"/>
            </w:tcBorders>
            <w:tcMar>
              <w:top w:w="0" w:type="dxa"/>
              <w:left w:w="115" w:type="dxa"/>
              <w:bottom w:w="0" w:type="dxa"/>
              <w:right w:w="115" w:type="dxa"/>
            </w:tcMar>
            <w:vAlign w:val="center"/>
            <w:hideMark/>
          </w:tcPr>
          <w:p w14:paraId="1B187344" w14:textId="77777777" w:rsidR="00C033B5" w:rsidRPr="00746567" w:rsidRDefault="00C033B5" w:rsidP="00C033B5">
            <w:pPr>
              <w:rPr>
                <w:rFonts w:asciiTheme="majorBidi" w:hAnsiTheme="majorBidi" w:cstheme="majorBidi"/>
              </w:rPr>
            </w:pPr>
            <w:r w:rsidRPr="00746567">
              <w:rPr>
                <w:rFonts w:asciiTheme="majorBidi" w:hAnsiTheme="majorBidi" w:cstheme="majorBidi"/>
              </w:rPr>
              <w:t>N</w:t>
            </w:r>
          </w:p>
        </w:tc>
        <w:tc>
          <w:tcPr>
            <w:tcW w:w="0" w:type="auto"/>
            <w:tcBorders>
              <w:bottom w:val="single" w:sz="4" w:space="0" w:color="000000"/>
            </w:tcBorders>
            <w:tcMar>
              <w:top w:w="0" w:type="dxa"/>
              <w:left w:w="115" w:type="dxa"/>
              <w:bottom w:w="0" w:type="dxa"/>
              <w:right w:w="115" w:type="dxa"/>
            </w:tcMar>
            <w:vAlign w:val="center"/>
            <w:hideMark/>
          </w:tcPr>
          <w:p w14:paraId="140AC6D5" w14:textId="77777777" w:rsidR="00C033B5" w:rsidRPr="00746567" w:rsidRDefault="00C033B5" w:rsidP="00C033B5">
            <w:pPr>
              <w:rPr>
                <w:rFonts w:asciiTheme="majorBidi" w:hAnsiTheme="majorBidi" w:cstheme="majorBidi"/>
              </w:rPr>
            </w:pPr>
            <w:r w:rsidRPr="00746567">
              <w:rPr>
                <w:rFonts w:asciiTheme="majorBidi" w:hAnsiTheme="majorBidi" w:cstheme="majorBidi"/>
              </w:rPr>
              <w:t>1,376,649</w:t>
            </w:r>
          </w:p>
        </w:tc>
        <w:tc>
          <w:tcPr>
            <w:tcW w:w="0" w:type="auto"/>
            <w:tcBorders>
              <w:bottom w:val="single" w:sz="4" w:space="0" w:color="000000"/>
            </w:tcBorders>
            <w:tcMar>
              <w:top w:w="0" w:type="dxa"/>
              <w:left w:w="115" w:type="dxa"/>
              <w:bottom w:w="0" w:type="dxa"/>
              <w:right w:w="115" w:type="dxa"/>
            </w:tcMar>
            <w:vAlign w:val="center"/>
            <w:hideMark/>
          </w:tcPr>
          <w:p w14:paraId="7C7A85A8" w14:textId="77777777" w:rsidR="00C033B5" w:rsidRPr="00746567" w:rsidRDefault="00C033B5" w:rsidP="00C033B5">
            <w:pPr>
              <w:rPr>
                <w:rFonts w:asciiTheme="majorBidi" w:hAnsiTheme="majorBidi" w:cstheme="majorBidi"/>
              </w:rPr>
            </w:pPr>
            <w:r w:rsidRPr="00746567">
              <w:rPr>
                <w:rFonts w:asciiTheme="majorBidi" w:hAnsiTheme="majorBidi" w:cstheme="majorBidi"/>
              </w:rPr>
              <w:t>488,666</w:t>
            </w:r>
          </w:p>
        </w:tc>
        <w:tc>
          <w:tcPr>
            <w:tcW w:w="0" w:type="auto"/>
            <w:tcBorders>
              <w:bottom w:val="single" w:sz="4" w:space="0" w:color="000000"/>
            </w:tcBorders>
            <w:tcMar>
              <w:top w:w="0" w:type="dxa"/>
              <w:left w:w="115" w:type="dxa"/>
              <w:bottom w:w="0" w:type="dxa"/>
              <w:right w:w="115" w:type="dxa"/>
            </w:tcMar>
            <w:hideMark/>
          </w:tcPr>
          <w:p w14:paraId="03668BA6" w14:textId="77777777" w:rsidR="00C033B5" w:rsidRPr="00746567" w:rsidRDefault="00C033B5" w:rsidP="00C033B5">
            <w:pPr>
              <w:rPr>
                <w:rFonts w:asciiTheme="majorBidi" w:hAnsiTheme="majorBidi" w:cstheme="majorBidi"/>
              </w:rPr>
            </w:pPr>
            <w:r w:rsidRPr="00746567">
              <w:rPr>
                <w:rFonts w:asciiTheme="majorBidi" w:hAnsiTheme="majorBidi" w:cstheme="majorBidi"/>
              </w:rPr>
              <w:t>1,333,140</w:t>
            </w:r>
          </w:p>
        </w:tc>
        <w:tc>
          <w:tcPr>
            <w:tcW w:w="0" w:type="auto"/>
            <w:tcBorders>
              <w:bottom w:val="single" w:sz="4" w:space="0" w:color="000000"/>
            </w:tcBorders>
            <w:tcMar>
              <w:top w:w="0" w:type="dxa"/>
              <w:left w:w="115" w:type="dxa"/>
              <w:bottom w:w="0" w:type="dxa"/>
              <w:right w:w="115" w:type="dxa"/>
            </w:tcMar>
            <w:hideMark/>
          </w:tcPr>
          <w:p w14:paraId="10081E79" w14:textId="77777777" w:rsidR="00C033B5" w:rsidRPr="00746567" w:rsidRDefault="00C033B5" w:rsidP="00C033B5">
            <w:pPr>
              <w:rPr>
                <w:rFonts w:asciiTheme="majorBidi" w:hAnsiTheme="majorBidi" w:cstheme="majorBidi"/>
              </w:rPr>
            </w:pPr>
            <w:r w:rsidRPr="00746567">
              <w:rPr>
                <w:rFonts w:asciiTheme="majorBidi" w:hAnsiTheme="majorBidi" w:cstheme="majorBidi"/>
              </w:rPr>
              <w:t>199,257</w:t>
            </w:r>
          </w:p>
        </w:tc>
        <w:tc>
          <w:tcPr>
            <w:tcW w:w="0" w:type="auto"/>
            <w:tcBorders>
              <w:bottom w:val="single" w:sz="4" w:space="0" w:color="000000"/>
            </w:tcBorders>
            <w:tcMar>
              <w:top w:w="0" w:type="dxa"/>
              <w:left w:w="115" w:type="dxa"/>
              <w:bottom w:w="0" w:type="dxa"/>
              <w:right w:w="115" w:type="dxa"/>
            </w:tcMar>
            <w:hideMark/>
          </w:tcPr>
          <w:p w14:paraId="2285C028" w14:textId="77777777" w:rsidR="00C033B5" w:rsidRPr="00746567" w:rsidRDefault="00C033B5" w:rsidP="00C033B5">
            <w:pPr>
              <w:rPr>
                <w:rFonts w:asciiTheme="majorBidi" w:hAnsiTheme="majorBidi" w:cstheme="majorBidi"/>
              </w:rPr>
            </w:pPr>
            <w:r w:rsidRPr="00746567">
              <w:rPr>
                <w:rFonts w:asciiTheme="majorBidi" w:hAnsiTheme="majorBidi" w:cstheme="majorBidi"/>
              </w:rPr>
              <w:t>1,333,140</w:t>
            </w:r>
          </w:p>
        </w:tc>
        <w:tc>
          <w:tcPr>
            <w:tcW w:w="0" w:type="auto"/>
            <w:tcBorders>
              <w:bottom w:val="single" w:sz="4" w:space="0" w:color="000000"/>
            </w:tcBorders>
            <w:tcMar>
              <w:top w:w="0" w:type="dxa"/>
              <w:left w:w="115" w:type="dxa"/>
              <w:bottom w:w="0" w:type="dxa"/>
              <w:right w:w="115" w:type="dxa"/>
            </w:tcMar>
            <w:hideMark/>
          </w:tcPr>
          <w:p w14:paraId="00297ADA" w14:textId="77777777" w:rsidR="00C033B5" w:rsidRPr="00746567" w:rsidRDefault="00C033B5" w:rsidP="00C033B5">
            <w:pPr>
              <w:rPr>
                <w:rFonts w:asciiTheme="majorBidi" w:hAnsiTheme="majorBidi" w:cstheme="majorBidi"/>
              </w:rPr>
            </w:pPr>
            <w:r w:rsidRPr="00746567">
              <w:rPr>
                <w:rFonts w:asciiTheme="majorBidi" w:hAnsiTheme="majorBidi" w:cstheme="majorBidi"/>
              </w:rPr>
              <w:t>211,439</w:t>
            </w:r>
          </w:p>
        </w:tc>
      </w:tr>
      <w:tr w:rsidR="00C033B5" w:rsidRPr="00746567" w14:paraId="4CE10BF4" w14:textId="77777777">
        <w:trPr>
          <w:trHeight w:val="20"/>
        </w:trPr>
        <w:tc>
          <w:tcPr>
            <w:tcW w:w="0" w:type="auto"/>
            <w:gridSpan w:val="7"/>
            <w:tcBorders>
              <w:top w:val="single" w:sz="4" w:space="0" w:color="000000"/>
            </w:tcBorders>
            <w:tcMar>
              <w:top w:w="0" w:type="dxa"/>
              <w:left w:w="115" w:type="dxa"/>
              <w:bottom w:w="0" w:type="dxa"/>
              <w:right w:w="115" w:type="dxa"/>
            </w:tcMar>
            <w:vAlign w:val="center"/>
            <w:hideMark/>
          </w:tcPr>
          <w:p w14:paraId="7D7D598A" w14:textId="77777777" w:rsidR="00C033B5" w:rsidRPr="00746567" w:rsidRDefault="00C033B5" w:rsidP="00C033B5">
            <w:pPr>
              <w:rPr>
                <w:rFonts w:asciiTheme="majorBidi" w:hAnsiTheme="majorBidi" w:cstheme="majorBidi"/>
              </w:rPr>
            </w:pPr>
            <w:r w:rsidRPr="00746567">
              <w:rPr>
                <w:rFonts w:asciiTheme="majorBidi" w:hAnsiTheme="majorBidi" w:cstheme="majorBidi"/>
                <w:i/>
                <w:iCs/>
              </w:rPr>
              <w:t>Note: The table reports the results of OLS, regression analysis for the impact of skin in the game on interest rates in Panel A respectively. Panel B and C reports the margin coefficients of Logit and Fractional regression analysis for the impact of skin in the game on default likelihood and severity of default respectively. Specification (1), (3) and (5) in Panel A, B and C reports the results for claims respectively. Specification (2), (4) and (6) in Panel A, B, and C reports the results for notes respectively. All specifications of the model employ robust standard errors in parentheses. *, **, *** indicate significance at 10%, 5%, and 1% levels respectively.</w:t>
            </w:r>
          </w:p>
        </w:tc>
      </w:tr>
      <w:tr w:rsidR="00C033B5" w:rsidRPr="00746567" w14:paraId="4DEB87EB" w14:textId="77777777">
        <w:trPr>
          <w:trHeight w:val="20"/>
        </w:trPr>
        <w:tc>
          <w:tcPr>
            <w:tcW w:w="0" w:type="auto"/>
            <w:tcMar>
              <w:top w:w="0" w:type="dxa"/>
              <w:left w:w="115" w:type="dxa"/>
              <w:bottom w:w="0" w:type="dxa"/>
              <w:right w:w="115" w:type="dxa"/>
            </w:tcMar>
            <w:vAlign w:val="center"/>
            <w:hideMark/>
          </w:tcPr>
          <w:p w14:paraId="70945D3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6C7FA9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0E4578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12FEC17E"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5251C46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25E7B3A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hideMark/>
          </w:tcPr>
          <w:p w14:paraId="44E2DAAA" w14:textId="77777777" w:rsidR="00C033B5" w:rsidRPr="00746567" w:rsidRDefault="00C033B5" w:rsidP="00C033B5">
            <w:pPr>
              <w:rPr>
                <w:rFonts w:asciiTheme="majorBidi" w:hAnsiTheme="majorBidi" w:cstheme="majorBidi"/>
              </w:rPr>
            </w:pPr>
          </w:p>
        </w:tc>
      </w:tr>
    </w:tbl>
    <w:p w14:paraId="27C2A17A" w14:textId="77777777" w:rsidR="00E53478" w:rsidRDefault="00E53478" w:rsidP="00C033B5"/>
    <w:p w14:paraId="5FCA2C3E" w14:textId="423C8B8E" w:rsidR="00C033B5" w:rsidRPr="00746567" w:rsidRDefault="00C033B5" w:rsidP="00746567">
      <w:pPr>
        <w:jc w:val="center"/>
        <w:rPr>
          <w:rFonts w:asciiTheme="majorBidi" w:hAnsiTheme="majorBidi" w:cstheme="majorBidi"/>
        </w:rPr>
      </w:pPr>
      <w:r w:rsidRPr="00746567">
        <w:rPr>
          <w:rFonts w:asciiTheme="majorBidi" w:hAnsiTheme="majorBidi" w:cstheme="majorBidi"/>
          <w:b/>
          <w:bCs/>
        </w:rPr>
        <w:t>Appendix Table A12</w:t>
      </w:r>
      <w:r w:rsidRPr="00746567">
        <w:rPr>
          <w:rFonts w:asciiTheme="majorBidi" w:hAnsiTheme="majorBidi" w:cstheme="majorBidi"/>
        </w:rPr>
        <w:t>: Robustness Tests – Additional Control Variables</w:t>
      </w:r>
    </w:p>
    <w:tbl>
      <w:tblPr>
        <w:tblW w:w="0" w:type="auto"/>
        <w:tblCellMar>
          <w:top w:w="15" w:type="dxa"/>
          <w:left w:w="15" w:type="dxa"/>
          <w:bottom w:w="15" w:type="dxa"/>
          <w:right w:w="15" w:type="dxa"/>
        </w:tblCellMar>
        <w:tblLook w:val="04A0" w:firstRow="1" w:lastRow="0" w:firstColumn="1" w:lastColumn="0" w:noHBand="0" w:noVBand="1"/>
      </w:tblPr>
      <w:tblGrid>
        <w:gridCol w:w="1901"/>
        <w:gridCol w:w="1425"/>
        <w:gridCol w:w="1425"/>
        <w:gridCol w:w="1425"/>
        <w:gridCol w:w="1425"/>
        <w:gridCol w:w="1425"/>
      </w:tblGrid>
      <w:tr w:rsidR="00C033B5" w:rsidRPr="00746567" w14:paraId="1453B562" w14:textId="77777777">
        <w:trPr>
          <w:trHeight w:val="20"/>
        </w:trPr>
        <w:tc>
          <w:tcPr>
            <w:tcW w:w="0" w:type="auto"/>
            <w:tcBorders>
              <w:top w:val="single" w:sz="4" w:space="0" w:color="000000"/>
            </w:tcBorders>
            <w:tcMar>
              <w:top w:w="0" w:type="dxa"/>
              <w:left w:w="115" w:type="dxa"/>
              <w:bottom w:w="0" w:type="dxa"/>
              <w:right w:w="115" w:type="dxa"/>
            </w:tcMar>
            <w:hideMark/>
          </w:tcPr>
          <w:p w14:paraId="6A10399C"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Variables</w:t>
            </w:r>
          </w:p>
        </w:tc>
        <w:tc>
          <w:tcPr>
            <w:tcW w:w="0" w:type="auto"/>
            <w:tcBorders>
              <w:top w:val="single" w:sz="4" w:space="0" w:color="000000"/>
            </w:tcBorders>
            <w:tcMar>
              <w:top w:w="0" w:type="dxa"/>
              <w:left w:w="115" w:type="dxa"/>
              <w:bottom w:w="0" w:type="dxa"/>
              <w:right w:w="115" w:type="dxa"/>
            </w:tcMar>
            <w:hideMark/>
          </w:tcPr>
          <w:p w14:paraId="0B7F15E1"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PANEL A</w:t>
            </w:r>
          </w:p>
        </w:tc>
        <w:tc>
          <w:tcPr>
            <w:tcW w:w="0" w:type="auto"/>
            <w:tcBorders>
              <w:top w:val="single" w:sz="4" w:space="0" w:color="000000"/>
            </w:tcBorders>
            <w:tcMar>
              <w:top w:w="0" w:type="dxa"/>
              <w:left w:w="115" w:type="dxa"/>
              <w:bottom w:w="0" w:type="dxa"/>
              <w:right w:w="115" w:type="dxa"/>
            </w:tcMar>
            <w:hideMark/>
          </w:tcPr>
          <w:p w14:paraId="2577040C"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PANEL B</w:t>
            </w:r>
          </w:p>
        </w:tc>
        <w:tc>
          <w:tcPr>
            <w:tcW w:w="0" w:type="auto"/>
            <w:tcBorders>
              <w:top w:val="single" w:sz="4" w:space="0" w:color="000000"/>
            </w:tcBorders>
            <w:tcMar>
              <w:top w:w="0" w:type="dxa"/>
              <w:left w:w="115" w:type="dxa"/>
              <w:bottom w:w="0" w:type="dxa"/>
              <w:right w:w="115" w:type="dxa"/>
            </w:tcMar>
            <w:hideMark/>
          </w:tcPr>
          <w:p w14:paraId="61E319BF" w14:textId="77777777" w:rsidR="00C033B5" w:rsidRPr="00746567" w:rsidRDefault="00C033B5" w:rsidP="00C033B5">
            <w:pPr>
              <w:rPr>
                <w:rFonts w:asciiTheme="majorBidi" w:hAnsiTheme="majorBidi" w:cstheme="majorBidi"/>
              </w:rPr>
            </w:pPr>
          </w:p>
        </w:tc>
        <w:tc>
          <w:tcPr>
            <w:tcW w:w="0" w:type="auto"/>
            <w:tcBorders>
              <w:top w:val="single" w:sz="4" w:space="0" w:color="000000"/>
            </w:tcBorders>
            <w:tcMar>
              <w:top w:w="0" w:type="dxa"/>
              <w:left w:w="115" w:type="dxa"/>
              <w:bottom w:w="0" w:type="dxa"/>
              <w:right w:w="115" w:type="dxa"/>
            </w:tcMar>
            <w:hideMark/>
          </w:tcPr>
          <w:p w14:paraId="605FA8F9"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PANEL C</w:t>
            </w:r>
          </w:p>
        </w:tc>
        <w:tc>
          <w:tcPr>
            <w:tcW w:w="0" w:type="auto"/>
            <w:tcBorders>
              <w:top w:val="single" w:sz="4" w:space="0" w:color="000000"/>
            </w:tcBorders>
            <w:tcMar>
              <w:top w:w="0" w:type="dxa"/>
              <w:left w:w="115" w:type="dxa"/>
              <w:bottom w:w="0" w:type="dxa"/>
              <w:right w:w="115" w:type="dxa"/>
            </w:tcMar>
            <w:hideMark/>
          </w:tcPr>
          <w:p w14:paraId="50E24A92" w14:textId="77777777" w:rsidR="00C033B5" w:rsidRPr="00746567" w:rsidRDefault="00C033B5" w:rsidP="00C033B5">
            <w:pPr>
              <w:rPr>
                <w:rFonts w:asciiTheme="majorBidi" w:hAnsiTheme="majorBidi" w:cstheme="majorBidi"/>
              </w:rPr>
            </w:pPr>
          </w:p>
        </w:tc>
      </w:tr>
      <w:tr w:rsidR="00C033B5" w:rsidRPr="00746567" w14:paraId="2CBE3C97" w14:textId="77777777">
        <w:trPr>
          <w:trHeight w:val="20"/>
        </w:trPr>
        <w:tc>
          <w:tcPr>
            <w:tcW w:w="0" w:type="auto"/>
            <w:tcBorders>
              <w:bottom w:val="single" w:sz="4" w:space="0" w:color="000000"/>
            </w:tcBorders>
            <w:tcMar>
              <w:top w:w="0" w:type="dxa"/>
              <w:left w:w="115" w:type="dxa"/>
              <w:bottom w:w="0" w:type="dxa"/>
              <w:right w:w="115" w:type="dxa"/>
            </w:tcMar>
            <w:hideMark/>
          </w:tcPr>
          <w:p w14:paraId="6A622B1E" w14:textId="77777777" w:rsidR="00C033B5" w:rsidRPr="00746567" w:rsidRDefault="00C033B5" w:rsidP="00C033B5">
            <w:pPr>
              <w:rPr>
                <w:rFonts w:asciiTheme="majorBidi" w:hAnsiTheme="majorBidi" w:cstheme="majorBidi"/>
              </w:rPr>
            </w:pPr>
          </w:p>
        </w:tc>
        <w:tc>
          <w:tcPr>
            <w:tcW w:w="0" w:type="auto"/>
            <w:tcBorders>
              <w:bottom w:val="single" w:sz="4" w:space="0" w:color="000000"/>
            </w:tcBorders>
            <w:tcMar>
              <w:top w:w="0" w:type="dxa"/>
              <w:left w:w="115" w:type="dxa"/>
              <w:bottom w:w="0" w:type="dxa"/>
              <w:right w:w="115" w:type="dxa"/>
            </w:tcMar>
            <w:hideMark/>
          </w:tcPr>
          <w:p w14:paraId="531D18C8"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1a)</w:t>
            </w:r>
          </w:p>
        </w:tc>
        <w:tc>
          <w:tcPr>
            <w:tcW w:w="0" w:type="auto"/>
            <w:tcBorders>
              <w:bottom w:val="single" w:sz="4" w:space="0" w:color="000000"/>
            </w:tcBorders>
            <w:tcMar>
              <w:top w:w="0" w:type="dxa"/>
              <w:left w:w="115" w:type="dxa"/>
              <w:bottom w:w="0" w:type="dxa"/>
              <w:right w:w="115" w:type="dxa"/>
            </w:tcMar>
            <w:hideMark/>
          </w:tcPr>
          <w:p w14:paraId="1E4C864D"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2a)</w:t>
            </w:r>
          </w:p>
        </w:tc>
        <w:tc>
          <w:tcPr>
            <w:tcW w:w="0" w:type="auto"/>
            <w:tcBorders>
              <w:bottom w:val="single" w:sz="4" w:space="0" w:color="000000"/>
            </w:tcBorders>
            <w:tcMar>
              <w:top w:w="0" w:type="dxa"/>
              <w:left w:w="115" w:type="dxa"/>
              <w:bottom w:w="0" w:type="dxa"/>
              <w:right w:w="115" w:type="dxa"/>
            </w:tcMar>
            <w:hideMark/>
          </w:tcPr>
          <w:p w14:paraId="78C9030C"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2b)</w:t>
            </w:r>
          </w:p>
        </w:tc>
        <w:tc>
          <w:tcPr>
            <w:tcW w:w="0" w:type="auto"/>
            <w:tcBorders>
              <w:bottom w:val="single" w:sz="4" w:space="0" w:color="000000"/>
            </w:tcBorders>
            <w:tcMar>
              <w:top w:w="0" w:type="dxa"/>
              <w:left w:w="115" w:type="dxa"/>
              <w:bottom w:w="0" w:type="dxa"/>
              <w:right w:w="115" w:type="dxa"/>
            </w:tcMar>
            <w:hideMark/>
          </w:tcPr>
          <w:p w14:paraId="5286E3B6"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3a)</w:t>
            </w:r>
          </w:p>
        </w:tc>
        <w:tc>
          <w:tcPr>
            <w:tcW w:w="0" w:type="auto"/>
            <w:tcBorders>
              <w:bottom w:val="single" w:sz="4" w:space="0" w:color="000000"/>
            </w:tcBorders>
            <w:tcMar>
              <w:top w:w="0" w:type="dxa"/>
              <w:left w:w="115" w:type="dxa"/>
              <w:bottom w:w="0" w:type="dxa"/>
              <w:right w:w="115" w:type="dxa"/>
            </w:tcMar>
            <w:hideMark/>
          </w:tcPr>
          <w:p w14:paraId="1BDA9CCE"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3b)</w:t>
            </w:r>
          </w:p>
        </w:tc>
      </w:tr>
      <w:tr w:rsidR="00C033B5" w:rsidRPr="00746567" w14:paraId="745D70BC" w14:textId="77777777">
        <w:trPr>
          <w:trHeight w:val="20"/>
        </w:trPr>
        <w:tc>
          <w:tcPr>
            <w:tcW w:w="0" w:type="auto"/>
            <w:tcBorders>
              <w:top w:val="single" w:sz="4" w:space="0" w:color="000000"/>
            </w:tcBorders>
            <w:tcMar>
              <w:top w:w="0" w:type="dxa"/>
              <w:left w:w="115" w:type="dxa"/>
              <w:bottom w:w="0" w:type="dxa"/>
              <w:right w:w="115" w:type="dxa"/>
            </w:tcMar>
            <w:hideMark/>
          </w:tcPr>
          <w:p w14:paraId="192737B6" w14:textId="77777777" w:rsidR="00C033B5" w:rsidRPr="00746567" w:rsidRDefault="00C033B5" w:rsidP="00C033B5">
            <w:pPr>
              <w:rPr>
                <w:rFonts w:asciiTheme="majorBidi" w:hAnsiTheme="majorBidi" w:cstheme="majorBidi"/>
              </w:rPr>
            </w:pPr>
            <w:r w:rsidRPr="00746567">
              <w:rPr>
                <w:rFonts w:asciiTheme="majorBidi" w:hAnsiTheme="majorBidi" w:cstheme="majorBidi"/>
              </w:rPr>
              <w:t>SITG</w:t>
            </w:r>
          </w:p>
        </w:tc>
        <w:tc>
          <w:tcPr>
            <w:tcW w:w="0" w:type="auto"/>
            <w:tcBorders>
              <w:top w:val="single" w:sz="4" w:space="0" w:color="000000"/>
            </w:tcBorders>
            <w:tcMar>
              <w:top w:w="0" w:type="dxa"/>
              <w:left w:w="115" w:type="dxa"/>
              <w:bottom w:w="0" w:type="dxa"/>
              <w:right w:w="115" w:type="dxa"/>
            </w:tcMar>
            <w:vAlign w:val="center"/>
            <w:hideMark/>
          </w:tcPr>
          <w:p w14:paraId="10910634" w14:textId="77777777" w:rsidR="00C033B5" w:rsidRPr="00746567" w:rsidRDefault="00C033B5" w:rsidP="00C033B5">
            <w:pPr>
              <w:rPr>
                <w:rFonts w:asciiTheme="majorBidi" w:hAnsiTheme="majorBidi" w:cstheme="majorBidi"/>
              </w:rPr>
            </w:pPr>
            <w:r w:rsidRPr="00746567">
              <w:rPr>
                <w:rFonts w:asciiTheme="majorBidi" w:hAnsiTheme="majorBidi" w:cstheme="majorBidi"/>
              </w:rPr>
              <w:t>-0.3230***</w:t>
            </w:r>
          </w:p>
        </w:tc>
        <w:tc>
          <w:tcPr>
            <w:tcW w:w="0" w:type="auto"/>
            <w:tcBorders>
              <w:top w:val="single" w:sz="4" w:space="0" w:color="000000"/>
            </w:tcBorders>
            <w:tcMar>
              <w:top w:w="0" w:type="dxa"/>
              <w:left w:w="115" w:type="dxa"/>
              <w:bottom w:w="0" w:type="dxa"/>
              <w:right w:w="115" w:type="dxa"/>
            </w:tcMar>
            <w:vAlign w:val="center"/>
            <w:hideMark/>
          </w:tcPr>
          <w:p w14:paraId="26A7BE80" w14:textId="77777777" w:rsidR="00C033B5" w:rsidRPr="00746567" w:rsidRDefault="00C033B5" w:rsidP="00C033B5">
            <w:pPr>
              <w:rPr>
                <w:rFonts w:asciiTheme="majorBidi" w:hAnsiTheme="majorBidi" w:cstheme="majorBidi"/>
              </w:rPr>
            </w:pPr>
            <w:r w:rsidRPr="00746567">
              <w:rPr>
                <w:rFonts w:asciiTheme="majorBidi" w:hAnsiTheme="majorBidi" w:cstheme="majorBidi"/>
              </w:rPr>
              <w:t>-6.0673***</w:t>
            </w:r>
          </w:p>
        </w:tc>
        <w:tc>
          <w:tcPr>
            <w:tcW w:w="0" w:type="auto"/>
            <w:tcBorders>
              <w:top w:val="single" w:sz="4" w:space="0" w:color="000000"/>
            </w:tcBorders>
            <w:tcMar>
              <w:top w:w="0" w:type="dxa"/>
              <w:left w:w="115" w:type="dxa"/>
              <w:bottom w:w="0" w:type="dxa"/>
              <w:right w:w="115" w:type="dxa"/>
            </w:tcMar>
            <w:vAlign w:val="center"/>
            <w:hideMark/>
          </w:tcPr>
          <w:p w14:paraId="0C440487" w14:textId="77777777" w:rsidR="00C033B5" w:rsidRPr="00746567" w:rsidRDefault="00C033B5" w:rsidP="00C033B5">
            <w:pPr>
              <w:rPr>
                <w:rFonts w:asciiTheme="majorBidi" w:hAnsiTheme="majorBidi" w:cstheme="majorBidi"/>
              </w:rPr>
            </w:pPr>
            <w:r w:rsidRPr="00746567">
              <w:rPr>
                <w:rFonts w:asciiTheme="majorBidi" w:hAnsiTheme="majorBidi" w:cstheme="majorBidi"/>
              </w:rPr>
              <w:t>-0.8808***</w:t>
            </w:r>
          </w:p>
        </w:tc>
        <w:tc>
          <w:tcPr>
            <w:tcW w:w="0" w:type="auto"/>
            <w:tcBorders>
              <w:top w:val="single" w:sz="4" w:space="0" w:color="000000"/>
            </w:tcBorders>
            <w:tcMar>
              <w:top w:w="0" w:type="dxa"/>
              <w:left w:w="115" w:type="dxa"/>
              <w:bottom w:w="0" w:type="dxa"/>
              <w:right w:w="115" w:type="dxa"/>
            </w:tcMar>
            <w:vAlign w:val="center"/>
            <w:hideMark/>
          </w:tcPr>
          <w:p w14:paraId="286E6239" w14:textId="77777777" w:rsidR="00C033B5" w:rsidRPr="00746567" w:rsidRDefault="00C033B5" w:rsidP="00C033B5">
            <w:pPr>
              <w:rPr>
                <w:rFonts w:asciiTheme="majorBidi" w:hAnsiTheme="majorBidi" w:cstheme="majorBidi"/>
              </w:rPr>
            </w:pPr>
            <w:r w:rsidRPr="00746567">
              <w:rPr>
                <w:rFonts w:asciiTheme="majorBidi" w:hAnsiTheme="majorBidi" w:cstheme="majorBidi"/>
              </w:rPr>
              <w:t>-3.5462***</w:t>
            </w:r>
          </w:p>
        </w:tc>
        <w:tc>
          <w:tcPr>
            <w:tcW w:w="0" w:type="auto"/>
            <w:tcBorders>
              <w:top w:val="single" w:sz="4" w:space="0" w:color="000000"/>
            </w:tcBorders>
            <w:tcMar>
              <w:top w:w="0" w:type="dxa"/>
              <w:left w:w="115" w:type="dxa"/>
              <w:bottom w:w="0" w:type="dxa"/>
              <w:right w:w="115" w:type="dxa"/>
            </w:tcMar>
            <w:vAlign w:val="center"/>
            <w:hideMark/>
          </w:tcPr>
          <w:p w14:paraId="2DBADA82" w14:textId="77777777" w:rsidR="00C033B5" w:rsidRPr="00746567" w:rsidRDefault="00C033B5" w:rsidP="00C033B5">
            <w:pPr>
              <w:rPr>
                <w:rFonts w:asciiTheme="majorBidi" w:hAnsiTheme="majorBidi" w:cstheme="majorBidi"/>
              </w:rPr>
            </w:pPr>
            <w:r w:rsidRPr="00746567">
              <w:rPr>
                <w:rFonts w:asciiTheme="majorBidi" w:hAnsiTheme="majorBidi" w:cstheme="majorBidi"/>
              </w:rPr>
              <w:t>-0.4851***</w:t>
            </w:r>
          </w:p>
        </w:tc>
      </w:tr>
      <w:tr w:rsidR="00C033B5" w:rsidRPr="00746567" w14:paraId="186A4004" w14:textId="77777777">
        <w:trPr>
          <w:trHeight w:val="20"/>
        </w:trPr>
        <w:tc>
          <w:tcPr>
            <w:tcW w:w="0" w:type="auto"/>
            <w:tcMar>
              <w:top w:w="0" w:type="dxa"/>
              <w:left w:w="115" w:type="dxa"/>
              <w:bottom w:w="0" w:type="dxa"/>
              <w:right w:w="115" w:type="dxa"/>
            </w:tcMar>
            <w:hideMark/>
          </w:tcPr>
          <w:p w14:paraId="3FBACF63"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CB2E2C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(0.0046)</w:t>
            </w:r>
          </w:p>
        </w:tc>
        <w:tc>
          <w:tcPr>
            <w:tcW w:w="0" w:type="auto"/>
            <w:tcMar>
              <w:top w:w="0" w:type="dxa"/>
              <w:left w:w="115" w:type="dxa"/>
              <w:bottom w:w="0" w:type="dxa"/>
              <w:right w:w="115" w:type="dxa"/>
            </w:tcMar>
            <w:vAlign w:val="center"/>
            <w:hideMark/>
          </w:tcPr>
          <w:p w14:paraId="75B3CA81" w14:textId="77777777" w:rsidR="00C033B5" w:rsidRPr="00746567" w:rsidRDefault="00C033B5" w:rsidP="00C033B5">
            <w:pPr>
              <w:rPr>
                <w:rFonts w:asciiTheme="majorBidi" w:hAnsiTheme="majorBidi" w:cstheme="majorBidi"/>
              </w:rPr>
            </w:pPr>
            <w:r w:rsidRPr="00746567">
              <w:rPr>
                <w:rFonts w:asciiTheme="majorBidi" w:hAnsiTheme="majorBidi" w:cstheme="majorBidi"/>
              </w:rPr>
              <w:t>(0.9378)</w:t>
            </w:r>
          </w:p>
        </w:tc>
        <w:tc>
          <w:tcPr>
            <w:tcW w:w="0" w:type="auto"/>
            <w:tcMar>
              <w:top w:w="0" w:type="dxa"/>
              <w:left w:w="115" w:type="dxa"/>
              <w:bottom w:w="0" w:type="dxa"/>
              <w:right w:w="115" w:type="dxa"/>
            </w:tcMar>
            <w:vAlign w:val="center"/>
            <w:hideMark/>
          </w:tcPr>
          <w:p w14:paraId="0D6CB6C5" w14:textId="77777777" w:rsidR="00C033B5" w:rsidRPr="00746567" w:rsidRDefault="00C033B5" w:rsidP="00C033B5">
            <w:pPr>
              <w:rPr>
                <w:rFonts w:asciiTheme="majorBidi" w:hAnsiTheme="majorBidi" w:cstheme="majorBidi"/>
              </w:rPr>
            </w:pPr>
            <w:r w:rsidRPr="00746567">
              <w:rPr>
                <w:rFonts w:asciiTheme="majorBidi" w:hAnsiTheme="majorBidi" w:cstheme="majorBidi"/>
              </w:rPr>
              <w:t>(0.1361)</w:t>
            </w:r>
          </w:p>
        </w:tc>
        <w:tc>
          <w:tcPr>
            <w:tcW w:w="0" w:type="auto"/>
            <w:tcMar>
              <w:top w:w="0" w:type="dxa"/>
              <w:left w:w="115" w:type="dxa"/>
              <w:bottom w:w="0" w:type="dxa"/>
              <w:right w:w="115" w:type="dxa"/>
            </w:tcMar>
            <w:vAlign w:val="center"/>
            <w:hideMark/>
          </w:tcPr>
          <w:p w14:paraId="1EAC5971" w14:textId="77777777" w:rsidR="00C033B5" w:rsidRPr="00746567" w:rsidRDefault="00C033B5" w:rsidP="00C033B5">
            <w:pPr>
              <w:rPr>
                <w:rFonts w:asciiTheme="majorBidi" w:hAnsiTheme="majorBidi" w:cstheme="majorBidi"/>
              </w:rPr>
            </w:pPr>
            <w:r w:rsidRPr="00746567">
              <w:rPr>
                <w:rFonts w:asciiTheme="majorBidi" w:hAnsiTheme="majorBidi" w:cstheme="majorBidi"/>
              </w:rPr>
              <w:t>(0.9223)</w:t>
            </w:r>
          </w:p>
        </w:tc>
        <w:tc>
          <w:tcPr>
            <w:tcW w:w="0" w:type="auto"/>
            <w:tcMar>
              <w:top w:w="0" w:type="dxa"/>
              <w:left w:w="115" w:type="dxa"/>
              <w:bottom w:w="0" w:type="dxa"/>
              <w:right w:w="115" w:type="dxa"/>
            </w:tcMar>
            <w:vAlign w:val="center"/>
            <w:hideMark/>
          </w:tcPr>
          <w:p w14:paraId="54F00E87" w14:textId="77777777" w:rsidR="00C033B5" w:rsidRPr="00746567" w:rsidRDefault="00C033B5" w:rsidP="00C033B5">
            <w:pPr>
              <w:rPr>
                <w:rFonts w:asciiTheme="majorBidi" w:hAnsiTheme="majorBidi" w:cstheme="majorBidi"/>
              </w:rPr>
            </w:pPr>
            <w:r w:rsidRPr="00746567">
              <w:rPr>
                <w:rFonts w:asciiTheme="majorBidi" w:hAnsiTheme="majorBidi" w:cstheme="majorBidi"/>
              </w:rPr>
              <w:t>(0.1261)</w:t>
            </w:r>
          </w:p>
        </w:tc>
      </w:tr>
      <w:tr w:rsidR="00C033B5" w:rsidRPr="00746567" w14:paraId="7025EC42" w14:textId="77777777">
        <w:trPr>
          <w:trHeight w:val="20"/>
        </w:trPr>
        <w:tc>
          <w:tcPr>
            <w:tcW w:w="0" w:type="auto"/>
            <w:tcMar>
              <w:top w:w="0" w:type="dxa"/>
              <w:left w:w="115" w:type="dxa"/>
              <w:bottom w:w="0" w:type="dxa"/>
              <w:right w:w="115" w:type="dxa"/>
            </w:tcMar>
            <w:hideMark/>
          </w:tcPr>
          <w:p w14:paraId="3F268D4E" w14:textId="77777777" w:rsidR="00C033B5" w:rsidRPr="00746567" w:rsidRDefault="00C033B5" w:rsidP="00C033B5">
            <w:pPr>
              <w:rPr>
                <w:rFonts w:asciiTheme="majorBidi" w:hAnsiTheme="majorBidi" w:cstheme="majorBidi"/>
              </w:rPr>
            </w:pPr>
            <w:r w:rsidRPr="00746567">
              <w:rPr>
                <w:rFonts w:asciiTheme="majorBidi" w:hAnsiTheme="majorBidi" w:cstheme="majorBidi"/>
              </w:rPr>
              <w:t>Term</w:t>
            </w:r>
          </w:p>
        </w:tc>
        <w:tc>
          <w:tcPr>
            <w:tcW w:w="0" w:type="auto"/>
            <w:tcMar>
              <w:top w:w="0" w:type="dxa"/>
              <w:left w:w="115" w:type="dxa"/>
              <w:bottom w:w="0" w:type="dxa"/>
              <w:right w:w="115" w:type="dxa"/>
            </w:tcMar>
            <w:vAlign w:val="center"/>
            <w:hideMark/>
          </w:tcPr>
          <w:p w14:paraId="4507B77C" w14:textId="77777777" w:rsidR="00C033B5" w:rsidRPr="00746567" w:rsidRDefault="00C033B5" w:rsidP="00C033B5">
            <w:pPr>
              <w:rPr>
                <w:rFonts w:asciiTheme="majorBidi" w:hAnsiTheme="majorBidi" w:cstheme="majorBidi"/>
              </w:rPr>
            </w:pPr>
            <w:r w:rsidRPr="00746567">
              <w:rPr>
                <w:rFonts w:asciiTheme="majorBidi" w:hAnsiTheme="majorBidi" w:cstheme="majorBidi"/>
              </w:rPr>
              <w:t>0.0190***</w:t>
            </w:r>
          </w:p>
        </w:tc>
        <w:tc>
          <w:tcPr>
            <w:tcW w:w="0" w:type="auto"/>
            <w:tcMar>
              <w:top w:w="0" w:type="dxa"/>
              <w:left w:w="115" w:type="dxa"/>
              <w:bottom w:w="0" w:type="dxa"/>
              <w:right w:w="115" w:type="dxa"/>
            </w:tcMar>
            <w:vAlign w:val="center"/>
            <w:hideMark/>
          </w:tcPr>
          <w:p w14:paraId="5416FB3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-0.0075***</w:t>
            </w:r>
          </w:p>
        </w:tc>
        <w:tc>
          <w:tcPr>
            <w:tcW w:w="0" w:type="auto"/>
            <w:tcMar>
              <w:top w:w="0" w:type="dxa"/>
              <w:left w:w="115" w:type="dxa"/>
              <w:bottom w:w="0" w:type="dxa"/>
              <w:right w:w="115" w:type="dxa"/>
            </w:tcMar>
            <w:vAlign w:val="center"/>
            <w:hideMark/>
          </w:tcPr>
          <w:p w14:paraId="10AF7D4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-0.0011***</w:t>
            </w:r>
          </w:p>
        </w:tc>
        <w:tc>
          <w:tcPr>
            <w:tcW w:w="0" w:type="auto"/>
            <w:tcMar>
              <w:top w:w="0" w:type="dxa"/>
              <w:left w:w="115" w:type="dxa"/>
              <w:bottom w:w="0" w:type="dxa"/>
              <w:right w:w="115" w:type="dxa"/>
            </w:tcMar>
            <w:vAlign w:val="center"/>
            <w:hideMark/>
          </w:tcPr>
          <w:p w14:paraId="376553D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-0.0050***</w:t>
            </w:r>
          </w:p>
        </w:tc>
        <w:tc>
          <w:tcPr>
            <w:tcW w:w="0" w:type="auto"/>
            <w:tcMar>
              <w:top w:w="0" w:type="dxa"/>
              <w:left w:w="115" w:type="dxa"/>
              <w:bottom w:w="0" w:type="dxa"/>
              <w:right w:w="115" w:type="dxa"/>
            </w:tcMar>
            <w:vAlign w:val="center"/>
            <w:hideMark/>
          </w:tcPr>
          <w:p w14:paraId="454E83D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-0.0007***</w:t>
            </w:r>
          </w:p>
        </w:tc>
      </w:tr>
      <w:tr w:rsidR="00C033B5" w:rsidRPr="00746567" w14:paraId="1B9FD4EE" w14:textId="77777777">
        <w:trPr>
          <w:trHeight w:val="20"/>
        </w:trPr>
        <w:tc>
          <w:tcPr>
            <w:tcW w:w="0" w:type="auto"/>
            <w:tcMar>
              <w:top w:w="0" w:type="dxa"/>
              <w:left w:w="115" w:type="dxa"/>
              <w:bottom w:w="0" w:type="dxa"/>
              <w:right w:w="115" w:type="dxa"/>
            </w:tcMar>
            <w:hideMark/>
          </w:tcPr>
          <w:p w14:paraId="79E58F8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6C0B32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(0.0003)</w:t>
            </w:r>
          </w:p>
        </w:tc>
        <w:tc>
          <w:tcPr>
            <w:tcW w:w="0" w:type="auto"/>
            <w:tcMar>
              <w:top w:w="0" w:type="dxa"/>
              <w:left w:w="115" w:type="dxa"/>
              <w:bottom w:w="0" w:type="dxa"/>
              <w:right w:w="115" w:type="dxa"/>
            </w:tcMar>
            <w:vAlign w:val="center"/>
            <w:hideMark/>
          </w:tcPr>
          <w:p w14:paraId="59A6533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(0.0009)</w:t>
            </w:r>
          </w:p>
        </w:tc>
        <w:tc>
          <w:tcPr>
            <w:tcW w:w="0" w:type="auto"/>
            <w:tcMar>
              <w:top w:w="0" w:type="dxa"/>
              <w:left w:w="115" w:type="dxa"/>
              <w:bottom w:w="0" w:type="dxa"/>
              <w:right w:w="115" w:type="dxa"/>
            </w:tcMar>
            <w:vAlign w:val="center"/>
            <w:hideMark/>
          </w:tcPr>
          <w:p w14:paraId="5CD3095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27196C4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(0.0009)</w:t>
            </w:r>
          </w:p>
        </w:tc>
        <w:tc>
          <w:tcPr>
            <w:tcW w:w="0" w:type="auto"/>
            <w:tcMar>
              <w:top w:w="0" w:type="dxa"/>
              <w:left w:w="115" w:type="dxa"/>
              <w:bottom w:w="0" w:type="dxa"/>
              <w:right w:w="115" w:type="dxa"/>
            </w:tcMar>
            <w:vAlign w:val="center"/>
            <w:hideMark/>
          </w:tcPr>
          <w:p w14:paraId="155C93D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r>
      <w:tr w:rsidR="00C033B5" w:rsidRPr="00746567" w14:paraId="09632696" w14:textId="77777777">
        <w:trPr>
          <w:trHeight w:val="20"/>
        </w:trPr>
        <w:tc>
          <w:tcPr>
            <w:tcW w:w="0" w:type="auto"/>
            <w:tcMar>
              <w:top w:w="0" w:type="dxa"/>
              <w:left w:w="115" w:type="dxa"/>
              <w:bottom w:w="0" w:type="dxa"/>
              <w:right w:w="115" w:type="dxa"/>
            </w:tcMar>
            <w:hideMark/>
          </w:tcPr>
          <w:p w14:paraId="5DB868AE" w14:textId="77777777" w:rsidR="00C033B5" w:rsidRPr="00746567" w:rsidRDefault="00C033B5" w:rsidP="00C033B5">
            <w:pPr>
              <w:rPr>
                <w:rFonts w:asciiTheme="majorBidi" w:hAnsiTheme="majorBidi" w:cstheme="majorBidi"/>
              </w:rPr>
            </w:pPr>
            <w:r w:rsidRPr="00746567">
              <w:rPr>
                <w:rFonts w:asciiTheme="majorBidi" w:hAnsiTheme="majorBidi" w:cstheme="majorBidi"/>
              </w:rPr>
              <w:t>Term × Term</w:t>
            </w:r>
          </w:p>
        </w:tc>
        <w:tc>
          <w:tcPr>
            <w:tcW w:w="0" w:type="auto"/>
            <w:tcMar>
              <w:top w:w="0" w:type="dxa"/>
              <w:left w:w="115" w:type="dxa"/>
              <w:bottom w:w="0" w:type="dxa"/>
              <w:right w:w="115" w:type="dxa"/>
            </w:tcMar>
            <w:vAlign w:val="center"/>
            <w:hideMark/>
          </w:tcPr>
          <w:p w14:paraId="0694BA3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-0.0031***</w:t>
            </w:r>
          </w:p>
        </w:tc>
        <w:tc>
          <w:tcPr>
            <w:tcW w:w="0" w:type="auto"/>
            <w:tcMar>
              <w:top w:w="0" w:type="dxa"/>
              <w:left w:w="115" w:type="dxa"/>
              <w:bottom w:w="0" w:type="dxa"/>
              <w:right w:w="115" w:type="dxa"/>
            </w:tcMar>
            <w:vAlign w:val="center"/>
            <w:hideMark/>
          </w:tcPr>
          <w:p w14:paraId="12B8DC79"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58EED789"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5DCF8AD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E0E65C5" w14:textId="77777777" w:rsidR="00C033B5" w:rsidRPr="00746567" w:rsidRDefault="00C033B5" w:rsidP="00C033B5">
            <w:pPr>
              <w:rPr>
                <w:rFonts w:asciiTheme="majorBidi" w:hAnsiTheme="majorBidi" w:cstheme="majorBidi"/>
              </w:rPr>
            </w:pPr>
          </w:p>
        </w:tc>
      </w:tr>
      <w:tr w:rsidR="00C033B5" w:rsidRPr="00746567" w14:paraId="52554F54" w14:textId="77777777">
        <w:trPr>
          <w:trHeight w:val="20"/>
        </w:trPr>
        <w:tc>
          <w:tcPr>
            <w:tcW w:w="0" w:type="auto"/>
            <w:tcMar>
              <w:top w:w="0" w:type="dxa"/>
              <w:left w:w="115" w:type="dxa"/>
              <w:bottom w:w="0" w:type="dxa"/>
              <w:right w:w="115" w:type="dxa"/>
            </w:tcMar>
            <w:hideMark/>
          </w:tcPr>
          <w:p w14:paraId="3BCC114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EBE860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0E28F38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413E107"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9ACB8F7"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2409308" w14:textId="77777777" w:rsidR="00C033B5" w:rsidRPr="00746567" w:rsidRDefault="00C033B5" w:rsidP="00C033B5">
            <w:pPr>
              <w:rPr>
                <w:rFonts w:asciiTheme="majorBidi" w:hAnsiTheme="majorBidi" w:cstheme="majorBidi"/>
              </w:rPr>
            </w:pPr>
          </w:p>
        </w:tc>
      </w:tr>
      <w:tr w:rsidR="00C033B5" w:rsidRPr="00746567" w14:paraId="70685471" w14:textId="77777777">
        <w:trPr>
          <w:trHeight w:val="20"/>
        </w:trPr>
        <w:tc>
          <w:tcPr>
            <w:tcW w:w="0" w:type="auto"/>
            <w:tcMar>
              <w:top w:w="0" w:type="dxa"/>
              <w:left w:w="115" w:type="dxa"/>
              <w:bottom w:w="0" w:type="dxa"/>
              <w:right w:w="115" w:type="dxa"/>
            </w:tcMar>
            <w:hideMark/>
          </w:tcPr>
          <w:p w14:paraId="2DD136EA" w14:textId="77777777" w:rsidR="00C033B5" w:rsidRPr="00746567" w:rsidRDefault="00C033B5" w:rsidP="00C033B5">
            <w:pPr>
              <w:rPr>
                <w:rFonts w:asciiTheme="majorBidi" w:hAnsiTheme="majorBidi" w:cstheme="majorBidi"/>
              </w:rPr>
            </w:pPr>
            <w:r w:rsidRPr="00746567">
              <w:rPr>
                <w:rFonts w:asciiTheme="majorBidi" w:hAnsiTheme="majorBidi" w:cstheme="majorBidi"/>
              </w:rPr>
              <w:t>Amount</w:t>
            </w:r>
          </w:p>
        </w:tc>
        <w:tc>
          <w:tcPr>
            <w:tcW w:w="0" w:type="auto"/>
            <w:tcMar>
              <w:top w:w="0" w:type="dxa"/>
              <w:left w:w="115" w:type="dxa"/>
              <w:bottom w:w="0" w:type="dxa"/>
              <w:right w:w="115" w:type="dxa"/>
            </w:tcMar>
            <w:vAlign w:val="center"/>
            <w:hideMark/>
          </w:tcPr>
          <w:p w14:paraId="4E3469F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-0.0011***</w:t>
            </w:r>
          </w:p>
        </w:tc>
        <w:tc>
          <w:tcPr>
            <w:tcW w:w="0" w:type="auto"/>
            <w:tcMar>
              <w:top w:w="0" w:type="dxa"/>
              <w:left w:w="115" w:type="dxa"/>
              <w:bottom w:w="0" w:type="dxa"/>
              <w:right w:w="115" w:type="dxa"/>
            </w:tcMar>
            <w:vAlign w:val="center"/>
            <w:hideMark/>
          </w:tcPr>
          <w:p w14:paraId="4BD273C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vAlign w:val="center"/>
            <w:hideMark/>
          </w:tcPr>
          <w:p w14:paraId="63B0C94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10275C4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vAlign w:val="center"/>
            <w:hideMark/>
          </w:tcPr>
          <w:p w14:paraId="510CBAD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r>
      <w:tr w:rsidR="00C033B5" w:rsidRPr="00746567" w14:paraId="4F2CB91F" w14:textId="77777777">
        <w:trPr>
          <w:trHeight w:val="20"/>
        </w:trPr>
        <w:tc>
          <w:tcPr>
            <w:tcW w:w="0" w:type="auto"/>
            <w:tcMar>
              <w:top w:w="0" w:type="dxa"/>
              <w:left w:w="115" w:type="dxa"/>
              <w:bottom w:w="0" w:type="dxa"/>
              <w:right w:w="115" w:type="dxa"/>
            </w:tcMar>
            <w:hideMark/>
          </w:tcPr>
          <w:p w14:paraId="6D7C75C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AC011F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157DF82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1CA5348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08DCE26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1CE66E9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r>
      <w:tr w:rsidR="00C033B5" w:rsidRPr="00746567" w14:paraId="51F09ACD" w14:textId="77777777">
        <w:trPr>
          <w:trHeight w:val="20"/>
        </w:trPr>
        <w:tc>
          <w:tcPr>
            <w:tcW w:w="0" w:type="auto"/>
            <w:tcMar>
              <w:top w:w="0" w:type="dxa"/>
              <w:left w:w="115" w:type="dxa"/>
              <w:bottom w:w="0" w:type="dxa"/>
              <w:right w:w="115" w:type="dxa"/>
            </w:tcMar>
            <w:hideMark/>
          </w:tcPr>
          <w:p w14:paraId="01C6AB30"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Riskscore</w:t>
            </w:r>
            <w:proofErr w:type="spellEnd"/>
          </w:p>
        </w:tc>
        <w:tc>
          <w:tcPr>
            <w:tcW w:w="0" w:type="auto"/>
            <w:tcMar>
              <w:top w:w="0" w:type="dxa"/>
              <w:left w:w="115" w:type="dxa"/>
              <w:bottom w:w="0" w:type="dxa"/>
              <w:right w:w="115" w:type="dxa"/>
            </w:tcMar>
            <w:vAlign w:val="center"/>
            <w:hideMark/>
          </w:tcPr>
          <w:p w14:paraId="3DA20A8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-0.0065***</w:t>
            </w:r>
          </w:p>
        </w:tc>
        <w:tc>
          <w:tcPr>
            <w:tcW w:w="0" w:type="auto"/>
            <w:tcMar>
              <w:top w:w="0" w:type="dxa"/>
              <w:left w:w="115" w:type="dxa"/>
              <w:bottom w:w="0" w:type="dxa"/>
              <w:right w:w="115" w:type="dxa"/>
            </w:tcMar>
            <w:vAlign w:val="center"/>
            <w:hideMark/>
          </w:tcPr>
          <w:p w14:paraId="0C79EE4E" w14:textId="77777777" w:rsidR="00C033B5" w:rsidRPr="00746567" w:rsidRDefault="00C033B5" w:rsidP="00C033B5">
            <w:pPr>
              <w:rPr>
                <w:rFonts w:asciiTheme="majorBidi" w:hAnsiTheme="majorBidi" w:cstheme="majorBidi"/>
              </w:rPr>
            </w:pPr>
            <w:r w:rsidRPr="00746567">
              <w:rPr>
                <w:rFonts w:asciiTheme="majorBidi" w:hAnsiTheme="majorBidi" w:cstheme="majorBidi"/>
              </w:rPr>
              <w:t>1.0340***</w:t>
            </w:r>
          </w:p>
        </w:tc>
        <w:tc>
          <w:tcPr>
            <w:tcW w:w="0" w:type="auto"/>
            <w:tcMar>
              <w:top w:w="0" w:type="dxa"/>
              <w:left w:w="115" w:type="dxa"/>
              <w:bottom w:w="0" w:type="dxa"/>
              <w:right w:w="115" w:type="dxa"/>
            </w:tcMar>
            <w:vAlign w:val="center"/>
            <w:hideMark/>
          </w:tcPr>
          <w:p w14:paraId="3CB7DEFB" w14:textId="77777777" w:rsidR="00C033B5" w:rsidRPr="00746567" w:rsidRDefault="00C033B5" w:rsidP="00C033B5">
            <w:pPr>
              <w:rPr>
                <w:rFonts w:asciiTheme="majorBidi" w:hAnsiTheme="majorBidi" w:cstheme="majorBidi"/>
              </w:rPr>
            </w:pPr>
            <w:r w:rsidRPr="00746567">
              <w:rPr>
                <w:rFonts w:asciiTheme="majorBidi" w:hAnsiTheme="majorBidi" w:cstheme="majorBidi"/>
              </w:rPr>
              <w:t>0.1501***</w:t>
            </w:r>
          </w:p>
        </w:tc>
        <w:tc>
          <w:tcPr>
            <w:tcW w:w="0" w:type="auto"/>
            <w:tcMar>
              <w:top w:w="0" w:type="dxa"/>
              <w:left w:w="115" w:type="dxa"/>
              <w:bottom w:w="0" w:type="dxa"/>
              <w:right w:w="115" w:type="dxa"/>
            </w:tcMar>
            <w:vAlign w:val="center"/>
            <w:hideMark/>
          </w:tcPr>
          <w:p w14:paraId="74F2294F" w14:textId="77777777" w:rsidR="00C033B5" w:rsidRPr="00746567" w:rsidRDefault="00C033B5" w:rsidP="00C033B5">
            <w:pPr>
              <w:rPr>
                <w:rFonts w:asciiTheme="majorBidi" w:hAnsiTheme="majorBidi" w:cstheme="majorBidi"/>
              </w:rPr>
            </w:pPr>
            <w:r w:rsidRPr="00746567">
              <w:rPr>
                <w:rFonts w:asciiTheme="majorBidi" w:hAnsiTheme="majorBidi" w:cstheme="majorBidi"/>
              </w:rPr>
              <w:t>0.9114***</w:t>
            </w:r>
          </w:p>
        </w:tc>
        <w:tc>
          <w:tcPr>
            <w:tcW w:w="0" w:type="auto"/>
            <w:tcMar>
              <w:top w:w="0" w:type="dxa"/>
              <w:left w:w="115" w:type="dxa"/>
              <w:bottom w:w="0" w:type="dxa"/>
              <w:right w:w="115" w:type="dxa"/>
            </w:tcMar>
            <w:vAlign w:val="center"/>
            <w:hideMark/>
          </w:tcPr>
          <w:p w14:paraId="0927ABA5" w14:textId="77777777" w:rsidR="00C033B5" w:rsidRPr="00746567" w:rsidRDefault="00C033B5" w:rsidP="00C033B5">
            <w:pPr>
              <w:rPr>
                <w:rFonts w:asciiTheme="majorBidi" w:hAnsiTheme="majorBidi" w:cstheme="majorBidi"/>
              </w:rPr>
            </w:pPr>
            <w:r w:rsidRPr="00746567">
              <w:rPr>
                <w:rFonts w:asciiTheme="majorBidi" w:hAnsiTheme="majorBidi" w:cstheme="majorBidi"/>
              </w:rPr>
              <w:t>0.1247***</w:t>
            </w:r>
          </w:p>
        </w:tc>
      </w:tr>
      <w:tr w:rsidR="00C033B5" w:rsidRPr="00746567" w14:paraId="7242686B" w14:textId="77777777">
        <w:trPr>
          <w:trHeight w:val="20"/>
        </w:trPr>
        <w:tc>
          <w:tcPr>
            <w:tcW w:w="0" w:type="auto"/>
            <w:tcMar>
              <w:top w:w="0" w:type="dxa"/>
              <w:left w:w="115" w:type="dxa"/>
              <w:bottom w:w="0" w:type="dxa"/>
              <w:right w:w="115" w:type="dxa"/>
            </w:tcMar>
            <w:hideMark/>
          </w:tcPr>
          <w:p w14:paraId="166F9DB7"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30236E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1700B8A0" w14:textId="77777777" w:rsidR="00C033B5" w:rsidRPr="00746567" w:rsidRDefault="00C033B5" w:rsidP="00C033B5">
            <w:pPr>
              <w:rPr>
                <w:rFonts w:asciiTheme="majorBidi" w:hAnsiTheme="majorBidi" w:cstheme="majorBidi"/>
              </w:rPr>
            </w:pPr>
            <w:r w:rsidRPr="00746567">
              <w:rPr>
                <w:rFonts w:asciiTheme="majorBidi" w:hAnsiTheme="majorBidi" w:cstheme="majorBidi"/>
              </w:rPr>
              <w:t>(0.0250)</w:t>
            </w:r>
          </w:p>
        </w:tc>
        <w:tc>
          <w:tcPr>
            <w:tcW w:w="0" w:type="auto"/>
            <w:tcMar>
              <w:top w:w="0" w:type="dxa"/>
              <w:left w:w="115" w:type="dxa"/>
              <w:bottom w:w="0" w:type="dxa"/>
              <w:right w:w="115" w:type="dxa"/>
            </w:tcMar>
            <w:vAlign w:val="center"/>
            <w:hideMark/>
          </w:tcPr>
          <w:p w14:paraId="11B785E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(0.0036)</w:t>
            </w:r>
          </w:p>
        </w:tc>
        <w:tc>
          <w:tcPr>
            <w:tcW w:w="0" w:type="auto"/>
            <w:tcMar>
              <w:top w:w="0" w:type="dxa"/>
              <w:left w:w="115" w:type="dxa"/>
              <w:bottom w:w="0" w:type="dxa"/>
              <w:right w:w="115" w:type="dxa"/>
            </w:tcMar>
            <w:vAlign w:val="center"/>
            <w:hideMark/>
          </w:tcPr>
          <w:p w14:paraId="4898B61A" w14:textId="77777777" w:rsidR="00C033B5" w:rsidRPr="00746567" w:rsidRDefault="00C033B5" w:rsidP="00C033B5">
            <w:pPr>
              <w:rPr>
                <w:rFonts w:asciiTheme="majorBidi" w:hAnsiTheme="majorBidi" w:cstheme="majorBidi"/>
              </w:rPr>
            </w:pPr>
            <w:r w:rsidRPr="00746567">
              <w:rPr>
                <w:rFonts w:asciiTheme="majorBidi" w:hAnsiTheme="majorBidi" w:cstheme="majorBidi"/>
              </w:rPr>
              <w:t>(0.0250)</w:t>
            </w:r>
          </w:p>
        </w:tc>
        <w:tc>
          <w:tcPr>
            <w:tcW w:w="0" w:type="auto"/>
            <w:tcMar>
              <w:top w:w="0" w:type="dxa"/>
              <w:left w:w="115" w:type="dxa"/>
              <w:bottom w:w="0" w:type="dxa"/>
              <w:right w:w="115" w:type="dxa"/>
            </w:tcMar>
            <w:vAlign w:val="center"/>
            <w:hideMark/>
          </w:tcPr>
          <w:p w14:paraId="258ECC5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(0.0034)</w:t>
            </w:r>
          </w:p>
        </w:tc>
      </w:tr>
      <w:tr w:rsidR="00C033B5" w:rsidRPr="00746567" w14:paraId="29FEDA4E" w14:textId="77777777">
        <w:trPr>
          <w:trHeight w:val="20"/>
        </w:trPr>
        <w:tc>
          <w:tcPr>
            <w:tcW w:w="0" w:type="auto"/>
            <w:tcMar>
              <w:top w:w="0" w:type="dxa"/>
              <w:left w:w="115" w:type="dxa"/>
              <w:bottom w:w="0" w:type="dxa"/>
              <w:right w:w="115" w:type="dxa"/>
            </w:tcMar>
            <w:hideMark/>
          </w:tcPr>
          <w:p w14:paraId="78ACB4E6" w14:textId="77777777" w:rsidR="00C033B5" w:rsidRPr="00746567" w:rsidRDefault="00C033B5" w:rsidP="00C033B5">
            <w:pPr>
              <w:rPr>
                <w:rFonts w:asciiTheme="majorBidi" w:hAnsiTheme="majorBidi" w:cstheme="majorBidi"/>
              </w:rPr>
            </w:pPr>
            <w:r w:rsidRPr="00746567">
              <w:rPr>
                <w:rFonts w:asciiTheme="majorBidi" w:hAnsiTheme="majorBidi" w:cstheme="majorBidi"/>
              </w:rPr>
              <w:t>Interest</w:t>
            </w:r>
          </w:p>
        </w:tc>
        <w:tc>
          <w:tcPr>
            <w:tcW w:w="0" w:type="auto"/>
            <w:tcMar>
              <w:top w:w="0" w:type="dxa"/>
              <w:left w:w="115" w:type="dxa"/>
              <w:bottom w:w="0" w:type="dxa"/>
              <w:right w:w="115" w:type="dxa"/>
            </w:tcMar>
            <w:vAlign w:val="center"/>
            <w:hideMark/>
          </w:tcPr>
          <w:p w14:paraId="14A4C847"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10A414DA" w14:textId="77777777" w:rsidR="00C033B5" w:rsidRPr="00746567" w:rsidRDefault="00C033B5" w:rsidP="00C033B5">
            <w:pPr>
              <w:rPr>
                <w:rFonts w:asciiTheme="majorBidi" w:hAnsiTheme="majorBidi" w:cstheme="majorBidi"/>
              </w:rPr>
            </w:pPr>
            <w:r w:rsidRPr="00746567">
              <w:rPr>
                <w:rFonts w:asciiTheme="majorBidi" w:hAnsiTheme="majorBidi" w:cstheme="majorBidi"/>
              </w:rPr>
              <w:t>6.1484***</w:t>
            </w:r>
          </w:p>
        </w:tc>
        <w:tc>
          <w:tcPr>
            <w:tcW w:w="0" w:type="auto"/>
            <w:tcMar>
              <w:top w:w="0" w:type="dxa"/>
              <w:left w:w="115" w:type="dxa"/>
              <w:bottom w:w="0" w:type="dxa"/>
              <w:right w:w="115" w:type="dxa"/>
            </w:tcMar>
            <w:vAlign w:val="center"/>
            <w:hideMark/>
          </w:tcPr>
          <w:p w14:paraId="01C0A67F" w14:textId="77777777" w:rsidR="00C033B5" w:rsidRPr="00746567" w:rsidRDefault="00C033B5" w:rsidP="00C033B5">
            <w:pPr>
              <w:rPr>
                <w:rFonts w:asciiTheme="majorBidi" w:hAnsiTheme="majorBidi" w:cstheme="majorBidi"/>
              </w:rPr>
            </w:pPr>
            <w:r w:rsidRPr="00746567">
              <w:rPr>
                <w:rFonts w:asciiTheme="majorBidi" w:hAnsiTheme="majorBidi" w:cstheme="majorBidi"/>
              </w:rPr>
              <w:t>0.8925***</w:t>
            </w:r>
          </w:p>
        </w:tc>
        <w:tc>
          <w:tcPr>
            <w:tcW w:w="0" w:type="auto"/>
            <w:tcMar>
              <w:top w:w="0" w:type="dxa"/>
              <w:left w:w="115" w:type="dxa"/>
              <w:bottom w:w="0" w:type="dxa"/>
              <w:right w:w="115" w:type="dxa"/>
            </w:tcMar>
            <w:vAlign w:val="center"/>
            <w:hideMark/>
          </w:tcPr>
          <w:p w14:paraId="56C00B8F" w14:textId="77777777" w:rsidR="00C033B5" w:rsidRPr="00746567" w:rsidRDefault="00C033B5" w:rsidP="00C033B5">
            <w:pPr>
              <w:rPr>
                <w:rFonts w:asciiTheme="majorBidi" w:hAnsiTheme="majorBidi" w:cstheme="majorBidi"/>
              </w:rPr>
            </w:pPr>
            <w:r w:rsidRPr="00746567">
              <w:rPr>
                <w:rFonts w:asciiTheme="majorBidi" w:hAnsiTheme="majorBidi" w:cstheme="majorBidi"/>
              </w:rPr>
              <w:t>8.3953***</w:t>
            </w:r>
          </w:p>
        </w:tc>
        <w:tc>
          <w:tcPr>
            <w:tcW w:w="0" w:type="auto"/>
            <w:tcMar>
              <w:top w:w="0" w:type="dxa"/>
              <w:left w:w="115" w:type="dxa"/>
              <w:bottom w:w="0" w:type="dxa"/>
              <w:right w:w="115" w:type="dxa"/>
            </w:tcMar>
            <w:vAlign w:val="center"/>
            <w:hideMark/>
          </w:tcPr>
          <w:p w14:paraId="20885A59" w14:textId="77777777" w:rsidR="00C033B5" w:rsidRPr="00746567" w:rsidRDefault="00C033B5" w:rsidP="00C033B5">
            <w:pPr>
              <w:rPr>
                <w:rFonts w:asciiTheme="majorBidi" w:hAnsiTheme="majorBidi" w:cstheme="majorBidi"/>
              </w:rPr>
            </w:pPr>
            <w:r w:rsidRPr="00746567">
              <w:rPr>
                <w:rFonts w:asciiTheme="majorBidi" w:hAnsiTheme="majorBidi" w:cstheme="majorBidi"/>
              </w:rPr>
              <w:t>1.1483***</w:t>
            </w:r>
          </w:p>
        </w:tc>
      </w:tr>
      <w:tr w:rsidR="00C033B5" w:rsidRPr="00746567" w14:paraId="4C366217" w14:textId="77777777">
        <w:trPr>
          <w:trHeight w:val="20"/>
        </w:trPr>
        <w:tc>
          <w:tcPr>
            <w:tcW w:w="0" w:type="auto"/>
            <w:tcMar>
              <w:top w:w="0" w:type="dxa"/>
              <w:left w:w="115" w:type="dxa"/>
              <w:bottom w:w="0" w:type="dxa"/>
              <w:right w:w="115" w:type="dxa"/>
            </w:tcMar>
            <w:hideMark/>
          </w:tcPr>
          <w:p w14:paraId="3109B13D"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BE12EE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8D1212B" w14:textId="77777777" w:rsidR="00C033B5" w:rsidRPr="00746567" w:rsidRDefault="00C033B5" w:rsidP="00C033B5">
            <w:pPr>
              <w:rPr>
                <w:rFonts w:asciiTheme="majorBidi" w:hAnsiTheme="majorBidi" w:cstheme="majorBidi"/>
              </w:rPr>
            </w:pPr>
            <w:r w:rsidRPr="00746567">
              <w:rPr>
                <w:rFonts w:asciiTheme="majorBidi" w:hAnsiTheme="majorBidi" w:cstheme="majorBidi"/>
              </w:rPr>
              <w:t>(0.4495)</w:t>
            </w:r>
          </w:p>
        </w:tc>
        <w:tc>
          <w:tcPr>
            <w:tcW w:w="0" w:type="auto"/>
            <w:tcMar>
              <w:top w:w="0" w:type="dxa"/>
              <w:left w:w="115" w:type="dxa"/>
              <w:bottom w:w="0" w:type="dxa"/>
              <w:right w:w="115" w:type="dxa"/>
            </w:tcMar>
            <w:vAlign w:val="center"/>
            <w:hideMark/>
          </w:tcPr>
          <w:p w14:paraId="39F252E0" w14:textId="77777777" w:rsidR="00C033B5" w:rsidRPr="00746567" w:rsidRDefault="00C033B5" w:rsidP="00C033B5">
            <w:pPr>
              <w:rPr>
                <w:rFonts w:asciiTheme="majorBidi" w:hAnsiTheme="majorBidi" w:cstheme="majorBidi"/>
              </w:rPr>
            </w:pPr>
            <w:r w:rsidRPr="00746567">
              <w:rPr>
                <w:rFonts w:asciiTheme="majorBidi" w:hAnsiTheme="majorBidi" w:cstheme="majorBidi"/>
              </w:rPr>
              <w:t>(0.0650)</w:t>
            </w:r>
          </w:p>
        </w:tc>
        <w:tc>
          <w:tcPr>
            <w:tcW w:w="0" w:type="auto"/>
            <w:tcMar>
              <w:top w:w="0" w:type="dxa"/>
              <w:left w:w="115" w:type="dxa"/>
              <w:bottom w:w="0" w:type="dxa"/>
              <w:right w:w="115" w:type="dxa"/>
            </w:tcMar>
            <w:vAlign w:val="center"/>
            <w:hideMark/>
          </w:tcPr>
          <w:p w14:paraId="20623691" w14:textId="77777777" w:rsidR="00C033B5" w:rsidRPr="00746567" w:rsidRDefault="00C033B5" w:rsidP="00C033B5">
            <w:pPr>
              <w:rPr>
                <w:rFonts w:asciiTheme="majorBidi" w:hAnsiTheme="majorBidi" w:cstheme="majorBidi"/>
              </w:rPr>
            </w:pPr>
            <w:r w:rsidRPr="00746567">
              <w:rPr>
                <w:rFonts w:asciiTheme="majorBidi" w:hAnsiTheme="majorBidi" w:cstheme="majorBidi"/>
              </w:rPr>
              <w:t>(0.4422)</w:t>
            </w:r>
          </w:p>
        </w:tc>
        <w:tc>
          <w:tcPr>
            <w:tcW w:w="0" w:type="auto"/>
            <w:tcMar>
              <w:top w:w="0" w:type="dxa"/>
              <w:left w:w="115" w:type="dxa"/>
              <w:bottom w:w="0" w:type="dxa"/>
              <w:right w:w="115" w:type="dxa"/>
            </w:tcMar>
            <w:vAlign w:val="center"/>
            <w:hideMark/>
          </w:tcPr>
          <w:p w14:paraId="72D40E52" w14:textId="77777777" w:rsidR="00C033B5" w:rsidRPr="00746567" w:rsidRDefault="00C033B5" w:rsidP="00C033B5">
            <w:pPr>
              <w:rPr>
                <w:rFonts w:asciiTheme="majorBidi" w:hAnsiTheme="majorBidi" w:cstheme="majorBidi"/>
              </w:rPr>
            </w:pPr>
            <w:r w:rsidRPr="00746567">
              <w:rPr>
                <w:rFonts w:asciiTheme="majorBidi" w:hAnsiTheme="majorBidi" w:cstheme="majorBidi"/>
              </w:rPr>
              <w:t>(0.0603)</w:t>
            </w:r>
          </w:p>
        </w:tc>
      </w:tr>
      <w:tr w:rsidR="00C033B5" w:rsidRPr="00746567" w14:paraId="431D6972" w14:textId="77777777">
        <w:trPr>
          <w:trHeight w:val="20"/>
        </w:trPr>
        <w:tc>
          <w:tcPr>
            <w:tcW w:w="0" w:type="auto"/>
            <w:tcMar>
              <w:top w:w="0" w:type="dxa"/>
              <w:left w:w="115" w:type="dxa"/>
              <w:bottom w:w="0" w:type="dxa"/>
              <w:right w:w="115" w:type="dxa"/>
            </w:tcMar>
            <w:hideMark/>
          </w:tcPr>
          <w:p w14:paraId="5D5DE166" w14:textId="77777777" w:rsidR="00C033B5" w:rsidRPr="00746567" w:rsidRDefault="00C033B5" w:rsidP="00C033B5">
            <w:pPr>
              <w:rPr>
                <w:rFonts w:asciiTheme="majorBidi" w:hAnsiTheme="majorBidi" w:cstheme="majorBidi"/>
              </w:rPr>
            </w:pPr>
            <w:r w:rsidRPr="00746567">
              <w:rPr>
                <w:rFonts w:asciiTheme="majorBidi" w:hAnsiTheme="majorBidi" w:cstheme="majorBidi"/>
              </w:rPr>
              <w:t>Collateral</w:t>
            </w:r>
          </w:p>
        </w:tc>
        <w:tc>
          <w:tcPr>
            <w:tcW w:w="0" w:type="auto"/>
            <w:tcMar>
              <w:top w:w="0" w:type="dxa"/>
              <w:left w:w="115" w:type="dxa"/>
              <w:bottom w:w="0" w:type="dxa"/>
              <w:right w:w="115" w:type="dxa"/>
            </w:tcMar>
            <w:vAlign w:val="center"/>
            <w:hideMark/>
          </w:tcPr>
          <w:p w14:paraId="759CE61C" w14:textId="77777777" w:rsidR="00C033B5" w:rsidRPr="00746567" w:rsidRDefault="00C033B5" w:rsidP="00C033B5">
            <w:pPr>
              <w:rPr>
                <w:rFonts w:asciiTheme="majorBidi" w:hAnsiTheme="majorBidi" w:cstheme="majorBidi"/>
              </w:rPr>
            </w:pPr>
            <w:r w:rsidRPr="00746567">
              <w:rPr>
                <w:rFonts w:asciiTheme="majorBidi" w:hAnsiTheme="majorBidi" w:cstheme="majorBidi"/>
              </w:rPr>
              <w:t>0.0574***</w:t>
            </w:r>
          </w:p>
        </w:tc>
        <w:tc>
          <w:tcPr>
            <w:tcW w:w="0" w:type="auto"/>
            <w:tcMar>
              <w:top w:w="0" w:type="dxa"/>
              <w:left w:w="115" w:type="dxa"/>
              <w:bottom w:w="0" w:type="dxa"/>
              <w:right w:w="115" w:type="dxa"/>
            </w:tcMar>
            <w:vAlign w:val="center"/>
            <w:hideMark/>
          </w:tcPr>
          <w:p w14:paraId="1F34BB22" w14:textId="77777777" w:rsidR="00C033B5" w:rsidRPr="00746567" w:rsidRDefault="00C033B5" w:rsidP="00C033B5">
            <w:pPr>
              <w:rPr>
                <w:rFonts w:asciiTheme="majorBidi" w:hAnsiTheme="majorBidi" w:cstheme="majorBidi"/>
              </w:rPr>
            </w:pPr>
            <w:r w:rsidRPr="00746567">
              <w:rPr>
                <w:rFonts w:asciiTheme="majorBidi" w:hAnsiTheme="majorBidi" w:cstheme="majorBidi"/>
              </w:rPr>
              <w:t>2.3355***</w:t>
            </w:r>
          </w:p>
        </w:tc>
        <w:tc>
          <w:tcPr>
            <w:tcW w:w="0" w:type="auto"/>
            <w:tcMar>
              <w:top w:w="0" w:type="dxa"/>
              <w:left w:w="115" w:type="dxa"/>
              <w:bottom w:w="0" w:type="dxa"/>
              <w:right w:w="115" w:type="dxa"/>
            </w:tcMar>
            <w:vAlign w:val="center"/>
            <w:hideMark/>
          </w:tcPr>
          <w:p w14:paraId="44FBBDAD" w14:textId="77777777" w:rsidR="00C033B5" w:rsidRPr="00746567" w:rsidRDefault="00C033B5" w:rsidP="00C033B5">
            <w:pPr>
              <w:rPr>
                <w:rFonts w:asciiTheme="majorBidi" w:hAnsiTheme="majorBidi" w:cstheme="majorBidi"/>
              </w:rPr>
            </w:pPr>
            <w:r w:rsidRPr="00746567">
              <w:rPr>
                <w:rFonts w:asciiTheme="majorBidi" w:hAnsiTheme="majorBidi" w:cstheme="majorBidi"/>
              </w:rPr>
              <w:t>0.4335***</w:t>
            </w:r>
          </w:p>
        </w:tc>
        <w:tc>
          <w:tcPr>
            <w:tcW w:w="0" w:type="auto"/>
            <w:tcMar>
              <w:top w:w="0" w:type="dxa"/>
              <w:left w:w="115" w:type="dxa"/>
              <w:bottom w:w="0" w:type="dxa"/>
              <w:right w:w="115" w:type="dxa"/>
            </w:tcMar>
            <w:vAlign w:val="center"/>
            <w:hideMark/>
          </w:tcPr>
          <w:p w14:paraId="08A863C7" w14:textId="77777777" w:rsidR="00C033B5" w:rsidRPr="00746567" w:rsidRDefault="00C033B5" w:rsidP="00C033B5">
            <w:pPr>
              <w:rPr>
                <w:rFonts w:asciiTheme="majorBidi" w:hAnsiTheme="majorBidi" w:cstheme="majorBidi"/>
              </w:rPr>
            </w:pPr>
            <w:r w:rsidRPr="00746567">
              <w:rPr>
                <w:rFonts w:asciiTheme="majorBidi" w:hAnsiTheme="majorBidi" w:cstheme="majorBidi"/>
              </w:rPr>
              <w:t>1.7309***</w:t>
            </w:r>
          </w:p>
        </w:tc>
        <w:tc>
          <w:tcPr>
            <w:tcW w:w="0" w:type="auto"/>
            <w:tcMar>
              <w:top w:w="0" w:type="dxa"/>
              <w:left w:w="115" w:type="dxa"/>
              <w:bottom w:w="0" w:type="dxa"/>
              <w:right w:w="115" w:type="dxa"/>
            </w:tcMar>
            <w:vAlign w:val="center"/>
            <w:hideMark/>
          </w:tcPr>
          <w:p w14:paraId="3F08792C" w14:textId="77777777" w:rsidR="00C033B5" w:rsidRPr="00746567" w:rsidRDefault="00C033B5" w:rsidP="00C033B5">
            <w:pPr>
              <w:rPr>
                <w:rFonts w:asciiTheme="majorBidi" w:hAnsiTheme="majorBidi" w:cstheme="majorBidi"/>
              </w:rPr>
            </w:pPr>
            <w:r w:rsidRPr="00746567">
              <w:rPr>
                <w:rFonts w:asciiTheme="majorBidi" w:hAnsiTheme="majorBidi" w:cstheme="majorBidi"/>
              </w:rPr>
              <w:t>0.2368***</w:t>
            </w:r>
          </w:p>
        </w:tc>
      </w:tr>
      <w:tr w:rsidR="00C033B5" w:rsidRPr="00746567" w14:paraId="65B95E05" w14:textId="77777777">
        <w:trPr>
          <w:trHeight w:val="20"/>
        </w:trPr>
        <w:tc>
          <w:tcPr>
            <w:tcW w:w="0" w:type="auto"/>
            <w:tcMar>
              <w:top w:w="0" w:type="dxa"/>
              <w:left w:w="115" w:type="dxa"/>
              <w:bottom w:w="0" w:type="dxa"/>
              <w:right w:w="115" w:type="dxa"/>
            </w:tcMar>
            <w:hideMark/>
          </w:tcPr>
          <w:p w14:paraId="5A6319C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6E189B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(0.0012)</w:t>
            </w:r>
          </w:p>
        </w:tc>
        <w:tc>
          <w:tcPr>
            <w:tcW w:w="0" w:type="auto"/>
            <w:tcMar>
              <w:top w:w="0" w:type="dxa"/>
              <w:left w:w="115" w:type="dxa"/>
              <w:bottom w:w="0" w:type="dxa"/>
              <w:right w:w="115" w:type="dxa"/>
            </w:tcMar>
            <w:vAlign w:val="center"/>
            <w:hideMark/>
          </w:tcPr>
          <w:p w14:paraId="356D0CD2" w14:textId="77777777" w:rsidR="00C033B5" w:rsidRPr="00746567" w:rsidRDefault="00C033B5" w:rsidP="00C033B5">
            <w:pPr>
              <w:rPr>
                <w:rFonts w:asciiTheme="majorBidi" w:hAnsiTheme="majorBidi" w:cstheme="majorBidi"/>
              </w:rPr>
            </w:pPr>
            <w:r w:rsidRPr="00746567">
              <w:rPr>
                <w:rFonts w:asciiTheme="majorBidi" w:hAnsiTheme="majorBidi" w:cstheme="majorBidi"/>
              </w:rPr>
              <w:t>(0.2765)</w:t>
            </w:r>
          </w:p>
        </w:tc>
        <w:tc>
          <w:tcPr>
            <w:tcW w:w="0" w:type="auto"/>
            <w:tcMar>
              <w:top w:w="0" w:type="dxa"/>
              <w:left w:w="115" w:type="dxa"/>
              <w:bottom w:w="0" w:type="dxa"/>
              <w:right w:w="115" w:type="dxa"/>
            </w:tcMar>
            <w:vAlign w:val="center"/>
            <w:hideMark/>
          </w:tcPr>
          <w:p w14:paraId="339197E0" w14:textId="77777777" w:rsidR="00C033B5" w:rsidRPr="00746567" w:rsidRDefault="00C033B5" w:rsidP="00C033B5">
            <w:pPr>
              <w:rPr>
                <w:rFonts w:asciiTheme="majorBidi" w:hAnsiTheme="majorBidi" w:cstheme="majorBidi"/>
              </w:rPr>
            </w:pPr>
            <w:r w:rsidRPr="00746567">
              <w:rPr>
                <w:rFonts w:asciiTheme="majorBidi" w:hAnsiTheme="majorBidi" w:cstheme="majorBidi"/>
              </w:rPr>
              <w:t>(0.0489)</w:t>
            </w:r>
          </w:p>
        </w:tc>
        <w:tc>
          <w:tcPr>
            <w:tcW w:w="0" w:type="auto"/>
            <w:tcMar>
              <w:top w:w="0" w:type="dxa"/>
              <w:left w:w="115" w:type="dxa"/>
              <w:bottom w:w="0" w:type="dxa"/>
              <w:right w:w="115" w:type="dxa"/>
            </w:tcMar>
            <w:vAlign w:val="center"/>
            <w:hideMark/>
          </w:tcPr>
          <w:p w14:paraId="737C4011" w14:textId="77777777" w:rsidR="00C033B5" w:rsidRPr="00746567" w:rsidRDefault="00C033B5" w:rsidP="00C033B5">
            <w:pPr>
              <w:rPr>
                <w:rFonts w:asciiTheme="majorBidi" w:hAnsiTheme="majorBidi" w:cstheme="majorBidi"/>
              </w:rPr>
            </w:pPr>
            <w:r w:rsidRPr="00746567">
              <w:rPr>
                <w:rFonts w:asciiTheme="majorBidi" w:hAnsiTheme="majorBidi" w:cstheme="majorBidi"/>
              </w:rPr>
              <w:t>(0.2667)</w:t>
            </w:r>
          </w:p>
        </w:tc>
        <w:tc>
          <w:tcPr>
            <w:tcW w:w="0" w:type="auto"/>
            <w:tcMar>
              <w:top w:w="0" w:type="dxa"/>
              <w:left w:w="115" w:type="dxa"/>
              <w:bottom w:w="0" w:type="dxa"/>
              <w:right w:w="115" w:type="dxa"/>
            </w:tcMar>
            <w:vAlign w:val="center"/>
            <w:hideMark/>
          </w:tcPr>
          <w:p w14:paraId="00B2C843" w14:textId="77777777" w:rsidR="00C033B5" w:rsidRPr="00746567" w:rsidRDefault="00C033B5" w:rsidP="00C033B5">
            <w:pPr>
              <w:rPr>
                <w:rFonts w:asciiTheme="majorBidi" w:hAnsiTheme="majorBidi" w:cstheme="majorBidi"/>
              </w:rPr>
            </w:pPr>
            <w:r w:rsidRPr="00746567">
              <w:rPr>
                <w:rFonts w:asciiTheme="majorBidi" w:hAnsiTheme="majorBidi" w:cstheme="majorBidi"/>
              </w:rPr>
              <w:t>(0.0365)</w:t>
            </w:r>
          </w:p>
        </w:tc>
      </w:tr>
      <w:tr w:rsidR="00C033B5" w:rsidRPr="00746567" w14:paraId="10D0C33C" w14:textId="77777777">
        <w:trPr>
          <w:trHeight w:val="20"/>
        </w:trPr>
        <w:tc>
          <w:tcPr>
            <w:tcW w:w="0" w:type="auto"/>
            <w:tcMar>
              <w:top w:w="0" w:type="dxa"/>
              <w:left w:w="115" w:type="dxa"/>
              <w:bottom w:w="0" w:type="dxa"/>
              <w:right w:w="115" w:type="dxa"/>
            </w:tcMar>
            <w:hideMark/>
          </w:tcPr>
          <w:p w14:paraId="1358E20D"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Extsched</w:t>
            </w:r>
            <w:proofErr w:type="spellEnd"/>
          </w:p>
        </w:tc>
        <w:tc>
          <w:tcPr>
            <w:tcW w:w="0" w:type="auto"/>
            <w:tcMar>
              <w:top w:w="0" w:type="dxa"/>
              <w:left w:w="115" w:type="dxa"/>
              <w:bottom w:w="0" w:type="dxa"/>
              <w:right w:w="115" w:type="dxa"/>
            </w:tcMar>
            <w:vAlign w:val="center"/>
            <w:hideMark/>
          </w:tcPr>
          <w:p w14:paraId="53E4D1CE" w14:textId="77777777" w:rsidR="00C033B5" w:rsidRPr="00746567" w:rsidRDefault="00C033B5" w:rsidP="00C033B5">
            <w:pPr>
              <w:rPr>
                <w:rFonts w:asciiTheme="majorBidi" w:hAnsiTheme="majorBidi" w:cstheme="majorBidi"/>
              </w:rPr>
            </w:pPr>
            <w:r w:rsidRPr="00746567">
              <w:rPr>
                <w:rFonts w:asciiTheme="majorBidi" w:hAnsiTheme="majorBidi" w:cstheme="majorBidi"/>
              </w:rPr>
              <w:t>-0.0177***</w:t>
            </w:r>
          </w:p>
        </w:tc>
        <w:tc>
          <w:tcPr>
            <w:tcW w:w="0" w:type="auto"/>
            <w:tcMar>
              <w:top w:w="0" w:type="dxa"/>
              <w:left w:w="115" w:type="dxa"/>
              <w:bottom w:w="0" w:type="dxa"/>
              <w:right w:w="115" w:type="dxa"/>
            </w:tcMar>
            <w:vAlign w:val="center"/>
            <w:hideMark/>
          </w:tcPr>
          <w:p w14:paraId="0C51B7D0" w14:textId="77777777" w:rsidR="00C033B5" w:rsidRPr="00746567" w:rsidRDefault="00C033B5" w:rsidP="00C033B5">
            <w:pPr>
              <w:rPr>
                <w:rFonts w:asciiTheme="majorBidi" w:hAnsiTheme="majorBidi" w:cstheme="majorBidi"/>
              </w:rPr>
            </w:pPr>
            <w:r w:rsidRPr="00746567">
              <w:rPr>
                <w:rFonts w:asciiTheme="majorBidi" w:hAnsiTheme="majorBidi" w:cstheme="majorBidi"/>
              </w:rPr>
              <w:t>1.5373***</w:t>
            </w:r>
          </w:p>
        </w:tc>
        <w:tc>
          <w:tcPr>
            <w:tcW w:w="0" w:type="auto"/>
            <w:tcMar>
              <w:top w:w="0" w:type="dxa"/>
              <w:left w:w="115" w:type="dxa"/>
              <w:bottom w:w="0" w:type="dxa"/>
              <w:right w:w="115" w:type="dxa"/>
            </w:tcMar>
            <w:vAlign w:val="center"/>
            <w:hideMark/>
          </w:tcPr>
          <w:p w14:paraId="36055039" w14:textId="77777777" w:rsidR="00C033B5" w:rsidRPr="00746567" w:rsidRDefault="00C033B5" w:rsidP="00C033B5">
            <w:pPr>
              <w:rPr>
                <w:rFonts w:asciiTheme="majorBidi" w:hAnsiTheme="majorBidi" w:cstheme="majorBidi"/>
              </w:rPr>
            </w:pPr>
            <w:r w:rsidRPr="00746567">
              <w:rPr>
                <w:rFonts w:asciiTheme="majorBidi" w:hAnsiTheme="majorBidi" w:cstheme="majorBidi"/>
              </w:rPr>
              <w:t>0.1729***</w:t>
            </w:r>
          </w:p>
        </w:tc>
        <w:tc>
          <w:tcPr>
            <w:tcW w:w="0" w:type="auto"/>
            <w:tcMar>
              <w:top w:w="0" w:type="dxa"/>
              <w:left w:w="115" w:type="dxa"/>
              <w:bottom w:w="0" w:type="dxa"/>
              <w:right w:w="115" w:type="dxa"/>
            </w:tcMar>
            <w:vAlign w:val="center"/>
            <w:hideMark/>
          </w:tcPr>
          <w:p w14:paraId="04E37440" w14:textId="77777777" w:rsidR="00C033B5" w:rsidRPr="00746567" w:rsidRDefault="00C033B5" w:rsidP="00C033B5">
            <w:pPr>
              <w:rPr>
                <w:rFonts w:asciiTheme="majorBidi" w:hAnsiTheme="majorBidi" w:cstheme="majorBidi"/>
              </w:rPr>
            </w:pPr>
            <w:r w:rsidRPr="00746567">
              <w:rPr>
                <w:rFonts w:asciiTheme="majorBidi" w:hAnsiTheme="majorBidi" w:cstheme="majorBidi"/>
              </w:rPr>
              <w:t>1.4510***</w:t>
            </w:r>
          </w:p>
        </w:tc>
        <w:tc>
          <w:tcPr>
            <w:tcW w:w="0" w:type="auto"/>
            <w:tcMar>
              <w:top w:w="0" w:type="dxa"/>
              <w:left w:w="115" w:type="dxa"/>
              <w:bottom w:w="0" w:type="dxa"/>
              <w:right w:w="115" w:type="dxa"/>
            </w:tcMar>
            <w:vAlign w:val="center"/>
            <w:hideMark/>
          </w:tcPr>
          <w:p w14:paraId="24EF710D" w14:textId="77777777" w:rsidR="00C033B5" w:rsidRPr="00746567" w:rsidRDefault="00C033B5" w:rsidP="00C033B5">
            <w:pPr>
              <w:rPr>
                <w:rFonts w:asciiTheme="majorBidi" w:hAnsiTheme="majorBidi" w:cstheme="majorBidi"/>
              </w:rPr>
            </w:pPr>
            <w:r w:rsidRPr="00746567">
              <w:rPr>
                <w:rFonts w:asciiTheme="majorBidi" w:hAnsiTheme="majorBidi" w:cstheme="majorBidi"/>
              </w:rPr>
              <w:t>0.1569***</w:t>
            </w:r>
          </w:p>
        </w:tc>
      </w:tr>
      <w:tr w:rsidR="00C033B5" w:rsidRPr="00746567" w14:paraId="2C8ECB9E" w14:textId="77777777">
        <w:trPr>
          <w:trHeight w:val="20"/>
        </w:trPr>
        <w:tc>
          <w:tcPr>
            <w:tcW w:w="0" w:type="auto"/>
            <w:tcMar>
              <w:top w:w="0" w:type="dxa"/>
              <w:left w:w="115" w:type="dxa"/>
              <w:bottom w:w="0" w:type="dxa"/>
              <w:right w:w="115" w:type="dxa"/>
            </w:tcMar>
            <w:hideMark/>
          </w:tcPr>
          <w:p w14:paraId="33DEA18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EE76B8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0F149EFE" w14:textId="77777777" w:rsidR="00C033B5" w:rsidRPr="00746567" w:rsidRDefault="00C033B5" w:rsidP="00C033B5">
            <w:pPr>
              <w:rPr>
                <w:rFonts w:asciiTheme="majorBidi" w:hAnsiTheme="majorBidi" w:cstheme="majorBidi"/>
              </w:rPr>
            </w:pPr>
            <w:r w:rsidRPr="00746567">
              <w:rPr>
                <w:rFonts w:asciiTheme="majorBidi" w:hAnsiTheme="majorBidi" w:cstheme="majorBidi"/>
              </w:rPr>
              <w:t>(0.0408)</w:t>
            </w:r>
          </w:p>
        </w:tc>
        <w:tc>
          <w:tcPr>
            <w:tcW w:w="0" w:type="auto"/>
            <w:tcMar>
              <w:top w:w="0" w:type="dxa"/>
              <w:left w:w="115" w:type="dxa"/>
              <w:bottom w:w="0" w:type="dxa"/>
              <w:right w:w="115" w:type="dxa"/>
            </w:tcMar>
            <w:vAlign w:val="center"/>
            <w:hideMark/>
          </w:tcPr>
          <w:p w14:paraId="2524297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(0.0034)</w:t>
            </w:r>
          </w:p>
        </w:tc>
        <w:tc>
          <w:tcPr>
            <w:tcW w:w="0" w:type="auto"/>
            <w:tcMar>
              <w:top w:w="0" w:type="dxa"/>
              <w:left w:w="115" w:type="dxa"/>
              <w:bottom w:w="0" w:type="dxa"/>
              <w:right w:w="115" w:type="dxa"/>
            </w:tcMar>
            <w:vAlign w:val="center"/>
            <w:hideMark/>
          </w:tcPr>
          <w:p w14:paraId="7756FCF0" w14:textId="77777777" w:rsidR="00C033B5" w:rsidRPr="00746567" w:rsidRDefault="00C033B5" w:rsidP="00C033B5">
            <w:pPr>
              <w:rPr>
                <w:rFonts w:asciiTheme="majorBidi" w:hAnsiTheme="majorBidi" w:cstheme="majorBidi"/>
              </w:rPr>
            </w:pPr>
            <w:r w:rsidRPr="00746567">
              <w:rPr>
                <w:rFonts w:asciiTheme="majorBidi" w:hAnsiTheme="majorBidi" w:cstheme="majorBidi"/>
              </w:rPr>
              <w:t>(0.0404)</w:t>
            </w:r>
          </w:p>
        </w:tc>
        <w:tc>
          <w:tcPr>
            <w:tcW w:w="0" w:type="auto"/>
            <w:tcMar>
              <w:top w:w="0" w:type="dxa"/>
              <w:left w:w="115" w:type="dxa"/>
              <w:bottom w:w="0" w:type="dxa"/>
              <w:right w:w="115" w:type="dxa"/>
            </w:tcMar>
            <w:vAlign w:val="center"/>
            <w:hideMark/>
          </w:tcPr>
          <w:p w14:paraId="5F326D0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(0.0033)</w:t>
            </w:r>
          </w:p>
        </w:tc>
      </w:tr>
      <w:tr w:rsidR="00C033B5" w:rsidRPr="00746567" w14:paraId="07899EA4" w14:textId="77777777">
        <w:trPr>
          <w:trHeight w:val="20"/>
        </w:trPr>
        <w:tc>
          <w:tcPr>
            <w:tcW w:w="0" w:type="auto"/>
            <w:tcMar>
              <w:top w:w="0" w:type="dxa"/>
              <w:left w:w="115" w:type="dxa"/>
              <w:bottom w:w="0" w:type="dxa"/>
              <w:right w:w="115" w:type="dxa"/>
            </w:tcMar>
            <w:hideMark/>
          </w:tcPr>
          <w:p w14:paraId="7D2626D7"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Loantype</w:t>
            </w:r>
            <w:proofErr w:type="spellEnd"/>
          </w:p>
        </w:tc>
        <w:tc>
          <w:tcPr>
            <w:tcW w:w="0" w:type="auto"/>
            <w:tcMar>
              <w:top w:w="0" w:type="dxa"/>
              <w:left w:w="115" w:type="dxa"/>
              <w:bottom w:w="0" w:type="dxa"/>
              <w:right w:w="115" w:type="dxa"/>
            </w:tcMar>
            <w:vAlign w:val="center"/>
            <w:hideMark/>
          </w:tcPr>
          <w:p w14:paraId="3BACFA05"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6006BA7"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92EDDB5"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5FC1BEE"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3C855A0" w14:textId="77777777" w:rsidR="00C033B5" w:rsidRPr="00746567" w:rsidRDefault="00C033B5" w:rsidP="00C033B5">
            <w:pPr>
              <w:rPr>
                <w:rFonts w:asciiTheme="majorBidi" w:hAnsiTheme="majorBidi" w:cstheme="majorBidi"/>
              </w:rPr>
            </w:pPr>
          </w:p>
        </w:tc>
      </w:tr>
      <w:tr w:rsidR="00C033B5" w:rsidRPr="00746567" w14:paraId="0F9B5D7A" w14:textId="77777777">
        <w:trPr>
          <w:trHeight w:val="20"/>
        </w:trPr>
        <w:tc>
          <w:tcPr>
            <w:tcW w:w="0" w:type="auto"/>
            <w:tcMar>
              <w:top w:w="0" w:type="dxa"/>
              <w:left w:w="115" w:type="dxa"/>
              <w:bottom w:w="0" w:type="dxa"/>
              <w:right w:w="115" w:type="dxa"/>
            </w:tcMar>
            <w:hideMark/>
          </w:tcPr>
          <w:p w14:paraId="45979FF1"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4DFBA63"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5FE5FFF"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AB5B964"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895FFA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D7C9635" w14:textId="77777777" w:rsidR="00C033B5" w:rsidRPr="00746567" w:rsidRDefault="00C033B5" w:rsidP="00C033B5">
            <w:pPr>
              <w:rPr>
                <w:rFonts w:asciiTheme="majorBidi" w:hAnsiTheme="majorBidi" w:cstheme="majorBidi"/>
              </w:rPr>
            </w:pPr>
          </w:p>
        </w:tc>
      </w:tr>
      <w:tr w:rsidR="00C033B5" w:rsidRPr="00746567" w14:paraId="31E34F76" w14:textId="77777777">
        <w:trPr>
          <w:trHeight w:val="20"/>
        </w:trPr>
        <w:tc>
          <w:tcPr>
            <w:tcW w:w="0" w:type="auto"/>
            <w:tcMar>
              <w:top w:w="0" w:type="dxa"/>
              <w:left w:w="115" w:type="dxa"/>
              <w:bottom w:w="0" w:type="dxa"/>
              <w:right w:w="115" w:type="dxa"/>
            </w:tcMar>
            <w:hideMark/>
          </w:tcPr>
          <w:p w14:paraId="565DCC37" w14:textId="77777777" w:rsidR="00C033B5" w:rsidRPr="00746567" w:rsidRDefault="00C033B5" w:rsidP="00C033B5">
            <w:pPr>
              <w:rPr>
                <w:rFonts w:asciiTheme="majorBidi" w:hAnsiTheme="majorBidi" w:cstheme="majorBidi"/>
              </w:rPr>
            </w:pPr>
            <w:r w:rsidRPr="00746567">
              <w:rPr>
                <w:rFonts w:asciiTheme="majorBidi" w:hAnsiTheme="majorBidi" w:cstheme="majorBidi"/>
              </w:rPr>
              <w:t>Business Loan</w:t>
            </w:r>
          </w:p>
        </w:tc>
        <w:tc>
          <w:tcPr>
            <w:tcW w:w="0" w:type="auto"/>
            <w:tcMar>
              <w:top w:w="0" w:type="dxa"/>
              <w:left w:w="115" w:type="dxa"/>
              <w:bottom w:w="0" w:type="dxa"/>
              <w:right w:w="115" w:type="dxa"/>
            </w:tcMar>
            <w:vAlign w:val="center"/>
            <w:hideMark/>
          </w:tcPr>
          <w:p w14:paraId="67702AFA" w14:textId="77777777" w:rsidR="00C033B5" w:rsidRPr="00746567" w:rsidRDefault="00C033B5" w:rsidP="00C033B5">
            <w:pPr>
              <w:rPr>
                <w:rFonts w:asciiTheme="majorBidi" w:hAnsiTheme="majorBidi" w:cstheme="majorBidi"/>
              </w:rPr>
            </w:pPr>
            <w:r w:rsidRPr="00746567">
              <w:rPr>
                <w:rFonts w:asciiTheme="majorBidi" w:hAnsiTheme="majorBidi" w:cstheme="majorBidi"/>
              </w:rPr>
              <w:t>-0.0535***</w:t>
            </w:r>
          </w:p>
        </w:tc>
        <w:tc>
          <w:tcPr>
            <w:tcW w:w="0" w:type="auto"/>
            <w:tcMar>
              <w:top w:w="0" w:type="dxa"/>
              <w:left w:w="115" w:type="dxa"/>
              <w:bottom w:w="0" w:type="dxa"/>
              <w:right w:w="115" w:type="dxa"/>
            </w:tcMar>
            <w:vAlign w:val="center"/>
            <w:hideMark/>
          </w:tcPr>
          <w:p w14:paraId="552DA038" w14:textId="77777777" w:rsidR="00C033B5" w:rsidRPr="00746567" w:rsidRDefault="00C033B5" w:rsidP="00C033B5">
            <w:pPr>
              <w:rPr>
                <w:rFonts w:asciiTheme="majorBidi" w:hAnsiTheme="majorBidi" w:cstheme="majorBidi"/>
              </w:rPr>
            </w:pPr>
            <w:r w:rsidRPr="00746567">
              <w:rPr>
                <w:rFonts w:asciiTheme="majorBidi" w:hAnsiTheme="majorBidi" w:cstheme="majorBidi"/>
              </w:rPr>
              <w:t>-2.8935**</w:t>
            </w:r>
          </w:p>
        </w:tc>
        <w:tc>
          <w:tcPr>
            <w:tcW w:w="0" w:type="auto"/>
            <w:tcMar>
              <w:top w:w="0" w:type="dxa"/>
              <w:left w:w="115" w:type="dxa"/>
              <w:bottom w:w="0" w:type="dxa"/>
              <w:right w:w="115" w:type="dxa"/>
            </w:tcMar>
            <w:vAlign w:val="center"/>
            <w:hideMark/>
          </w:tcPr>
          <w:p w14:paraId="526877A8" w14:textId="77777777" w:rsidR="00C033B5" w:rsidRPr="00746567" w:rsidRDefault="00C033B5" w:rsidP="00C033B5">
            <w:pPr>
              <w:rPr>
                <w:rFonts w:asciiTheme="majorBidi" w:hAnsiTheme="majorBidi" w:cstheme="majorBidi"/>
              </w:rPr>
            </w:pPr>
            <w:r w:rsidRPr="00746567">
              <w:rPr>
                <w:rFonts w:asciiTheme="majorBidi" w:hAnsiTheme="majorBidi" w:cstheme="majorBidi"/>
              </w:rPr>
              <w:t>-0.2068***</w:t>
            </w:r>
          </w:p>
        </w:tc>
        <w:tc>
          <w:tcPr>
            <w:tcW w:w="0" w:type="auto"/>
            <w:tcMar>
              <w:top w:w="0" w:type="dxa"/>
              <w:left w:w="115" w:type="dxa"/>
              <w:bottom w:w="0" w:type="dxa"/>
              <w:right w:w="115" w:type="dxa"/>
            </w:tcMar>
            <w:vAlign w:val="center"/>
            <w:hideMark/>
          </w:tcPr>
          <w:p w14:paraId="0CC356C7" w14:textId="77777777" w:rsidR="00C033B5" w:rsidRPr="00746567" w:rsidRDefault="00C033B5" w:rsidP="00C033B5">
            <w:pPr>
              <w:rPr>
                <w:rFonts w:asciiTheme="majorBidi" w:hAnsiTheme="majorBidi" w:cstheme="majorBidi"/>
              </w:rPr>
            </w:pPr>
            <w:r w:rsidRPr="00746567">
              <w:rPr>
                <w:rFonts w:asciiTheme="majorBidi" w:hAnsiTheme="majorBidi" w:cstheme="majorBidi"/>
              </w:rPr>
              <w:t>-2.6665**</w:t>
            </w:r>
          </w:p>
        </w:tc>
        <w:tc>
          <w:tcPr>
            <w:tcW w:w="0" w:type="auto"/>
            <w:tcMar>
              <w:top w:w="0" w:type="dxa"/>
              <w:left w:w="115" w:type="dxa"/>
              <w:bottom w:w="0" w:type="dxa"/>
              <w:right w:w="115" w:type="dxa"/>
            </w:tcMar>
            <w:vAlign w:val="center"/>
            <w:hideMark/>
          </w:tcPr>
          <w:p w14:paraId="3CE4D59A" w14:textId="77777777" w:rsidR="00C033B5" w:rsidRPr="00746567" w:rsidRDefault="00C033B5" w:rsidP="00C033B5">
            <w:pPr>
              <w:rPr>
                <w:rFonts w:asciiTheme="majorBidi" w:hAnsiTheme="majorBidi" w:cstheme="majorBidi"/>
              </w:rPr>
            </w:pPr>
            <w:r w:rsidRPr="00746567">
              <w:rPr>
                <w:rFonts w:asciiTheme="majorBidi" w:hAnsiTheme="majorBidi" w:cstheme="majorBidi"/>
              </w:rPr>
              <w:t>-0.1659***</w:t>
            </w:r>
          </w:p>
        </w:tc>
      </w:tr>
      <w:tr w:rsidR="00C033B5" w:rsidRPr="00746567" w14:paraId="5D346DF0" w14:textId="77777777">
        <w:trPr>
          <w:trHeight w:val="20"/>
        </w:trPr>
        <w:tc>
          <w:tcPr>
            <w:tcW w:w="0" w:type="auto"/>
            <w:tcMar>
              <w:top w:w="0" w:type="dxa"/>
              <w:left w:w="115" w:type="dxa"/>
              <w:bottom w:w="0" w:type="dxa"/>
              <w:right w:w="115" w:type="dxa"/>
            </w:tcMar>
            <w:hideMark/>
          </w:tcPr>
          <w:p w14:paraId="786C258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7E886B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(0.0020)</w:t>
            </w:r>
          </w:p>
        </w:tc>
        <w:tc>
          <w:tcPr>
            <w:tcW w:w="0" w:type="auto"/>
            <w:tcMar>
              <w:top w:w="0" w:type="dxa"/>
              <w:left w:w="115" w:type="dxa"/>
              <w:bottom w:w="0" w:type="dxa"/>
              <w:right w:w="115" w:type="dxa"/>
            </w:tcMar>
            <w:vAlign w:val="center"/>
            <w:hideMark/>
          </w:tcPr>
          <w:p w14:paraId="5E849F80" w14:textId="77777777" w:rsidR="00C033B5" w:rsidRPr="00746567" w:rsidRDefault="00C033B5" w:rsidP="00C033B5">
            <w:pPr>
              <w:rPr>
                <w:rFonts w:asciiTheme="majorBidi" w:hAnsiTheme="majorBidi" w:cstheme="majorBidi"/>
              </w:rPr>
            </w:pPr>
            <w:r w:rsidRPr="00746567">
              <w:rPr>
                <w:rFonts w:asciiTheme="majorBidi" w:hAnsiTheme="majorBidi" w:cstheme="majorBidi"/>
              </w:rPr>
              <w:t>(1.5711)</w:t>
            </w:r>
          </w:p>
        </w:tc>
        <w:tc>
          <w:tcPr>
            <w:tcW w:w="0" w:type="auto"/>
            <w:tcMar>
              <w:top w:w="0" w:type="dxa"/>
              <w:left w:w="115" w:type="dxa"/>
              <w:bottom w:w="0" w:type="dxa"/>
              <w:right w:w="115" w:type="dxa"/>
            </w:tcMar>
            <w:vAlign w:val="center"/>
            <w:hideMark/>
          </w:tcPr>
          <w:p w14:paraId="20E7D1DC" w14:textId="77777777" w:rsidR="00C033B5" w:rsidRPr="00746567" w:rsidRDefault="00C033B5" w:rsidP="00C033B5">
            <w:pPr>
              <w:rPr>
                <w:rFonts w:asciiTheme="majorBidi" w:hAnsiTheme="majorBidi" w:cstheme="majorBidi"/>
              </w:rPr>
            </w:pPr>
            <w:r w:rsidRPr="00746567">
              <w:rPr>
                <w:rFonts w:asciiTheme="majorBidi" w:hAnsiTheme="majorBidi" w:cstheme="majorBidi"/>
              </w:rPr>
              <w:t>(0.0322)</w:t>
            </w:r>
          </w:p>
        </w:tc>
        <w:tc>
          <w:tcPr>
            <w:tcW w:w="0" w:type="auto"/>
            <w:tcMar>
              <w:top w:w="0" w:type="dxa"/>
              <w:left w:w="115" w:type="dxa"/>
              <w:bottom w:w="0" w:type="dxa"/>
              <w:right w:w="115" w:type="dxa"/>
            </w:tcMar>
            <w:vAlign w:val="center"/>
            <w:hideMark/>
          </w:tcPr>
          <w:p w14:paraId="786AAF06" w14:textId="77777777" w:rsidR="00C033B5" w:rsidRPr="00746567" w:rsidRDefault="00C033B5" w:rsidP="00C033B5">
            <w:pPr>
              <w:rPr>
                <w:rFonts w:asciiTheme="majorBidi" w:hAnsiTheme="majorBidi" w:cstheme="majorBidi"/>
              </w:rPr>
            </w:pPr>
            <w:r w:rsidRPr="00746567">
              <w:rPr>
                <w:rFonts w:asciiTheme="majorBidi" w:hAnsiTheme="majorBidi" w:cstheme="majorBidi"/>
              </w:rPr>
              <w:t>(1.3070)</w:t>
            </w:r>
          </w:p>
        </w:tc>
        <w:tc>
          <w:tcPr>
            <w:tcW w:w="0" w:type="auto"/>
            <w:tcMar>
              <w:top w:w="0" w:type="dxa"/>
              <w:left w:w="115" w:type="dxa"/>
              <w:bottom w:w="0" w:type="dxa"/>
              <w:right w:w="115" w:type="dxa"/>
            </w:tcMar>
            <w:vAlign w:val="center"/>
            <w:hideMark/>
          </w:tcPr>
          <w:p w14:paraId="2FC96BAC" w14:textId="77777777" w:rsidR="00C033B5" w:rsidRPr="00746567" w:rsidRDefault="00C033B5" w:rsidP="00C033B5">
            <w:pPr>
              <w:rPr>
                <w:rFonts w:asciiTheme="majorBidi" w:hAnsiTheme="majorBidi" w:cstheme="majorBidi"/>
              </w:rPr>
            </w:pPr>
            <w:r w:rsidRPr="00746567">
              <w:rPr>
                <w:rFonts w:asciiTheme="majorBidi" w:hAnsiTheme="majorBidi" w:cstheme="majorBidi"/>
              </w:rPr>
              <w:t>(0.0242)</w:t>
            </w:r>
          </w:p>
        </w:tc>
      </w:tr>
      <w:tr w:rsidR="00C033B5" w:rsidRPr="00746567" w14:paraId="20D4860F" w14:textId="77777777">
        <w:trPr>
          <w:trHeight w:val="20"/>
        </w:trPr>
        <w:tc>
          <w:tcPr>
            <w:tcW w:w="0" w:type="auto"/>
            <w:tcMar>
              <w:top w:w="0" w:type="dxa"/>
              <w:left w:w="115" w:type="dxa"/>
              <w:bottom w:w="0" w:type="dxa"/>
              <w:right w:w="115" w:type="dxa"/>
            </w:tcMar>
            <w:hideMark/>
          </w:tcPr>
          <w:p w14:paraId="3F6A82D4" w14:textId="77777777" w:rsidR="00C033B5" w:rsidRPr="00746567" w:rsidRDefault="00C033B5" w:rsidP="00C033B5">
            <w:pPr>
              <w:rPr>
                <w:rFonts w:asciiTheme="majorBidi" w:hAnsiTheme="majorBidi" w:cstheme="majorBidi"/>
              </w:rPr>
            </w:pPr>
            <w:r w:rsidRPr="00746567">
              <w:rPr>
                <w:rFonts w:asciiTheme="majorBidi" w:hAnsiTheme="majorBidi" w:cstheme="majorBidi"/>
              </w:rPr>
              <w:t>Car Loan</w:t>
            </w:r>
          </w:p>
        </w:tc>
        <w:tc>
          <w:tcPr>
            <w:tcW w:w="0" w:type="auto"/>
            <w:tcMar>
              <w:top w:w="0" w:type="dxa"/>
              <w:left w:w="115" w:type="dxa"/>
              <w:bottom w:w="0" w:type="dxa"/>
              <w:right w:w="115" w:type="dxa"/>
            </w:tcMar>
            <w:vAlign w:val="center"/>
            <w:hideMark/>
          </w:tcPr>
          <w:p w14:paraId="7429D568" w14:textId="77777777" w:rsidR="00C033B5" w:rsidRPr="00746567" w:rsidRDefault="00C033B5" w:rsidP="00C033B5">
            <w:pPr>
              <w:rPr>
                <w:rFonts w:asciiTheme="majorBidi" w:hAnsiTheme="majorBidi" w:cstheme="majorBidi"/>
              </w:rPr>
            </w:pPr>
            <w:r w:rsidRPr="00746567">
              <w:rPr>
                <w:rFonts w:asciiTheme="majorBidi" w:hAnsiTheme="majorBidi" w:cstheme="majorBidi"/>
              </w:rPr>
              <w:t>-0.0342***</w:t>
            </w:r>
          </w:p>
        </w:tc>
        <w:tc>
          <w:tcPr>
            <w:tcW w:w="0" w:type="auto"/>
            <w:tcMar>
              <w:top w:w="0" w:type="dxa"/>
              <w:left w:w="115" w:type="dxa"/>
              <w:bottom w:w="0" w:type="dxa"/>
              <w:right w:w="115" w:type="dxa"/>
            </w:tcMar>
            <w:vAlign w:val="center"/>
            <w:hideMark/>
          </w:tcPr>
          <w:p w14:paraId="03ECE12F" w14:textId="77777777" w:rsidR="00C033B5" w:rsidRPr="00746567" w:rsidRDefault="00C033B5" w:rsidP="00C033B5">
            <w:pPr>
              <w:rPr>
                <w:rFonts w:asciiTheme="majorBidi" w:hAnsiTheme="majorBidi" w:cstheme="majorBidi"/>
              </w:rPr>
            </w:pPr>
            <w:r w:rsidRPr="00746567">
              <w:rPr>
                <w:rFonts w:asciiTheme="majorBidi" w:hAnsiTheme="majorBidi" w:cstheme="majorBidi"/>
              </w:rPr>
              <w:t>-3.0226***</w:t>
            </w:r>
          </w:p>
        </w:tc>
        <w:tc>
          <w:tcPr>
            <w:tcW w:w="0" w:type="auto"/>
            <w:tcMar>
              <w:top w:w="0" w:type="dxa"/>
              <w:left w:w="115" w:type="dxa"/>
              <w:bottom w:w="0" w:type="dxa"/>
              <w:right w:w="115" w:type="dxa"/>
            </w:tcMar>
            <w:vAlign w:val="center"/>
            <w:hideMark/>
          </w:tcPr>
          <w:p w14:paraId="318778DB" w14:textId="77777777" w:rsidR="00C033B5" w:rsidRPr="00746567" w:rsidRDefault="00C033B5" w:rsidP="00C033B5">
            <w:pPr>
              <w:rPr>
                <w:rFonts w:asciiTheme="majorBidi" w:hAnsiTheme="majorBidi" w:cstheme="majorBidi"/>
              </w:rPr>
            </w:pPr>
            <w:r w:rsidRPr="00746567">
              <w:rPr>
                <w:rFonts w:asciiTheme="majorBidi" w:hAnsiTheme="majorBidi" w:cstheme="majorBidi"/>
              </w:rPr>
              <w:t>-0.2093***</w:t>
            </w:r>
          </w:p>
        </w:tc>
        <w:tc>
          <w:tcPr>
            <w:tcW w:w="0" w:type="auto"/>
            <w:tcMar>
              <w:top w:w="0" w:type="dxa"/>
              <w:left w:w="115" w:type="dxa"/>
              <w:bottom w:w="0" w:type="dxa"/>
              <w:right w:w="115" w:type="dxa"/>
            </w:tcMar>
            <w:vAlign w:val="center"/>
            <w:hideMark/>
          </w:tcPr>
          <w:p w14:paraId="3534268D" w14:textId="77777777" w:rsidR="00C033B5" w:rsidRPr="00746567" w:rsidRDefault="00C033B5" w:rsidP="00C033B5">
            <w:pPr>
              <w:rPr>
                <w:rFonts w:asciiTheme="majorBidi" w:hAnsiTheme="majorBidi" w:cstheme="majorBidi"/>
              </w:rPr>
            </w:pPr>
            <w:r w:rsidRPr="00746567">
              <w:rPr>
                <w:rFonts w:asciiTheme="majorBidi" w:hAnsiTheme="majorBidi" w:cstheme="majorBidi"/>
              </w:rPr>
              <w:t>-2.7260***</w:t>
            </w:r>
          </w:p>
        </w:tc>
        <w:tc>
          <w:tcPr>
            <w:tcW w:w="0" w:type="auto"/>
            <w:tcMar>
              <w:top w:w="0" w:type="dxa"/>
              <w:left w:w="115" w:type="dxa"/>
              <w:bottom w:w="0" w:type="dxa"/>
              <w:right w:w="115" w:type="dxa"/>
            </w:tcMar>
            <w:vAlign w:val="center"/>
            <w:hideMark/>
          </w:tcPr>
          <w:p w14:paraId="2CB7C385" w14:textId="77777777" w:rsidR="00C033B5" w:rsidRPr="00746567" w:rsidRDefault="00C033B5" w:rsidP="00C033B5">
            <w:pPr>
              <w:rPr>
                <w:rFonts w:asciiTheme="majorBidi" w:hAnsiTheme="majorBidi" w:cstheme="majorBidi"/>
              </w:rPr>
            </w:pPr>
            <w:r w:rsidRPr="00746567">
              <w:rPr>
                <w:rFonts w:asciiTheme="majorBidi" w:hAnsiTheme="majorBidi" w:cstheme="majorBidi"/>
              </w:rPr>
              <w:t>-0.1669***</w:t>
            </w:r>
          </w:p>
        </w:tc>
      </w:tr>
      <w:tr w:rsidR="00C033B5" w:rsidRPr="00746567" w14:paraId="6AFB4A98" w14:textId="77777777">
        <w:trPr>
          <w:trHeight w:val="20"/>
        </w:trPr>
        <w:tc>
          <w:tcPr>
            <w:tcW w:w="0" w:type="auto"/>
            <w:tcMar>
              <w:top w:w="0" w:type="dxa"/>
              <w:left w:w="115" w:type="dxa"/>
              <w:bottom w:w="0" w:type="dxa"/>
              <w:right w:w="115" w:type="dxa"/>
            </w:tcMar>
            <w:hideMark/>
          </w:tcPr>
          <w:p w14:paraId="14279E8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EF979E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(0.0011)</w:t>
            </w:r>
          </w:p>
        </w:tc>
        <w:tc>
          <w:tcPr>
            <w:tcW w:w="0" w:type="auto"/>
            <w:tcMar>
              <w:top w:w="0" w:type="dxa"/>
              <w:left w:w="115" w:type="dxa"/>
              <w:bottom w:w="0" w:type="dxa"/>
              <w:right w:w="115" w:type="dxa"/>
            </w:tcMar>
            <w:vAlign w:val="center"/>
            <w:hideMark/>
          </w:tcPr>
          <w:p w14:paraId="53C6A374" w14:textId="77777777" w:rsidR="00C033B5" w:rsidRPr="00746567" w:rsidRDefault="00C033B5" w:rsidP="00C033B5">
            <w:pPr>
              <w:rPr>
                <w:rFonts w:asciiTheme="majorBidi" w:hAnsiTheme="majorBidi" w:cstheme="majorBidi"/>
              </w:rPr>
            </w:pPr>
            <w:r w:rsidRPr="00746567">
              <w:rPr>
                <w:rFonts w:asciiTheme="majorBidi" w:hAnsiTheme="majorBidi" w:cstheme="majorBidi"/>
              </w:rPr>
              <w:t>(0.2724)</w:t>
            </w:r>
          </w:p>
        </w:tc>
        <w:tc>
          <w:tcPr>
            <w:tcW w:w="0" w:type="auto"/>
            <w:tcMar>
              <w:top w:w="0" w:type="dxa"/>
              <w:left w:w="115" w:type="dxa"/>
              <w:bottom w:w="0" w:type="dxa"/>
              <w:right w:w="115" w:type="dxa"/>
            </w:tcMar>
            <w:vAlign w:val="center"/>
            <w:hideMark/>
          </w:tcPr>
          <w:p w14:paraId="067981BF" w14:textId="77777777" w:rsidR="00C033B5" w:rsidRPr="00746567" w:rsidRDefault="00C033B5" w:rsidP="00C033B5">
            <w:pPr>
              <w:rPr>
                <w:rFonts w:asciiTheme="majorBidi" w:hAnsiTheme="majorBidi" w:cstheme="majorBidi"/>
              </w:rPr>
            </w:pPr>
            <w:r w:rsidRPr="00746567">
              <w:rPr>
                <w:rFonts w:asciiTheme="majorBidi" w:hAnsiTheme="majorBidi" w:cstheme="majorBidi"/>
              </w:rPr>
              <w:t>(0.0137)</w:t>
            </w:r>
          </w:p>
        </w:tc>
        <w:tc>
          <w:tcPr>
            <w:tcW w:w="0" w:type="auto"/>
            <w:tcMar>
              <w:top w:w="0" w:type="dxa"/>
              <w:left w:w="115" w:type="dxa"/>
              <w:bottom w:w="0" w:type="dxa"/>
              <w:right w:w="115" w:type="dxa"/>
            </w:tcMar>
            <w:vAlign w:val="center"/>
            <w:hideMark/>
          </w:tcPr>
          <w:p w14:paraId="7E731F60" w14:textId="77777777" w:rsidR="00C033B5" w:rsidRPr="00746567" w:rsidRDefault="00C033B5" w:rsidP="00C033B5">
            <w:pPr>
              <w:rPr>
                <w:rFonts w:asciiTheme="majorBidi" w:hAnsiTheme="majorBidi" w:cstheme="majorBidi"/>
              </w:rPr>
            </w:pPr>
            <w:r w:rsidRPr="00746567">
              <w:rPr>
                <w:rFonts w:asciiTheme="majorBidi" w:hAnsiTheme="majorBidi" w:cstheme="majorBidi"/>
              </w:rPr>
              <w:t>(0.2661)</w:t>
            </w:r>
          </w:p>
        </w:tc>
        <w:tc>
          <w:tcPr>
            <w:tcW w:w="0" w:type="auto"/>
            <w:tcMar>
              <w:top w:w="0" w:type="dxa"/>
              <w:left w:w="115" w:type="dxa"/>
              <w:bottom w:w="0" w:type="dxa"/>
              <w:right w:w="115" w:type="dxa"/>
            </w:tcMar>
            <w:vAlign w:val="center"/>
            <w:hideMark/>
          </w:tcPr>
          <w:p w14:paraId="21879F69" w14:textId="77777777" w:rsidR="00C033B5" w:rsidRPr="00746567" w:rsidRDefault="00C033B5" w:rsidP="00C033B5">
            <w:pPr>
              <w:rPr>
                <w:rFonts w:asciiTheme="majorBidi" w:hAnsiTheme="majorBidi" w:cstheme="majorBidi"/>
              </w:rPr>
            </w:pPr>
            <w:r w:rsidRPr="00746567">
              <w:rPr>
                <w:rFonts w:asciiTheme="majorBidi" w:hAnsiTheme="majorBidi" w:cstheme="majorBidi"/>
              </w:rPr>
              <w:t>(0.0128)</w:t>
            </w:r>
          </w:p>
        </w:tc>
      </w:tr>
      <w:tr w:rsidR="00C033B5" w:rsidRPr="00746567" w14:paraId="14B12FB6" w14:textId="77777777">
        <w:trPr>
          <w:trHeight w:val="20"/>
        </w:trPr>
        <w:tc>
          <w:tcPr>
            <w:tcW w:w="0" w:type="auto"/>
            <w:tcMar>
              <w:top w:w="0" w:type="dxa"/>
              <w:left w:w="115" w:type="dxa"/>
              <w:bottom w:w="0" w:type="dxa"/>
              <w:right w:w="115" w:type="dxa"/>
            </w:tcMar>
            <w:hideMark/>
          </w:tcPr>
          <w:p w14:paraId="4569A60D" w14:textId="77777777" w:rsidR="00C033B5" w:rsidRPr="00746567" w:rsidRDefault="00C033B5" w:rsidP="00C033B5">
            <w:pPr>
              <w:rPr>
                <w:rFonts w:asciiTheme="majorBidi" w:hAnsiTheme="majorBidi" w:cstheme="majorBidi"/>
              </w:rPr>
            </w:pPr>
            <w:r w:rsidRPr="00746567">
              <w:rPr>
                <w:rFonts w:asciiTheme="majorBidi" w:hAnsiTheme="majorBidi" w:cstheme="majorBidi"/>
              </w:rPr>
              <w:t>Mortgage Loan</w:t>
            </w:r>
          </w:p>
        </w:tc>
        <w:tc>
          <w:tcPr>
            <w:tcW w:w="0" w:type="auto"/>
            <w:tcMar>
              <w:top w:w="0" w:type="dxa"/>
              <w:left w:w="115" w:type="dxa"/>
              <w:bottom w:w="0" w:type="dxa"/>
              <w:right w:w="115" w:type="dxa"/>
            </w:tcMar>
            <w:vAlign w:val="center"/>
            <w:hideMark/>
          </w:tcPr>
          <w:p w14:paraId="01140BE1" w14:textId="77777777" w:rsidR="00C033B5" w:rsidRPr="00746567" w:rsidRDefault="00C033B5" w:rsidP="00C033B5">
            <w:pPr>
              <w:rPr>
                <w:rFonts w:asciiTheme="majorBidi" w:hAnsiTheme="majorBidi" w:cstheme="majorBidi"/>
              </w:rPr>
            </w:pPr>
            <w:r w:rsidRPr="00746567">
              <w:rPr>
                <w:rFonts w:asciiTheme="majorBidi" w:hAnsiTheme="majorBidi" w:cstheme="majorBidi"/>
              </w:rPr>
              <w:t>-0.1365***</w:t>
            </w:r>
          </w:p>
        </w:tc>
        <w:tc>
          <w:tcPr>
            <w:tcW w:w="0" w:type="auto"/>
            <w:tcMar>
              <w:top w:w="0" w:type="dxa"/>
              <w:left w:w="115" w:type="dxa"/>
              <w:bottom w:w="0" w:type="dxa"/>
              <w:right w:w="115" w:type="dxa"/>
            </w:tcMar>
            <w:vAlign w:val="center"/>
            <w:hideMark/>
          </w:tcPr>
          <w:p w14:paraId="79187154" w14:textId="77777777" w:rsidR="00C033B5" w:rsidRPr="00746567" w:rsidRDefault="00C033B5" w:rsidP="00C033B5">
            <w:pPr>
              <w:rPr>
                <w:rFonts w:asciiTheme="majorBidi" w:hAnsiTheme="majorBidi" w:cstheme="majorBidi"/>
              </w:rPr>
            </w:pPr>
            <w:r w:rsidRPr="00746567">
              <w:rPr>
                <w:rFonts w:asciiTheme="majorBidi" w:hAnsiTheme="majorBidi" w:cstheme="majorBidi"/>
              </w:rPr>
              <w:t>-5.4773***</w:t>
            </w:r>
          </w:p>
        </w:tc>
        <w:tc>
          <w:tcPr>
            <w:tcW w:w="0" w:type="auto"/>
            <w:tcMar>
              <w:top w:w="0" w:type="dxa"/>
              <w:left w:w="115" w:type="dxa"/>
              <w:bottom w:w="0" w:type="dxa"/>
              <w:right w:w="115" w:type="dxa"/>
            </w:tcMar>
            <w:vAlign w:val="center"/>
            <w:hideMark/>
          </w:tcPr>
          <w:p w14:paraId="39C0A55E" w14:textId="77777777" w:rsidR="00C033B5" w:rsidRPr="00746567" w:rsidRDefault="00C033B5" w:rsidP="00C033B5">
            <w:pPr>
              <w:rPr>
                <w:rFonts w:asciiTheme="majorBidi" w:hAnsiTheme="majorBidi" w:cstheme="majorBidi"/>
              </w:rPr>
            </w:pPr>
            <w:r w:rsidRPr="00746567">
              <w:rPr>
                <w:rFonts w:asciiTheme="majorBidi" w:hAnsiTheme="majorBidi" w:cstheme="majorBidi"/>
              </w:rPr>
              <w:t>-0.2284***</w:t>
            </w:r>
          </w:p>
        </w:tc>
        <w:tc>
          <w:tcPr>
            <w:tcW w:w="0" w:type="auto"/>
            <w:tcMar>
              <w:top w:w="0" w:type="dxa"/>
              <w:left w:w="115" w:type="dxa"/>
              <w:bottom w:w="0" w:type="dxa"/>
              <w:right w:w="115" w:type="dxa"/>
            </w:tcMar>
            <w:vAlign w:val="center"/>
            <w:hideMark/>
          </w:tcPr>
          <w:p w14:paraId="2E94E449" w14:textId="77777777" w:rsidR="00C033B5" w:rsidRPr="00746567" w:rsidRDefault="00C033B5" w:rsidP="00C033B5">
            <w:pPr>
              <w:rPr>
                <w:rFonts w:asciiTheme="majorBidi" w:hAnsiTheme="majorBidi" w:cstheme="majorBidi"/>
              </w:rPr>
            </w:pPr>
            <w:r w:rsidRPr="00746567">
              <w:rPr>
                <w:rFonts w:asciiTheme="majorBidi" w:hAnsiTheme="majorBidi" w:cstheme="majorBidi"/>
              </w:rPr>
              <w:t>-4.4512***</w:t>
            </w:r>
          </w:p>
        </w:tc>
        <w:tc>
          <w:tcPr>
            <w:tcW w:w="0" w:type="auto"/>
            <w:tcMar>
              <w:top w:w="0" w:type="dxa"/>
              <w:left w:w="115" w:type="dxa"/>
              <w:bottom w:w="0" w:type="dxa"/>
              <w:right w:w="115" w:type="dxa"/>
            </w:tcMar>
            <w:vAlign w:val="center"/>
            <w:hideMark/>
          </w:tcPr>
          <w:p w14:paraId="210695E5" w14:textId="77777777" w:rsidR="00C033B5" w:rsidRPr="00746567" w:rsidRDefault="00C033B5" w:rsidP="00C033B5">
            <w:pPr>
              <w:rPr>
                <w:rFonts w:asciiTheme="majorBidi" w:hAnsiTheme="majorBidi" w:cstheme="majorBidi"/>
              </w:rPr>
            </w:pPr>
            <w:r w:rsidRPr="00746567">
              <w:rPr>
                <w:rFonts w:asciiTheme="majorBidi" w:hAnsiTheme="majorBidi" w:cstheme="majorBidi"/>
              </w:rPr>
              <w:t>-0.1820***</w:t>
            </w:r>
          </w:p>
        </w:tc>
      </w:tr>
      <w:tr w:rsidR="00C033B5" w:rsidRPr="00746567" w14:paraId="1CFA386F" w14:textId="77777777">
        <w:trPr>
          <w:trHeight w:val="20"/>
        </w:trPr>
        <w:tc>
          <w:tcPr>
            <w:tcW w:w="0" w:type="auto"/>
            <w:tcMar>
              <w:top w:w="0" w:type="dxa"/>
              <w:left w:w="115" w:type="dxa"/>
              <w:bottom w:w="0" w:type="dxa"/>
              <w:right w:w="115" w:type="dxa"/>
            </w:tcMar>
            <w:hideMark/>
          </w:tcPr>
          <w:p w14:paraId="6C80117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82ACC7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(0.0055)</w:t>
            </w:r>
          </w:p>
        </w:tc>
        <w:tc>
          <w:tcPr>
            <w:tcW w:w="0" w:type="auto"/>
            <w:tcMar>
              <w:top w:w="0" w:type="dxa"/>
              <w:left w:w="115" w:type="dxa"/>
              <w:bottom w:w="0" w:type="dxa"/>
              <w:right w:w="115" w:type="dxa"/>
            </w:tcMar>
            <w:vAlign w:val="center"/>
            <w:hideMark/>
          </w:tcPr>
          <w:p w14:paraId="6CF38B2F" w14:textId="77777777" w:rsidR="00C033B5" w:rsidRPr="00746567" w:rsidRDefault="00C033B5" w:rsidP="00C033B5">
            <w:pPr>
              <w:rPr>
                <w:rFonts w:asciiTheme="majorBidi" w:hAnsiTheme="majorBidi" w:cstheme="majorBidi"/>
              </w:rPr>
            </w:pPr>
            <w:r w:rsidRPr="00746567">
              <w:rPr>
                <w:rFonts w:asciiTheme="majorBidi" w:hAnsiTheme="majorBidi" w:cstheme="majorBidi"/>
              </w:rPr>
              <w:t>(1.3755)</w:t>
            </w:r>
          </w:p>
        </w:tc>
        <w:tc>
          <w:tcPr>
            <w:tcW w:w="0" w:type="auto"/>
            <w:tcMar>
              <w:top w:w="0" w:type="dxa"/>
              <w:left w:w="115" w:type="dxa"/>
              <w:bottom w:w="0" w:type="dxa"/>
              <w:right w:w="115" w:type="dxa"/>
            </w:tcMar>
            <w:vAlign w:val="center"/>
            <w:hideMark/>
          </w:tcPr>
          <w:p w14:paraId="562F779E" w14:textId="77777777" w:rsidR="00C033B5" w:rsidRPr="00746567" w:rsidRDefault="00C033B5" w:rsidP="00C033B5">
            <w:pPr>
              <w:rPr>
                <w:rFonts w:asciiTheme="majorBidi" w:hAnsiTheme="majorBidi" w:cstheme="majorBidi"/>
              </w:rPr>
            </w:pPr>
            <w:r w:rsidRPr="00746567">
              <w:rPr>
                <w:rFonts w:asciiTheme="majorBidi" w:hAnsiTheme="majorBidi" w:cstheme="majorBidi"/>
              </w:rPr>
              <w:t>(0.0125)</w:t>
            </w:r>
          </w:p>
        </w:tc>
        <w:tc>
          <w:tcPr>
            <w:tcW w:w="0" w:type="auto"/>
            <w:tcMar>
              <w:top w:w="0" w:type="dxa"/>
              <w:left w:w="115" w:type="dxa"/>
              <w:bottom w:w="0" w:type="dxa"/>
              <w:right w:w="115" w:type="dxa"/>
            </w:tcMar>
            <w:vAlign w:val="center"/>
            <w:hideMark/>
          </w:tcPr>
          <w:p w14:paraId="760CD7D0" w14:textId="77777777" w:rsidR="00C033B5" w:rsidRPr="00746567" w:rsidRDefault="00C033B5" w:rsidP="00C033B5">
            <w:pPr>
              <w:rPr>
                <w:rFonts w:asciiTheme="majorBidi" w:hAnsiTheme="majorBidi" w:cstheme="majorBidi"/>
              </w:rPr>
            </w:pPr>
            <w:r w:rsidRPr="00746567">
              <w:rPr>
                <w:rFonts w:asciiTheme="majorBidi" w:hAnsiTheme="majorBidi" w:cstheme="majorBidi"/>
              </w:rPr>
              <w:t>(1.3385)</w:t>
            </w:r>
          </w:p>
        </w:tc>
        <w:tc>
          <w:tcPr>
            <w:tcW w:w="0" w:type="auto"/>
            <w:tcMar>
              <w:top w:w="0" w:type="dxa"/>
              <w:left w:w="115" w:type="dxa"/>
              <w:bottom w:w="0" w:type="dxa"/>
              <w:right w:w="115" w:type="dxa"/>
            </w:tcMar>
            <w:vAlign w:val="center"/>
            <w:hideMark/>
          </w:tcPr>
          <w:p w14:paraId="65C04A96" w14:textId="77777777" w:rsidR="00C033B5" w:rsidRPr="00746567" w:rsidRDefault="00C033B5" w:rsidP="00C033B5">
            <w:pPr>
              <w:rPr>
                <w:rFonts w:asciiTheme="majorBidi" w:hAnsiTheme="majorBidi" w:cstheme="majorBidi"/>
              </w:rPr>
            </w:pPr>
            <w:r w:rsidRPr="00746567">
              <w:rPr>
                <w:rFonts w:asciiTheme="majorBidi" w:hAnsiTheme="majorBidi" w:cstheme="majorBidi"/>
              </w:rPr>
              <w:t>(0.0121)</w:t>
            </w:r>
          </w:p>
        </w:tc>
      </w:tr>
      <w:tr w:rsidR="00C033B5" w:rsidRPr="00746567" w14:paraId="71E43F85" w14:textId="77777777">
        <w:trPr>
          <w:trHeight w:val="20"/>
        </w:trPr>
        <w:tc>
          <w:tcPr>
            <w:tcW w:w="0" w:type="auto"/>
            <w:tcMar>
              <w:top w:w="0" w:type="dxa"/>
              <w:left w:w="115" w:type="dxa"/>
              <w:bottom w:w="0" w:type="dxa"/>
              <w:right w:w="115" w:type="dxa"/>
            </w:tcMar>
            <w:hideMark/>
          </w:tcPr>
          <w:p w14:paraId="4653A8EE" w14:textId="77777777" w:rsidR="00C033B5" w:rsidRPr="00746567" w:rsidRDefault="00C033B5" w:rsidP="00C033B5">
            <w:pPr>
              <w:rPr>
                <w:rFonts w:asciiTheme="majorBidi" w:hAnsiTheme="majorBidi" w:cstheme="majorBidi"/>
              </w:rPr>
            </w:pPr>
            <w:r w:rsidRPr="00746567">
              <w:rPr>
                <w:rFonts w:asciiTheme="majorBidi" w:hAnsiTheme="majorBidi" w:cstheme="majorBidi"/>
              </w:rPr>
              <w:t>Pawnbroking Loan</w:t>
            </w:r>
          </w:p>
        </w:tc>
        <w:tc>
          <w:tcPr>
            <w:tcW w:w="0" w:type="auto"/>
            <w:tcMar>
              <w:top w:w="0" w:type="dxa"/>
              <w:left w:w="115" w:type="dxa"/>
              <w:bottom w:w="0" w:type="dxa"/>
              <w:right w:w="115" w:type="dxa"/>
            </w:tcMar>
            <w:vAlign w:val="center"/>
            <w:hideMark/>
          </w:tcPr>
          <w:p w14:paraId="12848B8E" w14:textId="77777777" w:rsidR="00C033B5" w:rsidRPr="00746567" w:rsidRDefault="00C033B5" w:rsidP="00C033B5">
            <w:pPr>
              <w:rPr>
                <w:rFonts w:asciiTheme="majorBidi" w:hAnsiTheme="majorBidi" w:cstheme="majorBidi"/>
              </w:rPr>
            </w:pPr>
            <w:r w:rsidRPr="00746567">
              <w:rPr>
                <w:rFonts w:asciiTheme="majorBidi" w:hAnsiTheme="majorBidi" w:cstheme="majorBidi"/>
              </w:rPr>
              <w:t>-0.0999***</w:t>
            </w:r>
          </w:p>
        </w:tc>
        <w:tc>
          <w:tcPr>
            <w:tcW w:w="0" w:type="auto"/>
            <w:tcMar>
              <w:top w:w="0" w:type="dxa"/>
              <w:left w:w="115" w:type="dxa"/>
              <w:bottom w:w="0" w:type="dxa"/>
              <w:right w:w="115" w:type="dxa"/>
            </w:tcMar>
            <w:vAlign w:val="center"/>
            <w:hideMark/>
          </w:tcPr>
          <w:p w14:paraId="01EA78F1" w14:textId="77777777" w:rsidR="00C033B5" w:rsidRPr="00746567" w:rsidRDefault="00C033B5" w:rsidP="00C033B5">
            <w:pPr>
              <w:rPr>
                <w:rFonts w:asciiTheme="majorBidi" w:hAnsiTheme="majorBidi" w:cstheme="majorBidi"/>
              </w:rPr>
            </w:pPr>
            <w:r w:rsidRPr="00746567">
              <w:rPr>
                <w:rFonts w:asciiTheme="majorBidi" w:hAnsiTheme="majorBidi" w:cstheme="majorBidi"/>
              </w:rPr>
              <w:t>-1.4650***</w:t>
            </w:r>
          </w:p>
        </w:tc>
        <w:tc>
          <w:tcPr>
            <w:tcW w:w="0" w:type="auto"/>
            <w:tcMar>
              <w:top w:w="0" w:type="dxa"/>
              <w:left w:w="115" w:type="dxa"/>
              <w:bottom w:w="0" w:type="dxa"/>
              <w:right w:w="115" w:type="dxa"/>
            </w:tcMar>
            <w:vAlign w:val="center"/>
            <w:hideMark/>
          </w:tcPr>
          <w:p w14:paraId="1B2E6B6D" w14:textId="77777777" w:rsidR="00C033B5" w:rsidRPr="00746567" w:rsidRDefault="00C033B5" w:rsidP="00C033B5">
            <w:pPr>
              <w:rPr>
                <w:rFonts w:asciiTheme="majorBidi" w:hAnsiTheme="majorBidi" w:cstheme="majorBidi"/>
              </w:rPr>
            </w:pPr>
            <w:r w:rsidRPr="00746567">
              <w:rPr>
                <w:rFonts w:asciiTheme="majorBidi" w:hAnsiTheme="majorBidi" w:cstheme="majorBidi"/>
              </w:rPr>
              <w:t>-0.1520***</w:t>
            </w:r>
          </w:p>
        </w:tc>
        <w:tc>
          <w:tcPr>
            <w:tcW w:w="0" w:type="auto"/>
            <w:tcMar>
              <w:top w:w="0" w:type="dxa"/>
              <w:left w:w="115" w:type="dxa"/>
              <w:bottom w:w="0" w:type="dxa"/>
              <w:right w:w="115" w:type="dxa"/>
            </w:tcMar>
            <w:vAlign w:val="center"/>
            <w:hideMark/>
          </w:tcPr>
          <w:p w14:paraId="5EDBFF14" w14:textId="77777777" w:rsidR="00C033B5" w:rsidRPr="00746567" w:rsidRDefault="00C033B5" w:rsidP="00C033B5">
            <w:pPr>
              <w:rPr>
                <w:rFonts w:asciiTheme="majorBidi" w:hAnsiTheme="majorBidi" w:cstheme="majorBidi"/>
              </w:rPr>
            </w:pPr>
            <w:r w:rsidRPr="00746567">
              <w:rPr>
                <w:rFonts w:asciiTheme="majorBidi" w:hAnsiTheme="majorBidi" w:cstheme="majorBidi"/>
              </w:rPr>
              <w:t>-0.6962***</w:t>
            </w:r>
          </w:p>
        </w:tc>
        <w:tc>
          <w:tcPr>
            <w:tcW w:w="0" w:type="auto"/>
            <w:tcMar>
              <w:top w:w="0" w:type="dxa"/>
              <w:left w:w="115" w:type="dxa"/>
              <w:bottom w:w="0" w:type="dxa"/>
              <w:right w:w="115" w:type="dxa"/>
            </w:tcMar>
            <w:vAlign w:val="center"/>
            <w:hideMark/>
          </w:tcPr>
          <w:p w14:paraId="38D581E0" w14:textId="77777777" w:rsidR="00C033B5" w:rsidRPr="00746567" w:rsidRDefault="00C033B5" w:rsidP="00C033B5">
            <w:pPr>
              <w:rPr>
                <w:rFonts w:asciiTheme="majorBidi" w:hAnsiTheme="majorBidi" w:cstheme="majorBidi"/>
              </w:rPr>
            </w:pPr>
            <w:r w:rsidRPr="00746567">
              <w:rPr>
                <w:rFonts w:asciiTheme="majorBidi" w:hAnsiTheme="majorBidi" w:cstheme="majorBidi"/>
              </w:rPr>
              <w:t>-0.0777***</w:t>
            </w:r>
          </w:p>
        </w:tc>
      </w:tr>
      <w:tr w:rsidR="00C033B5" w:rsidRPr="00746567" w14:paraId="1F97B5F3" w14:textId="77777777">
        <w:trPr>
          <w:trHeight w:val="20"/>
        </w:trPr>
        <w:tc>
          <w:tcPr>
            <w:tcW w:w="0" w:type="auto"/>
            <w:tcMar>
              <w:top w:w="0" w:type="dxa"/>
              <w:left w:w="115" w:type="dxa"/>
              <w:bottom w:w="0" w:type="dxa"/>
              <w:right w:w="115" w:type="dxa"/>
            </w:tcMar>
            <w:hideMark/>
          </w:tcPr>
          <w:p w14:paraId="5C65C6A7"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782DFE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(0.0012)</w:t>
            </w:r>
          </w:p>
        </w:tc>
        <w:tc>
          <w:tcPr>
            <w:tcW w:w="0" w:type="auto"/>
            <w:tcMar>
              <w:top w:w="0" w:type="dxa"/>
              <w:left w:w="115" w:type="dxa"/>
              <w:bottom w:w="0" w:type="dxa"/>
              <w:right w:w="115" w:type="dxa"/>
            </w:tcMar>
            <w:vAlign w:val="center"/>
            <w:hideMark/>
          </w:tcPr>
          <w:p w14:paraId="02D404E6" w14:textId="77777777" w:rsidR="00C033B5" w:rsidRPr="00746567" w:rsidRDefault="00C033B5" w:rsidP="00C033B5">
            <w:pPr>
              <w:rPr>
                <w:rFonts w:asciiTheme="majorBidi" w:hAnsiTheme="majorBidi" w:cstheme="majorBidi"/>
              </w:rPr>
            </w:pPr>
            <w:r w:rsidRPr="00746567">
              <w:rPr>
                <w:rFonts w:asciiTheme="majorBidi" w:hAnsiTheme="majorBidi" w:cstheme="majorBidi"/>
              </w:rPr>
              <w:t>(0.2805)</w:t>
            </w:r>
          </w:p>
        </w:tc>
        <w:tc>
          <w:tcPr>
            <w:tcW w:w="0" w:type="auto"/>
            <w:tcMar>
              <w:top w:w="0" w:type="dxa"/>
              <w:left w:w="115" w:type="dxa"/>
              <w:bottom w:w="0" w:type="dxa"/>
              <w:right w:w="115" w:type="dxa"/>
            </w:tcMar>
            <w:vAlign w:val="center"/>
            <w:hideMark/>
          </w:tcPr>
          <w:p w14:paraId="1ACCA195" w14:textId="77777777" w:rsidR="00C033B5" w:rsidRPr="00746567" w:rsidRDefault="00C033B5" w:rsidP="00C033B5">
            <w:pPr>
              <w:rPr>
                <w:rFonts w:asciiTheme="majorBidi" w:hAnsiTheme="majorBidi" w:cstheme="majorBidi"/>
              </w:rPr>
            </w:pPr>
            <w:r w:rsidRPr="00746567">
              <w:rPr>
                <w:rFonts w:asciiTheme="majorBidi" w:hAnsiTheme="majorBidi" w:cstheme="majorBidi"/>
              </w:rPr>
              <w:t>(0.0214)</w:t>
            </w:r>
          </w:p>
        </w:tc>
        <w:tc>
          <w:tcPr>
            <w:tcW w:w="0" w:type="auto"/>
            <w:tcMar>
              <w:top w:w="0" w:type="dxa"/>
              <w:left w:w="115" w:type="dxa"/>
              <w:bottom w:w="0" w:type="dxa"/>
              <w:right w:w="115" w:type="dxa"/>
            </w:tcMar>
            <w:vAlign w:val="center"/>
            <w:hideMark/>
          </w:tcPr>
          <w:p w14:paraId="375F832F" w14:textId="77777777" w:rsidR="00C033B5" w:rsidRPr="00746567" w:rsidRDefault="00C033B5" w:rsidP="00C033B5">
            <w:pPr>
              <w:rPr>
                <w:rFonts w:asciiTheme="majorBidi" w:hAnsiTheme="majorBidi" w:cstheme="majorBidi"/>
              </w:rPr>
            </w:pPr>
            <w:r w:rsidRPr="00746567">
              <w:rPr>
                <w:rFonts w:asciiTheme="majorBidi" w:hAnsiTheme="majorBidi" w:cstheme="majorBidi"/>
              </w:rPr>
              <w:t>(0.2714)</w:t>
            </w:r>
          </w:p>
        </w:tc>
        <w:tc>
          <w:tcPr>
            <w:tcW w:w="0" w:type="auto"/>
            <w:tcMar>
              <w:top w:w="0" w:type="dxa"/>
              <w:left w:w="115" w:type="dxa"/>
              <w:bottom w:w="0" w:type="dxa"/>
              <w:right w:w="115" w:type="dxa"/>
            </w:tcMar>
            <w:vAlign w:val="center"/>
            <w:hideMark/>
          </w:tcPr>
          <w:p w14:paraId="66387970" w14:textId="77777777" w:rsidR="00C033B5" w:rsidRPr="00746567" w:rsidRDefault="00C033B5" w:rsidP="00C033B5">
            <w:pPr>
              <w:rPr>
                <w:rFonts w:asciiTheme="majorBidi" w:hAnsiTheme="majorBidi" w:cstheme="majorBidi"/>
              </w:rPr>
            </w:pPr>
            <w:r w:rsidRPr="00746567">
              <w:rPr>
                <w:rFonts w:asciiTheme="majorBidi" w:hAnsiTheme="majorBidi" w:cstheme="majorBidi"/>
              </w:rPr>
              <w:t>(0.0265)</w:t>
            </w:r>
          </w:p>
        </w:tc>
      </w:tr>
      <w:tr w:rsidR="00C033B5" w:rsidRPr="00746567" w14:paraId="267E8343" w14:textId="77777777">
        <w:trPr>
          <w:trHeight w:val="20"/>
        </w:trPr>
        <w:tc>
          <w:tcPr>
            <w:tcW w:w="0" w:type="auto"/>
            <w:tcMar>
              <w:top w:w="0" w:type="dxa"/>
              <w:left w:w="115" w:type="dxa"/>
              <w:bottom w:w="0" w:type="dxa"/>
              <w:right w:w="115" w:type="dxa"/>
            </w:tcMar>
            <w:hideMark/>
          </w:tcPr>
          <w:p w14:paraId="1A2BF336" w14:textId="77777777" w:rsidR="00C033B5" w:rsidRPr="00746567" w:rsidRDefault="00C033B5" w:rsidP="00C033B5">
            <w:pPr>
              <w:rPr>
                <w:rFonts w:asciiTheme="majorBidi" w:hAnsiTheme="majorBidi" w:cstheme="majorBidi"/>
              </w:rPr>
            </w:pPr>
            <w:r w:rsidRPr="00746567">
              <w:rPr>
                <w:rFonts w:asciiTheme="majorBidi" w:hAnsiTheme="majorBidi" w:cstheme="majorBidi"/>
              </w:rPr>
              <w:t>Personal Loan</w:t>
            </w:r>
          </w:p>
        </w:tc>
        <w:tc>
          <w:tcPr>
            <w:tcW w:w="0" w:type="auto"/>
            <w:tcMar>
              <w:top w:w="0" w:type="dxa"/>
              <w:left w:w="115" w:type="dxa"/>
              <w:bottom w:w="0" w:type="dxa"/>
              <w:right w:w="115" w:type="dxa"/>
            </w:tcMar>
            <w:vAlign w:val="center"/>
            <w:hideMark/>
          </w:tcPr>
          <w:p w14:paraId="231E207B" w14:textId="77777777" w:rsidR="00C033B5" w:rsidRPr="00746567" w:rsidRDefault="00C033B5" w:rsidP="00C033B5">
            <w:pPr>
              <w:rPr>
                <w:rFonts w:asciiTheme="majorBidi" w:hAnsiTheme="majorBidi" w:cstheme="majorBidi"/>
              </w:rPr>
            </w:pPr>
            <w:r w:rsidRPr="00746567">
              <w:rPr>
                <w:rFonts w:asciiTheme="majorBidi" w:hAnsiTheme="majorBidi" w:cstheme="majorBidi"/>
              </w:rPr>
              <w:t>-0.0303***</w:t>
            </w:r>
          </w:p>
        </w:tc>
        <w:tc>
          <w:tcPr>
            <w:tcW w:w="0" w:type="auto"/>
            <w:tcMar>
              <w:top w:w="0" w:type="dxa"/>
              <w:left w:w="115" w:type="dxa"/>
              <w:bottom w:w="0" w:type="dxa"/>
              <w:right w:w="115" w:type="dxa"/>
            </w:tcMar>
            <w:vAlign w:val="center"/>
            <w:hideMark/>
          </w:tcPr>
          <w:p w14:paraId="55D0DB8F" w14:textId="77777777" w:rsidR="00C033B5" w:rsidRPr="00746567" w:rsidRDefault="00C033B5" w:rsidP="00C033B5">
            <w:pPr>
              <w:rPr>
                <w:rFonts w:asciiTheme="majorBidi" w:hAnsiTheme="majorBidi" w:cstheme="majorBidi"/>
              </w:rPr>
            </w:pPr>
            <w:r w:rsidRPr="00746567">
              <w:rPr>
                <w:rFonts w:asciiTheme="majorBidi" w:hAnsiTheme="majorBidi" w:cstheme="majorBidi"/>
              </w:rPr>
              <w:t>0.3815***</w:t>
            </w:r>
          </w:p>
        </w:tc>
        <w:tc>
          <w:tcPr>
            <w:tcW w:w="0" w:type="auto"/>
            <w:tcMar>
              <w:top w:w="0" w:type="dxa"/>
              <w:left w:w="115" w:type="dxa"/>
              <w:bottom w:w="0" w:type="dxa"/>
              <w:right w:w="115" w:type="dxa"/>
            </w:tcMar>
            <w:vAlign w:val="center"/>
            <w:hideMark/>
          </w:tcPr>
          <w:p w14:paraId="4883E4BA" w14:textId="77777777" w:rsidR="00C033B5" w:rsidRPr="00746567" w:rsidRDefault="00C033B5" w:rsidP="00C033B5">
            <w:pPr>
              <w:rPr>
                <w:rFonts w:asciiTheme="majorBidi" w:hAnsiTheme="majorBidi" w:cstheme="majorBidi"/>
              </w:rPr>
            </w:pPr>
            <w:r w:rsidRPr="00746567">
              <w:rPr>
                <w:rFonts w:asciiTheme="majorBidi" w:hAnsiTheme="majorBidi" w:cstheme="majorBidi"/>
              </w:rPr>
              <w:t>0.0615***</w:t>
            </w:r>
          </w:p>
        </w:tc>
        <w:tc>
          <w:tcPr>
            <w:tcW w:w="0" w:type="auto"/>
            <w:tcMar>
              <w:top w:w="0" w:type="dxa"/>
              <w:left w:w="115" w:type="dxa"/>
              <w:bottom w:w="0" w:type="dxa"/>
              <w:right w:w="115" w:type="dxa"/>
            </w:tcMar>
            <w:vAlign w:val="center"/>
            <w:hideMark/>
          </w:tcPr>
          <w:p w14:paraId="06EA7D01" w14:textId="77777777" w:rsidR="00C033B5" w:rsidRPr="00746567" w:rsidRDefault="00C033B5" w:rsidP="00C033B5">
            <w:pPr>
              <w:rPr>
                <w:rFonts w:asciiTheme="majorBidi" w:hAnsiTheme="majorBidi" w:cstheme="majorBidi"/>
              </w:rPr>
            </w:pPr>
            <w:r w:rsidRPr="00746567">
              <w:rPr>
                <w:rFonts w:asciiTheme="majorBidi" w:hAnsiTheme="majorBidi" w:cstheme="majorBidi"/>
              </w:rPr>
              <w:t>0.4216***</w:t>
            </w:r>
          </w:p>
        </w:tc>
        <w:tc>
          <w:tcPr>
            <w:tcW w:w="0" w:type="auto"/>
            <w:tcMar>
              <w:top w:w="0" w:type="dxa"/>
              <w:left w:w="115" w:type="dxa"/>
              <w:bottom w:w="0" w:type="dxa"/>
              <w:right w:w="115" w:type="dxa"/>
            </w:tcMar>
            <w:vAlign w:val="center"/>
            <w:hideMark/>
          </w:tcPr>
          <w:p w14:paraId="6CCA4323" w14:textId="77777777" w:rsidR="00C033B5" w:rsidRPr="00746567" w:rsidRDefault="00C033B5" w:rsidP="00C033B5">
            <w:pPr>
              <w:rPr>
                <w:rFonts w:asciiTheme="majorBidi" w:hAnsiTheme="majorBidi" w:cstheme="majorBidi"/>
              </w:rPr>
            </w:pPr>
            <w:r w:rsidRPr="00746567">
              <w:rPr>
                <w:rFonts w:asciiTheme="majorBidi" w:hAnsiTheme="majorBidi" w:cstheme="majorBidi"/>
              </w:rPr>
              <w:t>0.0641***</w:t>
            </w:r>
          </w:p>
        </w:tc>
      </w:tr>
      <w:tr w:rsidR="00C033B5" w:rsidRPr="00746567" w14:paraId="1F004D24" w14:textId="77777777">
        <w:trPr>
          <w:trHeight w:val="20"/>
        </w:trPr>
        <w:tc>
          <w:tcPr>
            <w:tcW w:w="0" w:type="auto"/>
            <w:tcMar>
              <w:top w:w="0" w:type="dxa"/>
              <w:left w:w="115" w:type="dxa"/>
              <w:bottom w:w="0" w:type="dxa"/>
              <w:right w:w="115" w:type="dxa"/>
            </w:tcMar>
            <w:hideMark/>
          </w:tcPr>
          <w:p w14:paraId="5E7E6A65"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2C4825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37C9927C" w14:textId="77777777" w:rsidR="00C033B5" w:rsidRPr="00746567" w:rsidRDefault="00C033B5" w:rsidP="00C033B5">
            <w:pPr>
              <w:rPr>
                <w:rFonts w:asciiTheme="majorBidi" w:hAnsiTheme="majorBidi" w:cstheme="majorBidi"/>
              </w:rPr>
            </w:pPr>
            <w:r w:rsidRPr="00746567">
              <w:rPr>
                <w:rFonts w:asciiTheme="majorBidi" w:hAnsiTheme="majorBidi" w:cstheme="majorBidi"/>
              </w:rPr>
              <w:t>(0.0233)</w:t>
            </w:r>
          </w:p>
        </w:tc>
        <w:tc>
          <w:tcPr>
            <w:tcW w:w="0" w:type="auto"/>
            <w:tcMar>
              <w:top w:w="0" w:type="dxa"/>
              <w:left w:w="115" w:type="dxa"/>
              <w:bottom w:w="0" w:type="dxa"/>
              <w:right w:w="115" w:type="dxa"/>
            </w:tcMar>
            <w:vAlign w:val="center"/>
            <w:hideMark/>
          </w:tcPr>
          <w:p w14:paraId="4B05661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(0.0040)</w:t>
            </w:r>
          </w:p>
        </w:tc>
        <w:tc>
          <w:tcPr>
            <w:tcW w:w="0" w:type="auto"/>
            <w:tcMar>
              <w:top w:w="0" w:type="dxa"/>
              <w:left w:w="115" w:type="dxa"/>
              <w:bottom w:w="0" w:type="dxa"/>
              <w:right w:w="115" w:type="dxa"/>
            </w:tcMar>
            <w:vAlign w:val="center"/>
            <w:hideMark/>
          </w:tcPr>
          <w:p w14:paraId="2929EE99" w14:textId="77777777" w:rsidR="00C033B5" w:rsidRPr="00746567" w:rsidRDefault="00C033B5" w:rsidP="00C033B5">
            <w:pPr>
              <w:rPr>
                <w:rFonts w:asciiTheme="majorBidi" w:hAnsiTheme="majorBidi" w:cstheme="majorBidi"/>
              </w:rPr>
            </w:pPr>
            <w:r w:rsidRPr="00746567">
              <w:rPr>
                <w:rFonts w:asciiTheme="majorBidi" w:hAnsiTheme="majorBidi" w:cstheme="majorBidi"/>
              </w:rPr>
              <w:t>(0.0233)</w:t>
            </w:r>
          </w:p>
        </w:tc>
        <w:tc>
          <w:tcPr>
            <w:tcW w:w="0" w:type="auto"/>
            <w:tcMar>
              <w:top w:w="0" w:type="dxa"/>
              <w:left w:w="115" w:type="dxa"/>
              <w:bottom w:w="0" w:type="dxa"/>
              <w:right w:w="115" w:type="dxa"/>
            </w:tcMar>
            <w:vAlign w:val="center"/>
            <w:hideMark/>
          </w:tcPr>
          <w:p w14:paraId="48B33B8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(0.0036)</w:t>
            </w:r>
          </w:p>
        </w:tc>
      </w:tr>
      <w:tr w:rsidR="00C033B5" w:rsidRPr="00746567" w14:paraId="5E577E4A" w14:textId="77777777">
        <w:trPr>
          <w:trHeight w:val="20"/>
        </w:trPr>
        <w:tc>
          <w:tcPr>
            <w:tcW w:w="0" w:type="auto"/>
            <w:tcMar>
              <w:top w:w="0" w:type="dxa"/>
              <w:left w:w="115" w:type="dxa"/>
              <w:bottom w:w="0" w:type="dxa"/>
              <w:right w:w="115" w:type="dxa"/>
            </w:tcMar>
            <w:hideMark/>
          </w:tcPr>
          <w:p w14:paraId="699C2B67" w14:textId="77777777" w:rsidR="00C033B5" w:rsidRPr="00746567" w:rsidRDefault="00C033B5" w:rsidP="00C033B5">
            <w:pPr>
              <w:rPr>
                <w:rFonts w:asciiTheme="majorBidi" w:hAnsiTheme="majorBidi" w:cstheme="majorBidi"/>
              </w:rPr>
            </w:pPr>
            <w:r w:rsidRPr="00746567">
              <w:rPr>
                <w:rFonts w:asciiTheme="majorBidi" w:hAnsiTheme="majorBidi" w:cstheme="majorBidi"/>
              </w:rPr>
              <w:t>Age</w:t>
            </w:r>
          </w:p>
        </w:tc>
        <w:tc>
          <w:tcPr>
            <w:tcW w:w="0" w:type="auto"/>
            <w:tcMar>
              <w:top w:w="0" w:type="dxa"/>
              <w:left w:w="115" w:type="dxa"/>
              <w:bottom w:w="0" w:type="dxa"/>
              <w:right w:w="115" w:type="dxa"/>
            </w:tcMar>
            <w:vAlign w:val="center"/>
            <w:hideMark/>
          </w:tcPr>
          <w:p w14:paraId="2739F9A4" w14:textId="77777777" w:rsidR="00C033B5" w:rsidRPr="00746567" w:rsidRDefault="00C033B5" w:rsidP="00C033B5">
            <w:pPr>
              <w:rPr>
                <w:rFonts w:asciiTheme="majorBidi" w:hAnsiTheme="majorBidi" w:cstheme="majorBidi"/>
              </w:rPr>
            </w:pPr>
            <w:r w:rsidRPr="00746567">
              <w:rPr>
                <w:rFonts w:asciiTheme="majorBidi" w:hAnsiTheme="majorBidi" w:cstheme="majorBidi"/>
              </w:rPr>
              <w:t>-0.0129***</w:t>
            </w:r>
          </w:p>
        </w:tc>
        <w:tc>
          <w:tcPr>
            <w:tcW w:w="0" w:type="auto"/>
            <w:tcMar>
              <w:top w:w="0" w:type="dxa"/>
              <w:left w:w="115" w:type="dxa"/>
              <w:bottom w:w="0" w:type="dxa"/>
              <w:right w:w="115" w:type="dxa"/>
            </w:tcMar>
            <w:vAlign w:val="center"/>
            <w:hideMark/>
          </w:tcPr>
          <w:p w14:paraId="762ADFA4" w14:textId="77777777" w:rsidR="00C033B5" w:rsidRPr="00746567" w:rsidRDefault="00C033B5" w:rsidP="00C033B5">
            <w:pPr>
              <w:rPr>
                <w:rFonts w:asciiTheme="majorBidi" w:hAnsiTheme="majorBidi" w:cstheme="majorBidi"/>
              </w:rPr>
            </w:pPr>
            <w:r w:rsidRPr="00746567">
              <w:rPr>
                <w:rFonts w:asciiTheme="majorBidi" w:hAnsiTheme="majorBidi" w:cstheme="majorBidi"/>
              </w:rPr>
              <w:t>-0.1064***</w:t>
            </w:r>
          </w:p>
        </w:tc>
        <w:tc>
          <w:tcPr>
            <w:tcW w:w="0" w:type="auto"/>
            <w:tcMar>
              <w:top w:w="0" w:type="dxa"/>
              <w:left w:w="115" w:type="dxa"/>
              <w:bottom w:w="0" w:type="dxa"/>
              <w:right w:w="115" w:type="dxa"/>
            </w:tcMar>
            <w:vAlign w:val="center"/>
            <w:hideMark/>
          </w:tcPr>
          <w:p w14:paraId="65D29953" w14:textId="77777777" w:rsidR="00C033B5" w:rsidRPr="00746567" w:rsidRDefault="00C033B5" w:rsidP="00C033B5">
            <w:pPr>
              <w:rPr>
                <w:rFonts w:asciiTheme="majorBidi" w:hAnsiTheme="majorBidi" w:cstheme="majorBidi"/>
              </w:rPr>
            </w:pPr>
            <w:r w:rsidRPr="00746567">
              <w:rPr>
                <w:rFonts w:asciiTheme="majorBidi" w:hAnsiTheme="majorBidi" w:cstheme="majorBidi"/>
              </w:rPr>
              <w:t>-0.0154***</w:t>
            </w:r>
          </w:p>
        </w:tc>
        <w:tc>
          <w:tcPr>
            <w:tcW w:w="0" w:type="auto"/>
            <w:tcMar>
              <w:top w:w="0" w:type="dxa"/>
              <w:left w:w="115" w:type="dxa"/>
              <w:bottom w:w="0" w:type="dxa"/>
              <w:right w:w="115" w:type="dxa"/>
            </w:tcMar>
            <w:vAlign w:val="center"/>
            <w:hideMark/>
          </w:tcPr>
          <w:p w14:paraId="5B510401" w14:textId="77777777" w:rsidR="00C033B5" w:rsidRPr="00746567" w:rsidRDefault="00C033B5" w:rsidP="00C033B5">
            <w:pPr>
              <w:rPr>
                <w:rFonts w:asciiTheme="majorBidi" w:hAnsiTheme="majorBidi" w:cstheme="majorBidi"/>
              </w:rPr>
            </w:pPr>
            <w:r w:rsidRPr="00746567">
              <w:rPr>
                <w:rFonts w:asciiTheme="majorBidi" w:hAnsiTheme="majorBidi" w:cstheme="majorBidi"/>
              </w:rPr>
              <w:t>-0.0710***</w:t>
            </w:r>
          </w:p>
        </w:tc>
        <w:tc>
          <w:tcPr>
            <w:tcW w:w="0" w:type="auto"/>
            <w:tcMar>
              <w:top w:w="0" w:type="dxa"/>
              <w:left w:w="115" w:type="dxa"/>
              <w:bottom w:w="0" w:type="dxa"/>
              <w:right w:w="115" w:type="dxa"/>
            </w:tcMar>
            <w:vAlign w:val="center"/>
            <w:hideMark/>
          </w:tcPr>
          <w:p w14:paraId="4E13880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-0.0097***</w:t>
            </w:r>
          </w:p>
        </w:tc>
      </w:tr>
      <w:tr w:rsidR="00C033B5" w:rsidRPr="00746567" w14:paraId="5C90998D" w14:textId="77777777">
        <w:trPr>
          <w:trHeight w:val="20"/>
        </w:trPr>
        <w:tc>
          <w:tcPr>
            <w:tcW w:w="0" w:type="auto"/>
            <w:tcMar>
              <w:top w:w="0" w:type="dxa"/>
              <w:left w:w="115" w:type="dxa"/>
              <w:bottom w:w="0" w:type="dxa"/>
              <w:right w:w="115" w:type="dxa"/>
            </w:tcMar>
            <w:hideMark/>
          </w:tcPr>
          <w:p w14:paraId="5D94CABA"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032265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0EF609F0" w14:textId="77777777" w:rsidR="00C033B5" w:rsidRPr="00746567" w:rsidRDefault="00C033B5" w:rsidP="00C033B5">
            <w:pPr>
              <w:rPr>
                <w:rFonts w:asciiTheme="majorBidi" w:hAnsiTheme="majorBidi" w:cstheme="majorBidi"/>
              </w:rPr>
            </w:pPr>
            <w:r w:rsidRPr="00746567">
              <w:rPr>
                <w:rFonts w:asciiTheme="majorBidi" w:hAnsiTheme="majorBidi" w:cstheme="majorBidi"/>
              </w:rPr>
              <w:t>(0.0240)</w:t>
            </w:r>
          </w:p>
        </w:tc>
        <w:tc>
          <w:tcPr>
            <w:tcW w:w="0" w:type="auto"/>
            <w:tcMar>
              <w:top w:w="0" w:type="dxa"/>
              <w:left w:w="115" w:type="dxa"/>
              <w:bottom w:w="0" w:type="dxa"/>
              <w:right w:w="115" w:type="dxa"/>
            </w:tcMar>
            <w:vAlign w:val="center"/>
            <w:hideMark/>
          </w:tcPr>
          <w:p w14:paraId="0FE7FB5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(0.0035)</w:t>
            </w:r>
          </w:p>
        </w:tc>
        <w:tc>
          <w:tcPr>
            <w:tcW w:w="0" w:type="auto"/>
            <w:tcMar>
              <w:top w:w="0" w:type="dxa"/>
              <w:left w:w="115" w:type="dxa"/>
              <w:bottom w:w="0" w:type="dxa"/>
              <w:right w:w="115" w:type="dxa"/>
            </w:tcMar>
            <w:vAlign w:val="center"/>
            <w:hideMark/>
          </w:tcPr>
          <w:p w14:paraId="51A28A41" w14:textId="77777777" w:rsidR="00C033B5" w:rsidRPr="00746567" w:rsidRDefault="00C033B5" w:rsidP="00C033B5">
            <w:pPr>
              <w:rPr>
                <w:rFonts w:asciiTheme="majorBidi" w:hAnsiTheme="majorBidi" w:cstheme="majorBidi"/>
              </w:rPr>
            </w:pPr>
            <w:r w:rsidRPr="00746567">
              <w:rPr>
                <w:rFonts w:asciiTheme="majorBidi" w:hAnsiTheme="majorBidi" w:cstheme="majorBidi"/>
              </w:rPr>
              <w:t>(0.0288)</w:t>
            </w:r>
          </w:p>
        </w:tc>
        <w:tc>
          <w:tcPr>
            <w:tcW w:w="0" w:type="auto"/>
            <w:tcMar>
              <w:top w:w="0" w:type="dxa"/>
              <w:left w:w="115" w:type="dxa"/>
              <w:bottom w:w="0" w:type="dxa"/>
              <w:right w:w="115" w:type="dxa"/>
            </w:tcMar>
            <w:vAlign w:val="center"/>
            <w:hideMark/>
          </w:tcPr>
          <w:p w14:paraId="639EC24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(0.0039)</w:t>
            </w:r>
          </w:p>
        </w:tc>
      </w:tr>
      <w:tr w:rsidR="00C033B5" w:rsidRPr="00746567" w14:paraId="417D3285" w14:textId="77777777">
        <w:trPr>
          <w:trHeight w:val="20"/>
        </w:trPr>
        <w:tc>
          <w:tcPr>
            <w:tcW w:w="0" w:type="auto"/>
            <w:tcMar>
              <w:top w:w="0" w:type="dxa"/>
              <w:left w:w="115" w:type="dxa"/>
              <w:bottom w:w="0" w:type="dxa"/>
              <w:right w:w="115" w:type="dxa"/>
            </w:tcMar>
            <w:hideMark/>
          </w:tcPr>
          <w:p w14:paraId="325F9C0D"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Loanport</w:t>
            </w:r>
            <w:proofErr w:type="spellEnd"/>
          </w:p>
        </w:tc>
        <w:tc>
          <w:tcPr>
            <w:tcW w:w="0" w:type="auto"/>
            <w:tcMar>
              <w:top w:w="0" w:type="dxa"/>
              <w:left w:w="115" w:type="dxa"/>
              <w:bottom w:w="0" w:type="dxa"/>
              <w:right w:w="115" w:type="dxa"/>
            </w:tcMar>
            <w:vAlign w:val="center"/>
            <w:hideMark/>
          </w:tcPr>
          <w:p w14:paraId="18F272CB" w14:textId="77777777" w:rsidR="00C033B5" w:rsidRPr="00746567" w:rsidRDefault="00C033B5" w:rsidP="00C033B5">
            <w:pPr>
              <w:rPr>
                <w:rFonts w:asciiTheme="majorBidi" w:hAnsiTheme="majorBidi" w:cstheme="majorBidi"/>
              </w:rPr>
            </w:pPr>
            <w:r w:rsidRPr="00746567">
              <w:rPr>
                <w:rFonts w:asciiTheme="majorBidi" w:hAnsiTheme="majorBidi" w:cstheme="majorBidi"/>
              </w:rPr>
              <w:t>0.0110***</w:t>
            </w:r>
          </w:p>
        </w:tc>
        <w:tc>
          <w:tcPr>
            <w:tcW w:w="0" w:type="auto"/>
            <w:tcMar>
              <w:top w:w="0" w:type="dxa"/>
              <w:left w:w="115" w:type="dxa"/>
              <w:bottom w:w="0" w:type="dxa"/>
              <w:right w:w="115" w:type="dxa"/>
            </w:tcMar>
            <w:vAlign w:val="center"/>
            <w:hideMark/>
          </w:tcPr>
          <w:p w14:paraId="282AA7F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0779AC5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61D5F6C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6869E4D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r>
      <w:tr w:rsidR="00C033B5" w:rsidRPr="00746567" w14:paraId="31A6373E" w14:textId="77777777">
        <w:trPr>
          <w:trHeight w:val="20"/>
        </w:trPr>
        <w:tc>
          <w:tcPr>
            <w:tcW w:w="0" w:type="auto"/>
            <w:tcMar>
              <w:top w:w="0" w:type="dxa"/>
              <w:left w:w="115" w:type="dxa"/>
              <w:bottom w:w="0" w:type="dxa"/>
              <w:right w:w="115" w:type="dxa"/>
            </w:tcMar>
            <w:hideMark/>
          </w:tcPr>
          <w:p w14:paraId="7B08026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D517E2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3A60F8A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352F125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69DEF22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28FDF4D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r>
      <w:tr w:rsidR="00C033B5" w:rsidRPr="00746567" w14:paraId="4C83DB7E" w14:textId="77777777">
        <w:trPr>
          <w:trHeight w:val="20"/>
        </w:trPr>
        <w:tc>
          <w:tcPr>
            <w:tcW w:w="0" w:type="auto"/>
            <w:tcMar>
              <w:top w:w="0" w:type="dxa"/>
              <w:left w:w="115" w:type="dxa"/>
              <w:bottom w:w="0" w:type="dxa"/>
              <w:right w:w="115" w:type="dxa"/>
            </w:tcMar>
            <w:hideMark/>
          </w:tcPr>
          <w:p w14:paraId="50A21146"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Loanport</w:t>
            </w:r>
            <w:proofErr w:type="spellEnd"/>
            <w:r w:rsidRPr="00746567">
              <w:rPr>
                <w:rFonts w:asciiTheme="majorBidi" w:hAnsiTheme="majorBidi" w:cstheme="majorBidi"/>
              </w:rPr>
              <w:t xml:space="preserve"> × </w:t>
            </w:r>
            <w:proofErr w:type="spellStart"/>
            <w:r w:rsidRPr="00746567">
              <w:rPr>
                <w:rFonts w:asciiTheme="majorBidi" w:hAnsiTheme="majorBidi" w:cstheme="majorBidi"/>
              </w:rPr>
              <w:t>Loanport</w:t>
            </w:r>
            <w:proofErr w:type="spellEnd"/>
          </w:p>
        </w:tc>
        <w:tc>
          <w:tcPr>
            <w:tcW w:w="0" w:type="auto"/>
            <w:tcMar>
              <w:top w:w="0" w:type="dxa"/>
              <w:left w:w="115" w:type="dxa"/>
              <w:bottom w:w="0" w:type="dxa"/>
              <w:right w:w="115" w:type="dxa"/>
            </w:tcMar>
            <w:vAlign w:val="center"/>
            <w:hideMark/>
          </w:tcPr>
          <w:p w14:paraId="747D9CC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0.0038***</w:t>
            </w:r>
          </w:p>
        </w:tc>
        <w:tc>
          <w:tcPr>
            <w:tcW w:w="0" w:type="auto"/>
            <w:tcMar>
              <w:top w:w="0" w:type="dxa"/>
              <w:left w:w="115" w:type="dxa"/>
              <w:bottom w:w="0" w:type="dxa"/>
              <w:right w:w="115" w:type="dxa"/>
            </w:tcMar>
            <w:vAlign w:val="center"/>
            <w:hideMark/>
          </w:tcPr>
          <w:p w14:paraId="11F41274"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B749A5F"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3530B2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3DE9195" w14:textId="77777777" w:rsidR="00C033B5" w:rsidRPr="00746567" w:rsidRDefault="00C033B5" w:rsidP="00C033B5">
            <w:pPr>
              <w:rPr>
                <w:rFonts w:asciiTheme="majorBidi" w:hAnsiTheme="majorBidi" w:cstheme="majorBidi"/>
              </w:rPr>
            </w:pPr>
          </w:p>
        </w:tc>
      </w:tr>
      <w:tr w:rsidR="00C033B5" w:rsidRPr="00746567" w14:paraId="16137629" w14:textId="77777777">
        <w:trPr>
          <w:trHeight w:val="20"/>
        </w:trPr>
        <w:tc>
          <w:tcPr>
            <w:tcW w:w="0" w:type="auto"/>
            <w:tcMar>
              <w:top w:w="0" w:type="dxa"/>
              <w:left w:w="115" w:type="dxa"/>
              <w:bottom w:w="0" w:type="dxa"/>
              <w:right w:w="115" w:type="dxa"/>
            </w:tcMar>
            <w:hideMark/>
          </w:tcPr>
          <w:p w14:paraId="79884CD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CF976D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095073DE"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E79BED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F9A80D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54C9595" w14:textId="77777777" w:rsidR="00C033B5" w:rsidRPr="00746567" w:rsidRDefault="00C033B5" w:rsidP="00C033B5">
            <w:pPr>
              <w:rPr>
                <w:rFonts w:asciiTheme="majorBidi" w:hAnsiTheme="majorBidi" w:cstheme="majorBidi"/>
              </w:rPr>
            </w:pPr>
          </w:p>
        </w:tc>
      </w:tr>
      <w:tr w:rsidR="00C033B5" w:rsidRPr="00746567" w14:paraId="2560470C" w14:textId="77777777">
        <w:trPr>
          <w:trHeight w:val="20"/>
        </w:trPr>
        <w:tc>
          <w:tcPr>
            <w:tcW w:w="0" w:type="auto"/>
            <w:tcMar>
              <w:top w:w="0" w:type="dxa"/>
              <w:left w:w="115" w:type="dxa"/>
              <w:bottom w:w="0" w:type="dxa"/>
              <w:right w:w="115" w:type="dxa"/>
            </w:tcMar>
            <w:hideMark/>
          </w:tcPr>
          <w:p w14:paraId="03A8AE48" w14:textId="77777777" w:rsidR="00C033B5" w:rsidRPr="00746567" w:rsidRDefault="00C033B5" w:rsidP="00C033B5">
            <w:pPr>
              <w:rPr>
                <w:rFonts w:asciiTheme="majorBidi" w:hAnsiTheme="majorBidi" w:cstheme="majorBidi"/>
              </w:rPr>
            </w:pPr>
            <w:r w:rsidRPr="00746567">
              <w:rPr>
                <w:rFonts w:asciiTheme="majorBidi" w:hAnsiTheme="majorBidi" w:cstheme="majorBidi"/>
              </w:rPr>
              <w:t>Pledge of Assets</w:t>
            </w:r>
          </w:p>
        </w:tc>
        <w:tc>
          <w:tcPr>
            <w:tcW w:w="0" w:type="auto"/>
            <w:tcMar>
              <w:top w:w="0" w:type="dxa"/>
              <w:left w:w="115" w:type="dxa"/>
              <w:bottom w:w="0" w:type="dxa"/>
              <w:right w:w="115" w:type="dxa"/>
            </w:tcMar>
            <w:vAlign w:val="center"/>
            <w:hideMark/>
          </w:tcPr>
          <w:p w14:paraId="7932BA26" w14:textId="77777777" w:rsidR="00C033B5" w:rsidRPr="00746567" w:rsidRDefault="00C033B5" w:rsidP="00C033B5">
            <w:pPr>
              <w:rPr>
                <w:rFonts w:asciiTheme="majorBidi" w:hAnsiTheme="majorBidi" w:cstheme="majorBidi"/>
              </w:rPr>
            </w:pPr>
            <w:r w:rsidRPr="00746567">
              <w:rPr>
                <w:rFonts w:asciiTheme="majorBidi" w:hAnsiTheme="majorBidi" w:cstheme="majorBidi"/>
              </w:rPr>
              <w:t>-0.0585***</w:t>
            </w:r>
          </w:p>
        </w:tc>
        <w:tc>
          <w:tcPr>
            <w:tcW w:w="0" w:type="auto"/>
            <w:tcMar>
              <w:top w:w="0" w:type="dxa"/>
              <w:left w:w="115" w:type="dxa"/>
              <w:bottom w:w="0" w:type="dxa"/>
              <w:right w:w="115" w:type="dxa"/>
            </w:tcMar>
            <w:vAlign w:val="center"/>
            <w:hideMark/>
          </w:tcPr>
          <w:p w14:paraId="2A1C3446" w14:textId="77777777" w:rsidR="00C033B5" w:rsidRPr="00746567" w:rsidRDefault="00C033B5" w:rsidP="00C033B5">
            <w:pPr>
              <w:rPr>
                <w:rFonts w:asciiTheme="majorBidi" w:hAnsiTheme="majorBidi" w:cstheme="majorBidi"/>
              </w:rPr>
            </w:pPr>
            <w:r w:rsidRPr="00746567">
              <w:rPr>
                <w:rFonts w:asciiTheme="majorBidi" w:hAnsiTheme="majorBidi" w:cstheme="majorBidi"/>
              </w:rPr>
              <w:t>-1.2141</w:t>
            </w:r>
          </w:p>
        </w:tc>
        <w:tc>
          <w:tcPr>
            <w:tcW w:w="0" w:type="auto"/>
            <w:tcMar>
              <w:top w:w="0" w:type="dxa"/>
              <w:left w:w="115" w:type="dxa"/>
              <w:bottom w:w="0" w:type="dxa"/>
              <w:right w:w="115" w:type="dxa"/>
            </w:tcMar>
            <w:vAlign w:val="center"/>
            <w:hideMark/>
          </w:tcPr>
          <w:p w14:paraId="170E2DA2" w14:textId="77777777" w:rsidR="00C033B5" w:rsidRPr="00746567" w:rsidRDefault="00C033B5" w:rsidP="00C033B5">
            <w:pPr>
              <w:rPr>
                <w:rFonts w:asciiTheme="majorBidi" w:hAnsiTheme="majorBidi" w:cstheme="majorBidi"/>
              </w:rPr>
            </w:pPr>
            <w:r w:rsidRPr="00746567">
              <w:rPr>
                <w:rFonts w:asciiTheme="majorBidi" w:hAnsiTheme="majorBidi" w:cstheme="majorBidi"/>
              </w:rPr>
              <w:t>-0.2208</w:t>
            </w:r>
          </w:p>
        </w:tc>
        <w:tc>
          <w:tcPr>
            <w:tcW w:w="0" w:type="auto"/>
            <w:tcMar>
              <w:top w:w="0" w:type="dxa"/>
              <w:left w:w="115" w:type="dxa"/>
              <w:bottom w:w="0" w:type="dxa"/>
              <w:right w:w="115" w:type="dxa"/>
            </w:tcMar>
            <w:vAlign w:val="center"/>
            <w:hideMark/>
          </w:tcPr>
          <w:p w14:paraId="15F96F47" w14:textId="77777777" w:rsidR="00C033B5" w:rsidRPr="00746567" w:rsidRDefault="00C033B5" w:rsidP="00C033B5">
            <w:pPr>
              <w:rPr>
                <w:rFonts w:asciiTheme="majorBidi" w:hAnsiTheme="majorBidi" w:cstheme="majorBidi"/>
              </w:rPr>
            </w:pPr>
            <w:r w:rsidRPr="00746567">
              <w:rPr>
                <w:rFonts w:asciiTheme="majorBidi" w:hAnsiTheme="majorBidi" w:cstheme="majorBidi"/>
              </w:rPr>
              <w:t xml:space="preserve">     -0.9000</w:t>
            </w:r>
          </w:p>
        </w:tc>
        <w:tc>
          <w:tcPr>
            <w:tcW w:w="0" w:type="auto"/>
            <w:tcMar>
              <w:top w:w="0" w:type="dxa"/>
              <w:left w:w="115" w:type="dxa"/>
              <w:bottom w:w="0" w:type="dxa"/>
              <w:right w:w="115" w:type="dxa"/>
            </w:tcMar>
            <w:vAlign w:val="center"/>
            <w:hideMark/>
          </w:tcPr>
          <w:p w14:paraId="1D2EBEF4" w14:textId="77777777" w:rsidR="00C033B5" w:rsidRPr="00746567" w:rsidRDefault="00C033B5" w:rsidP="00C033B5">
            <w:pPr>
              <w:rPr>
                <w:rFonts w:asciiTheme="majorBidi" w:hAnsiTheme="majorBidi" w:cstheme="majorBidi"/>
              </w:rPr>
            </w:pPr>
            <w:r w:rsidRPr="00746567">
              <w:rPr>
                <w:rFonts w:asciiTheme="majorBidi" w:hAnsiTheme="majorBidi" w:cstheme="majorBidi"/>
              </w:rPr>
              <w:t>-0.1506</w:t>
            </w:r>
          </w:p>
        </w:tc>
      </w:tr>
      <w:tr w:rsidR="00C033B5" w:rsidRPr="00746567" w14:paraId="7C84E1F6" w14:textId="77777777">
        <w:trPr>
          <w:trHeight w:val="20"/>
        </w:trPr>
        <w:tc>
          <w:tcPr>
            <w:tcW w:w="0" w:type="auto"/>
            <w:tcMar>
              <w:top w:w="0" w:type="dxa"/>
              <w:left w:w="115" w:type="dxa"/>
              <w:bottom w:w="0" w:type="dxa"/>
              <w:right w:w="115" w:type="dxa"/>
            </w:tcMar>
            <w:hideMark/>
          </w:tcPr>
          <w:p w14:paraId="799257DF"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E41EEE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(0.0006)</w:t>
            </w:r>
          </w:p>
        </w:tc>
        <w:tc>
          <w:tcPr>
            <w:tcW w:w="0" w:type="auto"/>
            <w:tcMar>
              <w:top w:w="0" w:type="dxa"/>
              <w:left w:w="115" w:type="dxa"/>
              <w:bottom w:w="0" w:type="dxa"/>
              <w:right w:w="115" w:type="dxa"/>
            </w:tcMar>
            <w:vAlign w:val="center"/>
            <w:hideMark/>
          </w:tcPr>
          <w:p w14:paraId="427745DF" w14:textId="77777777" w:rsidR="00C033B5" w:rsidRPr="00746567" w:rsidRDefault="00C033B5" w:rsidP="00C033B5">
            <w:pPr>
              <w:rPr>
                <w:rFonts w:asciiTheme="majorBidi" w:hAnsiTheme="majorBidi" w:cstheme="majorBidi"/>
              </w:rPr>
            </w:pPr>
            <w:r w:rsidRPr="00746567">
              <w:rPr>
                <w:rFonts w:asciiTheme="majorBidi" w:hAnsiTheme="majorBidi" w:cstheme="majorBidi"/>
              </w:rPr>
              <w:t>(0.7565)</w:t>
            </w:r>
          </w:p>
        </w:tc>
        <w:tc>
          <w:tcPr>
            <w:tcW w:w="0" w:type="auto"/>
            <w:tcMar>
              <w:top w:w="0" w:type="dxa"/>
              <w:left w:w="115" w:type="dxa"/>
              <w:bottom w:w="0" w:type="dxa"/>
              <w:right w:w="115" w:type="dxa"/>
            </w:tcMar>
            <w:vAlign w:val="center"/>
            <w:hideMark/>
          </w:tcPr>
          <w:p w14:paraId="74C06522" w14:textId="77777777" w:rsidR="00C033B5" w:rsidRPr="00746567" w:rsidRDefault="00C033B5" w:rsidP="00C033B5">
            <w:pPr>
              <w:rPr>
                <w:rFonts w:asciiTheme="majorBidi" w:hAnsiTheme="majorBidi" w:cstheme="majorBidi"/>
              </w:rPr>
            </w:pPr>
            <w:r w:rsidRPr="00746567">
              <w:rPr>
                <w:rFonts w:asciiTheme="majorBidi" w:hAnsiTheme="majorBidi" w:cstheme="majorBidi"/>
              </w:rPr>
              <w:t>(0.1582)</w:t>
            </w:r>
          </w:p>
        </w:tc>
        <w:tc>
          <w:tcPr>
            <w:tcW w:w="0" w:type="auto"/>
            <w:tcMar>
              <w:top w:w="0" w:type="dxa"/>
              <w:left w:w="115" w:type="dxa"/>
              <w:bottom w:w="0" w:type="dxa"/>
              <w:right w:w="115" w:type="dxa"/>
            </w:tcMar>
            <w:vAlign w:val="center"/>
            <w:hideMark/>
          </w:tcPr>
          <w:p w14:paraId="13F4C37D" w14:textId="77777777" w:rsidR="00C033B5" w:rsidRPr="00746567" w:rsidRDefault="00C033B5" w:rsidP="00C033B5">
            <w:pPr>
              <w:rPr>
                <w:rFonts w:asciiTheme="majorBidi" w:hAnsiTheme="majorBidi" w:cstheme="majorBidi"/>
              </w:rPr>
            </w:pPr>
            <w:r w:rsidRPr="00746567">
              <w:rPr>
                <w:rFonts w:asciiTheme="majorBidi" w:hAnsiTheme="majorBidi" w:cstheme="majorBidi"/>
              </w:rPr>
              <w:t>(0.8497)</w:t>
            </w:r>
          </w:p>
        </w:tc>
        <w:tc>
          <w:tcPr>
            <w:tcW w:w="0" w:type="auto"/>
            <w:tcMar>
              <w:top w:w="0" w:type="dxa"/>
              <w:left w:w="115" w:type="dxa"/>
              <w:bottom w:w="0" w:type="dxa"/>
              <w:right w:w="115" w:type="dxa"/>
            </w:tcMar>
            <w:vAlign w:val="center"/>
            <w:hideMark/>
          </w:tcPr>
          <w:p w14:paraId="2FFC48E2" w14:textId="77777777" w:rsidR="00C033B5" w:rsidRPr="00746567" w:rsidRDefault="00C033B5" w:rsidP="00C033B5">
            <w:pPr>
              <w:rPr>
                <w:rFonts w:asciiTheme="majorBidi" w:hAnsiTheme="majorBidi" w:cstheme="majorBidi"/>
              </w:rPr>
            </w:pPr>
            <w:r w:rsidRPr="00746567">
              <w:rPr>
                <w:rFonts w:asciiTheme="majorBidi" w:hAnsiTheme="majorBidi" w:cstheme="majorBidi"/>
              </w:rPr>
              <w:t>(0.1653)</w:t>
            </w:r>
          </w:p>
        </w:tc>
      </w:tr>
      <w:tr w:rsidR="00C033B5" w:rsidRPr="00746567" w14:paraId="56852ABF" w14:textId="77777777">
        <w:trPr>
          <w:trHeight w:val="20"/>
        </w:trPr>
        <w:tc>
          <w:tcPr>
            <w:tcW w:w="0" w:type="auto"/>
            <w:tcMar>
              <w:top w:w="0" w:type="dxa"/>
              <w:left w:w="115" w:type="dxa"/>
              <w:bottom w:w="0" w:type="dxa"/>
              <w:right w:w="115" w:type="dxa"/>
            </w:tcMar>
            <w:hideMark/>
          </w:tcPr>
          <w:p w14:paraId="10DD8EBC" w14:textId="77777777" w:rsidR="00C033B5" w:rsidRPr="00746567" w:rsidRDefault="00C033B5" w:rsidP="00C033B5">
            <w:pPr>
              <w:rPr>
                <w:rFonts w:asciiTheme="majorBidi" w:hAnsiTheme="majorBidi" w:cstheme="majorBidi"/>
              </w:rPr>
            </w:pPr>
            <w:r w:rsidRPr="00746567">
              <w:rPr>
                <w:rFonts w:asciiTheme="majorBidi" w:hAnsiTheme="majorBidi" w:cstheme="majorBidi"/>
              </w:rPr>
              <w:t>Country Fixed effects</w:t>
            </w:r>
          </w:p>
        </w:tc>
        <w:tc>
          <w:tcPr>
            <w:tcW w:w="0" w:type="auto"/>
            <w:tcMar>
              <w:top w:w="0" w:type="dxa"/>
              <w:left w:w="115" w:type="dxa"/>
              <w:bottom w:w="0" w:type="dxa"/>
              <w:right w:w="115" w:type="dxa"/>
            </w:tcMar>
            <w:vAlign w:val="center"/>
            <w:hideMark/>
          </w:tcPr>
          <w:p w14:paraId="1EB97939"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c>
          <w:tcPr>
            <w:tcW w:w="0" w:type="auto"/>
            <w:tcMar>
              <w:top w:w="0" w:type="dxa"/>
              <w:left w:w="115" w:type="dxa"/>
              <w:bottom w:w="0" w:type="dxa"/>
              <w:right w:w="115" w:type="dxa"/>
            </w:tcMar>
            <w:vAlign w:val="center"/>
            <w:hideMark/>
          </w:tcPr>
          <w:p w14:paraId="4C6C38A7"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c>
          <w:tcPr>
            <w:tcW w:w="0" w:type="auto"/>
            <w:tcMar>
              <w:top w:w="0" w:type="dxa"/>
              <w:left w:w="115" w:type="dxa"/>
              <w:bottom w:w="0" w:type="dxa"/>
              <w:right w:w="115" w:type="dxa"/>
            </w:tcMar>
            <w:vAlign w:val="center"/>
            <w:hideMark/>
          </w:tcPr>
          <w:p w14:paraId="6EC63A4E"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c>
          <w:tcPr>
            <w:tcW w:w="0" w:type="auto"/>
            <w:tcMar>
              <w:top w:w="0" w:type="dxa"/>
              <w:left w:w="115" w:type="dxa"/>
              <w:bottom w:w="0" w:type="dxa"/>
              <w:right w:w="115" w:type="dxa"/>
            </w:tcMar>
            <w:vAlign w:val="center"/>
            <w:hideMark/>
          </w:tcPr>
          <w:p w14:paraId="45B7A1CB"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c>
          <w:tcPr>
            <w:tcW w:w="0" w:type="auto"/>
            <w:tcMar>
              <w:top w:w="0" w:type="dxa"/>
              <w:left w:w="115" w:type="dxa"/>
              <w:bottom w:w="0" w:type="dxa"/>
              <w:right w:w="115" w:type="dxa"/>
            </w:tcMar>
            <w:vAlign w:val="center"/>
            <w:hideMark/>
          </w:tcPr>
          <w:p w14:paraId="30C6D279"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r>
      <w:tr w:rsidR="00C033B5" w:rsidRPr="00746567" w14:paraId="4C4E01E6" w14:textId="77777777">
        <w:trPr>
          <w:trHeight w:val="20"/>
        </w:trPr>
        <w:tc>
          <w:tcPr>
            <w:tcW w:w="0" w:type="auto"/>
            <w:tcMar>
              <w:top w:w="0" w:type="dxa"/>
              <w:left w:w="115" w:type="dxa"/>
              <w:bottom w:w="0" w:type="dxa"/>
              <w:right w:w="115" w:type="dxa"/>
            </w:tcMar>
            <w:hideMark/>
          </w:tcPr>
          <w:p w14:paraId="4DC5C378"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Unemplymt</w:t>
            </w:r>
            <w:proofErr w:type="spellEnd"/>
          </w:p>
        </w:tc>
        <w:tc>
          <w:tcPr>
            <w:tcW w:w="0" w:type="auto"/>
            <w:tcMar>
              <w:top w:w="0" w:type="dxa"/>
              <w:left w:w="115" w:type="dxa"/>
              <w:bottom w:w="0" w:type="dxa"/>
              <w:right w:w="115" w:type="dxa"/>
            </w:tcMar>
            <w:vAlign w:val="center"/>
            <w:hideMark/>
          </w:tcPr>
          <w:p w14:paraId="36E8A38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-0.0047***</w:t>
            </w:r>
          </w:p>
        </w:tc>
        <w:tc>
          <w:tcPr>
            <w:tcW w:w="0" w:type="auto"/>
            <w:tcMar>
              <w:top w:w="0" w:type="dxa"/>
              <w:left w:w="115" w:type="dxa"/>
              <w:bottom w:w="0" w:type="dxa"/>
              <w:right w:w="115" w:type="dxa"/>
            </w:tcMar>
            <w:vAlign w:val="center"/>
            <w:hideMark/>
          </w:tcPr>
          <w:p w14:paraId="15D5DF64" w14:textId="77777777" w:rsidR="00C033B5" w:rsidRPr="00746567" w:rsidRDefault="00C033B5" w:rsidP="00C033B5">
            <w:pPr>
              <w:rPr>
                <w:rFonts w:asciiTheme="majorBidi" w:hAnsiTheme="majorBidi" w:cstheme="majorBidi"/>
              </w:rPr>
            </w:pPr>
            <w:r w:rsidRPr="00746567">
              <w:rPr>
                <w:rFonts w:asciiTheme="majorBidi" w:hAnsiTheme="majorBidi" w:cstheme="majorBidi"/>
              </w:rPr>
              <w:t>1.4282***</w:t>
            </w:r>
          </w:p>
        </w:tc>
        <w:tc>
          <w:tcPr>
            <w:tcW w:w="0" w:type="auto"/>
            <w:tcMar>
              <w:top w:w="0" w:type="dxa"/>
              <w:left w:w="115" w:type="dxa"/>
              <w:bottom w:w="0" w:type="dxa"/>
              <w:right w:w="115" w:type="dxa"/>
            </w:tcMar>
            <w:vAlign w:val="center"/>
            <w:hideMark/>
          </w:tcPr>
          <w:p w14:paraId="48E7AA09" w14:textId="77777777" w:rsidR="00C033B5" w:rsidRPr="00746567" w:rsidRDefault="00C033B5" w:rsidP="00C033B5">
            <w:pPr>
              <w:rPr>
                <w:rFonts w:asciiTheme="majorBidi" w:hAnsiTheme="majorBidi" w:cstheme="majorBidi"/>
              </w:rPr>
            </w:pPr>
            <w:r w:rsidRPr="00746567">
              <w:rPr>
                <w:rFonts w:asciiTheme="majorBidi" w:hAnsiTheme="majorBidi" w:cstheme="majorBidi"/>
              </w:rPr>
              <w:t>0.2073***</w:t>
            </w:r>
          </w:p>
        </w:tc>
        <w:tc>
          <w:tcPr>
            <w:tcW w:w="0" w:type="auto"/>
            <w:tcMar>
              <w:top w:w="0" w:type="dxa"/>
              <w:left w:w="115" w:type="dxa"/>
              <w:bottom w:w="0" w:type="dxa"/>
              <w:right w:w="115" w:type="dxa"/>
            </w:tcMar>
            <w:vAlign w:val="center"/>
            <w:hideMark/>
          </w:tcPr>
          <w:p w14:paraId="7A7309A3" w14:textId="77777777" w:rsidR="00C033B5" w:rsidRPr="00746567" w:rsidRDefault="00C033B5" w:rsidP="00C033B5">
            <w:pPr>
              <w:rPr>
                <w:rFonts w:asciiTheme="majorBidi" w:hAnsiTheme="majorBidi" w:cstheme="majorBidi"/>
              </w:rPr>
            </w:pPr>
            <w:r w:rsidRPr="00746567">
              <w:rPr>
                <w:rFonts w:asciiTheme="majorBidi" w:hAnsiTheme="majorBidi" w:cstheme="majorBidi"/>
              </w:rPr>
              <w:t>1.5256***</w:t>
            </w:r>
          </w:p>
        </w:tc>
        <w:tc>
          <w:tcPr>
            <w:tcW w:w="0" w:type="auto"/>
            <w:tcMar>
              <w:top w:w="0" w:type="dxa"/>
              <w:left w:w="115" w:type="dxa"/>
              <w:bottom w:w="0" w:type="dxa"/>
              <w:right w:w="115" w:type="dxa"/>
            </w:tcMar>
            <w:vAlign w:val="center"/>
            <w:hideMark/>
          </w:tcPr>
          <w:p w14:paraId="2A45A169" w14:textId="77777777" w:rsidR="00C033B5" w:rsidRPr="00746567" w:rsidRDefault="00C033B5" w:rsidP="00C033B5">
            <w:pPr>
              <w:rPr>
                <w:rFonts w:asciiTheme="majorBidi" w:hAnsiTheme="majorBidi" w:cstheme="majorBidi"/>
              </w:rPr>
            </w:pPr>
            <w:r w:rsidRPr="00746567">
              <w:rPr>
                <w:rFonts w:asciiTheme="majorBidi" w:hAnsiTheme="majorBidi" w:cstheme="majorBidi"/>
              </w:rPr>
              <w:t>0.2087***</w:t>
            </w:r>
          </w:p>
        </w:tc>
      </w:tr>
      <w:tr w:rsidR="00C033B5" w:rsidRPr="00746567" w14:paraId="34433D5A" w14:textId="77777777">
        <w:trPr>
          <w:trHeight w:val="20"/>
        </w:trPr>
        <w:tc>
          <w:tcPr>
            <w:tcW w:w="0" w:type="auto"/>
            <w:tcMar>
              <w:top w:w="0" w:type="dxa"/>
              <w:left w:w="115" w:type="dxa"/>
              <w:bottom w:w="0" w:type="dxa"/>
              <w:right w:w="115" w:type="dxa"/>
            </w:tcMar>
            <w:hideMark/>
          </w:tcPr>
          <w:p w14:paraId="67ABBCB4"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27331A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vAlign w:val="center"/>
            <w:hideMark/>
          </w:tcPr>
          <w:p w14:paraId="58450C4A" w14:textId="77777777" w:rsidR="00C033B5" w:rsidRPr="00746567" w:rsidRDefault="00C033B5" w:rsidP="00C033B5">
            <w:pPr>
              <w:rPr>
                <w:rFonts w:asciiTheme="majorBidi" w:hAnsiTheme="majorBidi" w:cstheme="majorBidi"/>
              </w:rPr>
            </w:pPr>
            <w:r w:rsidRPr="00746567">
              <w:rPr>
                <w:rFonts w:asciiTheme="majorBidi" w:hAnsiTheme="majorBidi" w:cstheme="majorBidi"/>
              </w:rPr>
              <w:t>(0.0431)</w:t>
            </w:r>
          </w:p>
        </w:tc>
        <w:tc>
          <w:tcPr>
            <w:tcW w:w="0" w:type="auto"/>
            <w:tcMar>
              <w:top w:w="0" w:type="dxa"/>
              <w:left w:w="115" w:type="dxa"/>
              <w:bottom w:w="0" w:type="dxa"/>
              <w:right w:w="115" w:type="dxa"/>
            </w:tcMar>
            <w:vAlign w:val="center"/>
            <w:hideMark/>
          </w:tcPr>
          <w:p w14:paraId="6BF5624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(0.0062)</w:t>
            </w:r>
          </w:p>
        </w:tc>
        <w:tc>
          <w:tcPr>
            <w:tcW w:w="0" w:type="auto"/>
            <w:tcMar>
              <w:top w:w="0" w:type="dxa"/>
              <w:left w:w="115" w:type="dxa"/>
              <w:bottom w:w="0" w:type="dxa"/>
              <w:right w:w="115" w:type="dxa"/>
            </w:tcMar>
            <w:vAlign w:val="center"/>
            <w:hideMark/>
          </w:tcPr>
          <w:p w14:paraId="3FC901A2" w14:textId="77777777" w:rsidR="00C033B5" w:rsidRPr="00746567" w:rsidRDefault="00C033B5" w:rsidP="00C033B5">
            <w:pPr>
              <w:rPr>
                <w:rFonts w:asciiTheme="majorBidi" w:hAnsiTheme="majorBidi" w:cstheme="majorBidi"/>
              </w:rPr>
            </w:pPr>
            <w:r w:rsidRPr="00746567">
              <w:rPr>
                <w:rFonts w:asciiTheme="majorBidi" w:hAnsiTheme="majorBidi" w:cstheme="majorBidi"/>
              </w:rPr>
              <w:t>(0.0430)</w:t>
            </w:r>
          </w:p>
        </w:tc>
        <w:tc>
          <w:tcPr>
            <w:tcW w:w="0" w:type="auto"/>
            <w:tcMar>
              <w:top w:w="0" w:type="dxa"/>
              <w:left w:w="115" w:type="dxa"/>
              <w:bottom w:w="0" w:type="dxa"/>
              <w:right w:w="115" w:type="dxa"/>
            </w:tcMar>
            <w:vAlign w:val="center"/>
            <w:hideMark/>
          </w:tcPr>
          <w:p w14:paraId="1D507FC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(0.0059)</w:t>
            </w:r>
          </w:p>
        </w:tc>
      </w:tr>
      <w:tr w:rsidR="00C033B5" w:rsidRPr="00746567" w14:paraId="13694B15" w14:textId="77777777">
        <w:trPr>
          <w:trHeight w:val="20"/>
        </w:trPr>
        <w:tc>
          <w:tcPr>
            <w:tcW w:w="0" w:type="auto"/>
            <w:tcMar>
              <w:top w:w="0" w:type="dxa"/>
              <w:left w:w="115" w:type="dxa"/>
              <w:bottom w:w="0" w:type="dxa"/>
              <w:right w:w="115" w:type="dxa"/>
            </w:tcMar>
            <w:hideMark/>
          </w:tcPr>
          <w:p w14:paraId="12957ECA"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Govtbond</w:t>
            </w:r>
            <w:proofErr w:type="spellEnd"/>
          </w:p>
        </w:tc>
        <w:tc>
          <w:tcPr>
            <w:tcW w:w="0" w:type="auto"/>
            <w:tcMar>
              <w:top w:w="0" w:type="dxa"/>
              <w:left w:w="115" w:type="dxa"/>
              <w:bottom w:w="0" w:type="dxa"/>
              <w:right w:w="115" w:type="dxa"/>
            </w:tcMar>
            <w:vAlign w:val="center"/>
            <w:hideMark/>
          </w:tcPr>
          <w:p w14:paraId="0C2DBDB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0.0026***</w:t>
            </w:r>
          </w:p>
        </w:tc>
        <w:tc>
          <w:tcPr>
            <w:tcW w:w="0" w:type="auto"/>
            <w:tcMar>
              <w:top w:w="0" w:type="dxa"/>
              <w:left w:w="115" w:type="dxa"/>
              <w:bottom w:w="0" w:type="dxa"/>
              <w:right w:w="115" w:type="dxa"/>
            </w:tcMar>
            <w:vAlign w:val="center"/>
            <w:hideMark/>
          </w:tcPr>
          <w:p w14:paraId="51D4B188" w14:textId="77777777" w:rsidR="00C033B5" w:rsidRPr="00746567" w:rsidRDefault="00C033B5" w:rsidP="00C033B5">
            <w:pPr>
              <w:rPr>
                <w:rFonts w:asciiTheme="majorBidi" w:hAnsiTheme="majorBidi" w:cstheme="majorBidi"/>
              </w:rPr>
            </w:pPr>
            <w:r w:rsidRPr="00746567">
              <w:rPr>
                <w:rFonts w:asciiTheme="majorBidi" w:hAnsiTheme="majorBidi" w:cstheme="majorBidi"/>
              </w:rPr>
              <w:t>-0.0170</w:t>
            </w:r>
          </w:p>
        </w:tc>
        <w:tc>
          <w:tcPr>
            <w:tcW w:w="0" w:type="auto"/>
            <w:tcMar>
              <w:top w:w="0" w:type="dxa"/>
              <w:left w:w="115" w:type="dxa"/>
              <w:bottom w:w="0" w:type="dxa"/>
              <w:right w:w="115" w:type="dxa"/>
            </w:tcMar>
            <w:vAlign w:val="center"/>
            <w:hideMark/>
          </w:tcPr>
          <w:p w14:paraId="67AB9F3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-0.0025</w:t>
            </w:r>
          </w:p>
        </w:tc>
        <w:tc>
          <w:tcPr>
            <w:tcW w:w="0" w:type="auto"/>
            <w:tcMar>
              <w:top w:w="0" w:type="dxa"/>
              <w:left w:w="115" w:type="dxa"/>
              <w:bottom w:w="0" w:type="dxa"/>
              <w:right w:w="115" w:type="dxa"/>
            </w:tcMar>
            <w:vAlign w:val="center"/>
            <w:hideMark/>
          </w:tcPr>
          <w:p w14:paraId="3E0922DB" w14:textId="77777777" w:rsidR="00C033B5" w:rsidRPr="00746567" w:rsidRDefault="00C033B5" w:rsidP="00C033B5">
            <w:pPr>
              <w:rPr>
                <w:rFonts w:asciiTheme="majorBidi" w:hAnsiTheme="majorBidi" w:cstheme="majorBidi"/>
              </w:rPr>
            </w:pPr>
            <w:r w:rsidRPr="00746567">
              <w:rPr>
                <w:rFonts w:asciiTheme="majorBidi" w:hAnsiTheme="majorBidi" w:cstheme="majorBidi"/>
              </w:rPr>
              <w:t>-0.1908***</w:t>
            </w:r>
          </w:p>
        </w:tc>
        <w:tc>
          <w:tcPr>
            <w:tcW w:w="0" w:type="auto"/>
            <w:tcMar>
              <w:top w:w="0" w:type="dxa"/>
              <w:left w:w="115" w:type="dxa"/>
              <w:bottom w:w="0" w:type="dxa"/>
              <w:right w:w="115" w:type="dxa"/>
            </w:tcMar>
            <w:vAlign w:val="center"/>
            <w:hideMark/>
          </w:tcPr>
          <w:p w14:paraId="7F8B05C5" w14:textId="77777777" w:rsidR="00C033B5" w:rsidRPr="00746567" w:rsidRDefault="00C033B5" w:rsidP="00C033B5">
            <w:pPr>
              <w:rPr>
                <w:rFonts w:asciiTheme="majorBidi" w:hAnsiTheme="majorBidi" w:cstheme="majorBidi"/>
              </w:rPr>
            </w:pPr>
            <w:r w:rsidRPr="00746567">
              <w:rPr>
                <w:rFonts w:asciiTheme="majorBidi" w:hAnsiTheme="majorBidi" w:cstheme="majorBidi"/>
              </w:rPr>
              <w:t>-0.0261***</w:t>
            </w:r>
          </w:p>
        </w:tc>
      </w:tr>
      <w:tr w:rsidR="00C033B5" w:rsidRPr="00746567" w14:paraId="206276B8" w14:textId="77777777">
        <w:trPr>
          <w:trHeight w:val="20"/>
        </w:trPr>
        <w:tc>
          <w:tcPr>
            <w:tcW w:w="0" w:type="auto"/>
            <w:tcMar>
              <w:top w:w="0" w:type="dxa"/>
              <w:left w:w="115" w:type="dxa"/>
              <w:bottom w:w="0" w:type="dxa"/>
              <w:right w:w="115" w:type="dxa"/>
            </w:tcMar>
            <w:hideMark/>
          </w:tcPr>
          <w:p w14:paraId="4972297D"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BAE777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2F2A5FB5" w14:textId="77777777" w:rsidR="00C033B5" w:rsidRPr="00746567" w:rsidRDefault="00C033B5" w:rsidP="00C033B5">
            <w:pPr>
              <w:rPr>
                <w:rFonts w:asciiTheme="majorBidi" w:hAnsiTheme="majorBidi" w:cstheme="majorBidi"/>
              </w:rPr>
            </w:pPr>
            <w:r w:rsidRPr="00746567">
              <w:rPr>
                <w:rFonts w:asciiTheme="majorBidi" w:hAnsiTheme="majorBidi" w:cstheme="majorBidi"/>
              </w:rPr>
              <w:t>(0.0136)</w:t>
            </w:r>
          </w:p>
        </w:tc>
        <w:tc>
          <w:tcPr>
            <w:tcW w:w="0" w:type="auto"/>
            <w:tcMar>
              <w:top w:w="0" w:type="dxa"/>
              <w:left w:w="115" w:type="dxa"/>
              <w:bottom w:w="0" w:type="dxa"/>
              <w:right w:w="115" w:type="dxa"/>
            </w:tcMar>
            <w:vAlign w:val="center"/>
            <w:hideMark/>
          </w:tcPr>
          <w:p w14:paraId="07A67B2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(0.0020)</w:t>
            </w:r>
          </w:p>
        </w:tc>
        <w:tc>
          <w:tcPr>
            <w:tcW w:w="0" w:type="auto"/>
            <w:tcMar>
              <w:top w:w="0" w:type="dxa"/>
              <w:left w:w="115" w:type="dxa"/>
              <w:bottom w:w="0" w:type="dxa"/>
              <w:right w:w="115" w:type="dxa"/>
            </w:tcMar>
            <w:vAlign w:val="center"/>
            <w:hideMark/>
          </w:tcPr>
          <w:p w14:paraId="18D0075A" w14:textId="77777777" w:rsidR="00C033B5" w:rsidRPr="00746567" w:rsidRDefault="00C033B5" w:rsidP="00C033B5">
            <w:pPr>
              <w:rPr>
                <w:rFonts w:asciiTheme="majorBidi" w:hAnsiTheme="majorBidi" w:cstheme="majorBidi"/>
              </w:rPr>
            </w:pPr>
            <w:r w:rsidRPr="00746567">
              <w:rPr>
                <w:rFonts w:asciiTheme="majorBidi" w:hAnsiTheme="majorBidi" w:cstheme="majorBidi"/>
              </w:rPr>
              <w:t>(0.0139)</w:t>
            </w:r>
          </w:p>
        </w:tc>
        <w:tc>
          <w:tcPr>
            <w:tcW w:w="0" w:type="auto"/>
            <w:tcMar>
              <w:top w:w="0" w:type="dxa"/>
              <w:left w:w="115" w:type="dxa"/>
              <w:bottom w:w="0" w:type="dxa"/>
              <w:right w:w="115" w:type="dxa"/>
            </w:tcMar>
            <w:vAlign w:val="center"/>
            <w:hideMark/>
          </w:tcPr>
          <w:p w14:paraId="7FB6BC4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(0.0019)</w:t>
            </w:r>
          </w:p>
        </w:tc>
      </w:tr>
      <w:tr w:rsidR="00C033B5" w:rsidRPr="00746567" w14:paraId="3CB8B217" w14:textId="77777777">
        <w:trPr>
          <w:trHeight w:val="20"/>
        </w:trPr>
        <w:tc>
          <w:tcPr>
            <w:tcW w:w="0" w:type="auto"/>
            <w:tcMar>
              <w:top w:w="0" w:type="dxa"/>
              <w:left w:w="115" w:type="dxa"/>
              <w:bottom w:w="0" w:type="dxa"/>
              <w:right w:w="115" w:type="dxa"/>
            </w:tcMar>
            <w:hideMark/>
          </w:tcPr>
          <w:p w14:paraId="7C7132DA" w14:textId="77777777" w:rsidR="00C033B5" w:rsidRPr="00746567" w:rsidRDefault="00C033B5" w:rsidP="00C033B5">
            <w:pPr>
              <w:rPr>
                <w:rFonts w:asciiTheme="majorBidi" w:hAnsiTheme="majorBidi" w:cstheme="majorBidi"/>
              </w:rPr>
            </w:pPr>
            <w:r w:rsidRPr="00746567">
              <w:rPr>
                <w:rFonts w:asciiTheme="majorBidi" w:hAnsiTheme="majorBidi" w:cstheme="majorBidi"/>
              </w:rPr>
              <w:t>_cons</w:t>
            </w:r>
          </w:p>
        </w:tc>
        <w:tc>
          <w:tcPr>
            <w:tcW w:w="0" w:type="auto"/>
            <w:tcMar>
              <w:top w:w="0" w:type="dxa"/>
              <w:left w:w="115" w:type="dxa"/>
              <w:bottom w:w="0" w:type="dxa"/>
              <w:right w:w="115" w:type="dxa"/>
            </w:tcMar>
            <w:vAlign w:val="center"/>
            <w:hideMark/>
          </w:tcPr>
          <w:p w14:paraId="1DB8D660" w14:textId="77777777" w:rsidR="00C033B5" w:rsidRPr="00746567" w:rsidRDefault="00C033B5" w:rsidP="00C033B5">
            <w:pPr>
              <w:rPr>
                <w:rFonts w:asciiTheme="majorBidi" w:hAnsiTheme="majorBidi" w:cstheme="majorBidi"/>
              </w:rPr>
            </w:pPr>
            <w:r w:rsidRPr="00746567">
              <w:rPr>
                <w:rFonts w:asciiTheme="majorBidi" w:hAnsiTheme="majorBidi" w:cstheme="majorBidi"/>
              </w:rPr>
              <w:t>0.3048***</w:t>
            </w:r>
          </w:p>
        </w:tc>
        <w:tc>
          <w:tcPr>
            <w:tcW w:w="0" w:type="auto"/>
            <w:tcMar>
              <w:top w:w="0" w:type="dxa"/>
              <w:left w:w="115" w:type="dxa"/>
              <w:bottom w:w="0" w:type="dxa"/>
              <w:right w:w="115" w:type="dxa"/>
            </w:tcMar>
            <w:vAlign w:val="center"/>
            <w:hideMark/>
          </w:tcPr>
          <w:p w14:paraId="5704DA0B" w14:textId="77777777" w:rsidR="00C033B5" w:rsidRPr="00746567" w:rsidRDefault="00C033B5" w:rsidP="00C033B5">
            <w:pPr>
              <w:rPr>
                <w:rFonts w:asciiTheme="majorBidi" w:hAnsiTheme="majorBidi" w:cstheme="majorBidi"/>
              </w:rPr>
            </w:pPr>
            <w:r w:rsidRPr="00746567">
              <w:rPr>
                <w:rFonts w:asciiTheme="majorBidi" w:hAnsiTheme="majorBidi" w:cstheme="majorBidi"/>
              </w:rPr>
              <w:t>-7.0786***</w:t>
            </w:r>
          </w:p>
        </w:tc>
        <w:tc>
          <w:tcPr>
            <w:tcW w:w="0" w:type="auto"/>
            <w:tcMar>
              <w:top w:w="0" w:type="dxa"/>
              <w:left w:w="115" w:type="dxa"/>
              <w:bottom w:w="0" w:type="dxa"/>
              <w:right w:w="115" w:type="dxa"/>
            </w:tcMar>
            <w:vAlign w:val="center"/>
            <w:hideMark/>
          </w:tcPr>
          <w:p w14:paraId="702DC88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773293B" w14:textId="77777777" w:rsidR="00C033B5" w:rsidRPr="00746567" w:rsidRDefault="00C033B5" w:rsidP="00C033B5">
            <w:pPr>
              <w:rPr>
                <w:rFonts w:asciiTheme="majorBidi" w:hAnsiTheme="majorBidi" w:cstheme="majorBidi"/>
              </w:rPr>
            </w:pPr>
            <w:r w:rsidRPr="00746567">
              <w:rPr>
                <w:rFonts w:asciiTheme="majorBidi" w:hAnsiTheme="majorBidi" w:cstheme="majorBidi"/>
              </w:rPr>
              <w:t>-7.1028***</w:t>
            </w:r>
          </w:p>
        </w:tc>
        <w:tc>
          <w:tcPr>
            <w:tcW w:w="0" w:type="auto"/>
            <w:tcMar>
              <w:top w:w="0" w:type="dxa"/>
              <w:left w:w="115" w:type="dxa"/>
              <w:bottom w:w="0" w:type="dxa"/>
              <w:right w:w="115" w:type="dxa"/>
            </w:tcMar>
            <w:vAlign w:val="center"/>
            <w:hideMark/>
          </w:tcPr>
          <w:p w14:paraId="080180D9" w14:textId="77777777" w:rsidR="00C033B5" w:rsidRPr="00746567" w:rsidRDefault="00C033B5" w:rsidP="00C033B5">
            <w:pPr>
              <w:rPr>
                <w:rFonts w:asciiTheme="majorBidi" w:hAnsiTheme="majorBidi" w:cstheme="majorBidi"/>
              </w:rPr>
            </w:pPr>
          </w:p>
        </w:tc>
      </w:tr>
      <w:tr w:rsidR="00C033B5" w:rsidRPr="00746567" w14:paraId="4E657C24" w14:textId="77777777">
        <w:trPr>
          <w:trHeight w:val="20"/>
        </w:trPr>
        <w:tc>
          <w:tcPr>
            <w:tcW w:w="0" w:type="auto"/>
            <w:tcMar>
              <w:top w:w="0" w:type="dxa"/>
              <w:left w:w="115" w:type="dxa"/>
              <w:bottom w:w="0" w:type="dxa"/>
              <w:right w:w="115" w:type="dxa"/>
            </w:tcMar>
            <w:hideMark/>
          </w:tcPr>
          <w:p w14:paraId="1494EB1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00C40F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(0.0010)</w:t>
            </w:r>
          </w:p>
        </w:tc>
        <w:tc>
          <w:tcPr>
            <w:tcW w:w="0" w:type="auto"/>
            <w:tcMar>
              <w:top w:w="0" w:type="dxa"/>
              <w:left w:w="115" w:type="dxa"/>
              <w:bottom w:w="0" w:type="dxa"/>
              <w:right w:w="115" w:type="dxa"/>
            </w:tcMar>
            <w:vAlign w:val="center"/>
            <w:hideMark/>
          </w:tcPr>
          <w:p w14:paraId="61258C50" w14:textId="77777777" w:rsidR="00C033B5" w:rsidRPr="00746567" w:rsidRDefault="00C033B5" w:rsidP="00C033B5">
            <w:pPr>
              <w:rPr>
                <w:rFonts w:asciiTheme="majorBidi" w:hAnsiTheme="majorBidi" w:cstheme="majorBidi"/>
              </w:rPr>
            </w:pPr>
            <w:r w:rsidRPr="00746567">
              <w:rPr>
                <w:rFonts w:asciiTheme="majorBidi" w:hAnsiTheme="majorBidi" w:cstheme="majorBidi"/>
              </w:rPr>
              <w:t>(0.7838)</w:t>
            </w:r>
          </w:p>
        </w:tc>
        <w:tc>
          <w:tcPr>
            <w:tcW w:w="0" w:type="auto"/>
            <w:tcMar>
              <w:top w:w="0" w:type="dxa"/>
              <w:left w:w="115" w:type="dxa"/>
              <w:bottom w:w="0" w:type="dxa"/>
              <w:right w:w="115" w:type="dxa"/>
            </w:tcMar>
            <w:vAlign w:val="center"/>
            <w:hideMark/>
          </w:tcPr>
          <w:p w14:paraId="7884BC9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742E8E9" w14:textId="77777777" w:rsidR="00C033B5" w:rsidRPr="00746567" w:rsidRDefault="00C033B5" w:rsidP="00C033B5">
            <w:pPr>
              <w:rPr>
                <w:rFonts w:asciiTheme="majorBidi" w:hAnsiTheme="majorBidi" w:cstheme="majorBidi"/>
              </w:rPr>
            </w:pPr>
            <w:r w:rsidRPr="00746567">
              <w:rPr>
                <w:rFonts w:asciiTheme="majorBidi" w:hAnsiTheme="majorBidi" w:cstheme="majorBidi"/>
              </w:rPr>
              <w:t>(0.8741)</w:t>
            </w:r>
          </w:p>
        </w:tc>
        <w:tc>
          <w:tcPr>
            <w:tcW w:w="0" w:type="auto"/>
            <w:tcMar>
              <w:top w:w="0" w:type="dxa"/>
              <w:left w:w="115" w:type="dxa"/>
              <w:bottom w:w="0" w:type="dxa"/>
              <w:right w:w="115" w:type="dxa"/>
            </w:tcMar>
            <w:vAlign w:val="center"/>
            <w:hideMark/>
          </w:tcPr>
          <w:p w14:paraId="7CEDEB36" w14:textId="77777777" w:rsidR="00C033B5" w:rsidRPr="00746567" w:rsidRDefault="00C033B5" w:rsidP="00C033B5">
            <w:pPr>
              <w:rPr>
                <w:rFonts w:asciiTheme="majorBidi" w:hAnsiTheme="majorBidi" w:cstheme="majorBidi"/>
              </w:rPr>
            </w:pPr>
          </w:p>
        </w:tc>
      </w:tr>
      <w:tr w:rsidR="00C033B5" w:rsidRPr="00746567" w14:paraId="6A70307B" w14:textId="77777777">
        <w:trPr>
          <w:trHeight w:val="20"/>
        </w:trPr>
        <w:tc>
          <w:tcPr>
            <w:tcW w:w="0" w:type="auto"/>
            <w:tcMar>
              <w:top w:w="0" w:type="dxa"/>
              <w:left w:w="115" w:type="dxa"/>
              <w:bottom w:w="0" w:type="dxa"/>
              <w:right w:w="115" w:type="dxa"/>
            </w:tcMar>
            <w:hideMark/>
          </w:tcPr>
          <w:p w14:paraId="26583EEE" w14:textId="77777777" w:rsidR="00C033B5" w:rsidRPr="00746567" w:rsidRDefault="00C033B5" w:rsidP="00C033B5">
            <w:pPr>
              <w:rPr>
                <w:rFonts w:asciiTheme="majorBidi" w:hAnsiTheme="majorBidi" w:cstheme="majorBidi"/>
              </w:rPr>
            </w:pPr>
            <w:r w:rsidRPr="00746567">
              <w:rPr>
                <w:rFonts w:asciiTheme="majorBidi" w:hAnsiTheme="majorBidi" w:cstheme="majorBidi"/>
              </w:rPr>
              <w:t>Adjusted - r squared</w:t>
            </w:r>
          </w:p>
        </w:tc>
        <w:tc>
          <w:tcPr>
            <w:tcW w:w="0" w:type="auto"/>
            <w:tcMar>
              <w:top w:w="0" w:type="dxa"/>
              <w:left w:w="115" w:type="dxa"/>
              <w:bottom w:w="0" w:type="dxa"/>
              <w:right w:w="115" w:type="dxa"/>
            </w:tcMar>
            <w:vAlign w:val="center"/>
            <w:hideMark/>
          </w:tcPr>
          <w:p w14:paraId="2272FFBD" w14:textId="77777777" w:rsidR="00C033B5" w:rsidRPr="00746567" w:rsidRDefault="00C033B5" w:rsidP="00C033B5">
            <w:pPr>
              <w:rPr>
                <w:rFonts w:asciiTheme="majorBidi" w:hAnsiTheme="majorBidi" w:cstheme="majorBidi"/>
              </w:rPr>
            </w:pPr>
            <w:r w:rsidRPr="00746567">
              <w:rPr>
                <w:rFonts w:asciiTheme="majorBidi" w:hAnsiTheme="majorBidi" w:cstheme="majorBidi"/>
              </w:rPr>
              <w:t>530,434</w:t>
            </w:r>
          </w:p>
        </w:tc>
        <w:tc>
          <w:tcPr>
            <w:tcW w:w="0" w:type="auto"/>
            <w:tcMar>
              <w:top w:w="0" w:type="dxa"/>
              <w:left w:w="115" w:type="dxa"/>
              <w:bottom w:w="0" w:type="dxa"/>
              <w:right w:w="115" w:type="dxa"/>
            </w:tcMar>
            <w:vAlign w:val="center"/>
            <w:hideMark/>
          </w:tcPr>
          <w:p w14:paraId="30C9AFE1" w14:textId="77777777" w:rsidR="00C033B5" w:rsidRPr="00746567" w:rsidRDefault="00C033B5" w:rsidP="00C033B5">
            <w:pPr>
              <w:rPr>
                <w:rFonts w:asciiTheme="majorBidi" w:hAnsiTheme="majorBidi" w:cstheme="majorBidi"/>
              </w:rPr>
            </w:pPr>
            <w:r w:rsidRPr="00746567">
              <w:rPr>
                <w:rFonts w:asciiTheme="majorBidi" w:hAnsiTheme="majorBidi" w:cstheme="majorBidi"/>
              </w:rPr>
              <w:t>0.0518</w:t>
            </w:r>
          </w:p>
        </w:tc>
        <w:tc>
          <w:tcPr>
            <w:tcW w:w="0" w:type="auto"/>
            <w:tcMar>
              <w:top w:w="0" w:type="dxa"/>
              <w:left w:w="115" w:type="dxa"/>
              <w:bottom w:w="0" w:type="dxa"/>
              <w:right w:w="115" w:type="dxa"/>
            </w:tcMar>
            <w:vAlign w:val="center"/>
            <w:hideMark/>
          </w:tcPr>
          <w:p w14:paraId="446D29BF"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AE76A84" w14:textId="77777777" w:rsidR="00C033B5" w:rsidRPr="00746567" w:rsidRDefault="00C033B5" w:rsidP="00C033B5">
            <w:pPr>
              <w:rPr>
                <w:rFonts w:asciiTheme="majorBidi" w:hAnsiTheme="majorBidi" w:cstheme="majorBidi"/>
              </w:rPr>
            </w:pPr>
            <w:r w:rsidRPr="00746567">
              <w:rPr>
                <w:rFonts w:asciiTheme="majorBidi" w:hAnsiTheme="majorBidi" w:cstheme="majorBidi"/>
              </w:rPr>
              <w:t>0.0583</w:t>
            </w:r>
          </w:p>
        </w:tc>
        <w:tc>
          <w:tcPr>
            <w:tcW w:w="0" w:type="auto"/>
            <w:tcMar>
              <w:top w:w="0" w:type="dxa"/>
              <w:left w:w="115" w:type="dxa"/>
              <w:bottom w:w="0" w:type="dxa"/>
              <w:right w:w="115" w:type="dxa"/>
            </w:tcMar>
            <w:vAlign w:val="center"/>
            <w:hideMark/>
          </w:tcPr>
          <w:p w14:paraId="0AEE1389" w14:textId="77777777" w:rsidR="00C033B5" w:rsidRPr="00746567" w:rsidRDefault="00C033B5" w:rsidP="00C033B5">
            <w:pPr>
              <w:rPr>
                <w:rFonts w:asciiTheme="majorBidi" w:hAnsiTheme="majorBidi" w:cstheme="majorBidi"/>
              </w:rPr>
            </w:pPr>
          </w:p>
        </w:tc>
      </w:tr>
      <w:tr w:rsidR="00C033B5" w:rsidRPr="00746567" w14:paraId="22779C56" w14:textId="77777777">
        <w:trPr>
          <w:trHeight w:val="20"/>
        </w:trPr>
        <w:tc>
          <w:tcPr>
            <w:tcW w:w="0" w:type="auto"/>
            <w:tcBorders>
              <w:bottom w:val="single" w:sz="4" w:space="0" w:color="000000"/>
            </w:tcBorders>
            <w:tcMar>
              <w:top w:w="0" w:type="dxa"/>
              <w:left w:w="115" w:type="dxa"/>
              <w:bottom w:w="0" w:type="dxa"/>
              <w:right w:w="115" w:type="dxa"/>
            </w:tcMar>
            <w:hideMark/>
          </w:tcPr>
          <w:p w14:paraId="6D00C3FC" w14:textId="77777777" w:rsidR="00C033B5" w:rsidRPr="00746567" w:rsidRDefault="00C033B5" w:rsidP="00C033B5">
            <w:pPr>
              <w:rPr>
                <w:rFonts w:asciiTheme="majorBidi" w:hAnsiTheme="majorBidi" w:cstheme="majorBidi"/>
              </w:rPr>
            </w:pPr>
            <w:r w:rsidRPr="00746567">
              <w:rPr>
                <w:rFonts w:asciiTheme="majorBidi" w:hAnsiTheme="majorBidi" w:cstheme="majorBidi"/>
              </w:rPr>
              <w:lastRenderedPageBreak/>
              <w:t>N</w:t>
            </w:r>
          </w:p>
        </w:tc>
        <w:tc>
          <w:tcPr>
            <w:tcW w:w="0" w:type="auto"/>
            <w:tcBorders>
              <w:bottom w:val="single" w:sz="4" w:space="0" w:color="000000"/>
            </w:tcBorders>
            <w:tcMar>
              <w:top w:w="0" w:type="dxa"/>
              <w:left w:w="115" w:type="dxa"/>
              <w:bottom w:w="0" w:type="dxa"/>
              <w:right w:w="115" w:type="dxa"/>
            </w:tcMar>
            <w:vAlign w:val="center"/>
            <w:hideMark/>
          </w:tcPr>
          <w:p w14:paraId="516B8A90" w14:textId="77777777" w:rsidR="00C033B5" w:rsidRPr="00746567" w:rsidRDefault="00C033B5" w:rsidP="00C033B5">
            <w:pPr>
              <w:rPr>
                <w:rFonts w:asciiTheme="majorBidi" w:hAnsiTheme="majorBidi" w:cstheme="majorBidi"/>
              </w:rPr>
            </w:pPr>
            <w:r w:rsidRPr="00746567">
              <w:rPr>
                <w:rFonts w:asciiTheme="majorBidi" w:hAnsiTheme="majorBidi" w:cstheme="majorBidi"/>
              </w:rPr>
              <w:t>0.4502</w:t>
            </w:r>
          </w:p>
        </w:tc>
        <w:tc>
          <w:tcPr>
            <w:tcW w:w="0" w:type="auto"/>
            <w:tcBorders>
              <w:bottom w:val="single" w:sz="4" w:space="0" w:color="000000"/>
            </w:tcBorders>
            <w:tcMar>
              <w:top w:w="0" w:type="dxa"/>
              <w:left w:w="115" w:type="dxa"/>
              <w:bottom w:w="0" w:type="dxa"/>
              <w:right w:w="115" w:type="dxa"/>
            </w:tcMar>
            <w:vAlign w:val="center"/>
            <w:hideMark/>
          </w:tcPr>
          <w:p w14:paraId="25AFA56F" w14:textId="77777777" w:rsidR="00C033B5" w:rsidRPr="00746567" w:rsidRDefault="00C033B5" w:rsidP="00C033B5">
            <w:pPr>
              <w:rPr>
                <w:rFonts w:asciiTheme="majorBidi" w:hAnsiTheme="majorBidi" w:cstheme="majorBidi"/>
              </w:rPr>
            </w:pPr>
            <w:r w:rsidRPr="00746567">
              <w:rPr>
                <w:rFonts w:asciiTheme="majorBidi" w:hAnsiTheme="majorBidi" w:cstheme="majorBidi"/>
              </w:rPr>
              <w:t>213,088</w:t>
            </w:r>
          </w:p>
        </w:tc>
        <w:tc>
          <w:tcPr>
            <w:tcW w:w="0" w:type="auto"/>
            <w:tcBorders>
              <w:bottom w:val="single" w:sz="4" w:space="0" w:color="000000"/>
            </w:tcBorders>
            <w:tcMar>
              <w:top w:w="0" w:type="dxa"/>
              <w:left w:w="115" w:type="dxa"/>
              <w:bottom w:w="0" w:type="dxa"/>
              <w:right w:w="115" w:type="dxa"/>
            </w:tcMar>
            <w:vAlign w:val="center"/>
            <w:hideMark/>
          </w:tcPr>
          <w:p w14:paraId="5E6A551C" w14:textId="77777777" w:rsidR="00C033B5" w:rsidRPr="00746567" w:rsidRDefault="00C033B5" w:rsidP="00C033B5">
            <w:pPr>
              <w:rPr>
                <w:rFonts w:asciiTheme="majorBidi" w:hAnsiTheme="majorBidi" w:cstheme="majorBidi"/>
              </w:rPr>
            </w:pPr>
            <w:r w:rsidRPr="00746567">
              <w:rPr>
                <w:rFonts w:asciiTheme="majorBidi" w:hAnsiTheme="majorBidi" w:cstheme="majorBidi"/>
              </w:rPr>
              <w:t>213,088</w:t>
            </w:r>
          </w:p>
        </w:tc>
        <w:tc>
          <w:tcPr>
            <w:tcW w:w="0" w:type="auto"/>
            <w:tcBorders>
              <w:bottom w:val="single" w:sz="4" w:space="0" w:color="000000"/>
            </w:tcBorders>
            <w:tcMar>
              <w:top w:w="0" w:type="dxa"/>
              <w:left w:w="115" w:type="dxa"/>
              <w:bottom w:w="0" w:type="dxa"/>
              <w:right w:w="115" w:type="dxa"/>
            </w:tcMar>
            <w:vAlign w:val="center"/>
            <w:hideMark/>
          </w:tcPr>
          <w:p w14:paraId="304FFF72" w14:textId="77777777" w:rsidR="00C033B5" w:rsidRPr="00746567" w:rsidRDefault="00C033B5" w:rsidP="00C033B5">
            <w:pPr>
              <w:rPr>
                <w:rFonts w:asciiTheme="majorBidi" w:hAnsiTheme="majorBidi" w:cstheme="majorBidi"/>
              </w:rPr>
            </w:pPr>
            <w:r w:rsidRPr="00746567">
              <w:rPr>
                <w:rFonts w:asciiTheme="majorBidi" w:hAnsiTheme="majorBidi" w:cstheme="majorBidi"/>
              </w:rPr>
              <w:t>213,088</w:t>
            </w:r>
          </w:p>
        </w:tc>
        <w:tc>
          <w:tcPr>
            <w:tcW w:w="0" w:type="auto"/>
            <w:tcBorders>
              <w:bottom w:val="single" w:sz="4" w:space="0" w:color="000000"/>
            </w:tcBorders>
            <w:tcMar>
              <w:top w:w="0" w:type="dxa"/>
              <w:left w:w="115" w:type="dxa"/>
              <w:bottom w:w="0" w:type="dxa"/>
              <w:right w:w="115" w:type="dxa"/>
            </w:tcMar>
            <w:vAlign w:val="center"/>
            <w:hideMark/>
          </w:tcPr>
          <w:p w14:paraId="08077DF4" w14:textId="77777777" w:rsidR="00C033B5" w:rsidRPr="00746567" w:rsidRDefault="00C033B5" w:rsidP="00C033B5">
            <w:pPr>
              <w:rPr>
                <w:rFonts w:asciiTheme="majorBidi" w:hAnsiTheme="majorBidi" w:cstheme="majorBidi"/>
              </w:rPr>
            </w:pPr>
            <w:r w:rsidRPr="00746567">
              <w:rPr>
                <w:rFonts w:asciiTheme="majorBidi" w:hAnsiTheme="majorBidi" w:cstheme="majorBidi"/>
              </w:rPr>
              <w:t>213,088</w:t>
            </w:r>
          </w:p>
        </w:tc>
      </w:tr>
      <w:tr w:rsidR="00C033B5" w:rsidRPr="00746567" w14:paraId="025FF7ED" w14:textId="77777777">
        <w:trPr>
          <w:trHeight w:val="20"/>
        </w:trPr>
        <w:tc>
          <w:tcPr>
            <w:tcW w:w="0" w:type="auto"/>
            <w:gridSpan w:val="6"/>
            <w:tcBorders>
              <w:top w:val="single" w:sz="4" w:space="0" w:color="000000"/>
            </w:tcBorders>
            <w:tcMar>
              <w:top w:w="0" w:type="dxa"/>
              <w:left w:w="115" w:type="dxa"/>
              <w:bottom w:w="0" w:type="dxa"/>
              <w:right w:w="115" w:type="dxa"/>
            </w:tcMar>
            <w:vAlign w:val="center"/>
            <w:hideMark/>
          </w:tcPr>
          <w:p w14:paraId="61B5468A" w14:textId="77777777" w:rsidR="00C033B5" w:rsidRPr="00746567" w:rsidRDefault="00C033B5" w:rsidP="00C033B5">
            <w:pPr>
              <w:rPr>
                <w:rFonts w:asciiTheme="majorBidi" w:hAnsiTheme="majorBidi" w:cstheme="majorBidi"/>
              </w:rPr>
            </w:pPr>
            <w:r w:rsidRPr="00746567">
              <w:rPr>
                <w:rFonts w:asciiTheme="majorBidi" w:hAnsiTheme="majorBidi" w:cstheme="majorBidi"/>
                <w:i/>
                <w:iCs/>
              </w:rPr>
              <w:t>Note: The table reports the OLS, logit and Fractional regression analysis for the impact of skin in the game on interest rates, default likelihood and severity of default in Panel A, B and C respectively. Specification (1) in Panel A reports the OLS regression results for notes respectively. Specification (2a) and (2b) in Panel B reports the logit regression coefficients for claims and its margins respectively. Specification (3a) and Specification (3b) in Panel C reports the fractional regression coefficients and its margins for notes respectively. All specifications of the model employ robust standard errors in parentheses. *, **, *** indicate significance at 10%, 5%, and 1% levels respectively.</w:t>
            </w:r>
          </w:p>
        </w:tc>
      </w:tr>
      <w:tr w:rsidR="00C033B5" w:rsidRPr="00746567" w14:paraId="20B3438A" w14:textId="77777777">
        <w:trPr>
          <w:trHeight w:val="20"/>
        </w:trPr>
        <w:tc>
          <w:tcPr>
            <w:tcW w:w="0" w:type="auto"/>
            <w:gridSpan w:val="6"/>
            <w:tcMar>
              <w:top w:w="0" w:type="dxa"/>
              <w:left w:w="115" w:type="dxa"/>
              <w:bottom w:w="0" w:type="dxa"/>
              <w:right w:w="115" w:type="dxa"/>
            </w:tcMar>
            <w:vAlign w:val="center"/>
            <w:hideMark/>
          </w:tcPr>
          <w:p w14:paraId="36B6DFC4" w14:textId="77777777" w:rsidR="00C033B5" w:rsidRPr="00746567" w:rsidRDefault="00C033B5" w:rsidP="00C033B5">
            <w:pPr>
              <w:rPr>
                <w:rFonts w:asciiTheme="majorBidi" w:hAnsiTheme="majorBidi" w:cstheme="majorBidi"/>
              </w:rPr>
            </w:pPr>
          </w:p>
        </w:tc>
      </w:tr>
    </w:tbl>
    <w:p w14:paraId="700BA5DF" w14:textId="7653B31F" w:rsidR="00C033B5" w:rsidRPr="00C033B5" w:rsidRDefault="00C033B5" w:rsidP="00E53478"/>
    <w:p w14:paraId="0A090FE8" w14:textId="77777777" w:rsidR="00C033B5" w:rsidRPr="00746567" w:rsidRDefault="00C033B5" w:rsidP="00746567">
      <w:pPr>
        <w:jc w:val="center"/>
        <w:rPr>
          <w:rFonts w:asciiTheme="majorBidi" w:hAnsiTheme="majorBidi" w:cstheme="majorBidi"/>
        </w:rPr>
      </w:pPr>
      <w:r w:rsidRPr="00746567">
        <w:rPr>
          <w:rFonts w:asciiTheme="majorBidi" w:hAnsiTheme="majorBidi" w:cstheme="majorBidi"/>
          <w:b/>
          <w:bCs/>
        </w:rPr>
        <w:t>Appendix Table A13</w:t>
      </w:r>
      <w:r w:rsidRPr="00746567">
        <w:rPr>
          <w:rFonts w:asciiTheme="majorBidi" w:hAnsiTheme="majorBidi" w:cstheme="majorBidi"/>
        </w:rPr>
        <w:t>: Robustness Tests – First stage regression results</w:t>
      </w:r>
    </w:p>
    <w:tbl>
      <w:tblPr>
        <w:tblW w:w="0" w:type="auto"/>
        <w:tblCellMar>
          <w:top w:w="15" w:type="dxa"/>
          <w:left w:w="15" w:type="dxa"/>
          <w:bottom w:w="15" w:type="dxa"/>
          <w:right w:w="15" w:type="dxa"/>
        </w:tblCellMar>
        <w:tblLook w:val="04A0" w:firstRow="1" w:lastRow="0" w:firstColumn="1" w:lastColumn="0" w:noHBand="0" w:noVBand="1"/>
      </w:tblPr>
      <w:tblGrid>
        <w:gridCol w:w="1352"/>
        <w:gridCol w:w="1279"/>
        <w:gridCol w:w="1279"/>
        <w:gridCol w:w="1279"/>
        <w:gridCol w:w="1279"/>
        <w:gridCol w:w="1279"/>
        <w:gridCol w:w="1279"/>
      </w:tblGrid>
      <w:tr w:rsidR="00C033B5" w:rsidRPr="00746567" w14:paraId="5C6D22F2" w14:textId="77777777">
        <w:trPr>
          <w:trHeight w:val="20"/>
        </w:trPr>
        <w:tc>
          <w:tcPr>
            <w:tcW w:w="0" w:type="auto"/>
            <w:tcBorders>
              <w:top w:val="single" w:sz="4" w:space="0" w:color="000000"/>
            </w:tcBorders>
            <w:tcMar>
              <w:top w:w="0" w:type="dxa"/>
              <w:left w:w="115" w:type="dxa"/>
              <w:bottom w:w="0" w:type="dxa"/>
              <w:right w:w="115" w:type="dxa"/>
            </w:tcMar>
            <w:vAlign w:val="center"/>
            <w:hideMark/>
          </w:tcPr>
          <w:p w14:paraId="18B3E7FD" w14:textId="77777777" w:rsidR="00C033B5" w:rsidRPr="00746567" w:rsidRDefault="00C033B5" w:rsidP="00C033B5">
            <w:pPr>
              <w:rPr>
                <w:rFonts w:asciiTheme="majorBidi" w:hAnsiTheme="majorBidi" w:cstheme="majorBidi"/>
              </w:rPr>
            </w:pPr>
          </w:p>
        </w:tc>
        <w:tc>
          <w:tcPr>
            <w:tcW w:w="0" w:type="auto"/>
            <w:tcBorders>
              <w:top w:val="single" w:sz="4" w:space="0" w:color="000000"/>
            </w:tcBorders>
            <w:tcMar>
              <w:top w:w="0" w:type="dxa"/>
              <w:left w:w="115" w:type="dxa"/>
              <w:bottom w:w="0" w:type="dxa"/>
              <w:right w:w="115" w:type="dxa"/>
            </w:tcMar>
            <w:vAlign w:val="center"/>
            <w:hideMark/>
          </w:tcPr>
          <w:p w14:paraId="48D78AEF"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PANEL A</w:t>
            </w:r>
          </w:p>
        </w:tc>
        <w:tc>
          <w:tcPr>
            <w:tcW w:w="0" w:type="auto"/>
            <w:tcBorders>
              <w:top w:val="single" w:sz="4" w:space="0" w:color="000000"/>
            </w:tcBorders>
            <w:tcMar>
              <w:top w:w="0" w:type="dxa"/>
              <w:left w:w="115" w:type="dxa"/>
              <w:bottom w:w="0" w:type="dxa"/>
              <w:right w:w="115" w:type="dxa"/>
            </w:tcMar>
            <w:vAlign w:val="center"/>
            <w:hideMark/>
          </w:tcPr>
          <w:p w14:paraId="0FF9CB3E" w14:textId="77777777" w:rsidR="00C033B5" w:rsidRPr="00746567" w:rsidRDefault="00C033B5" w:rsidP="00C033B5">
            <w:pPr>
              <w:rPr>
                <w:rFonts w:asciiTheme="majorBidi" w:hAnsiTheme="majorBidi" w:cstheme="majorBidi"/>
              </w:rPr>
            </w:pPr>
          </w:p>
        </w:tc>
        <w:tc>
          <w:tcPr>
            <w:tcW w:w="0" w:type="auto"/>
            <w:tcBorders>
              <w:top w:val="single" w:sz="4" w:space="0" w:color="000000"/>
            </w:tcBorders>
            <w:tcMar>
              <w:top w:w="0" w:type="dxa"/>
              <w:left w:w="115" w:type="dxa"/>
              <w:bottom w:w="0" w:type="dxa"/>
              <w:right w:w="115" w:type="dxa"/>
            </w:tcMar>
            <w:hideMark/>
          </w:tcPr>
          <w:p w14:paraId="7CF6C9E2"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PANEL B</w:t>
            </w:r>
          </w:p>
        </w:tc>
        <w:tc>
          <w:tcPr>
            <w:tcW w:w="0" w:type="auto"/>
            <w:tcBorders>
              <w:top w:val="single" w:sz="4" w:space="0" w:color="000000"/>
            </w:tcBorders>
            <w:tcMar>
              <w:top w:w="0" w:type="dxa"/>
              <w:left w:w="115" w:type="dxa"/>
              <w:bottom w:w="0" w:type="dxa"/>
              <w:right w:w="115" w:type="dxa"/>
            </w:tcMar>
            <w:vAlign w:val="center"/>
            <w:hideMark/>
          </w:tcPr>
          <w:p w14:paraId="22ABE46E" w14:textId="77777777" w:rsidR="00C033B5" w:rsidRPr="00746567" w:rsidRDefault="00C033B5" w:rsidP="00C033B5">
            <w:pPr>
              <w:rPr>
                <w:rFonts w:asciiTheme="majorBidi" w:hAnsiTheme="majorBidi" w:cstheme="majorBidi"/>
              </w:rPr>
            </w:pPr>
          </w:p>
        </w:tc>
        <w:tc>
          <w:tcPr>
            <w:tcW w:w="0" w:type="auto"/>
            <w:tcBorders>
              <w:top w:val="single" w:sz="4" w:space="0" w:color="000000"/>
            </w:tcBorders>
            <w:tcMar>
              <w:top w:w="0" w:type="dxa"/>
              <w:left w:w="115" w:type="dxa"/>
              <w:bottom w:w="0" w:type="dxa"/>
              <w:right w:w="115" w:type="dxa"/>
            </w:tcMar>
            <w:vAlign w:val="center"/>
            <w:hideMark/>
          </w:tcPr>
          <w:p w14:paraId="37671738"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PANEL C</w:t>
            </w:r>
          </w:p>
        </w:tc>
        <w:tc>
          <w:tcPr>
            <w:tcW w:w="0" w:type="auto"/>
            <w:tcBorders>
              <w:top w:val="single" w:sz="4" w:space="0" w:color="000000"/>
            </w:tcBorders>
            <w:tcMar>
              <w:top w:w="0" w:type="dxa"/>
              <w:left w:w="115" w:type="dxa"/>
              <w:bottom w:w="0" w:type="dxa"/>
              <w:right w:w="115" w:type="dxa"/>
            </w:tcMar>
            <w:hideMark/>
          </w:tcPr>
          <w:p w14:paraId="08F28F39" w14:textId="77777777" w:rsidR="00C033B5" w:rsidRPr="00746567" w:rsidRDefault="00C033B5" w:rsidP="00C033B5">
            <w:pPr>
              <w:rPr>
                <w:rFonts w:asciiTheme="majorBidi" w:hAnsiTheme="majorBidi" w:cstheme="majorBidi"/>
              </w:rPr>
            </w:pPr>
          </w:p>
        </w:tc>
      </w:tr>
      <w:tr w:rsidR="00C033B5" w:rsidRPr="00746567" w14:paraId="659ACD65" w14:textId="77777777">
        <w:trPr>
          <w:trHeight w:val="20"/>
        </w:trPr>
        <w:tc>
          <w:tcPr>
            <w:tcW w:w="0" w:type="auto"/>
            <w:tcBorders>
              <w:bottom w:val="single" w:sz="4" w:space="0" w:color="000000"/>
            </w:tcBorders>
            <w:tcMar>
              <w:top w:w="0" w:type="dxa"/>
              <w:left w:w="115" w:type="dxa"/>
              <w:bottom w:w="0" w:type="dxa"/>
              <w:right w:w="115" w:type="dxa"/>
            </w:tcMar>
            <w:vAlign w:val="center"/>
            <w:hideMark/>
          </w:tcPr>
          <w:p w14:paraId="61E28251"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Variables</w:t>
            </w:r>
          </w:p>
        </w:tc>
        <w:tc>
          <w:tcPr>
            <w:tcW w:w="0" w:type="auto"/>
            <w:tcBorders>
              <w:bottom w:val="single" w:sz="4" w:space="0" w:color="000000"/>
            </w:tcBorders>
            <w:tcMar>
              <w:top w:w="0" w:type="dxa"/>
              <w:left w:w="115" w:type="dxa"/>
              <w:bottom w:w="0" w:type="dxa"/>
              <w:right w:w="115" w:type="dxa"/>
            </w:tcMar>
            <w:vAlign w:val="center"/>
            <w:hideMark/>
          </w:tcPr>
          <w:p w14:paraId="49AE468D"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1a)</w:t>
            </w:r>
          </w:p>
        </w:tc>
        <w:tc>
          <w:tcPr>
            <w:tcW w:w="0" w:type="auto"/>
            <w:tcBorders>
              <w:bottom w:val="single" w:sz="4" w:space="0" w:color="000000"/>
            </w:tcBorders>
            <w:tcMar>
              <w:top w:w="0" w:type="dxa"/>
              <w:left w:w="115" w:type="dxa"/>
              <w:bottom w:w="0" w:type="dxa"/>
              <w:right w:w="115" w:type="dxa"/>
            </w:tcMar>
            <w:vAlign w:val="center"/>
            <w:hideMark/>
          </w:tcPr>
          <w:p w14:paraId="3DD562FE"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1b)</w:t>
            </w:r>
          </w:p>
        </w:tc>
        <w:tc>
          <w:tcPr>
            <w:tcW w:w="0" w:type="auto"/>
            <w:tcBorders>
              <w:bottom w:val="single" w:sz="4" w:space="0" w:color="000000"/>
            </w:tcBorders>
            <w:tcMar>
              <w:top w:w="0" w:type="dxa"/>
              <w:left w:w="115" w:type="dxa"/>
              <w:bottom w:w="0" w:type="dxa"/>
              <w:right w:w="115" w:type="dxa"/>
            </w:tcMar>
            <w:hideMark/>
          </w:tcPr>
          <w:p w14:paraId="3E4386F6"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2a)</w:t>
            </w:r>
          </w:p>
        </w:tc>
        <w:tc>
          <w:tcPr>
            <w:tcW w:w="0" w:type="auto"/>
            <w:tcBorders>
              <w:bottom w:val="single" w:sz="4" w:space="0" w:color="000000"/>
            </w:tcBorders>
            <w:tcMar>
              <w:top w:w="0" w:type="dxa"/>
              <w:left w:w="115" w:type="dxa"/>
              <w:bottom w:w="0" w:type="dxa"/>
              <w:right w:w="115" w:type="dxa"/>
            </w:tcMar>
            <w:vAlign w:val="center"/>
            <w:hideMark/>
          </w:tcPr>
          <w:p w14:paraId="3F9D594B"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2b)</w:t>
            </w:r>
          </w:p>
        </w:tc>
        <w:tc>
          <w:tcPr>
            <w:tcW w:w="0" w:type="auto"/>
            <w:tcBorders>
              <w:bottom w:val="single" w:sz="4" w:space="0" w:color="000000"/>
            </w:tcBorders>
            <w:tcMar>
              <w:top w:w="0" w:type="dxa"/>
              <w:left w:w="115" w:type="dxa"/>
              <w:bottom w:w="0" w:type="dxa"/>
              <w:right w:w="115" w:type="dxa"/>
            </w:tcMar>
            <w:vAlign w:val="center"/>
            <w:hideMark/>
          </w:tcPr>
          <w:p w14:paraId="1277687E"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3a)</w:t>
            </w:r>
          </w:p>
        </w:tc>
        <w:tc>
          <w:tcPr>
            <w:tcW w:w="0" w:type="auto"/>
            <w:tcBorders>
              <w:bottom w:val="single" w:sz="4" w:space="0" w:color="000000"/>
            </w:tcBorders>
            <w:tcMar>
              <w:top w:w="0" w:type="dxa"/>
              <w:left w:w="115" w:type="dxa"/>
              <w:bottom w:w="0" w:type="dxa"/>
              <w:right w:w="115" w:type="dxa"/>
            </w:tcMar>
            <w:hideMark/>
          </w:tcPr>
          <w:p w14:paraId="09F05FE0"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3b)</w:t>
            </w:r>
          </w:p>
        </w:tc>
      </w:tr>
      <w:tr w:rsidR="00C033B5" w:rsidRPr="00746567" w14:paraId="210D148C" w14:textId="77777777">
        <w:trPr>
          <w:trHeight w:val="20"/>
        </w:trPr>
        <w:tc>
          <w:tcPr>
            <w:tcW w:w="0" w:type="auto"/>
            <w:tcBorders>
              <w:top w:val="single" w:sz="4" w:space="0" w:color="000000"/>
            </w:tcBorders>
            <w:tcMar>
              <w:top w:w="0" w:type="dxa"/>
              <w:left w:w="115" w:type="dxa"/>
              <w:bottom w:w="0" w:type="dxa"/>
              <w:right w:w="115" w:type="dxa"/>
            </w:tcMar>
            <w:vAlign w:val="center"/>
            <w:hideMark/>
          </w:tcPr>
          <w:p w14:paraId="7EC67E4B"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costofcap</w:t>
            </w:r>
            <w:proofErr w:type="spellEnd"/>
          </w:p>
        </w:tc>
        <w:tc>
          <w:tcPr>
            <w:tcW w:w="0" w:type="auto"/>
            <w:tcBorders>
              <w:top w:val="single" w:sz="4" w:space="0" w:color="000000"/>
            </w:tcBorders>
            <w:tcMar>
              <w:top w:w="0" w:type="dxa"/>
              <w:left w:w="115" w:type="dxa"/>
              <w:bottom w:w="0" w:type="dxa"/>
              <w:right w:w="115" w:type="dxa"/>
            </w:tcMar>
            <w:vAlign w:val="center"/>
            <w:hideMark/>
          </w:tcPr>
          <w:p w14:paraId="1FE804F3" w14:textId="77777777" w:rsidR="00C033B5" w:rsidRPr="00746567" w:rsidRDefault="00C033B5" w:rsidP="00C033B5">
            <w:pPr>
              <w:rPr>
                <w:rFonts w:asciiTheme="majorBidi" w:hAnsiTheme="majorBidi" w:cstheme="majorBidi"/>
              </w:rPr>
            </w:pPr>
            <w:r w:rsidRPr="00746567">
              <w:rPr>
                <w:rFonts w:asciiTheme="majorBidi" w:hAnsiTheme="majorBidi" w:cstheme="majorBidi"/>
              </w:rPr>
              <w:t>-0.3821***</w:t>
            </w:r>
          </w:p>
        </w:tc>
        <w:tc>
          <w:tcPr>
            <w:tcW w:w="0" w:type="auto"/>
            <w:tcBorders>
              <w:top w:val="single" w:sz="4" w:space="0" w:color="000000"/>
            </w:tcBorders>
            <w:tcMar>
              <w:top w:w="0" w:type="dxa"/>
              <w:left w:w="115" w:type="dxa"/>
              <w:bottom w:w="0" w:type="dxa"/>
              <w:right w:w="115" w:type="dxa"/>
            </w:tcMar>
            <w:vAlign w:val="center"/>
            <w:hideMark/>
          </w:tcPr>
          <w:p w14:paraId="2312A1F1" w14:textId="77777777" w:rsidR="00C033B5" w:rsidRPr="00746567" w:rsidRDefault="00C033B5" w:rsidP="00C033B5">
            <w:pPr>
              <w:rPr>
                <w:rFonts w:asciiTheme="majorBidi" w:hAnsiTheme="majorBidi" w:cstheme="majorBidi"/>
              </w:rPr>
            </w:pPr>
            <w:r w:rsidRPr="00746567">
              <w:rPr>
                <w:rFonts w:asciiTheme="majorBidi" w:hAnsiTheme="majorBidi" w:cstheme="majorBidi"/>
              </w:rPr>
              <w:t>-0.8048***</w:t>
            </w:r>
          </w:p>
        </w:tc>
        <w:tc>
          <w:tcPr>
            <w:tcW w:w="0" w:type="auto"/>
            <w:tcBorders>
              <w:top w:val="single" w:sz="4" w:space="0" w:color="000000"/>
            </w:tcBorders>
            <w:tcMar>
              <w:top w:w="0" w:type="dxa"/>
              <w:left w:w="115" w:type="dxa"/>
              <w:bottom w:w="0" w:type="dxa"/>
              <w:right w:w="115" w:type="dxa"/>
            </w:tcMar>
            <w:vAlign w:val="center"/>
            <w:hideMark/>
          </w:tcPr>
          <w:p w14:paraId="1CDB4EDA" w14:textId="77777777" w:rsidR="00C033B5" w:rsidRPr="00746567" w:rsidRDefault="00C033B5" w:rsidP="00C033B5">
            <w:pPr>
              <w:rPr>
                <w:rFonts w:asciiTheme="majorBidi" w:hAnsiTheme="majorBidi" w:cstheme="majorBidi"/>
              </w:rPr>
            </w:pPr>
            <w:r w:rsidRPr="00746567">
              <w:rPr>
                <w:rFonts w:asciiTheme="majorBidi" w:hAnsiTheme="majorBidi" w:cstheme="majorBidi"/>
              </w:rPr>
              <w:t>-0.5006***</w:t>
            </w:r>
          </w:p>
        </w:tc>
        <w:tc>
          <w:tcPr>
            <w:tcW w:w="0" w:type="auto"/>
            <w:tcBorders>
              <w:top w:val="single" w:sz="4" w:space="0" w:color="000000"/>
            </w:tcBorders>
            <w:tcMar>
              <w:top w:w="0" w:type="dxa"/>
              <w:left w:w="115" w:type="dxa"/>
              <w:bottom w:w="0" w:type="dxa"/>
              <w:right w:w="115" w:type="dxa"/>
            </w:tcMar>
            <w:vAlign w:val="center"/>
            <w:hideMark/>
          </w:tcPr>
          <w:p w14:paraId="246CD2CB" w14:textId="77777777" w:rsidR="00C033B5" w:rsidRPr="00746567" w:rsidRDefault="00C033B5" w:rsidP="00C033B5">
            <w:pPr>
              <w:rPr>
                <w:rFonts w:asciiTheme="majorBidi" w:hAnsiTheme="majorBidi" w:cstheme="majorBidi"/>
              </w:rPr>
            </w:pPr>
            <w:r w:rsidRPr="00746567">
              <w:rPr>
                <w:rFonts w:asciiTheme="majorBidi" w:hAnsiTheme="majorBidi" w:cstheme="majorBidi"/>
              </w:rPr>
              <w:t>-0.9765***</w:t>
            </w:r>
          </w:p>
        </w:tc>
        <w:tc>
          <w:tcPr>
            <w:tcW w:w="0" w:type="auto"/>
            <w:tcBorders>
              <w:top w:val="single" w:sz="4" w:space="0" w:color="000000"/>
            </w:tcBorders>
            <w:tcMar>
              <w:top w:w="0" w:type="dxa"/>
              <w:left w:w="115" w:type="dxa"/>
              <w:bottom w:w="0" w:type="dxa"/>
              <w:right w:w="115" w:type="dxa"/>
            </w:tcMar>
            <w:vAlign w:val="center"/>
            <w:hideMark/>
          </w:tcPr>
          <w:p w14:paraId="7DDF882A" w14:textId="77777777" w:rsidR="00C033B5" w:rsidRPr="00746567" w:rsidRDefault="00C033B5" w:rsidP="00C033B5">
            <w:pPr>
              <w:rPr>
                <w:rFonts w:asciiTheme="majorBidi" w:hAnsiTheme="majorBidi" w:cstheme="majorBidi"/>
              </w:rPr>
            </w:pPr>
            <w:r w:rsidRPr="00746567">
              <w:rPr>
                <w:rFonts w:asciiTheme="majorBidi" w:hAnsiTheme="majorBidi" w:cstheme="majorBidi"/>
              </w:rPr>
              <w:t>-0.5006***</w:t>
            </w:r>
          </w:p>
        </w:tc>
        <w:tc>
          <w:tcPr>
            <w:tcW w:w="0" w:type="auto"/>
            <w:tcBorders>
              <w:top w:val="single" w:sz="4" w:space="0" w:color="000000"/>
            </w:tcBorders>
            <w:tcMar>
              <w:top w:w="0" w:type="dxa"/>
              <w:left w:w="115" w:type="dxa"/>
              <w:bottom w:w="0" w:type="dxa"/>
              <w:right w:w="115" w:type="dxa"/>
            </w:tcMar>
            <w:vAlign w:val="center"/>
            <w:hideMark/>
          </w:tcPr>
          <w:p w14:paraId="0377ABF9" w14:textId="77777777" w:rsidR="00C033B5" w:rsidRPr="00746567" w:rsidRDefault="00C033B5" w:rsidP="00C033B5">
            <w:pPr>
              <w:rPr>
                <w:rFonts w:asciiTheme="majorBidi" w:hAnsiTheme="majorBidi" w:cstheme="majorBidi"/>
              </w:rPr>
            </w:pPr>
            <w:r w:rsidRPr="00746567">
              <w:rPr>
                <w:rFonts w:asciiTheme="majorBidi" w:hAnsiTheme="majorBidi" w:cstheme="majorBidi"/>
              </w:rPr>
              <w:t>-0.9765***</w:t>
            </w:r>
          </w:p>
        </w:tc>
      </w:tr>
      <w:tr w:rsidR="00C033B5" w:rsidRPr="00746567" w14:paraId="11B639CD" w14:textId="77777777">
        <w:trPr>
          <w:trHeight w:val="20"/>
        </w:trPr>
        <w:tc>
          <w:tcPr>
            <w:tcW w:w="0" w:type="auto"/>
            <w:tcMar>
              <w:top w:w="0" w:type="dxa"/>
              <w:left w:w="115" w:type="dxa"/>
              <w:bottom w:w="0" w:type="dxa"/>
              <w:right w:w="115" w:type="dxa"/>
            </w:tcMar>
            <w:vAlign w:val="center"/>
            <w:hideMark/>
          </w:tcPr>
          <w:p w14:paraId="0DDA1554"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271028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(0.0019)</w:t>
            </w:r>
          </w:p>
        </w:tc>
        <w:tc>
          <w:tcPr>
            <w:tcW w:w="0" w:type="auto"/>
            <w:tcMar>
              <w:top w:w="0" w:type="dxa"/>
              <w:left w:w="115" w:type="dxa"/>
              <w:bottom w:w="0" w:type="dxa"/>
              <w:right w:w="115" w:type="dxa"/>
            </w:tcMar>
            <w:vAlign w:val="center"/>
            <w:hideMark/>
          </w:tcPr>
          <w:p w14:paraId="447A7B5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(0.0017)</w:t>
            </w:r>
          </w:p>
        </w:tc>
        <w:tc>
          <w:tcPr>
            <w:tcW w:w="0" w:type="auto"/>
            <w:tcMar>
              <w:top w:w="0" w:type="dxa"/>
              <w:left w:w="115" w:type="dxa"/>
              <w:bottom w:w="0" w:type="dxa"/>
              <w:right w:w="115" w:type="dxa"/>
            </w:tcMar>
            <w:vAlign w:val="center"/>
            <w:hideMark/>
          </w:tcPr>
          <w:p w14:paraId="29DA75F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(0.0021)</w:t>
            </w:r>
          </w:p>
        </w:tc>
        <w:tc>
          <w:tcPr>
            <w:tcW w:w="0" w:type="auto"/>
            <w:tcMar>
              <w:top w:w="0" w:type="dxa"/>
              <w:left w:w="115" w:type="dxa"/>
              <w:bottom w:w="0" w:type="dxa"/>
              <w:right w:w="115" w:type="dxa"/>
            </w:tcMar>
            <w:vAlign w:val="center"/>
            <w:hideMark/>
          </w:tcPr>
          <w:p w14:paraId="3CECB93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(0.0025)</w:t>
            </w:r>
          </w:p>
        </w:tc>
        <w:tc>
          <w:tcPr>
            <w:tcW w:w="0" w:type="auto"/>
            <w:tcMar>
              <w:top w:w="0" w:type="dxa"/>
              <w:left w:w="115" w:type="dxa"/>
              <w:bottom w:w="0" w:type="dxa"/>
              <w:right w:w="115" w:type="dxa"/>
            </w:tcMar>
            <w:vAlign w:val="center"/>
            <w:hideMark/>
          </w:tcPr>
          <w:p w14:paraId="608AFC3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(0.0021)</w:t>
            </w:r>
          </w:p>
        </w:tc>
        <w:tc>
          <w:tcPr>
            <w:tcW w:w="0" w:type="auto"/>
            <w:tcMar>
              <w:top w:w="0" w:type="dxa"/>
              <w:left w:w="115" w:type="dxa"/>
              <w:bottom w:w="0" w:type="dxa"/>
              <w:right w:w="115" w:type="dxa"/>
            </w:tcMar>
            <w:vAlign w:val="center"/>
            <w:hideMark/>
          </w:tcPr>
          <w:p w14:paraId="4EFB173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(0.0025)</w:t>
            </w:r>
          </w:p>
        </w:tc>
      </w:tr>
      <w:tr w:rsidR="00C033B5" w:rsidRPr="00746567" w14:paraId="6F850E58" w14:textId="77777777">
        <w:trPr>
          <w:trHeight w:val="20"/>
        </w:trPr>
        <w:tc>
          <w:tcPr>
            <w:tcW w:w="0" w:type="auto"/>
            <w:tcMar>
              <w:top w:w="0" w:type="dxa"/>
              <w:left w:w="115" w:type="dxa"/>
              <w:bottom w:w="0" w:type="dxa"/>
              <w:right w:w="115" w:type="dxa"/>
            </w:tcMar>
            <w:vAlign w:val="center"/>
            <w:hideMark/>
          </w:tcPr>
          <w:p w14:paraId="16D43661" w14:textId="77777777" w:rsidR="00C033B5" w:rsidRPr="00746567" w:rsidRDefault="00C033B5" w:rsidP="00C033B5">
            <w:pPr>
              <w:rPr>
                <w:rFonts w:asciiTheme="majorBidi" w:hAnsiTheme="majorBidi" w:cstheme="majorBidi"/>
              </w:rPr>
            </w:pPr>
            <w:r w:rsidRPr="00746567">
              <w:rPr>
                <w:rFonts w:asciiTheme="majorBidi" w:hAnsiTheme="majorBidi" w:cstheme="majorBidi"/>
              </w:rPr>
              <w:t>_cons</w:t>
            </w:r>
          </w:p>
        </w:tc>
        <w:tc>
          <w:tcPr>
            <w:tcW w:w="0" w:type="auto"/>
            <w:tcMar>
              <w:top w:w="0" w:type="dxa"/>
              <w:left w:w="115" w:type="dxa"/>
              <w:bottom w:w="0" w:type="dxa"/>
              <w:right w:w="115" w:type="dxa"/>
            </w:tcMar>
            <w:vAlign w:val="center"/>
            <w:hideMark/>
          </w:tcPr>
          <w:p w14:paraId="6636F6F6" w14:textId="77777777" w:rsidR="00C033B5" w:rsidRPr="00746567" w:rsidRDefault="00C033B5" w:rsidP="00C033B5">
            <w:pPr>
              <w:rPr>
                <w:rFonts w:asciiTheme="majorBidi" w:hAnsiTheme="majorBidi" w:cstheme="majorBidi"/>
              </w:rPr>
            </w:pPr>
            <w:r w:rsidRPr="00746567">
              <w:rPr>
                <w:rFonts w:asciiTheme="majorBidi" w:hAnsiTheme="majorBidi" w:cstheme="majorBidi"/>
              </w:rPr>
              <w:t>0.0971</w:t>
            </w:r>
          </w:p>
        </w:tc>
        <w:tc>
          <w:tcPr>
            <w:tcW w:w="0" w:type="auto"/>
            <w:tcMar>
              <w:top w:w="0" w:type="dxa"/>
              <w:left w:w="115" w:type="dxa"/>
              <w:bottom w:w="0" w:type="dxa"/>
              <w:right w:w="115" w:type="dxa"/>
            </w:tcMar>
            <w:vAlign w:val="center"/>
            <w:hideMark/>
          </w:tcPr>
          <w:p w14:paraId="65AD1F65" w14:textId="77777777" w:rsidR="00C033B5" w:rsidRPr="00746567" w:rsidRDefault="00C033B5" w:rsidP="00C033B5">
            <w:pPr>
              <w:rPr>
                <w:rFonts w:asciiTheme="majorBidi" w:hAnsiTheme="majorBidi" w:cstheme="majorBidi"/>
              </w:rPr>
            </w:pPr>
            <w:r w:rsidRPr="00746567">
              <w:rPr>
                <w:rFonts w:asciiTheme="majorBidi" w:hAnsiTheme="majorBidi" w:cstheme="majorBidi"/>
              </w:rPr>
              <w:t>0.1239</w:t>
            </w:r>
          </w:p>
        </w:tc>
        <w:tc>
          <w:tcPr>
            <w:tcW w:w="0" w:type="auto"/>
            <w:tcMar>
              <w:top w:w="0" w:type="dxa"/>
              <w:left w:w="115" w:type="dxa"/>
              <w:bottom w:w="0" w:type="dxa"/>
              <w:right w:w="115" w:type="dxa"/>
            </w:tcMar>
            <w:vAlign w:val="center"/>
            <w:hideMark/>
          </w:tcPr>
          <w:p w14:paraId="3D9A5257" w14:textId="77777777" w:rsidR="00C033B5" w:rsidRPr="00746567" w:rsidRDefault="00C033B5" w:rsidP="00C033B5">
            <w:pPr>
              <w:rPr>
                <w:rFonts w:asciiTheme="majorBidi" w:hAnsiTheme="majorBidi" w:cstheme="majorBidi"/>
              </w:rPr>
            </w:pPr>
            <w:r w:rsidRPr="00746567">
              <w:rPr>
                <w:rFonts w:asciiTheme="majorBidi" w:hAnsiTheme="majorBidi" w:cstheme="majorBidi"/>
              </w:rPr>
              <w:t>0.1057</w:t>
            </w:r>
          </w:p>
        </w:tc>
        <w:tc>
          <w:tcPr>
            <w:tcW w:w="0" w:type="auto"/>
            <w:tcMar>
              <w:top w:w="0" w:type="dxa"/>
              <w:left w:w="115" w:type="dxa"/>
              <w:bottom w:w="0" w:type="dxa"/>
              <w:right w:w="115" w:type="dxa"/>
            </w:tcMar>
            <w:vAlign w:val="center"/>
            <w:hideMark/>
          </w:tcPr>
          <w:p w14:paraId="6455959E" w14:textId="77777777" w:rsidR="00C033B5" w:rsidRPr="00746567" w:rsidRDefault="00C033B5" w:rsidP="00C033B5">
            <w:pPr>
              <w:rPr>
                <w:rFonts w:asciiTheme="majorBidi" w:hAnsiTheme="majorBidi" w:cstheme="majorBidi"/>
              </w:rPr>
            </w:pPr>
            <w:r w:rsidRPr="00746567">
              <w:rPr>
                <w:rFonts w:asciiTheme="majorBidi" w:hAnsiTheme="majorBidi" w:cstheme="majorBidi"/>
              </w:rPr>
              <w:t>0.1368</w:t>
            </w:r>
          </w:p>
        </w:tc>
        <w:tc>
          <w:tcPr>
            <w:tcW w:w="0" w:type="auto"/>
            <w:tcMar>
              <w:top w:w="0" w:type="dxa"/>
              <w:left w:w="115" w:type="dxa"/>
              <w:bottom w:w="0" w:type="dxa"/>
              <w:right w:w="115" w:type="dxa"/>
            </w:tcMar>
            <w:vAlign w:val="center"/>
            <w:hideMark/>
          </w:tcPr>
          <w:p w14:paraId="4259A936" w14:textId="77777777" w:rsidR="00C033B5" w:rsidRPr="00746567" w:rsidRDefault="00C033B5" w:rsidP="00C033B5">
            <w:pPr>
              <w:rPr>
                <w:rFonts w:asciiTheme="majorBidi" w:hAnsiTheme="majorBidi" w:cstheme="majorBidi"/>
              </w:rPr>
            </w:pPr>
            <w:r w:rsidRPr="00746567">
              <w:rPr>
                <w:rFonts w:asciiTheme="majorBidi" w:hAnsiTheme="majorBidi" w:cstheme="majorBidi"/>
              </w:rPr>
              <w:t>0.1057</w:t>
            </w:r>
          </w:p>
        </w:tc>
        <w:tc>
          <w:tcPr>
            <w:tcW w:w="0" w:type="auto"/>
            <w:tcMar>
              <w:top w:w="0" w:type="dxa"/>
              <w:left w:w="115" w:type="dxa"/>
              <w:bottom w:w="0" w:type="dxa"/>
              <w:right w:w="115" w:type="dxa"/>
            </w:tcMar>
            <w:vAlign w:val="center"/>
            <w:hideMark/>
          </w:tcPr>
          <w:p w14:paraId="04BD5C28" w14:textId="77777777" w:rsidR="00C033B5" w:rsidRPr="00746567" w:rsidRDefault="00C033B5" w:rsidP="00C033B5">
            <w:pPr>
              <w:rPr>
                <w:rFonts w:asciiTheme="majorBidi" w:hAnsiTheme="majorBidi" w:cstheme="majorBidi"/>
              </w:rPr>
            </w:pPr>
            <w:r w:rsidRPr="00746567">
              <w:rPr>
                <w:rFonts w:asciiTheme="majorBidi" w:hAnsiTheme="majorBidi" w:cstheme="majorBidi"/>
              </w:rPr>
              <w:t>0.1368</w:t>
            </w:r>
          </w:p>
        </w:tc>
      </w:tr>
      <w:tr w:rsidR="00C033B5" w:rsidRPr="00746567" w14:paraId="26037818" w14:textId="77777777">
        <w:trPr>
          <w:trHeight w:val="20"/>
        </w:trPr>
        <w:tc>
          <w:tcPr>
            <w:tcW w:w="0" w:type="auto"/>
            <w:tcMar>
              <w:top w:w="0" w:type="dxa"/>
              <w:left w:w="115" w:type="dxa"/>
              <w:bottom w:w="0" w:type="dxa"/>
              <w:right w:w="115" w:type="dxa"/>
            </w:tcMar>
            <w:vAlign w:val="center"/>
            <w:hideMark/>
          </w:tcPr>
          <w:p w14:paraId="5E843F6D"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282236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2593C72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314B321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2CCDE59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vAlign w:val="center"/>
            <w:hideMark/>
          </w:tcPr>
          <w:p w14:paraId="71EE8D8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67B8578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r>
      <w:tr w:rsidR="00C033B5" w:rsidRPr="00746567" w14:paraId="2FB8D843" w14:textId="77777777">
        <w:trPr>
          <w:trHeight w:val="20"/>
        </w:trPr>
        <w:tc>
          <w:tcPr>
            <w:tcW w:w="0" w:type="auto"/>
            <w:tcMar>
              <w:top w:w="0" w:type="dxa"/>
              <w:left w:w="115" w:type="dxa"/>
              <w:bottom w:w="0" w:type="dxa"/>
              <w:right w:w="115" w:type="dxa"/>
            </w:tcMar>
            <w:vAlign w:val="center"/>
            <w:hideMark/>
          </w:tcPr>
          <w:p w14:paraId="6E22E936" w14:textId="77777777" w:rsidR="00C033B5" w:rsidRPr="00746567" w:rsidRDefault="00C033B5" w:rsidP="00C033B5">
            <w:pPr>
              <w:rPr>
                <w:rFonts w:asciiTheme="majorBidi" w:hAnsiTheme="majorBidi" w:cstheme="majorBidi"/>
              </w:rPr>
            </w:pPr>
            <w:r w:rsidRPr="00746567">
              <w:rPr>
                <w:rFonts w:asciiTheme="majorBidi" w:hAnsiTheme="majorBidi" w:cstheme="majorBidi"/>
              </w:rPr>
              <w:t>Adjusted - r squared</w:t>
            </w:r>
          </w:p>
        </w:tc>
        <w:tc>
          <w:tcPr>
            <w:tcW w:w="0" w:type="auto"/>
            <w:tcMar>
              <w:top w:w="0" w:type="dxa"/>
              <w:left w:w="115" w:type="dxa"/>
              <w:bottom w:w="0" w:type="dxa"/>
              <w:right w:w="115" w:type="dxa"/>
            </w:tcMar>
            <w:vAlign w:val="center"/>
            <w:hideMark/>
          </w:tcPr>
          <w:p w14:paraId="4C59BB2C" w14:textId="77777777" w:rsidR="00C033B5" w:rsidRPr="00746567" w:rsidRDefault="00C033B5" w:rsidP="00C033B5">
            <w:pPr>
              <w:rPr>
                <w:rFonts w:asciiTheme="majorBidi" w:hAnsiTheme="majorBidi" w:cstheme="majorBidi"/>
              </w:rPr>
            </w:pPr>
            <w:r w:rsidRPr="00746567">
              <w:rPr>
                <w:rFonts w:asciiTheme="majorBidi" w:hAnsiTheme="majorBidi" w:cstheme="majorBidi"/>
              </w:rPr>
              <w:t>0.0386</w:t>
            </w:r>
          </w:p>
        </w:tc>
        <w:tc>
          <w:tcPr>
            <w:tcW w:w="0" w:type="auto"/>
            <w:tcMar>
              <w:top w:w="0" w:type="dxa"/>
              <w:left w:w="115" w:type="dxa"/>
              <w:bottom w:w="0" w:type="dxa"/>
              <w:right w:w="115" w:type="dxa"/>
            </w:tcMar>
            <w:vAlign w:val="center"/>
            <w:hideMark/>
          </w:tcPr>
          <w:p w14:paraId="296E58E2" w14:textId="77777777" w:rsidR="00C033B5" w:rsidRPr="00746567" w:rsidRDefault="00C033B5" w:rsidP="00C033B5">
            <w:pPr>
              <w:rPr>
                <w:rFonts w:asciiTheme="majorBidi" w:hAnsiTheme="majorBidi" w:cstheme="majorBidi"/>
              </w:rPr>
            </w:pPr>
            <w:r w:rsidRPr="00746567">
              <w:rPr>
                <w:rFonts w:asciiTheme="majorBidi" w:hAnsiTheme="majorBidi" w:cstheme="majorBidi"/>
              </w:rPr>
              <w:t>0.2743</w:t>
            </w:r>
          </w:p>
        </w:tc>
        <w:tc>
          <w:tcPr>
            <w:tcW w:w="0" w:type="auto"/>
            <w:tcMar>
              <w:top w:w="0" w:type="dxa"/>
              <w:left w:w="115" w:type="dxa"/>
              <w:bottom w:w="0" w:type="dxa"/>
              <w:right w:w="115" w:type="dxa"/>
            </w:tcMar>
            <w:vAlign w:val="center"/>
            <w:hideMark/>
          </w:tcPr>
          <w:p w14:paraId="09549E09" w14:textId="77777777" w:rsidR="00C033B5" w:rsidRPr="00746567" w:rsidRDefault="00C033B5" w:rsidP="00C033B5">
            <w:pPr>
              <w:rPr>
                <w:rFonts w:asciiTheme="majorBidi" w:hAnsiTheme="majorBidi" w:cstheme="majorBidi"/>
              </w:rPr>
            </w:pPr>
            <w:r w:rsidRPr="00746567">
              <w:rPr>
                <w:rFonts w:asciiTheme="majorBidi" w:hAnsiTheme="majorBidi" w:cstheme="majorBidi"/>
              </w:rPr>
              <w:t>0.0601</w:t>
            </w:r>
          </w:p>
        </w:tc>
        <w:tc>
          <w:tcPr>
            <w:tcW w:w="0" w:type="auto"/>
            <w:tcMar>
              <w:top w:w="0" w:type="dxa"/>
              <w:left w:w="115" w:type="dxa"/>
              <w:bottom w:w="0" w:type="dxa"/>
              <w:right w:w="115" w:type="dxa"/>
            </w:tcMar>
            <w:vAlign w:val="center"/>
            <w:hideMark/>
          </w:tcPr>
          <w:p w14:paraId="0E3F8123" w14:textId="77777777" w:rsidR="00C033B5" w:rsidRPr="00746567" w:rsidRDefault="00C033B5" w:rsidP="00C033B5">
            <w:pPr>
              <w:rPr>
                <w:rFonts w:asciiTheme="majorBidi" w:hAnsiTheme="majorBidi" w:cstheme="majorBidi"/>
              </w:rPr>
            </w:pPr>
            <w:r w:rsidRPr="00746567">
              <w:rPr>
                <w:rFonts w:asciiTheme="majorBidi" w:hAnsiTheme="majorBidi" w:cstheme="majorBidi"/>
              </w:rPr>
              <w:t>0.3582</w:t>
            </w:r>
          </w:p>
        </w:tc>
        <w:tc>
          <w:tcPr>
            <w:tcW w:w="0" w:type="auto"/>
            <w:tcMar>
              <w:top w:w="0" w:type="dxa"/>
              <w:left w:w="115" w:type="dxa"/>
              <w:bottom w:w="0" w:type="dxa"/>
              <w:right w:w="115" w:type="dxa"/>
            </w:tcMar>
            <w:vAlign w:val="center"/>
            <w:hideMark/>
          </w:tcPr>
          <w:p w14:paraId="3549C23B" w14:textId="77777777" w:rsidR="00C033B5" w:rsidRPr="00746567" w:rsidRDefault="00C033B5" w:rsidP="00C033B5">
            <w:pPr>
              <w:rPr>
                <w:rFonts w:asciiTheme="majorBidi" w:hAnsiTheme="majorBidi" w:cstheme="majorBidi"/>
              </w:rPr>
            </w:pPr>
            <w:r w:rsidRPr="00746567">
              <w:rPr>
                <w:rFonts w:asciiTheme="majorBidi" w:hAnsiTheme="majorBidi" w:cstheme="majorBidi"/>
              </w:rPr>
              <w:t>0.0601</w:t>
            </w:r>
          </w:p>
        </w:tc>
        <w:tc>
          <w:tcPr>
            <w:tcW w:w="0" w:type="auto"/>
            <w:tcMar>
              <w:top w:w="0" w:type="dxa"/>
              <w:left w:w="115" w:type="dxa"/>
              <w:bottom w:w="0" w:type="dxa"/>
              <w:right w:w="115" w:type="dxa"/>
            </w:tcMar>
            <w:vAlign w:val="center"/>
            <w:hideMark/>
          </w:tcPr>
          <w:p w14:paraId="69AD12D8" w14:textId="77777777" w:rsidR="00C033B5" w:rsidRPr="00746567" w:rsidRDefault="00C033B5" w:rsidP="00C033B5">
            <w:pPr>
              <w:rPr>
                <w:rFonts w:asciiTheme="majorBidi" w:hAnsiTheme="majorBidi" w:cstheme="majorBidi"/>
              </w:rPr>
            </w:pPr>
            <w:r w:rsidRPr="00746567">
              <w:rPr>
                <w:rFonts w:asciiTheme="majorBidi" w:hAnsiTheme="majorBidi" w:cstheme="majorBidi"/>
              </w:rPr>
              <w:t>0.3582</w:t>
            </w:r>
          </w:p>
        </w:tc>
      </w:tr>
      <w:tr w:rsidR="00C033B5" w:rsidRPr="00746567" w14:paraId="5C9A7A3D" w14:textId="77777777">
        <w:trPr>
          <w:trHeight w:val="20"/>
        </w:trPr>
        <w:tc>
          <w:tcPr>
            <w:tcW w:w="0" w:type="auto"/>
            <w:tcBorders>
              <w:bottom w:val="single" w:sz="4" w:space="0" w:color="000000"/>
            </w:tcBorders>
            <w:tcMar>
              <w:top w:w="0" w:type="dxa"/>
              <w:left w:w="115" w:type="dxa"/>
              <w:bottom w:w="0" w:type="dxa"/>
              <w:right w:w="115" w:type="dxa"/>
            </w:tcMar>
            <w:vAlign w:val="center"/>
            <w:hideMark/>
          </w:tcPr>
          <w:p w14:paraId="614D5C7A" w14:textId="77777777" w:rsidR="00C033B5" w:rsidRPr="00746567" w:rsidRDefault="00C033B5" w:rsidP="00C033B5">
            <w:pPr>
              <w:rPr>
                <w:rFonts w:asciiTheme="majorBidi" w:hAnsiTheme="majorBidi" w:cstheme="majorBidi"/>
              </w:rPr>
            </w:pPr>
            <w:r w:rsidRPr="00746567">
              <w:rPr>
                <w:rFonts w:asciiTheme="majorBidi" w:hAnsiTheme="majorBidi" w:cstheme="majorBidi"/>
              </w:rPr>
              <w:t>N</w:t>
            </w:r>
          </w:p>
        </w:tc>
        <w:tc>
          <w:tcPr>
            <w:tcW w:w="0" w:type="auto"/>
            <w:tcBorders>
              <w:bottom w:val="single" w:sz="4" w:space="0" w:color="000000"/>
            </w:tcBorders>
            <w:tcMar>
              <w:top w:w="0" w:type="dxa"/>
              <w:left w:w="115" w:type="dxa"/>
              <w:bottom w:w="0" w:type="dxa"/>
              <w:right w:w="115" w:type="dxa"/>
            </w:tcMar>
            <w:vAlign w:val="center"/>
            <w:hideMark/>
          </w:tcPr>
          <w:p w14:paraId="6FE1A1DD" w14:textId="77777777" w:rsidR="00C033B5" w:rsidRPr="00746567" w:rsidRDefault="00C033B5" w:rsidP="00C033B5">
            <w:pPr>
              <w:rPr>
                <w:rFonts w:asciiTheme="majorBidi" w:hAnsiTheme="majorBidi" w:cstheme="majorBidi"/>
              </w:rPr>
            </w:pPr>
            <w:r w:rsidRPr="00746567">
              <w:rPr>
                <w:rFonts w:asciiTheme="majorBidi" w:hAnsiTheme="majorBidi" w:cstheme="majorBidi"/>
              </w:rPr>
              <w:t>1,326,332</w:t>
            </w:r>
          </w:p>
        </w:tc>
        <w:tc>
          <w:tcPr>
            <w:tcW w:w="0" w:type="auto"/>
            <w:tcBorders>
              <w:bottom w:val="single" w:sz="4" w:space="0" w:color="000000"/>
            </w:tcBorders>
            <w:tcMar>
              <w:top w:w="0" w:type="dxa"/>
              <w:left w:w="115" w:type="dxa"/>
              <w:bottom w:w="0" w:type="dxa"/>
              <w:right w:w="115" w:type="dxa"/>
            </w:tcMar>
            <w:vAlign w:val="center"/>
            <w:hideMark/>
          </w:tcPr>
          <w:p w14:paraId="3E0B8A8E" w14:textId="77777777" w:rsidR="00C033B5" w:rsidRPr="00746567" w:rsidRDefault="00C033B5" w:rsidP="00C033B5">
            <w:pPr>
              <w:rPr>
                <w:rFonts w:asciiTheme="majorBidi" w:hAnsiTheme="majorBidi" w:cstheme="majorBidi"/>
              </w:rPr>
            </w:pPr>
            <w:r w:rsidRPr="00746567">
              <w:rPr>
                <w:rFonts w:asciiTheme="majorBidi" w:hAnsiTheme="majorBidi" w:cstheme="majorBidi"/>
              </w:rPr>
              <w:t>530,434</w:t>
            </w:r>
          </w:p>
        </w:tc>
        <w:tc>
          <w:tcPr>
            <w:tcW w:w="0" w:type="auto"/>
            <w:tcBorders>
              <w:bottom w:val="single" w:sz="4" w:space="0" w:color="000000"/>
            </w:tcBorders>
            <w:tcMar>
              <w:top w:w="0" w:type="dxa"/>
              <w:left w:w="115" w:type="dxa"/>
              <w:bottom w:w="0" w:type="dxa"/>
              <w:right w:w="115" w:type="dxa"/>
            </w:tcMar>
            <w:vAlign w:val="center"/>
            <w:hideMark/>
          </w:tcPr>
          <w:p w14:paraId="5BCF3962" w14:textId="77777777" w:rsidR="00C033B5" w:rsidRPr="00746567" w:rsidRDefault="00C033B5" w:rsidP="00C033B5">
            <w:pPr>
              <w:rPr>
                <w:rFonts w:asciiTheme="majorBidi" w:hAnsiTheme="majorBidi" w:cstheme="majorBidi"/>
              </w:rPr>
            </w:pPr>
            <w:r w:rsidRPr="00746567">
              <w:rPr>
                <w:rFonts w:asciiTheme="majorBidi" w:hAnsiTheme="majorBidi" w:cstheme="majorBidi"/>
              </w:rPr>
              <w:t>1,277,525</w:t>
            </w:r>
          </w:p>
        </w:tc>
        <w:tc>
          <w:tcPr>
            <w:tcW w:w="0" w:type="auto"/>
            <w:tcBorders>
              <w:bottom w:val="single" w:sz="4" w:space="0" w:color="000000"/>
            </w:tcBorders>
            <w:tcMar>
              <w:top w:w="0" w:type="dxa"/>
              <w:left w:w="115" w:type="dxa"/>
              <w:bottom w:w="0" w:type="dxa"/>
              <w:right w:w="115" w:type="dxa"/>
            </w:tcMar>
            <w:vAlign w:val="center"/>
            <w:hideMark/>
          </w:tcPr>
          <w:p w14:paraId="37D94F9A" w14:textId="77777777" w:rsidR="00C033B5" w:rsidRPr="00746567" w:rsidRDefault="00C033B5" w:rsidP="00C033B5">
            <w:pPr>
              <w:rPr>
                <w:rFonts w:asciiTheme="majorBidi" w:hAnsiTheme="majorBidi" w:cstheme="majorBidi"/>
              </w:rPr>
            </w:pPr>
            <w:r w:rsidRPr="00746567">
              <w:rPr>
                <w:rFonts w:asciiTheme="majorBidi" w:hAnsiTheme="majorBidi" w:cstheme="majorBidi"/>
              </w:rPr>
              <w:t>213,088</w:t>
            </w:r>
          </w:p>
        </w:tc>
        <w:tc>
          <w:tcPr>
            <w:tcW w:w="0" w:type="auto"/>
            <w:tcBorders>
              <w:bottom w:val="single" w:sz="4" w:space="0" w:color="000000"/>
            </w:tcBorders>
            <w:tcMar>
              <w:top w:w="0" w:type="dxa"/>
              <w:left w:w="115" w:type="dxa"/>
              <w:bottom w:w="0" w:type="dxa"/>
              <w:right w:w="115" w:type="dxa"/>
            </w:tcMar>
            <w:vAlign w:val="center"/>
            <w:hideMark/>
          </w:tcPr>
          <w:p w14:paraId="26CF891C" w14:textId="77777777" w:rsidR="00C033B5" w:rsidRPr="00746567" w:rsidRDefault="00C033B5" w:rsidP="00C033B5">
            <w:pPr>
              <w:rPr>
                <w:rFonts w:asciiTheme="majorBidi" w:hAnsiTheme="majorBidi" w:cstheme="majorBidi"/>
              </w:rPr>
            </w:pPr>
            <w:r w:rsidRPr="00746567">
              <w:rPr>
                <w:rFonts w:asciiTheme="majorBidi" w:hAnsiTheme="majorBidi" w:cstheme="majorBidi"/>
              </w:rPr>
              <w:t>1,277,525</w:t>
            </w:r>
          </w:p>
        </w:tc>
        <w:tc>
          <w:tcPr>
            <w:tcW w:w="0" w:type="auto"/>
            <w:tcBorders>
              <w:bottom w:val="single" w:sz="4" w:space="0" w:color="000000"/>
            </w:tcBorders>
            <w:tcMar>
              <w:top w:w="0" w:type="dxa"/>
              <w:left w:w="115" w:type="dxa"/>
              <w:bottom w:w="0" w:type="dxa"/>
              <w:right w:w="115" w:type="dxa"/>
            </w:tcMar>
            <w:vAlign w:val="center"/>
            <w:hideMark/>
          </w:tcPr>
          <w:p w14:paraId="02CBB990" w14:textId="77777777" w:rsidR="00C033B5" w:rsidRPr="00746567" w:rsidRDefault="00C033B5" w:rsidP="00C033B5">
            <w:pPr>
              <w:rPr>
                <w:rFonts w:asciiTheme="majorBidi" w:hAnsiTheme="majorBidi" w:cstheme="majorBidi"/>
              </w:rPr>
            </w:pPr>
            <w:r w:rsidRPr="00746567">
              <w:rPr>
                <w:rFonts w:asciiTheme="majorBidi" w:hAnsiTheme="majorBidi" w:cstheme="majorBidi"/>
              </w:rPr>
              <w:t>213,088</w:t>
            </w:r>
          </w:p>
        </w:tc>
      </w:tr>
      <w:tr w:rsidR="00C033B5" w:rsidRPr="00746567" w14:paraId="009DB033" w14:textId="77777777">
        <w:trPr>
          <w:trHeight w:val="20"/>
        </w:trPr>
        <w:tc>
          <w:tcPr>
            <w:tcW w:w="0" w:type="auto"/>
            <w:gridSpan w:val="7"/>
            <w:tcBorders>
              <w:top w:val="single" w:sz="4" w:space="0" w:color="000000"/>
            </w:tcBorders>
            <w:tcMar>
              <w:top w:w="0" w:type="dxa"/>
              <w:left w:w="115" w:type="dxa"/>
              <w:bottom w:w="0" w:type="dxa"/>
              <w:right w:w="115" w:type="dxa"/>
            </w:tcMar>
            <w:vAlign w:val="center"/>
            <w:hideMark/>
          </w:tcPr>
          <w:p w14:paraId="2D506775" w14:textId="77777777" w:rsidR="00C033B5" w:rsidRPr="00746567" w:rsidRDefault="00C033B5" w:rsidP="00C033B5">
            <w:pPr>
              <w:rPr>
                <w:rFonts w:asciiTheme="majorBidi" w:hAnsiTheme="majorBidi" w:cstheme="majorBidi"/>
              </w:rPr>
            </w:pPr>
            <w:r w:rsidRPr="00746567">
              <w:rPr>
                <w:rFonts w:asciiTheme="majorBidi" w:hAnsiTheme="majorBidi" w:cstheme="majorBidi"/>
                <w:i/>
                <w:iCs/>
              </w:rPr>
              <w:t>Note: The table reports the first stage results of  2SLS, probit and Fractional instrumental regression analysis for the impact of skin in the game on interest rates, default likelihood and severity of default in Panel A, B and C respectively. Specification 1a, 2a and 3a in Panel A, B and C reports the results for claims respectively. Specification 1b, 2b and 3b in Panel A, B, and C reports the results for notes respectively. All specifications of the model employ robust standard errors in parentheses. *, **, *** indicate significance at 10%, 5%, and 1% levels respectively.</w:t>
            </w:r>
          </w:p>
        </w:tc>
      </w:tr>
    </w:tbl>
    <w:p w14:paraId="3C7D4CF3" w14:textId="3053D33E" w:rsidR="00C033B5" w:rsidRPr="00C033B5" w:rsidRDefault="00C033B5" w:rsidP="00C033B5"/>
    <w:p w14:paraId="2DFDD781" w14:textId="77777777" w:rsidR="00C033B5" w:rsidRPr="00746567" w:rsidRDefault="00C033B5" w:rsidP="00746567">
      <w:pPr>
        <w:jc w:val="center"/>
        <w:rPr>
          <w:rFonts w:asciiTheme="majorBidi" w:hAnsiTheme="majorBidi" w:cstheme="majorBidi"/>
        </w:rPr>
      </w:pPr>
      <w:r w:rsidRPr="00746567">
        <w:rPr>
          <w:rFonts w:asciiTheme="majorBidi" w:hAnsiTheme="majorBidi" w:cstheme="majorBidi"/>
          <w:b/>
          <w:bCs/>
        </w:rPr>
        <w:t>Appendix Table A14</w:t>
      </w:r>
      <w:r w:rsidRPr="00746567">
        <w:rPr>
          <w:rFonts w:asciiTheme="majorBidi" w:hAnsiTheme="majorBidi" w:cstheme="majorBidi"/>
        </w:rPr>
        <w:t>: Robustness Tests – Second stage regression results</w:t>
      </w:r>
    </w:p>
    <w:tbl>
      <w:tblPr>
        <w:tblW w:w="0" w:type="auto"/>
        <w:tblCellMar>
          <w:top w:w="15" w:type="dxa"/>
          <w:left w:w="15" w:type="dxa"/>
          <w:bottom w:w="15" w:type="dxa"/>
          <w:right w:w="15" w:type="dxa"/>
        </w:tblCellMar>
        <w:tblLook w:val="04A0" w:firstRow="1" w:lastRow="0" w:firstColumn="1" w:lastColumn="0" w:noHBand="0" w:noVBand="1"/>
      </w:tblPr>
      <w:tblGrid>
        <w:gridCol w:w="938"/>
        <w:gridCol w:w="860"/>
        <w:gridCol w:w="860"/>
        <w:gridCol w:w="860"/>
        <w:gridCol w:w="793"/>
        <w:gridCol w:w="793"/>
        <w:gridCol w:w="793"/>
        <w:gridCol w:w="860"/>
        <w:gridCol w:w="793"/>
        <w:gridCol w:w="793"/>
        <w:gridCol w:w="683"/>
      </w:tblGrid>
      <w:tr w:rsidR="00C033B5" w:rsidRPr="00746567" w14:paraId="06131573" w14:textId="77777777">
        <w:trPr>
          <w:trHeight w:val="20"/>
        </w:trPr>
        <w:tc>
          <w:tcPr>
            <w:tcW w:w="0" w:type="auto"/>
            <w:tcBorders>
              <w:top w:val="single" w:sz="4" w:space="0" w:color="000000"/>
            </w:tcBorders>
            <w:tcMar>
              <w:top w:w="0" w:type="dxa"/>
              <w:left w:w="115" w:type="dxa"/>
              <w:bottom w:w="0" w:type="dxa"/>
              <w:right w:w="115" w:type="dxa"/>
            </w:tcMar>
            <w:vAlign w:val="center"/>
            <w:hideMark/>
          </w:tcPr>
          <w:p w14:paraId="7E412AE7" w14:textId="77777777" w:rsidR="00C033B5" w:rsidRPr="00746567"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2517E538"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PANEL A</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20C14E37" w14:textId="77777777" w:rsidR="00C033B5" w:rsidRPr="00746567"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32E268A7"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PANEL B</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32D58BE3" w14:textId="77777777" w:rsidR="00C033B5" w:rsidRPr="00746567"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4564464D" w14:textId="77777777" w:rsidR="00C033B5" w:rsidRPr="00746567"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32E9D2B6" w14:textId="77777777" w:rsidR="00C033B5" w:rsidRPr="00746567"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4F4568AF"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PANEL C</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34CDCFE0" w14:textId="77777777" w:rsidR="00C033B5" w:rsidRPr="00746567"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56AC9718" w14:textId="77777777" w:rsidR="00C033B5" w:rsidRPr="00746567" w:rsidRDefault="00C033B5" w:rsidP="00C033B5">
            <w:pPr>
              <w:rPr>
                <w:rFonts w:asciiTheme="majorBidi" w:hAnsiTheme="majorBidi" w:cstheme="majorBidi"/>
              </w:rPr>
            </w:pP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362D61F0" w14:textId="77777777" w:rsidR="00C033B5" w:rsidRPr="00746567" w:rsidRDefault="00C033B5" w:rsidP="00C033B5">
            <w:pPr>
              <w:rPr>
                <w:rFonts w:asciiTheme="majorBidi" w:hAnsiTheme="majorBidi" w:cstheme="majorBidi"/>
              </w:rPr>
            </w:pPr>
          </w:p>
        </w:tc>
      </w:tr>
      <w:tr w:rsidR="00C033B5" w:rsidRPr="00746567" w14:paraId="7C3B69ED" w14:textId="77777777">
        <w:trPr>
          <w:trHeight w:val="20"/>
        </w:trPr>
        <w:tc>
          <w:tcPr>
            <w:tcW w:w="0" w:type="auto"/>
            <w:tcBorders>
              <w:bottom w:val="single" w:sz="4" w:space="0" w:color="000000"/>
            </w:tcBorders>
            <w:tcMar>
              <w:top w:w="0" w:type="dxa"/>
              <w:left w:w="115" w:type="dxa"/>
              <w:bottom w:w="0" w:type="dxa"/>
              <w:right w:w="115" w:type="dxa"/>
            </w:tcMar>
            <w:vAlign w:val="center"/>
            <w:hideMark/>
          </w:tcPr>
          <w:p w14:paraId="252A876A"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Variables</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6B99AE8B"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1)</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01C9FDD1"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2)</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3D1ADD05"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3a)</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4A9DD518"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3b)</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2404E71E"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4a)</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6B2324DD"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4b)</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3E4A309D"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5a)</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3F37DA77"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5b)</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5CC4E27E"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6a)</w:t>
            </w:r>
          </w:p>
        </w:tc>
        <w:tc>
          <w:tcPr>
            <w:tcW w:w="0" w:type="auto"/>
            <w:tcBorders>
              <w:top w:val="single" w:sz="4" w:space="0" w:color="000000"/>
              <w:bottom w:val="single" w:sz="4" w:space="0" w:color="000000"/>
            </w:tcBorders>
            <w:tcMar>
              <w:top w:w="0" w:type="dxa"/>
              <w:left w:w="115" w:type="dxa"/>
              <w:bottom w:w="0" w:type="dxa"/>
              <w:right w:w="115" w:type="dxa"/>
            </w:tcMar>
            <w:vAlign w:val="center"/>
            <w:hideMark/>
          </w:tcPr>
          <w:p w14:paraId="0831DEC2" w14:textId="77777777" w:rsidR="00C033B5" w:rsidRPr="00746567" w:rsidRDefault="00C033B5" w:rsidP="00C033B5">
            <w:pPr>
              <w:rPr>
                <w:rFonts w:asciiTheme="majorBidi" w:hAnsiTheme="majorBidi" w:cstheme="majorBidi"/>
              </w:rPr>
            </w:pPr>
            <w:r w:rsidRPr="00746567">
              <w:rPr>
                <w:rFonts w:asciiTheme="majorBidi" w:hAnsiTheme="majorBidi" w:cstheme="majorBidi"/>
                <w:b/>
                <w:bCs/>
              </w:rPr>
              <w:t>6c)</w:t>
            </w:r>
          </w:p>
        </w:tc>
      </w:tr>
      <w:tr w:rsidR="00C033B5" w:rsidRPr="00746567" w14:paraId="13C3764C" w14:textId="77777777">
        <w:trPr>
          <w:trHeight w:val="20"/>
        </w:trPr>
        <w:tc>
          <w:tcPr>
            <w:tcW w:w="0" w:type="auto"/>
            <w:tcBorders>
              <w:top w:val="single" w:sz="4" w:space="0" w:color="000000"/>
            </w:tcBorders>
            <w:tcMar>
              <w:top w:w="0" w:type="dxa"/>
              <w:left w:w="115" w:type="dxa"/>
              <w:bottom w:w="0" w:type="dxa"/>
              <w:right w:w="115" w:type="dxa"/>
            </w:tcMar>
            <w:vAlign w:val="center"/>
            <w:hideMark/>
          </w:tcPr>
          <w:p w14:paraId="0E5BA4CF" w14:textId="77777777" w:rsidR="00C033B5" w:rsidRPr="00746567" w:rsidRDefault="00C033B5" w:rsidP="00C033B5">
            <w:pPr>
              <w:rPr>
                <w:rFonts w:asciiTheme="majorBidi" w:hAnsiTheme="majorBidi" w:cstheme="majorBidi"/>
              </w:rPr>
            </w:pPr>
            <w:r w:rsidRPr="00746567">
              <w:rPr>
                <w:rFonts w:asciiTheme="majorBidi" w:hAnsiTheme="majorBidi" w:cstheme="majorBidi"/>
              </w:rPr>
              <w:t>SITG</w:t>
            </w:r>
          </w:p>
        </w:tc>
        <w:tc>
          <w:tcPr>
            <w:tcW w:w="0" w:type="auto"/>
            <w:tcBorders>
              <w:top w:val="single" w:sz="4" w:space="0" w:color="000000"/>
            </w:tcBorders>
            <w:tcMar>
              <w:top w:w="0" w:type="dxa"/>
              <w:left w:w="115" w:type="dxa"/>
              <w:bottom w:w="0" w:type="dxa"/>
              <w:right w:w="115" w:type="dxa"/>
            </w:tcMar>
            <w:vAlign w:val="center"/>
            <w:hideMark/>
          </w:tcPr>
          <w:p w14:paraId="6CCE487A" w14:textId="77777777" w:rsidR="00C033B5" w:rsidRPr="00746567" w:rsidRDefault="00C033B5" w:rsidP="00C033B5">
            <w:pPr>
              <w:rPr>
                <w:rFonts w:asciiTheme="majorBidi" w:hAnsiTheme="majorBidi" w:cstheme="majorBidi"/>
              </w:rPr>
            </w:pPr>
            <w:r w:rsidRPr="00746567">
              <w:rPr>
                <w:rFonts w:asciiTheme="majorBidi" w:hAnsiTheme="majorBidi" w:cstheme="majorBidi"/>
              </w:rPr>
              <w:t>-0.5789***</w:t>
            </w:r>
          </w:p>
        </w:tc>
        <w:tc>
          <w:tcPr>
            <w:tcW w:w="0" w:type="auto"/>
            <w:tcBorders>
              <w:top w:val="single" w:sz="4" w:space="0" w:color="000000"/>
            </w:tcBorders>
            <w:tcMar>
              <w:top w:w="0" w:type="dxa"/>
              <w:left w:w="115" w:type="dxa"/>
              <w:bottom w:w="0" w:type="dxa"/>
              <w:right w:w="115" w:type="dxa"/>
            </w:tcMar>
            <w:vAlign w:val="center"/>
            <w:hideMark/>
          </w:tcPr>
          <w:p w14:paraId="40BF61C3" w14:textId="77777777" w:rsidR="00C033B5" w:rsidRPr="00746567" w:rsidRDefault="00C033B5" w:rsidP="00C033B5">
            <w:pPr>
              <w:rPr>
                <w:rFonts w:asciiTheme="majorBidi" w:hAnsiTheme="majorBidi" w:cstheme="majorBidi"/>
              </w:rPr>
            </w:pPr>
            <w:r w:rsidRPr="00746567">
              <w:rPr>
                <w:rFonts w:asciiTheme="majorBidi" w:hAnsiTheme="majorBidi" w:cstheme="majorBidi"/>
              </w:rPr>
              <w:t>-0.6995***</w:t>
            </w:r>
          </w:p>
        </w:tc>
        <w:tc>
          <w:tcPr>
            <w:tcW w:w="0" w:type="auto"/>
            <w:tcBorders>
              <w:top w:val="single" w:sz="4" w:space="0" w:color="000000"/>
            </w:tcBorders>
            <w:tcMar>
              <w:top w:w="0" w:type="dxa"/>
              <w:left w:w="115" w:type="dxa"/>
              <w:bottom w:w="0" w:type="dxa"/>
              <w:right w:w="115" w:type="dxa"/>
            </w:tcMar>
            <w:vAlign w:val="center"/>
            <w:hideMark/>
          </w:tcPr>
          <w:p w14:paraId="09164FFB" w14:textId="77777777" w:rsidR="00C033B5" w:rsidRPr="00746567" w:rsidRDefault="00C033B5" w:rsidP="00C033B5">
            <w:pPr>
              <w:rPr>
                <w:rFonts w:asciiTheme="majorBidi" w:hAnsiTheme="majorBidi" w:cstheme="majorBidi"/>
              </w:rPr>
            </w:pPr>
            <w:r w:rsidRPr="00746567">
              <w:rPr>
                <w:rFonts w:asciiTheme="majorBidi" w:hAnsiTheme="majorBidi" w:cstheme="majorBidi"/>
              </w:rPr>
              <w:t>-40.6218***</w:t>
            </w:r>
          </w:p>
        </w:tc>
        <w:tc>
          <w:tcPr>
            <w:tcW w:w="0" w:type="auto"/>
            <w:tcBorders>
              <w:top w:val="single" w:sz="4" w:space="0" w:color="000000"/>
            </w:tcBorders>
            <w:tcMar>
              <w:top w:w="0" w:type="dxa"/>
              <w:left w:w="115" w:type="dxa"/>
              <w:bottom w:w="0" w:type="dxa"/>
              <w:right w:w="115" w:type="dxa"/>
            </w:tcMar>
            <w:vAlign w:val="center"/>
            <w:hideMark/>
          </w:tcPr>
          <w:p w14:paraId="3807175E" w14:textId="77777777" w:rsidR="00C033B5" w:rsidRPr="00746567" w:rsidRDefault="00C033B5" w:rsidP="00C033B5">
            <w:pPr>
              <w:rPr>
                <w:rFonts w:asciiTheme="majorBidi" w:hAnsiTheme="majorBidi" w:cstheme="majorBidi"/>
              </w:rPr>
            </w:pPr>
            <w:r w:rsidRPr="00746567">
              <w:rPr>
                <w:rFonts w:asciiTheme="majorBidi" w:hAnsiTheme="majorBidi" w:cstheme="majorBidi"/>
              </w:rPr>
              <w:t>-0.1088***</w:t>
            </w:r>
          </w:p>
        </w:tc>
        <w:tc>
          <w:tcPr>
            <w:tcW w:w="0" w:type="auto"/>
            <w:tcBorders>
              <w:top w:val="single" w:sz="4" w:space="0" w:color="000000"/>
            </w:tcBorders>
            <w:tcMar>
              <w:top w:w="0" w:type="dxa"/>
              <w:left w:w="115" w:type="dxa"/>
              <w:bottom w:w="0" w:type="dxa"/>
              <w:right w:w="115" w:type="dxa"/>
            </w:tcMar>
            <w:vAlign w:val="center"/>
            <w:hideMark/>
          </w:tcPr>
          <w:p w14:paraId="03183A0F" w14:textId="77777777" w:rsidR="00C033B5" w:rsidRPr="00746567" w:rsidRDefault="00C033B5" w:rsidP="00C033B5">
            <w:pPr>
              <w:rPr>
                <w:rFonts w:asciiTheme="majorBidi" w:hAnsiTheme="majorBidi" w:cstheme="majorBidi"/>
              </w:rPr>
            </w:pPr>
            <w:r w:rsidRPr="00746567">
              <w:rPr>
                <w:rFonts w:asciiTheme="majorBidi" w:hAnsiTheme="majorBidi" w:cstheme="majorBidi"/>
              </w:rPr>
              <w:t>-3.6264***</w:t>
            </w:r>
          </w:p>
        </w:tc>
        <w:tc>
          <w:tcPr>
            <w:tcW w:w="0" w:type="auto"/>
            <w:tcBorders>
              <w:top w:val="single" w:sz="4" w:space="0" w:color="000000"/>
            </w:tcBorders>
            <w:tcMar>
              <w:top w:w="0" w:type="dxa"/>
              <w:left w:w="115" w:type="dxa"/>
              <w:bottom w:w="0" w:type="dxa"/>
              <w:right w:w="115" w:type="dxa"/>
            </w:tcMar>
            <w:vAlign w:val="center"/>
            <w:hideMark/>
          </w:tcPr>
          <w:p w14:paraId="5377FACF" w14:textId="77777777" w:rsidR="00C033B5" w:rsidRPr="00746567" w:rsidRDefault="00C033B5" w:rsidP="00C033B5">
            <w:pPr>
              <w:rPr>
                <w:rFonts w:asciiTheme="majorBidi" w:hAnsiTheme="majorBidi" w:cstheme="majorBidi"/>
              </w:rPr>
            </w:pPr>
            <w:r w:rsidRPr="00746567">
              <w:rPr>
                <w:rFonts w:asciiTheme="majorBidi" w:hAnsiTheme="majorBidi" w:cstheme="majorBidi"/>
              </w:rPr>
              <w:t>-0.9316***</w:t>
            </w:r>
          </w:p>
        </w:tc>
        <w:tc>
          <w:tcPr>
            <w:tcW w:w="0" w:type="auto"/>
            <w:tcBorders>
              <w:top w:val="single" w:sz="4" w:space="0" w:color="000000"/>
            </w:tcBorders>
            <w:tcMar>
              <w:top w:w="0" w:type="dxa"/>
              <w:left w:w="115" w:type="dxa"/>
              <w:bottom w:w="0" w:type="dxa"/>
              <w:right w:w="115" w:type="dxa"/>
            </w:tcMar>
            <w:vAlign w:val="center"/>
            <w:hideMark/>
          </w:tcPr>
          <w:p w14:paraId="3CDDBB3B" w14:textId="77777777" w:rsidR="00C033B5" w:rsidRPr="00746567" w:rsidRDefault="00C033B5" w:rsidP="00C033B5">
            <w:pPr>
              <w:rPr>
                <w:rFonts w:asciiTheme="majorBidi" w:hAnsiTheme="majorBidi" w:cstheme="majorBidi"/>
              </w:rPr>
            </w:pPr>
            <w:r w:rsidRPr="00746567">
              <w:rPr>
                <w:rFonts w:asciiTheme="majorBidi" w:hAnsiTheme="majorBidi" w:cstheme="majorBidi"/>
              </w:rPr>
              <w:t>-13.6757**</w:t>
            </w:r>
          </w:p>
        </w:tc>
        <w:tc>
          <w:tcPr>
            <w:tcW w:w="0" w:type="auto"/>
            <w:tcBorders>
              <w:top w:val="single" w:sz="4" w:space="0" w:color="000000"/>
            </w:tcBorders>
            <w:tcMar>
              <w:top w:w="0" w:type="dxa"/>
              <w:left w:w="115" w:type="dxa"/>
              <w:bottom w:w="0" w:type="dxa"/>
              <w:right w:w="115" w:type="dxa"/>
            </w:tcMar>
            <w:vAlign w:val="center"/>
            <w:hideMark/>
          </w:tcPr>
          <w:p w14:paraId="2164A3B9" w14:textId="77777777" w:rsidR="00C033B5" w:rsidRPr="00746567" w:rsidRDefault="00C033B5" w:rsidP="00C033B5">
            <w:pPr>
              <w:rPr>
                <w:rFonts w:asciiTheme="majorBidi" w:hAnsiTheme="majorBidi" w:cstheme="majorBidi"/>
              </w:rPr>
            </w:pPr>
            <w:r w:rsidRPr="00746567">
              <w:rPr>
                <w:rFonts w:asciiTheme="majorBidi" w:hAnsiTheme="majorBidi" w:cstheme="majorBidi"/>
              </w:rPr>
              <w:t>-0.0279**</w:t>
            </w:r>
          </w:p>
        </w:tc>
        <w:tc>
          <w:tcPr>
            <w:tcW w:w="0" w:type="auto"/>
            <w:tcBorders>
              <w:top w:val="single" w:sz="4" w:space="0" w:color="000000"/>
            </w:tcBorders>
            <w:tcMar>
              <w:top w:w="0" w:type="dxa"/>
              <w:left w:w="115" w:type="dxa"/>
              <w:bottom w:w="0" w:type="dxa"/>
              <w:right w:w="115" w:type="dxa"/>
            </w:tcMar>
            <w:vAlign w:val="center"/>
            <w:hideMark/>
          </w:tcPr>
          <w:p w14:paraId="2CE9A927" w14:textId="77777777" w:rsidR="00C033B5" w:rsidRPr="00746567" w:rsidRDefault="00C033B5" w:rsidP="00C033B5">
            <w:pPr>
              <w:rPr>
                <w:rFonts w:asciiTheme="majorBidi" w:hAnsiTheme="majorBidi" w:cstheme="majorBidi"/>
              </w:rPr>
            </w:pPr>
            <w:r w:rsidRPr="00746567">
              <w:rPr>
                <w:rFonts w:asciiTheme="majorBidi" w:hAnsiTheme="majorBidi" w:cstheme="majorBidi"/>
              </w:rPr>
              <w:t>-1.1573*</w:t>
            </w:r>
          </w:p>
        </w:tc>
        <w:tc>
          <w:tcPr>
            <w:tcW w:w="0" w:type="auto"/>
            <w:tcBorders>
              <w:top w:val="single" w:sz="4" w:space="0" w:color="000000"/>
            </w:tcBorders>
            <w:tcMar>
              <w:top w:w="0" w:type="dxa"/>
              <w:left w:w="115" w:type="dxa"/>
              <w:bottom w:w="0" w:type="dxa"/>
              <w:right w:w="115" w:type="dxa"/>
            </w:tcMar>
            <w:vAlign w:val="center"/>
            <w:hideMark/>
          </w:tcPr>
          <w:p w14:paraId="1B0B18CF" w14:textId="77777777" w:rsidR="00C033B5" w:rsidRPr="00746567" w:rsidRDefault="00C033B5" w:rsidP="00C033B5">
            <w:pPr>
              <w:rPr>
                <w:rFonts w:asciiTheme="majorBidi" w:hAnsiTheme="majorBidi" w:cstheme="majorBidi"/>
              </w:rPr>
            </w:pPr>
            <w:r w:rsidRPr="00746567">
              <w:rPr>
                <w:rFonts w:asciiTheme="majorBidi" w:hAnsiTheme="majorBidi" w:cstheme="majorBidi"/>
              </w:rPr>
              <w:t>-0.2818</w:t>
            </w:r>
          </w:p>
        </w:tc>
      </w:tr>
      <w:tr w:rsidR="00C033B5" w:rsidRPr="00746567" w14:paraId="1EDD4A18" w14:textId="77777777">
        <w:trPr>
          <w:trHeight w:val="20"/>
        </w:trPr>
        <w:tc>
          <w:tcPr>
            <w:tcW w:w="0" w:type="auto"/>
            <w:tcMar>
              <w:top w:w="0" w:type="dxa"/>
              <w:left w:w="115" w:type="dxa"/>
              <w:bottom w:w="0" w:type="dxa"/>
              <w:right w:w="115" w:type="dxa"/>
            </w:tcMar>
            <w:vAlign w:val="center"/>
            <w:hideMark/>
          </w:tcPr>
          <w:p w14:paraId="4C9E04D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52BC381" w14:textId="77777777" w:rsidR="00C033B5" w:rsidRPr="00746567" w:rsidRDefault="00C033B5" w:rsidP="00C033B5">
            <w:pPr>
              <w:rPr>
                <w:rFonts w:asciiTheme="majorBidi" w:hAnsiTheme="majorBidi" w:cstheme="majorBidi"/>
              </w:rPr>
            </w:pPr>
            <w:r w:rsidRPr="00746567">
              <w:rPr>
                <w:rFonts w:asciiTheme="majorBidi" w:hAnsiTheme="majorBidi" w:cstheme="majorBidi"/>
              </w:rPr>
              <w:t>(0.0138)</w:t>
            </w:r>
          </w:p>
        </w:tc>
        <w:tc>
          <w:tcPr>
            <w:tcW w:w="0" w:type="auto"/>
            <w:tcMar>
              <w:top w:w="0" w:type="dxa"/>
              <w:left w:w="115" w:type="dxa"/>
              <w:bottom w:w="0" w:type="dxa"/>
              <w:right w:w="115" w:type="dxa"/>
            </w:tcMar>
            <w:vAlign w:val="center"/>
            <w:hideMark/>
          </w:tcPr>
          <w:p w14:paraId="5AF8162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(0.0073)</w:t>
            </w:r>
          </w:p>
        </w:tc>
        <w:tc>
          <w:tcPr>
            <w:tcW w:w="0" w:type="auto"/>
            <w:tcMar>
              <w:top w:w="0" w:type="dxa"/>
              <w:left w:w="115" w:type="dxa"/>
              <w:bottom w:w="0" w:type="dxa"/>
              <w:right w:w="115" w:type="dxa"/>
            </w:tcMar>
            <w:vAlign w:val="center"/>
            <w:hideMark/>
          </w:tcPr>
          <w:p w14:paraId="7A77FF9C" w14:textId="77777777" w:rsidR="00C033B5" w:rsidRPr="00746567" w:rsidRDefault="00C033B5" w:rsidP="00C033B5">
            <w:pPr>
              <w:rPr>
                <w:rFonts w:asciiTheme="majorBidi" w:hAnsiTheme="majorBidi" w:cstheme="majorBidi"/>
              </w:rPr>
            </w:pPr>
            <w:r w:rsidRPr="00746567">
              <w:rPr>
                <w:rFonts w:asciiTheme="majorBidi" w:hAnsiTheme="majorBidi" w:cstheme="majorBidi"/>
              </w:rPr>
              <w:t>(8.4909)</w:t>
            </w:r>
          </w:p>
        </w:tc>
        <w:tc>
          <w:tcPr>
            <w:tcW w:w="0" w:type="auto"/>
            <w:tcMar>
              <w:top w:w="0" w:type="dxa"/>
              <w:left w:w="115" w:type="dxa"/>
              <w:bottom w:w="0" w:type="dxa"/>
              <w:right w:w="115" w:type="dxa"/>
            </w:tcMar>
            <w:vAlign w:val="center"/>
            <w:hideMark/>
          </w:tcPr>
          <w:p w14:paraId="6895EB25" w14:textId="77777777" w:rsidR="00C033B5" w:rsidRPr="00746567" w:rsidRDefault="00C033B5" w:rsidP="00C033B5">
            <w:pPr>
              <w:rPr>
                <w:rFonts w:asciiTheme="majorBidi" w:hAnsiTheme="majorBidi" w:cstheme="majorBidi"/>
              </w:rPr>
            </w:pPr>
            <w:r w:rsidRPr="00746567">
              <w:rPr>
                <w:rFonts w:asciiTheme="majorBidi" w:hAnsiTheme="majorBidi" w:cstheme="majorBidi"/>
              </w:rPr>
              <w:t>(0.0235)</w:t>
            </w:r>
          </w:p>
        </w:tc>
        <w:tc>
          <w:tcPr>
            <w:tcW w:w="0" w:type="auto"/>
            <w:tcMar>
              <w:top w:w="0" w:type="dxa"/>
              <w:left w:w="115" w:type="dxa"/>
              <w:bottom w:w="0" w:type="dxa"/>
              <w:right w:w="115" w:type="dxa"/>
            </w:tcMar>
            <w:vAlign w:val="center"/>
            <w:hideMark/>
          </w:tcPr>
          <w:p w14:paraId="5A6AE4CC" w14:textId="77777777" w:rsidR="00C033B5" w:rsidRPr="00746567" w:rsidRDefault="00C033B5" w:rsidP="00C033B5">
            <w:pPr>
              <w:rPr>
                <w:rFonts w:asciiTheme="majorBidi" w:hAnsiTheme="majorBidi" w:cstheme="majorBidi"/>
              </w:rPr>
            </w:pPr>
            <w:r w:rsidRPr="00746567">
              <w:rPr>
                <w:rFonts w:asciiTheme="majorBidi" w:hAnsiTheme="majorBidi" w:cstheme="majorBidi"/>
              </w:rPr>
              <w:t>(0.6523)</w:t>
            </w:r>
          </w:p>
        </w:tc>
        <w:tc>
          <w:tcPr>
            <w:tcW w:w="0" w:type="auto"/>
            <w:tcMar>
              <w:top w:w="0" w:type="dxa"/>
              <w:left w:w="115" w:type="dxa"/>
              <w:bottom w:w="0" w:type="dxa"/>
              <w:right w:w="115" w:type="dxa"/>
            </w:tcMar>
            <w:vAlign w:val="center"/>
            <w:hideMark/>
          </w:tcPr>
          <w:p w14:paraId="51D857B3" w14:textId="77777777" w:rsidR="00C033B5" w:rsidRPr="00746567" w:rsidRDefault="00C033B5" w:rsidP="00C033B5">
            <w:pPr>
              <w:rPr>
                <w:rFonts w:asciiTheme="majorBidi" w:hAnsiTheme="majorBidi" w:cstheme="majorBidi"/>
              </w:rPr>
            </w:pPr>
            <w:r w:rsidRPr="00746567">
              <w:rPr>
                <w:rFonts w:asciiTheme="majorBidi" w:hAnsiTheme="majorBidi" w:cstheme="majorBidi"/>
              </w:rPr>
              <w:t>(0.1675)</w:t>
            </w:r>
          </w:p>
        </w:tc>
        <w:tc>
          <w:tcPr>
            <w:tcW w:w="0" w:type="auto"/>
            <w:tcMar>
              <w:top w:w="0" w:type="dxa"/>
              <w:left w:w="115" w:type="dxa"/>
              <w:bottom w:w="0" w:type="dxa"/>
              <w:right w:w="115" w:type="dxa"/>
            </w:tcMar>
            <w:vAlign w:val="center"/>
            <w:hideMark/>
          </w:tcPr>
          <w:p w14:paraId="73A955F3" w14:textId="77777777" w:rsidR="00C033B5" w:rsidRPr="00746567" w:rsidRDefault="00C033B5" w:rsidP="00C033B5">
            <w:pPr>
              <w:rPr>
                <w:rFonts w:asciiTheme="majorBidi" w:hAnsiTheme="majorBidi" w:cstheme="majorBidi"/>
              </w:rPr>
            </w:pPr>
            <w:r w:rsidRPr="00746567">
              <w:rPr>
                <w:rFonts w:asciiTheme="majorBidi" w:hAnsiTheme="majorBidi" w:cstheme="majorBidi"/>
              </w:rPr>
              <w:t>(6.5806)</w:t>
            </w:r>
          </w:p>
        </w:tc>
        <w:tc>
          <w:tcPr>
            <w:tcW w:w="0" w:type="auto"/>
            <w:tcMar>
              <w:top w:w="0" w:type="dxa"/>
              <w:left w:w="115" w:type="dxa"/>
              <w:bottom w:w="0" w:type="dxa"/>
              <w:right w:w="115" w:type="dxa"/>
            </w:tcMar>
            <w:vAlign w:val="center"/>
            <w:hideMark/>
          </w:tcPr>
          <w:p w14:paraId="42534902" w14:textId="77777777" w:rsidR="00C033B5" w:rsidRPr="00746567" w:rsidRDefault="00C033B5" w:rsidP="00C033B5">
            <w:pPr>
              <w:rPr>
                <w:rFonts w:asciiTheme="majorBidi" w:hAnsiTheme="majorBidi" w:cstheme="majorBidi"/>
              </w:rPr>
            </w:pPr>
            <w:r w:rsidRPr="00746567">
              <w:rPr>
                <w:rFonts w:asciiTheme="majorBidi" w:hAnsiTheme="majorBidi" w:cstheme="majorBidi"/>
              </w:rPr>
              <w:t>(0.0134)</w:t>
            </w:r>
          </w:p>
        </w:tc>
        <w:tc>
          <w:tcPr>
            <w:tcW w:w="0" w:type="auto"/>
            <w:tcMar>
              <w:top w:w="0" w:type="dxa"/>
              <w:left w:w="115" w:type="dxa"/>
              <w:bottom w:w="0" w:type="dxa"/>
              <w:right w:w="115" w:type="dxa"/>
            </w:tcMar>
            <w:vAlign w:val="center"/>
            <w:hideMark/>
          </w:tcPr>
          <w:p w14:paraId="1024A3C7" w14:textId="77777777" w:rsidR="00C033B5" w:rsidRPr="00746567" w:rsidRDefault="00C033B5" w:rsidP="00C033B5">
            <w:pPr>
              <w:rPr>
                <w:rFonts w:asciiTheme="majorBidi" w:hAnsiTheme="majorBidi" w:cstheme="majorBidi"/>
              </w:rPr>
            </w:pPr>
            <w:r w:rsidRPr="00746567">
              <w:rPr>
                <w:rFonts w:asciiTheme="majorBidi" w:hAnsiTheme="majorBidi" w:cstheme="majorBidi"/>
              </w:rPr>
              <w:t>(0.6370)</w:t>
            </w:r>
          </w:p>
        </w:tc>
        <w:tc>
          <w:tcPr>
            <w:tcW w:w="0" w:type="auto"/>
            <w:tcMar>
              <w:top w:w="0" w:type="dxa"/>
              <w:left w:w="115" w:type="dxa"/>
              <w:bottom w:w="0" w:type="dxa"/>
              <w:right w:w="115" w:type="dxa"/>
            </w:tcMar>
            <w:vAlign w:val="center"/>
            <w:hideMark/>
          </w:tcPr>
          <w:p w14:paraId="68ABB8CC" w14:textId="77777777" w:rsidR="00C033B5" w:rsidRPr="00746567" w:rsidRDefault="00C033B5" w:rsidP="00C033B5">
            <w:pPr>
              <w:rPr>
                <w:rFonts w:asciiTheme="majorBidi" w:hAnsiTheme="majorBidi" w:cstheme="majorBidi"/>
              </w:rPr>
            </w:pPr>
            <w:r w:rsidRPr="00746567">
              <w:rPr>
                <w:rFonts w:asciiTheme="majorBidi" w:hAnsiTheme="majorBidi" w:cstheme="majorBidi"/>
              </w:rPr>
              <w:t>(0.1551)</w:t>
            </w:r>
          </w:p>
        </w:tc>
      </w:tr>
      <w:tr w:rsidR="00C033B5" w:rsidRPr="00746567" w14:paraId="0D2FE9C4" w14:textId="77777777">
        <w:trPr>
          <w:trHeight w:val="20"/>
        </w:trPr>
        <w:tc>
          <w:tcPr>
            <w:tcW w:w="0" w:type="auto"/>
            <w:tcMar>
              <w:top w:w="0" w:type="dxa"/>
              <w:left w:w="115" w:type="dxa"/>
              <w:bottom w:w="0" w:type="dxa"/>
              <w:right w:w="115" w:type="dxa"/>
            </w:tcMar>
            <w:vAlign w:val="center"/>
            <w:hideMark/>
          </w:tcPr>
          <w:p w14:paraId="2A704859" w14:textId="77777777" w:rsidR="00C033B5" w:rsidRPr="00746567" w:rsidRDefault="00C033B5" w:rsidP="00C033B5">
            <w:pPr>
              <w:rPr>
                <w:rFonts w:asciiTheme="majorBidi" w:hAnsiTheme="majorBidi" w:cstheme="majorBidi"/>
              </w:rPr>
            </w:pPr>
            <w:r w:rsidRPr="00746567">
              <w:rPr>
                <w:rFonts w:asciiTheme="majorBidi" w:hAnsiTheme="majorBidi" w:cstheme="majorBidi"/>
              </w:rPr>
              <w:lastRenderedPageBreak/>
              <w:t>Term</w:t>
            </w:r>
          </w:p>
        </w:tc>
        <w:tc>
          <w:tcPr>
            <w:tcW w:w="0" w:type="auto"/>
            <w:tcMar>
              <w:top w:w="0" w:type="dxa"/>
              <w:left w:w="115" w:type="dxa"/>
              <w:bottom w:w="0" w:type="dxa"/>
              <w:right w:w="115" w:type="dxa"/>
            </w:tcMar>
            <w:vAlign w:val="center"/>
            <w:hideMark/>
          </w:tcPr>
          <w:p w14:paraId="309438B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0.0004***</w:t>
            </w:r>
          </w:p>
        </w:tc>
        <w:tc>
          <w:tcPr>
            <w:tcW w:w="0" w:type="auto"/>
            <w:tcMar>
              <w:top w:w="0" w:type="dxa"/>
              <w:left w:w="115" w:type="dxa"/>
              <w:bottom w:w="0" w:type="dxa"/>
              <w:right w:w="115" w:type="dxa"/>
            </w:tcMar>
            <w:vAlign w:val="center"/>
            <w:hideMark/>
          </w:tcPr>
          <w:p w14:paraId="415017F9" w14:textId="77777777" w:rsidR="00C033B5" w:rsidRPr="00746567" w:rsidRDefault="00C033B5" w:rsidP="00C033B5">
            <w:pPr>
              <w:rPr>
                <w:rFonts w:asciiTheme="majorBidi" w:hAnsiTheme="majorBidi" w:cstheme="majorBidi"/>
              </w:rPr>
            </w:pPr>
            <w:r w:rsidRPr="00746567">
              <w:rPr>
                <w:rFonts w:asciiTheme="majorBidi" w:hAnsiTheme="majorBidi" w:cstheme="majorBidi"/>
              </w:rPr>
              <w:t>0.0138***</w:t>
            </w:r>
          </w:p>
        </w:tc>
        <w:tc>
          <w:tcPr>
            <w:tcW w:w="0" w:type="auto"/>
            <w:tcMar>
              <w:top w:w="0" w:type="dxa"/>
              <w:left w:w="115" w:type="dxa"/>
              <w:bottom w:w="0" w:type="dxa"/>
              <w:right w:w="115" w:type="dxa"/>
            </w:tcMar>
            <w:vAlign w:val="center"/>
            <w:hideMark/>
          </w:tcPr>
          <w:p w14:paraId="38B4895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0.0087***</w:t>
            </w:r>
          </w:p>
        </w:tc>
        <w:tc>
          <w:tcPr>
            <w:tcW w:w="0" w:type="auto"/>
            <w:tcMar>
              <w:top w:w="0" w:type="dxa"/>
              <w:left w:w="115" w:type="dxa"/>
              <w:bottom w:w="0" w:type="dxa"/>
              <w:right w:w="115" w:type="dxa"/>
            </w:tcMar>
            <w:vAlign w:val="center"/>
            <w:hideMark/>
          </w:tcPr>
          <w:p w14:paraId="0105BF4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5488A7A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-0.0026***</w:t>
            </w:r>
          </w:p>
        </w:tc>
        <w:tc>
          <w:tcPr>
            <w:tcW w:w="0" w:type="auto"/>
            <w:tcMar>
              <w:top w:w="0" w:type="dxa"/>
              <w:left w:w="115" w:type="dxa"/>
              <w:bottom w:w="0" w:type="dxa"/>
              <w:right w:w="115" w:type="dxa"/>
            </w:tcMar>
            <w:vAlign w:val="center"/>
            <w:hideMark/>
          </w:tcPr>
          <w:p w14:paraId="1994210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-0.0006***</w:t>
            </w:r>
          </w:p>
        </w:tc>
        <w:tc>
          <w:tcPr>
            <w:tcW w:w="0" w:type="auto"/>
            <w:tcMar>
              <w:top w:w="0" w:type="dxa"/>
              <w:left w:w="115" w:type="dxa"/>
              <w:bottom w:w="0" w:type="dxa"/>
              <w:right w:w="115" w:type="dxa"/>
            </w:tcMar>
            <w:vAlign w:val="center"/>
            <w:hideMark/>
          </w:tcPr>
          <w:p w14:paraId="62C42F22" w14:textId="77777777" w:rsidR="00C033B5" w:rsidRPr="00746567" w:rsidRDefault="00C033B5" w:rsidP="00C033B5">
            <w:pPr>
              <w:rPr>
                <w:rFonts w:asciiTheme="majorBidi" w:hAnsiTheme="majorBidi" w:cstheme="majorBidi"/>
              </w:rPr>
            </w:pPr>
            <w:r w:rsidRPr="00746567">
              <w:rPr>
                <w:rFonts w:asciiTheme="majorBidi" w:hAnsiTheme="majorBidi" w:cstheme="majorBidi"/>
              </w:rPr>
              <w:t>0.3050***</w:t>
            </w:r>
          </w:p>
        </w:tc>
        <w:tc>
          <w:tcPr>
            <w:tcW w:w="0" w:type="auto"/>
            <w:tcMar>
              <w:top w:w="0" w:type="dxa"/>
              <w:left w:w="115" w:type="dxa"/>
              <w:bottom w:w="0" w:type="dxa"/>
              <w:right w:w="115" w:type="dxa"/>
            </w:tcMar>
            <w:vAlign w:val="center"/>
            <w:hideMark/>
          </w:tcPr>
          <w:p w14:paraId="1B51158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0.0006***</w:t>
            </w:r>
          </w:p>
        </w:tc>
        <w:tc>
          <w:tcPr>
            <w:tcW w:w="0" w:type="auto"/>
            <w:tcMar>
              <w:top w:w="0" w:type="dxa"/>
              <w:left w:w="115" w:type="dxa"/>
              <w:bottom w:w="0" w:type="dxa"/>
              <w:right w:w="115" w:type="dxa"/>
            </w:tcMar>
            <w:vAlign w:val="center"/>
            <w:hideMark/>
          </w:tcPr>
          <w:p w14:paraId="10B39E4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-0.0011**</w:t>
            </w:r>
          </w:p>
        </w:tc>
        <w:tc>
          <w:tcPr>
            <w:tcW w:w="0" w:type="auto"/>
            <w:tcMar>
              <w:top w:w="0" w:type="dxa"/>
              <w:left w:w="115" w:type="dxa"/>
              <w:bottom w:w="0" w:type="dxa"/>
              <w:right w:w="115" w:type="dxa"/>
            </w:tcMar>
            <w:vAlign w:val="center"/>
            <w:hideMark/>
          </w:tcPr>
          <w:p w14:paraId="55CBF98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-0.0003</w:t>
            </w:r>
          </w:p>
        </w:tc>
      </w:tr>
      <w:tr w:rsidR="00C033B5" w:rsidRPr="00746567" w14:paraId="7B2E485B" w14:textId="77777777">
        <w:trPr>
          <w:trHeight w:val="20"/>
        </w:trPr>
        <w:tc>
          <w:tcPr>
            <w:tcW w:w="0" w:type="auto"/>
            <w:tcMar>
              <w:top w:w="0" w:type="dxa"/>
              <w:left w:w="115" w:type="dxa"/>
              <w:bottom w:w="0" w:type="dxa"/>
              <w:right w:w="115" w:type="dxa"/>
            </w:tcMar>
            <w:vAlign w:val="center"/>
            <w:hideMark/>
          </w:tcPr>
          <w:p w14:paraId="0227A92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690B8F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3914FBB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(0.0003)</w:t>
            </w:r>
          </w:p>
        </w:tc>
        <w:tc>
          <w:tcPr>
            <w:tcW w:w="0" w:type="auto"/>
            <w:tcMar>
              <w:top w:w="0" w:type="dxa"/>
              <w:left w:w="115" w:type="dxa"/>
              <w:bottom w:w="0" w:type="dxa"/>
              <w:right w:w="115" w:type="dxa"/>
            </w:tcMar>
            <w:vAlign w:val="center"/>
            <w:hideMark/>
          </w:tcPr>
          <w:p w14:paraId="750911A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(0.0005)</w:t>
            </w:r>
          </w:p>
        </w:tc>
        <w:tc>
          <w:tcPr>
            <w:tcW w:w="0" w:type="auto"/>
            <w:tcMar>
              <w:top w:w="0" w:type="dxa"/>
              <w:left w:w="115" w:type="dxa"/>
              <w:bottom w:w="0" w:type="dxa"/>
              <w:right w:w="115" w:type="dxa"/>
            </w:tcMar>
            <w:vAlign w:val="center"/>
            <w:hideMark/>
          </w:tcPr>
          <w:p w14:paraId="77F7887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6E3B11A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(0.0005)</w:t>
            </w:r>
          </w:p>
        </w:tc>
        <w:tc>
          <w:tcPr>
            <w:tcW w:w="0" w:type="auto"/>
            <w:tcMar>
              <w:top w:w="0" w:type="dxa"/>
              <w:left w:w="115" w:type="dxa"/>
              <w:bottom w:w="0" w:type="dxa"/>
              <w:right w:w="115" w:type="dxa"/>
            </w:tcMar>
            <w:vAlign w:val="center"/>
            <w:hideMark/>
          </w:tcPr>
          <w:p w14:paraId="6B21E89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0EE50BD4" w14:textId="77777777" w:rsidR="00C033B5" w:rsidRPr="00746567" w:rsidRDefault="00C033B5" w:rsidP="00C033B5">
            <w:pPr>
              <w:rPr>
                <w:rFonts w:asciiTheme="majorBidi" w:hAnsiTheme="majorBidi" w:cstheme="majorBidi"/>
              </w:rPr>
            </w:pPr>
            <w:r w:rsidRPr="00746567">
              <w:rPr>
                <w:rFonts w:asciiTheme="majorBidi" w:hAnsiTheme="majorBidi" w:cstheme="majorBidi"/>
              </w:rPr>
              <w:t>(0.0147)</w:t>
            </w:r>
          </w:p>
        </w:tc>
        <w:tc>
          <w:tcPr>
            <w:tcW w:w="0" w:type="auto"/>
            <w:tcMar>
              <w:top w:w="0" w:type="dxa"/>
              <w:left w:w="115" w:type="dxa"/>
              <w:bottom w:w="0" w:type="dxa"/>
              <w:right w:w="115" w:type="dxa"/>
            </w:tcMar>
            <w:vAlign w:val="center"/>
            <w:hideMark/>
          </w:tcPr>
          <w:p w14:paraId="04037A3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147369C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(0.0005)</w:t>
            </w:r>
          </w:p>
        </w:tc>
        <w:tc>
          <w:tcPr>
            <w:tcW w:w="0" w:type="auto"/>
            <w:tcMar>
              <w:top w:w="0" w:type="dxa"/>
              <w:left w:w="115" w:type="dxa"/>
              <w:bottom w:w="0" w:type="dxa"/>
              <w:right w:w="115" w:type="dxa"/>
            </w:tcMar>
            <w:vAlign w:val="center"/>
            <w:hideMark/>
          </w:tcPr>
          <w:p w14:paraId="2AAE48D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r>
      <w:tr w:rsidR="00C033B5" w:rsidRPr="00746567" w14:paraId="426CB37E" w14:textId="77777777">
        <w:trPr>
          <w:trHeight w:val="20"/>
        </w:trPr>
        <w:tc>
          <w:tcPr>
            <w:tcW w:w="0" w:type="auto"/>
            <w:tcMar>
              <w:top w:w="0" w:type="dxa"/>
              <w:left w:w="115" w:type="dxa"/>
              <w:bottom w:w="0" w:type="dxa"/>
              <w:right w:w="115" w:type="dxa"/>
            </w:tcMar>
            <w:vAlign w:val="center"/>
            <w:hideMark/>
          </w:tcPr>
          <w:p w14:paraId="399AD7D9" w14:textId="77777777" w:rsidR="00C033B5" w:rsidRPr="00746567" w:rsidRDefault="00C033B5" w:rsidP="00C033B5">
            <w:pPr>
              <w:rPr>
                <w:rFonts w:asciiTheme="majorBidi" w:hAnsiTheme="majorBidi" w:cstheme="majorBidi"/>
              </w:rPr>
            </w:pPr>
            <w:r w:rsidRPr="00746567">
              <w:rPr>
                <w:rFonts w:asciiTheme="majorBidi" w:hAnsiTheme="majorBidi" w:cstheme="majorBidi"/>
              </w:rPr>
              <w:t>Term × Term</w:t>
            </w:r>
          </w:p>
        </w:tc>
        <w:tc>
          <w:tcPr>
            <w:tcW w:w="0" w:type="auto"/>
            <w:tcMar>
              <w:top w:w="0" w:type="dxa"/>
              <w:left w:w="115" w:type="dxa"/>
              <w:bottom w:w="0" w:type="dxa"/>
              <w:right w:w="115" w:type="dxa"/>
            </w:tcMar>
            <w:vAlign w:val="center"/>
            <w:hideMark/>
          </w:tcPr>
          <w:p w14:paraId="0457855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2CA3F8F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-0.0025***</w:t>
            </w:r>
          </w:p>
        </w:tc>
        <w:tc>
          <w:tcPr>
            <w:tcW w:w="0" w:type="auto"/>
            <w:tcMar>
              <w:top w:w="0" w:type="dxa"/>
              <w:left w:w="115" w:type="dxa"/>
              <w:bottom w:w="0" w:type="dxa"/>
              <w:right w:w="115" w:type="dxa"/>
            </w:tcMar>
            <w:vAlign w:val="center"/>
            <w:hideMark/>
          </w:tcPr>
          <w:p w14:paraId="299397DE"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1E35DB9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33615B0"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1CEAAEA5"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723AC223"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53369C85"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11F720E"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5E6777D3" w14:textId="77777777" w:rsidR="00C033B5" w:rsidRPr="00746567" w:rsidRDefault="00C033B5" w:rsidP="00C033B5">
            <w:pPr>
              <w:rPr>
                <w:rFonts w:asciiTheme="majorBidi" w:hAnsiTheme="majorBidi" w:cstheme="majorBidi"/>
              </w:rPr>
            </w:pPr>
          </w:p>
        </w:tc>
      </w:tr>
      <w:tr w:rsidR="00C033B5" w:rsidRPr="00746567" w14:paraId="2257EB76" w14:textId="77777777">
        <w:trPr>
          <w:trHeight w:val="20"/>
        </w:trPr>
        <w:tc>
          <w:tcPr>
            <w:tcW w:w="0" w:type="auto"/>
            <w:tcMar>
              <w:top w:w="0" w:type="dxa"/>
              <w:left w:w="115" w:type="dxa"/>
              <w:bottom w:w="0" w:type="dxa"/>
              <w:right w:w="115" w:type="dxa"/>
            </w:tcMar>
            <w:vAlign w:val="center"/>
            <w:hideMark/>
          </w:tcPr>
          <w:p w14:paraId="5F2EBA7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EB380C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67612D0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160A8A91"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D72A8A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2BCEF8D"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53EC8BE"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4A7F6A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AAEC934"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E698384"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0E73E8F" w14:textId="77777777" w:rsidR="00C033B5" w:rsidRPr="00746567" w:rsidRDefault="00C033B5" w:rsidP="00C033B5">
            <w:pPr>
              <w:rPr>
                <w:rFonts w:asciiTheme="majorBidi" w:hAnsiTheme="majorBidi" w:cstheme="majorBidi"/>
              </w:rPr>
            </w:pPr>
          </w:p>
        </w:tc>
      </w:tr>
      <w:tr w:rsidR="00C033B5" w:rsidRPr="00746567" w14:paraId="5A5E2081" w14:textId="77777777">
        <w:trPr>
          <w:trHeight w:val="20"/>
        </w:trPr>
        <w:tc>
          <w:tcPr>
            <w:tcW w:w="0" w:type="auto"/>
            <w:tcMar>
              <w:top w:w="0" w:type="dxa"/>
              <w:left w:w="115" w:type="dxa"/>
              <w:bottom w:w="0" w:type="dxa"/>
              <w:right w:w="115" w:type="dxa"/>
            </w:tcMar>
            <w:vAlign w:val="center"/>
            <w:hideMark/>
          </w:tcPr>
          <w:p w14:paraId="21F0DCD8" w14:textId="77777777" w:rsidR="00C033B5" w:rsidRPr="00746567" w:rsidRDefault="00C033B5" w:rsidP="00C033B5">
            <w:pPr>
              <w:rPr>
                <w:rFonts w:asciiTheme="majorBidi" w:hAnsiTheme="majorBidi" w:cstheme="majorBidi"/>
              </w:rPr>
            </w:pPr>
            <w:r w:rsidRPr="00746567">
              <w:rPr>
                <w:rFonts w:asciiTheme="majorBidi" w:hAnsiTheme="majorBidi" w:cstheme="majorBidi"/>
              </w:rPr>
              <w:t>Amount</w:t>
            </w:r>
          </w:p>
        </w:tc>
        <w:tc>
          <w:tcPr>
            <w:tcW w:w="0" w:type="auto"/>
            <w:tcMar>
              <w:top w:w="0" w:type="dxa"/>
              <w:left w:w="115" w:type="dxa"/>
              <w:bottom w:w="0" w:type="dxa"/>
              <w:right w:w="115" w:type="dxa"/>
            </w:tcMar>
            <w:vAlign w:val="center"/>
            <w:hideMark/>
          </w:tcPr>
          <w:p w14:paraId="30550F2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4A3420D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-0.0009***</w:t>
            </w:r>
          </w:p>
        </w:tc>
        <w:tc>
          <w:tcPr>
            <w:tcW w:w="0" w:type="auto"/>
            <w:tcMar>
              <w:top w:w="0" w:type="dxa"/>
              <w:left w:w="115" w:type="dxa"/>
              <w:bottom w:w="0" w:type="dxa"/>
              <w:right w:w="115" w:type="dxa"/>
            </w:tcMar>
            <w:vAlign w:val="center"/>
            <w:hideMark/>
          </w:tcPr>
          <w:p w14:paraId="4CDCBCB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4B414FF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23A57E2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1EE4E28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4DD3186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365C0C9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045B1F2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36C5B92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r>
      <w:tr w:rsidR="00C033B5" w:rsidRPr="00746567" w14:paraId="7A8107AF" w14:textId="77777777">
        <w:trPr>
          <w:trHeight w:val="20"/>
        </w:trPr>
        <w:tc>
          <w:tcPr>
            <w:tcW w:w="0" w:type="auto"/>
            <w:tcMar>
              <w:top w:w="0" w:type="dxa"/>
              <w:left w:w="115" w:type="dxa"/>
              <w:bottom w:w="0" w:type="dxa"/>
              <w:right w:w="115" w:type="dxa"/>
            </w:tcMar>
            <w:vAlign w:val="center"/>
            <w:hideMark/>
          </w:tcPr>
          <w:p w14:paraId="6811EC4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2A30DF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145C1F0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2D1EA53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0BB4CA6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31C5BDB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0A0AF4D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615F7EC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279035C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626BA25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5640441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r>
      <w:tr w:rsidR="00C033B5" w:rsidRPr="00746567" w14:paraId="499DB992" w14:textId="77777777">
        <w:trPr>
          <w:trHeight w:val="20"/>
        </w:trPr>
        <w:tc>
          <w:tcPr>
            <w:tcW w:w="0" w:type="auto"/>
            <w:tcMar>
              <w:top w:w="0" w:type="dxa"/>
              <w:left w:w="115" w:type="dxa"/>
              <w:bottom w:w="0" w:type="dxa"/>
              <w:right w:w="115" w:type="dxa"/>
            </w:tcMar>
            <w:vAlign w:val="center"/>
            <w:hideMark/>
          </w:tcPr>
          <w:p w14:paraId="4310C2E7"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Riskscore</w:t>
            </w:r>
            <w:proofErr w:type="spellEnd"/>
          </w:p>
        </w:tc>
        <w:tc>
          <w:tcPr>
            <w:tcW w:w="0" w:type="auto"/>
            <w:tcMar>
              <w:top w:w="0" w:type="dxa"/>
              <w:left w:w="115" w:type="dxa"/>
              <w:bottom w:w="0" w:type="dxa"/>
              <w:right w:w="115" w:type="dxa"/>
            </w:tcMar>
            <w:vAlign w:val="center"/>
            <w:hideMark/>
          </w:tcPr>
          <w:p w14:paraId="7511FB58" w14:textId="77777777" w:rsidR="00C033B5" w:rsidRPr="00746567" w:rsidRDefault="00C033B5" w:rsidP="00C033B5">
            <w:pPr>
              <w:rPr>
                <w:rFonts w:asciiTheme="majorBidi" w:hAnsiTheme="majorBidi" w:cstheme="majorBidi"/>
              </w:rPr>
            </w:pPr>
            <w:r w:rsidRPr="00746567">
              <w:rPr>
                <w:rFonts w:asciiTheme="majorBidi" w:hAnsiTheme="majorBidi" w:cstheme="majorBidi"/>
              </w:rPr>
              <w:t>-0.0113***</w:t>
            </w:r>
          </w:p>
        </w:tc>
        <w:tc>
          <w:tcPr>
            <w:tcW w:w="0" w:type="auto"/>
            <w:tcMar>
              <w:top w:w="0" w:type="dxa"/>
              <w:left w:w="115" w:type="dxa"/>
              <w:bottom w:w="0" w:type="dxa"/>
              <w:right w:w="115" w:type="dxa"/>
            </w:tcMar>
            <w:vAlign w:val="center"/>
            <w:hideMark/>
          </w:tcPr>
          <w:p w14:paraId="4DE4609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-0.0014***</w:t>
            </w:r>
          </w:p>
        </w:tc>
        <w:tc>
          <w:tcPr>
            <w:tcW w:w="0" w:type="auto"/>
            <w:tcMar>
              <w:top w:w="0" w:type="dxa"/>
              <w:left w:w="115" w:type="dxa"/>
              <w:bottom w:w="0" w:type="dxa"/>
              <w:right w:w="115" w:type="dxa"/>
            </w:tcMar>
            <w:vAlign w:val="center"/>
            <w:hideMark/>
          </w:tcPr>
          <w:p w14:paraId="4D5A8A59" w14:textId="77777777" w:rsidR="00C033B5" w:rsidRPr="00746567" w:rsidRDefault="00C033B5" w:rsidP="00C033B5">
            <w:pPr>
              <w:rPr>
                <w:rFonts w:asciiTheme="majorBidi" w:hAnsiTheme="majorBidi" w:cstheme="majorBidi"/>
              </w:rPr>
            </w:pPr>
            <w:r w:rsidRPr="00746567">
              <w:rPr>
                <w:rFonts w:asciiTheme="majorBidi" w:hAnsiTheme="majorBidi" w:cstheme="majorBidi"/>
              </w:rPr>
              <w:t>-0.4856***</w:t>
            </w:r>
          </w:p>
        </w:tc>
        <w:tc>
          <w:tcPr>
            <w:tcW w:w="0" w:type="auto"/>
            <w:tcMar>
              <w:top w:w="0" w:type="dxa"/>
              <w:left w:w="115" w:type="dxa"/>
              <w:bottom w:w="0" w:type="dxa"/>
              <w:right w:w="115" w:type="dxa"/>
            </w:tcMar>
            <w:vAlign w:val="center"/>
            <w:hideMark/>
          </w:tcPr>
          <w:p w14:paraId="257A5E16" w14:textId="77777777" w:rsidR="00C033B5" w:rsidRPr="00746567" w:rsidRDefault="00C033B5" w:rsidP="00C033B5">
            <w:pPr>
              <w:rPr>
                <w:rFonts w:asciiTheme="majorBidi" w:hAnsiTheme="majorBidi" w:cstheme="majorBidi"/>
              </w:rPr>
            </w:pPr>
            <w:r w:rsidRPr="00746567">
              <w:rPr>
                <w:rFonts w:asciiTheme="majorBidi" w:hAnsiTheme="majorBidi" w:cstheme="majorBidi"/>
              </w:rPr>
              <w:t>-.0013***</w:t>
            </w:r>
          </w:p>
        </w:tc>
        <w:tc>
          <w:tcPr>
            <w:tcW w:w="0" w:type="auto"/>
            <w:tcMar>
              <w:top w:w="0" w:type="dxa"/>
              <w:left w:w="115" w:type="dxa"/>
              <w:bottom w:w="0" w:type="dxa"/>
              <w:right w:w="115" w:type="dxa"/>
            </w:tcMar>
            <w:vAlign w:val="center"/>
            <w:hideMark/>
          </w:tcPr>
          <w:p w14:paraId="62783F17" w14:textId="77777777" w:rsidR="00C033B5" w:rsidRPr="00746567" w:rsidRDefault="00C033B5" w:rsidP="00C033B5">
            <w:pPr>
              <w:rPr>
                <w:rFonts w:asciiTheme="majorBidi" w:hAnsiTheme="majorBidi" w:cstheme="majorBidi"/>
              </w:rPr>
            </w:pPr>
            <w:r w:rsidRPr="00746567">
              <w:rPr>
                <w:rFonts w:asciiTheme="majorBidi" w:hAnsiTheme="majorBidi" w:cstheme="majorBidi"/>
              </w:rPr>
              <w:t>0.5501***</w:t>
            </w:r>
          </w:p>
        </w:tc>
        <w:tc>
          <w:tcPr>
            <w:tcW w:w="0" w:type="auto"/>
            <w:tcMar>
              <w:top w:w="0" w:type="dxa"/>
              <w:left w:w="115" w:type="dxa"/>
              <w:bottom w:w="0" w:type="dxa"/>
              <w:right w:w="115" w:type="dxa"/>
            </w:tcMar>
            <w:vAlign w:val="center"/>
            <w:hideMark/>
          </w:tcPr>
          <w:p w14:paraId="3A195209" w14:textId="77777777" w:rsidR="00C033B5" w:rsidRPr="00746567" w:rsidRDefault="00C033B5" w:rsidP="00C033B5">
            <w:pPr>
              <w:rPr>
                <w:rFonts w:asciiTheme="majorBidi" w:hAnsiTheme="majorBidi" w:cstheme="majorBidi"/>
              </w:rPr>
            </w:pPr>
            <w:r w:rsidRPr="00746567">
              <w:rPr>
                <w:rFonts w:asciiTheme="majorBidi" w:hAnsiTheme="majorBidi" w:cstheme="majorBidi"/>
              </w:rPr>
              <w:t>0.1413***</w:t>
            </w:r>
          </w:p>
        </w:tc>
        <w:tc>
          <w:tcPr>
            <w:tcW w:w="0" w:type="auto"/>
            <w:tcMar>
              <w:top w:w="0" w:type="dxa"/>
              <w:left w:w="115" w:type="dxa"/>
              <w:bottom w:w="0" w:type="dxa"/>
              <w:right w:w="115" w:type="dxa"/>
            </w:tcMar>
            <w:vAlign w:val="center"/>
            <w:hideMark/>
          </w:tcPr>
          <w:p w14:paraId="786D06B2" w14:textId="77777777" w:rsidR="00C033B5" w:rsidRPr="00746567" w:rsidRDefault="00C033B5" w:rsidP="00C033B5">
            <w:pPr>
              <w:rPr>
                <w:rFonts w:asciiTheme="majorBidi" w:hAnsiTheme="majorBidi" w:cstheme="majorBidi"/>
              </w:rPr>
            </w:pPr>
            <w:r w:rsidRPr="00746567">
              <w:rPr>
                <w:rFonts w:asciiTheme="majorBidi" w:hAnsiTheme="majorBidi" w:cstheme="majorBidi"/>
              </w:rPr>
              <w:t>-0.6373***</w:t>
            </w:r>
          </w:p>
        </w:tc>
        <w:tc>
          <w:tcPr>
            <w:tcW w:w="0" w:type="auto"/>
            <w:tcMar>
              <w:top w:w="0" w:type="dxa"/>
              <w:left w:w="115" w:type="dxa"/>
              <w:bottom w:w="0" w:type="dxa"/>
              <w:right w:w="115" w:type="dxa"/>
            </w:tcMar>
            <w:vAlign w:val="center"/>
            <w:hideMark/>
          </w:tcPr>
          <w:p w14:paraId="09A6DC4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-0.0013***</w:t>
            </w:r>
          </w:p>
        </w:tc>
        <w:tc>
          <w:tcPr>
            <w:tcW w:w="0" w:type="auto"/>
            <w:tcMar>
              <w:top w:w="0" w:type="dxa"/>
              <w:left w:w="115" w:type="dxa"/>
              <w:bottom w:w="0" w:type="dxa"/>
              <w:right w:w="115" w:type="dxa"/>
            </w:tcMar>
            <w:vAlign w:val="center"/>
            <w:hideMark/>
          </w:tcPr>
          <w:p w14:paraId="615DE603" w14:textId="77777777" w:rsidR="00C033B5" w:rsidRPr="00746567" w:rsidRDefault="00C033B5" w:rsidP="00C033B5">
            <w:pPr>
              <w:rPr>
                <w:rFonts w:asciiTheme="majorBidi" w:hAnsiTheme="majorBidi" w:cstheme="majorBidi"/>
              </w:rPr>
            </w:pPr>
            <w:r w:rsidRPr="00746567">
              <w:rPr>
                <w:rFonts w:asciiTheme="majorBidi" w:hAnsiTheme="majorBidi" w:cstheme="majorBidi"/>
              </w:rPr>
              <w:t>0.4816***</w:t>
            </w:r>
          </w:p>
        </w:tc>
        <w:tc>
          <w:tcPr>
            <w:tcW w:w="0" w:type="auto"/>
            <w:tcMar>
              <w:top w:w="0" w:type="dxa"/>
              <w:left w:w="115" w:type="dxa"/>
              <w:bottom w:w="0" w:type="dxa"/>
              <w:right w:w="115" w:type="dxa"/>
            </w:tcMar>
            <w:vAlign w:val="center"/>
            <w:hideMark/>
          </w:tcPr>
          <w:p w14:paraId="6A4DE6D7" w14:textId="77777777" w:rsidR="00C033B5" w:rsidRPr="00746567" w:rsidRDefault="00C033B5" w:rsidP="00C033B5">
            <w:pPr>
              <w:rPr>
                <w:rFonts w:asciiTheme="majorBidi" w:hAnsiTheme="majorBidi" w:cstheme="majorBidi"/>
              </w:rPr>
            </w:pPr>
            <w:r w:rsidRPr="00746567">
              <w:rPr>
                <w:rFonts w:asciiTheme="majorBidi" w:hAnsiTheme="majorBidi" w:cstheme="majorBidi"/>
              </w:rPr>
              <w:t>0.1173</w:t>
            </w:r>
          </w:p>
        </w:tc>
      </w:tr>
      <w:tr w:rsidR="00C033B5" w:rsidRPr="00746567" w14:paraId="0ECDC14A" w14:textId="77777777">
        <w:trPr>
          <w:trHeight w:val="20"/>
        </w:trPr>
        <w:tc>
          <w:tcPr>
            <w:tcW w:w="0" w:type="auto"/>
            <w:tcMar>
              <w:top w:w="0" w:type="dxa"/>
              <w:left w:w="115" w:type="dxa"/>
              <w:bottom w:w="0" w:type="dxa"/>
              <w:right w:w="115" w:type="dxa"/>
            </w:tcMar>
            <w:vAlign w:val="center"/>
            <w:hideMark/>
          </w:tcPr>
          <w:p w14:paraId="42E4EC5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34C427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7F9F90A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277DF977" w14:textId="77777777" w:rsidR="00C033B5" w:rsidRPr="00746567" w:rsidRDefault="00C033B5" w:rsidP="00C033B5">
            <w:pPr>
              <w:rPr>
                <w:rFonts w:asciiTheme="majorBidi" w:hAnsiTheme="majorBidi" w:cstheme="majorBidi"/>
              </w:rPr>
            </w:pPr>
            <w:r w:rsidRPr="00746567">
              <w:rPr>
                <w:rFonts w:asciiTheme="majorBidi" w:hAnsiTheme="majorBidi" w:cstheme="majorBidi"/>
              </w:rPr>
              <w:t>(0.0509)</w:t>
            </w:r>
          </w:p>
        </w:tc>
        <w:tc>
          <w:tcPr>
            <w:tcW w:w="0" w:type="auto"/>
            <w:tcMar>
              <w:top w:w="0" w:type="dxa"/>
              <w:left w:w="115" w:type="dxa"/>
              <w:bottom w:w="0" w:type="dxa"/>
              <w:right w:w="115" w:type="dxa"/>
            </w:tcMar>
            <w:vAlign w:val="center"/>
            <w:hideMark/>
          </w:tcPr>
          <w:p w14:paraId="26D8222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4CA1DB93" w14:textId="77777777" w:rsidR="00C033B5" w:rsidRPr="00746567" w:rsidRDefault="00C033B5" w:rsidP="00C033B5">
            <w:pPr>
              <w:rPr>
                <w:rFonts w:asciiTheme="majorBidi" w:hAnsiTheme="majorBidi" w:cstheme="majorBidi"/>
              </w:rPr>
            </w:pPr>
            <w:r w:rsidRPr="00746567">
              <w:rPr>
                <w:rFonts w:asciiTheme="majorBidi" w:hAnsiTheme="majorBidi" w:cstheme="majorBidi"/>
              </w:rPr>
              <w:t>(0.0127)</w:t>
            </w:r>
          </w:p>
        </w:tc>
        <w:tc>
          <w:tcPr>
            <w:tcW w:w="0" w:type="auto"/>
            <w:tcMar>
              <w:top w:w="0" w:type="dxa"/>
              <w:left w:w="115" w:type="dxa"/>
              <w:bottom w:w="0" w:type="dxa"/>
              <w:right w:w="115" w:type="dxa"/>
            </w:tcMar>
            <w:vAlign w:val="center"/>
            <w:hideMark/>
          </w:tcPr>
          <w:p w14:paraId="787167D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(0.0032)</w:t>
            </w:r>
          </w:p>
        </w:tc>
        <w:tc>
          <w:tcPr>
            <w:tcW w:w="0" w:type="auto"/>
            <w:tcMar>
              <w:top w:w="0" w:type="dxa"/>
              <w:left w:w="115" w:type="dxa"/>
              <w:bottom w:w="0" w:type="dxa"/>
              <w:right w:w="115" w:type="dxa"/>
            </w:tcMar>
            <w:vAlign w:val="center"/>
            <w:hideMark/>
          </w:tcPr>
          <w:p w14:paraId="31A9DAAE" w14:textId="77777777" w:rsidR="00C033B5" w:rsidRPr="00746567" w:rsidRDefault="00C033B5" w:rsidP="00C033B5">
            <w:pPr>
              <w:rPr>
                <w:rFonts w:asciiTheme="majorBidi" w:hAnsiTheme="majorBidi" w:cstheme="majorBidi"/>
              </w:rPr>
            </w:pPr>
            <w:r w:rsidRPr="00746567">
              <w:rPr>
                <w:rFonts w:asciiTheme="majorBidi" w:hAnsiTheme="majorBidi" w:cstheme="majorBidi"/>
              </w:rPr>
              <w:t>(0.0794)</w:t>
            </w:r>
          </w:p>
        </w:tc>
        <w:tc>
          <w:tcPr>
            <w:tcW w:w="0" w:type="auto"/>
            <w:tcMar>
              <w:top w:w="0" w:type="dxa"/>
              <w:left w:w="115" w:type="dxa"/>
              <w:bottom w:w="0" w:type="dxa"/>
              <w:right w:w="115" w:type="dxa"/>
            </w:tcMar>
            <w:vAlign w:val="center"/>
            <w:hideMark/>
          </w:tcPr>
          <w:p w14:paraId="5C371FF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49D185D8" w14:textId="77777777" w:rsidR="00C033B5" w:rsidRPr="00746567" w:rsidRDefault="00C033B5" w:rsidP="00C033B5">
            <w:pPr>
              <w:rPr>
                <w:rFonts w:asciiTheme="majorBidi" w:hAnsiTheme="majorBidi" w:cstheme="majorBidi"/>
              </w:rPr>
            </w:pPr>
            <w:r w:rsidRPr="00746567">
              <w:rPr>
                <w:rFonts w:asciiTheme="majorBidi" w:hAnsiTheme="majorBidi" w:cstheme="majorBidi"/>
              </w:rPr>
              <w:t>(0.0126)</w:t>
            </w:r>
          </w:p>
        </w:tc>
        <w:tc>
          <w:tcPr>
            <w:tcW w:w="0" w:type="auto"/>
            <w:tcMar>
              <w:top w:w="0" w:type="dxa"/>
              <w:left w:w="115" w:type="dxa"/>
              <w:bottom w:w="0" w:type="dxa"/>
              <w:right w:w="115" w:type="dxa"/>
            </w:tcMar>
            <w:vAlign w:val="center"/>
            <w:hideMark/>
          </w:tcPr>
          <w:p w14:paraId="06087DC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(0.0030)</w:t>
            </w:r>
          </w:p>
        </w:tc>
      </w:tr>
      <w:tr w:rsidR="00C033B5" w:rsidRPr="00746567" w14:paraId="286D43C2" w14:textId="77777777">
        <w:trPr>
          <w:trHeight w:val="20"/>
        </w:trPr>
        <w:tc>
          <w:tcPr>
            <w:tcW w:w="0" w:type="auto"/>
            <w:tcMar>
              <w:top w:w="0" w:type="dxa"/>
              <w:left w:w="115" w:type="dxa"/>
              <w:bottom w:w="0" w:type="dxa"/>
              <w:right w:w="115" w:type="dxa"/>
            </w:tcMar>
            <w:vAlign w:val="center"/>
            <w:hideMark/>
          </w:tcPr>
          <w:p w14:paraId="067CFBBE" w14:textId="77777777" w:rsidR="00C033B5" w:rsidRPr="00746567" w:rsidRDefault="00C033B5" w:rsidP="00C033B5">
            <w:pPr>
              <w:rPr>
                <w:rFonts w:asciiTheme="majorBidi" w:hAnsiTheme="majorBidi" w:cstheme="majorBidi"/>
              </w:rPr>
            </w:pPr>
            <w:r w:rsidRPr="00746567">
              <w:rPr>
                <w:rFonts w:asciiTheme="majorBidi" w:hAnsiTheme="majorBidi" w:cstheme="majorBidi"/>
              </w:rPr>
              <w:t>Interest</w:t>
            </w:r>
          </w:p>
        </w:tc>
        <w:tc>
          <w:tcPr>
            <w:tcW w:w="0" w:type="auto"/>
            <w:tcMar>
              <w:top w:w="0" w:type="dxa"/>
              <w:left w:w="115" w:type="dxa"/>
              <w:bottom w:w="0" w:type="dxa"/>
              <w:right w:w="115" w:type="dxa"/>
            </w:tcMar>
            <w:vAlign w:val="center"/>
            <w:hideMark/>
          </w:tcPr>
          <w:p w14:paraId="03D262EC"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3929A25F"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0D46D78E" w14:textId="77777777" w:rsidR="00C033B5" w:rsidRPr="00746567" w:rsidRDefault="00C033B5" w:rsidP="00C033B5">
            <w:pPr>
              <w:rPr>
                <w:rFonts w:asciiTheme="majorBidi" w:hAnsiTheme="majorBidi" w:cstheme="majorBidi"/>
              </w:rPr>
            </w:pPr>
            <w:r w:rsidRPr="00746567">
              <w:rPr>
                <w:rFonts w:asciiTheme="majorBidi" w:hAnsiTheme="majorBidi" w:cstheme="majorBidi"/>
              </w:rPr>
              <w:t>-18.5971***</w:t>
            </w:r>
          </w:p>
        </w:tc>
        <w:tc>
          <w:tcPr>
            <w:tcW w:w="0" w:type="auto"/>
            <w:tcMar>
              <w:top w:w="0" w:type="dxa"/>
              <w:left w:w="115" w:type="dxa"/>
              <w:bottom w:w="0" w:type="dxa"/>
              <w:right w:w="115" w:type="dxa"/>
            </w:tcMar>
            <w:vAlign w:val="center"/>
            <w:hideMark/>
          </w:tcPr>
          <w:p w14:paraId="71C8092C" w14:textId="77777777" w:rsidR="00C033B5" w:rsidRPr="00746567" w:rsidRDefault="00C033B5" w:rsidP="00C033B5">
            <w:pPr>
              <w:rPr>
                <w:rFonts w:asciiTheme="majorBidi" w:hAnsiTheme="majorBidi" w:cstheme="majorBidi"/>
              </w:rPr>
            </w:pPr>
            <w:r w:rsidRPr="00746567">
              <w:rPr>
                <w:rFonts w:asciiTheme="majorBidi" w:hAnsiTheme="majorBidi" w:cstheme="majorBidi"/>
              </w:rPr>
              <w:t>-0.0498***</w:t>
            </w:r>
          </w:p>
        </w:tc>
        <w:tc>
          <w:tcPr>
            <w:tcW w:w="0" w:type="auto"/>
            <w:tcMar>
              <w:top w:w="0" w:type="dxa"/>
              <w:left w:w="115" w:type="dxa"/>
              <w:bottom w:w="0" w:type="dxa"/>
              <w:right w:w="115" w:type="dxa"/>
            </w:tcMar>
            <w:vAlign w:val="center"/>
            <w:hideMark/>
          </w:tcPr>
          <w:p w14:paraId="2214CBBB" w14:textId="77777777" w:rsidR="00C033B5" w:rsidRPr="00746567" w:rsidRDefault="00C033B5" w:rsidP="00C033B5">
            <w:pPr>
              <w:rPr>
                <w:rFonts w:asciiTheme="majorBidi" w:hAnsiTheme="majorBidi" w:cstheme="majorBidi"/>
              </w:rPr>
            </w:pPr>
            <w:r w:rsidRPr="00746567">
              <w:rPr>
                <w:rFonts w:asciiTheme="majorBidi" w:hAnsiTheme="majorBidi" w:cstheme="majorBidi"/>
              </w:rPr>
              <w:t>2.7254***</w:t>
            </w:r>
          </w:p>
        </w:tc>
        <w:tc>
          <w:tcPr>
            <w:tcW w:w="0" w:type="auto"/>
            <w:tcMar>
              <w:top w:w="0" w:type="dxa"/>
              <w:left w:w="115" w:type="dxa"/>
              <w:bottom w:w="0" w:type="dxa"/>
              <w:right w:w="115" w:type="dxa"/>
            </w:tcMar>
            <w:vAlign w:val="center"/>
            <w:hideMark/>
          </w:tcPr>
          <w:p w14:paraId="12D88A65" w14:textId="77777777" w:rsidR="00C033B5" w:rsidRPr="00746567" w:rsidRDefault="00C033B5" w:rsidP="00C033B5">
            <w:pPr>
              <w:rPr>
                <w:rFonts w:asciiTheme="majorBidi" w:hAnsiTheme="majorBidi" w:cstheme="majorBidi"/>
              </w:rPr>
            </w:pPr>
            <w:r w:rsidRPr="00746567">
              <w:rPr>
                <w:rFonts w:asciiTheme="majorBidi" w:hAnsiTheme="majorBidi" w:cstheme="majorBidi"/>
              </w:rPr>
              <w:t>0.7001***</w:t>
            </w:r>
          </w:p>
        </w:tc>
        <w:tc>
          <w:tcPr>
            <w:tcW w:w="0" w:type="auto"/>
            <w:tcMar>
              <w:top w:w="0" w:type="dxa"/>
              <w:left w:w="115" w:type="dxa"/>
              <w:bottom w:w="0" w:type="dxa"/>
              <w:right w:w="115" w:type="dxa"/>
            </w:tcMar>
            <w:vAlign w:val="center"/>
            <w:hideMark/>
          </w:tcPr>
          <w:p w14:paraId="184206C8" w14:textId="77777777" w:rsidR="00C033B5" w:rsidRPr="00746567" w:rsidRDefault="00C033B5" w:rsidP="00C033B5">
            <w:pPr>
              <w:rPr>
                <w:rFonts w:asciiTheme="majorBidi" w:hAnsiTheme="majorBidi" w:cstheme="majorBidi"/>
              </w:rPr>
            </w:pPr>
            <w:r w:rsidRPr="00746567">
              <w:rPr>
                <w:rFonts w:asciiTheme="majorBidi" w:hAnsiTheme="majorBidi" w:cstheme="majorBidi"/>
              </w:rPr>
              <w:t>-14.4654***</w:t>
            </w:r>
          </w:p>
        </w:tc>
        <w:tc>
          <w:tcPr>
            <w:tcW w:w="0" w:type="auto"/>
            <w:tcMar>
              <w:top w:w="0" w:type="dxa"/>
              <w:left w:w="115" w:type="dxa"/>
              <w:bottom w:w="0" w:type="dxa"/>
              <w:right w:w="115" w:type="dxa"/>
            </w:tcMar>
            <w:vAlign w:val="center"/>
            <w:hideMark/>
          </w:tcPr>
          <w:p w14:paraId="380AE213" w14:textId="77777777" w:rsidR="00C033B5" w:rsidRPr="00746567" w:rsidRDefault="00C033B5" w:rsidP="00C033B5">
            <w:pPr>
              <w:rPr>
                <w:rFonts w:asciiTheme="majorBidi" w:hAnsiTheme="majorBidi" w:cstheme="majorBidi"/>
              </w:rPr>
            </w:pPr>
            <w:r w:rsidRPr="00746567">
              <w:rPr>
                <w:rFonts w:asciiTheme="majorBidi" w:hAnsiTheme="majorBidi" w:cstheme="majorBidi"/>
              </w:rPr>
              <w:t>-0.0295***</w:t>
            </w:r>
          </w:p>
        </w:tc>
        <w:tc>
          <w:tcPr>
            <w:tcW w:w="0" w:type="auto"/>
            <w:tcMar>
              <w:top w:w="0" w:type="dxa"/>
              <w:left w:w="115" w:type="dxa"/>
              <w:bottom w:w="0" w:type="dxa"/>
              <w:right w:w="115" w:type="dxa"/>
            </w:tcMar>
            <w:vAlign w:val="center"/>
            <w:hideMark/>
          </w:tcPr>
          <w:p w14:paraId="148FCE51" w14:textId="77777777" w:rsidR="00C033B5" w:rsidRPr="00746567" w:rsidRDefault="00C033B5" w:rsidP="00C033B5">
            <w:pPr>
              <w:rPr>
                <w:rFonts w:asciiTheme="majorBidi" w:hAnsiTheme="majorBidi" w:cstheme="majorBidi"/>
              </w:rPr>
            </w:pPr>
            <w:r w:rsidRPr="00746567">
              <w:rPr>
                <w:rFonts w:asciiTheme="majorBidi" w:hAnsiTheme="majorBidi" w:cstheme="majorBidi"/>
              </w:rPr>
              <w:t>4.0409***</w:t>
            </w:r>
          </w:p>
        </w:tc>
        <w:tc>
          <w:tcPr>
            <w:tcW w:w="0" w:type="auto"/>
            <w:tcMar>
              <w:top w:w="0" w:type="dxa"/>
              <w:left w:w="115" w:type="dxa"/>
              <w:bottom w:w="0" w:type="dxa"/>
              <w:right w:w="115" w:type="dxa"/>
            </w:tcMar>
            <w:vAlign w:val="center"/>
            <w:hideMark/>
          </w:tcPr>
          <w:p w14:paraId="6BEAC3FA" w14:textId="77777777" w:rsidR="00C033B5" w:rsidRPr="00746567" w:rsidRDefault="00C033B5" w:rsidP="00C033B5">
            <w:pPr>
              <w:rPr>
                <w:rFonts w:asciiTheme="majorBidi" w:hAnsiTheme="majorBidi" w:cstheme="majorBidi"/>
              </w:rPr>
            </w:pPr>
            <w:r w:rsidRPr="00746567">
              <w:rPr>
                <w:rFonts w:asciiTheme="majorBidi" w:hAnsiTheme="majorBidi" w:cstheme="majorBidi"/>
              </w:rPr>
              <w:t>0.9838</w:t>
            </w:r>
          </w:p>
        </w:tc>
      </w:tr>
      <w:tr w:rsidR="00C033B5" w:rsidRPr="00746567" w14:paraId="67CA828F" w14:textId="77777777">
        <w:trPr>
          <w:trHeight w:val="20"/>
        </w:trPr>
        <w:tc>
          <w:tcPr>
            <w:tcW w:w="0" w:type="auto"/>
            <w:tcMar>
              <w:top w:w="0" w:type="dxa"/>
              <w:left w:w="115" w:type="dxa"/>
              <w:bottom w:w="0" w:type="dxa"/>
              <w:right w:w="115" w:type="dxa"/>
            </w:tcMar>
            <w:vAlign w:val="center"/>
            <w:hideMark/>
          </w:tcPr>
          <w:p w14:paraId="02CD3FB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712524F"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4EC59B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A3AE173" w14:textId="77777777" w:rsidR="00C033B5" w:rsidRPr="00746567" w:rsidRDefault="00C033B5" w:rsidP="00C033B5">
            <w:pPr>
              <w:rPr>
                <w:rFonts w:asciiTheme="majorBidi" w:hAnsiTheme="majorBidi" w:cstheme="majorBidi"/>
              </w:rPr>
            </w:pPr>
            <w:r w:rsidRPr="00746567">
              <w:rPr>
                <w:rFonts w:asciiTheme="majorBidi" w:hAnsiTheme="majorBidi" w:cstheme="majorBidi"/>
              </w:rPr>
              <w:t>(0.9371)</w:t>
            </w:r>
          </w:p>
        </w:tc>
        <w:tc>
          <w:tcPr>
            <w:tcW w:w="0" w:type="auto"/>
            <w:tcMar>
              <w:top w:w="0" w:type="dxa"/>
              <w:left w:w="115" w:type="dxa"/>
              <w:bottom w:w="0" w:type="dxa"/>
              <w:right w:w="115" w:type="dxa"/>
            </w:tcMar>
            <w:vAlign w:val="center"/>
            <w:hideMark/>
          </w:tcPr>
          <w:p w14:paraId="6FE7F16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(0.0026)</w:t>
            </w:r>
          </w:p>
        </w:tc>
        <w:tc>
          <w:tcPr>
            <w:tcW w:w="0" w:type="auto"/>
            <w:tcMar>
              <w:top w:w="0" w:type="dxa"/>
              <w:left w:w="115" w:type="dxa"/>
              <w:bottom w:w="0" w:type="dxa"/>
              <w:right w:w="115" w:type="dxa"/>
            </w:tcMar>
            <w:vAlign w:val="center"/>
            <w:hideMark/>
          </w:tcPr>
          <w:p w14:paraId="302533EB" w14:textId="77777777" w:rsidR="00C033B5" w:rsidRPr="00746567" w:rsidRDefault="00C033B5" w:rsidP="00C033B5">
            <w:pPr>
              <w:rPr>
                <w:rFonts w:asciiTheme="majorBidi" w:hAnsiTheme="majorBidi" w:cstheme="majorBidi"/>
              </w:rPr>
            </w:pPr>
            <w:r w:rsidRPr="00746567">
              <w:rPr>
                <w:rFonts w:asciiTheme="majorBidi" w:hAnsiTheme="majorBidi" w:cstheme="majorBidi"/>
              </w:rPr>
              <w:t>(0.2442)</w:t>
            </w:r>
          </w:p>
        </w:tc>
        <w:tc>
          <w:tcPr>
            <w:tcW w:w="0" w:type="auto"/>
            <w:tcMar>
              <w:top w:w="0" w:type="dxa"/>
              <w:left w:w="115" w:type="dxa"/>
              <w:bottom w:w="0" w:type="dxa"/>
              <w:right w:w="115" w:type="dxa"/>
            </w:tcMar>
            <w:vAlign w:val="center"/>
            <w:hideMark/>
          </w:tcPr>
          <w:p w14:paraId="1E459212" w14:textId="77777777" w:rsidR="00C033B5" w:rsidRPr="00746567" w:rsidRDefault="00C033B5" w:rsidP="00C033B5">
            <w:pPr>
              <w:rPr>
                <w:rFonts w:asciiTheme="majorBidi" w:hAnsiTheme="majorBidi" w:cstheme="majorBidi"/>
              </w:rPr>
            </w:pPr>
            <w:r w:rsidRPr="00746567">
              <w:rPr>
                <w:rFonts w:asciiTheme="majorBidi" w:hAnsiTheme="majorBidi" w:cstheme="majorBidi"/>
              </w:rPr>
              <w:t>(0.0626)</w:t>
            </w:r>
          </w:p>
        </w:tc>
        <w:tc>
          <w:tcPr>
            <w:tcW w:w="0" w:type="auto"/>
            <w:tcMar>
              <w:top w:w="0" w:type="dxa"/>
              <w:left w:w="115" w:type="dxa"/>
              <w:bottom w:w="0" w:type="dxa"/>
              <w:right w:w="115" w:type="dxa"/>
            </w:tcMar>
            <w:vAlign w:val="center"/>
            <w:hideMark/>
          </w:tcPr>
          <w:p w14:paraId="6E016BE4" w14:textId="77777777" w:rsidR="00C033B5" w:rsidRPr="00746567" w:rsidRDefault="00C033B5" w:rsidP="00C033B5">
            <w:pPr>
              <w:rPr>
                <w:rFonts w:asciiTheme="majorBidi" w:hAnsiTheme="majorBidi" w:cstheme="majorBidi"/>
              </w:rPr>
            </w:pPr>
            <w:r w:rsidRPr="00746567">
              <w:rPr>
                <w:rFonts w:asciiTheme="majorBidi" w:hAnsiTheme="majorBidi" w:cstheme="majorBidi"/>
              </w:rPr>
              <w:t>(1.0576)</w:t>
            </w:r>
          </w:p>
        </w:tc>
        <w:tc>
          <w:tcPr>
            <w:tcW w:w="0" w:type="auto"/>
            <w:tcMar>
              <w:top w:w="0" w:type="dxa"/>
              <w:left w:w="115" w:type="dxa"/>
              <w:bottom w:w="0" w:type="dxa"/>
              <w:right w:w="115" w:type="dxa"/>
            </w:tcMar>
            <w:vAlign w:val="center"/>
            <w:hideMark/>
          </w:tcPr>
          <w:p w14:paraId="4795023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(0.0022)</w:t>
            </w:r>
          </w:p>
        </w:tc>
        <w:tc>
          <w:tcPr>
            <w:tcW w:w="0" w:type="auto"/>
            <w:tcMar>
              <w:top w:w="0" w:type="dxa"/>
              <w:left w:w="115" w:type="dxa"/>
              <w:bottom w:w="0" w:type="dxa"/>
              <w:right w:w="115" w:type="dxa"/>
            </w:tcMar>
            <w:vAlign w:val="center"/>
            <w:hideMark/>
          </w:tcPr>
          <w:p w14:paraId="3A83B41B" w14:textId="77777777" w:rsidR="00C033B5" w:rsidRPr="00746567" w:rsidRDefault="00C033B5" w:rsidP="00C033B5">
            <w:pPr>
              <w:rPr>
                <w:rFonts w:asciiTheme="majorBidi" w:hAnsiTheme="majorBidi" w:cstheme="majorBidi"/>
              </w:rPr>
            </w:pPr>
            <w:r w:rsidRPr="00746567">
              <w:rPr>
                <w:rFonts w:asciiTheme="majorBidi" w:hAnsiTheme="majorBidi" w:cstheme="majorBidi"/>
              </w:rPr>
              <w:t>(0.2419)</w:t>
            </w:r>
          </w:p>
        </w:tc>
        <w:tc>
          <w:tcPr>
            <w:tcW w:w="0" w:type="auto"/>
            <w:tcMar>
              <w:top w:w="0" w:type="dxa"/>
              <w:left w:w="115" w:type="dxa"/>
              <w:bottom w:w="0" w:type="dxa"/>
              <w:right w:w="115" w:type="dxa"/>
            </w:tcMar>
            <w:vAlign w:val="center"/>
            <w:hideMark/>
          </w:tcPr>
          <w:p w14:paraId="69A13065" w14:textId="77777777" w:rsidR="00C033B5" w:rsidRPr="00746567" w:rsidRDefault="00C033B5" w:rsidP="00C033B5">
            <w:pPr>
              <w:rPr>
                <w:rFonts w:asciiTheme="majorBidi" w:hAnsiTheme="majorBidi" w:cstheme="majorBidi"/>
              </w:rPr>
            </w:pPr>
            <w:r w:rsidRPr="00746567">
              <w:rPr>
                <w:rFonts w:asciiTheme="majorBidi" w:hAnsiTheme="majorBidi" w:cstheme="majorBidi"/>
              </w:rPr>
              <w:t>(0.0588)</w:t>
            </w:r>
          </w:p>
        </w:tc>
      </w:tr>
      <w:tr w:rsidR="00C033B5" w:rsidRPr="00746567" w14:paraId="23560353" w14:textId="77777777">
        <w:trPr>
          <w:trHeight w:val="20"/>
        </w:trPr>
        <w:tc>
          <w:tcPr>
            <w:tcW w:w="0" w:type="auto"/>
            <w:tcMar>
              <w:top w:w="0" w:type="dxa"/>
              <w:left w:w="115" w:type="dxa"/>
              <w:bottom w:w="0" w:type="dxa"/>
              <w:right w:w="115" w:type="dxa"/>
            </w:tcMar>
            <w:vAlign w:val="center"/>
            <w:hideMark/>
          </w:tcPr>
          <w:p w14:paraId="5EFF890E" w14:textId="77777777" w:rsidR="00C033B5" w:rsidRPr="00746567" w:rsidRDefault="00C033B5" w:rsidP="00C033B5">
            <w:pPr>
              <w:rPr>
                <w:rFonts w:asciiTheme="majorBidi" w:hAnsiTheme="majorBidi" w:cstheme="majorBidi"/>
              </w:rPr>
            </w:pPr>
            <w:r w:rsidRPr="00746567">
              <w:rPr>
                <w:rFonts w:asciiTheme="majorBidi" w:hAnsiTheme="majorBidi" w:cstheme="majorBidi"/>
              </w:rPr>
              <w:t>Collateral</w:t>
            </w:r>
          </w:p>
        </w:tc>
        <w:tc>
          <w:tcPr>
            <w:tcW w:w="0" w:type="auto"/>
            <w:tcMar>
              <w:top w:w="0" w:type="dxa"/>
              <w:left w:w="115" w:type="dxa"/>
              <w:bottom w:w="0" w:type="dxa"/>
              <w:right w:w="115" w:type="dxa"/>
            </w:tcMar>
            <w:vAlign w:val="center"/>
            <w:hideMark/>
          </w:tcPr>
          <w:p w14:paraId="0C39C783" w14:textId="77777777" w:rsidR="00C033B5" w:rsidRPr="00746567" w:rsidRDefault="00C033B5" w:rsidP="00C033B5">
            <w:pPr>
              <w:rPr>
                <w:rFonts w:asciiTheme="majorBidi" w:hAnsiTheme="majorBidi" w:cstheme="majorBidi"/>
              </w:rPr>
            </w:pPr>
            <w:r w:rsidRPr="00746567">
              <w:rPr>
                <w:rFonts w:asciiTheme="majorBidi" w:hAnsiTheme="majorBidi" w:cstheme="majorBidi"/>
              </w:rPr>
              <w:t>-0.0139***</w:t>
            </w:r>
          </w:p>
        </w:tc>
        <w:tc>
          <w:tcPr>
            <w:tcW w:w="0" w:type="auto"/>
            <w:tcMar>
              <w:top w:w="0" w:type="dxa"/>
              <w:left w:w="115" w:type="dxa"/>
              <w:bottom w:w="0" w:type="dxa"/>
              <w:right w:w="115" w:type="dxa"/>
            </w:tcMar>
            <w:vAlign w:val="center"/>
            <w:hideMark/>
          </w:tcPr>
          <w:p w14:paraId="1FA7B5DF" w14:textId="77777777" w:rsidR="00C033B5" w:rsidRPr="00746567" w:rsidRDefault="00C033B5" w:rsidP="00C033B5">
            <w:pPr>
              <w:rPr>
                <w:rFonts w:asciiTheme="majorBidi" w:hAnsiTheme="majorBidi" w:cstheme="majorBidi"/>
              </w:rPr>
            </w:pPr>
            <w:r w:rsidRPr="00746567">
              <w:rPr>
                <w:rFonts w:asciiTheme="majorBidi" w:hAnsiTheme="majorBidi" w:cstheme="majorBidi"/>
              </w:rPr>
              <w:t>0.0706***</w:t>
            </w:r>
          </w:p>
        </w:tc>
        <w:tc>
          <w:tcPr>
            <w:tcW w:w="0" w:type="auto"/>
            <w:tcMar>
              <w:top w:w="0" w:type="dxa"/>
              <w:left w:w="115" w:type="dxa"/>
              <w:bottom w:w="0" w:type="dxa"/>
              <w:right w:w="115" w:type="dxa"/>
            </w:tcMar>
            <w:vAlign w:val="center"/>
            <w:hideMark/>
          </w:tcPr>
          <w:p w14:paraId="7FF8F836" w14:textId="77777777" w:rsidR="00C033B5" w:rsidRPr="00746567" w:rsidRDefault="00C033B5" w:rsidP="00C033B5">
            <w:pPr>
              <w:rPr>
                <w:rFonts w:asciiTheme="majorBidi" w:hAnsiTheme="majorBidi" w:cstheme="majorBidi"/>
              </w:rPr>
            </w:pPr>
            <w:r w:rsidRPr="00746567">
              <w:rPr>
                <w:rFonts w:asciiTheme="majorBidi" w:hAnsiTheme="majorBidi" w:cstheme="majorBidi"/>
              </w:rPr>
              <w:t>0.1733</w:t>
            </w:r>
          </w:p>
        </w:tc>
        <w:tc>
          <w:tcPr>
            <w:tcW w:w="0" w:type="auto"/>
            <w:tcMar>
              <w:top w:w="0" w:type="dxa"/>
              <w:left w:w="115" w:type="dxa"/>
              <w:bottom w:w="0" w:type="dxa"/>
              <w:right w:w="115" w:type="dxa"/>
            </w:tcMar>
            <w:vAlign w:val="center"/>
            <w:hideMark/>
          </w:tcPr>
          <w:p w14:paraId="0D57256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0.0005</w:t>
            </w:r>
          </w:p>
        </w:tc>
        <w:tc>
          <w:tcPr>
            <w:tcW w:w="0" w:type="auto"/>
            <w:tcMar>
              <w:top w:w="0" w:type="dxa"/>
              <w:left w:w="115" w:type="dxa"/>
              <w:bottom w:w="0" w:type="dxa"/>
              <w:right w:w="115" w:type="dxa"/>
            </w:tcMar>
            <w:vAlign w:val="center"/>
            <w:hideMark/>
          </w:tcPr>
          <w:p w14:paraId="6342CEEF" w14:textId="77777777" w:rsidR="00C033B5" w:rsidRPr="00746567" w:rsidRDefault="00C033B5" w:rsidP="00C033B5">
            <w:pPr>
              <w:rPr>
                <w:rFonts w:asciiTheme="majorBidi" w:hAnsiTheme="majorBidi" w:cstheme="majorBidi"/>
              </w:rPr>
            </w:pPr>
            <w:r w:rsidRPr="00746567">
              <w:rPr>
                <w:rFonts w:asciiTheme="majorBidi" w:hAnsiTheme="majorBidi" w:cstheme="majorBidi"/>
              </w:rPr>
              <w:t>1.4483***</w:t>
            </w:r>
          </w:p>
        </w:tc>
        <w:tc>
          <w:tcPr>
            <w:tcW w:w="0" w:type="auto"/>
            <w:tcMar>
              <w:top w:w="0" w:type="dxa"/>
              <w:left w:w="115" w:type="dxa"/>
              <w:bottom w:w="0" w:type="dxa"/>
              <w:right w:w="115" w:type="dxa"/>
            </w:tcMar>
            <w:vAlign w:val="center"/>
            <w:hideMark/>
          </w:tcPr>
          <w:p w14:paraId="1509A3F5" w14:textId="77777777" w:rsidR="00C033B5" w:rsidRPr="00746567" w:rsidRDefault="00C033B5" w:rsidP="00C033B5">
            <w:pPr>
              <w:rPr>
                <w:rFonts w:asciiTheme="majorBidi" w:hAnsiTheme="majorBidi" w:cstheme="majorBidi"/>
              </w:rPr>
            </w:pPr>
            <w:r w:rsidRPr="00746567">
              <w:rPr>
                <w:rFonts w:asciiTheme="majorBidi" w:hAnsiTheme="majorBidi" w:cstheme="majorBidi"/>
              </w:rPr>
              <w:t>0.4486***</w:t>
            </w:r>
          </w:p>
        </w:tc>
        <w:tc>
          <w:tcPr>
            <w:tcW w:w="0" w:type="auto"/>
            <w:tcMar>
              <w:top w:w="0" w:type="dxa"/>
              <w:left w:w="115" w:type="dxa"/>
              <w:bottom w:w="0" w:type="dxa"/>
              <w:right w:w="115" w:type="dxa"/>
            </w:tcMar>
            <w:vAlign w:val="center"/>
            <w:hideMark/>
          </w:tcPr>
          <w:p w14:paraId="2DE3AE85" w14:textId="77777777" w:rsidR="00C033B5" w:rsidRPr="00746567" w:rsidRDefault="00C033B5" w:rsidP="00C033B5">
            <w:pPr>
              <w:rPr>
                <w:rFonts w:asciiTheme="majorBidi" w:hAnsiTheme="majorBidi" w:cstheme="majorBidi"/>
              </w:rPr>
            </w:pPr>
            <w:r w:rsidRPr="00746567">
              <w:rPr>
                <w:rFonts w:asciiTheme="majorBidi" w:hAnsiTheme="majorBidi" w:cstheme="majorBidi"/>
              </w:rPr>
              <w:t>0.2054</w:t>
            </w:r>
          </w:p>
        </w:tc>
        <w:tc>
          <w:tcPr>
            <w:tcW w:w="0" w:type="auto"/>
            <w:tcMar>
              <w:top w:w="0" w:type="dxa"/>
              <w:left w:w="115" w:type="dxa"/>
              <w:bottom w:w="0" w:type="dxa"/>
              <w:right w:w="115" w:type="dxa"/>
            </w:tcMar>
            <w:vAlign w:val="center"/>
            <w:hideMark/>
          </w:tcPr>
          <w:p w14:paraId="12AAE6D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0.0005</w:t>
            </w:r>
          </w:p>
        </w:tc>
        <w:tc>
          <w:tcPr>
            <w:tcW w:w="0" w:type="auto"/>
            <w:tcMar>
              <w:top w:w="0" w:type="dxa"/>
              <w:left w:w="115" w:type="dxa"/>
              <w:bottom w:w="0" w:type="dxa"/>
              <w:right w:w="115" w:type="dxa"/>
            </w:tcMar>
            <w:vAlign w:val="center"/>
            <w:hideMark/>
          </w:tcPr>
          <w:p w14:paraId="41671E6C" w14:textId="77777777" w:rsidR="00C033B5" w:rsidRPr="00746567" w:rsidRDefault="00C033B5" w:rsidP="00C033B5">
            <w:pPr>
              <w:rPr>
                <w:rFonts w:asciiTheme="majorBidi" w:hAnsiTheme="majorBidi" w:cstheme="majorBidi"/>
              </w:rPr>
            </w:pPr>
            <w:r w:rsidRPr="00746567">
              <w:rPr>
                <w:rFonts w:asciiTheme="majorBidi" w:hAnsiTheme="majorBidi" w:cstheme="majorBidi"/>
              </w:rPr>
              <w:t>1.0893***</w:t>
            </w:r>
          </w:p>
        </w:tc>
        <w:tc>
          <w:tcPr>
            <w:tcW w:w="0" w:type="auto"/>
            <w:tcMar>
              <w:top w:w="0" w:type="dxa"/>
              <w:left w:w="115" w:type="dxa"/>
              <w:bottom w:w="0" w:type="dxa"/>
              <w:right w:w="115" w:type="dxa"/>
            </w:tcMar>
            <w:vAlign w:val="center"/>
            <w:hideMark/>
          </w:tcPr>
          <w:p w14:paraId="2C06FE49" w14:textId="77777777" w:rsidR="00C033B5" w:rsidRPr="00746567" w:rsidRDefault="00C033B5" w:rsidP="00C033B5">
            <w:pPr>
              <w:rPr>
                <w:rFonts w:asciiTheme="majorBidi" w:hAnsiTheme="majorBidi" w:cstheme="majorBidi"/>
              </w:rPr>
            </w:pPr>
            <w:r w:rsidRPr="00746567">
              <w:rPr>
                <w:rFonts w:asciiTheme="majorBidi" w:hAnsiTheme="majorBidi" w:cstheme="majorBidi"/>
              </w:rPr>
              <w:t>0.2652</w:t>
            </w:r>
          </w:p>
        </w:tc>
      </w:tr>
      <w:tr w:rsidR="00C033B5" w:rsidRPr="00746567" w14:paraId="4AD4FA20" w14:textId="77777777">
        <w:trPr>
          <w:trHeight w:val="20"/>
        </w:trPr>
        <w:tc>
          <w:tcPr>
            <w:tcW w:w="0" w:type="auto"/>
            <w:tcMar>
              <w:top w:w="0" w:type="dxa"/>
              <w:left w:w="115" w:type="dxa"/>
              <w:bottom w:w="0" w:type="dxa"/>
              <w:right w:w="115" w:type="dxa"/>
            </w:tcMar>
            <w:vAlign w:val="center"/>
            <w:hideMark/>
          </w:tcPr>
          <w:p w14:paraId="35CA419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B43582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(0.0028)</w:t>
            </w:r>
          </w:p>
        </w:tc>
        <w:tc>
          <w:tcPr>
            <w:tcW w:w="0" w:type="auto"/>
            <w:tcMar>
              <w:top w:w="0" w:type="dxa"/>
              <w:left w:w="115" w:type="dxa"/>
              <w:bottom w:w="0" w:type="dxa"/>
              <w:right w:w="115" w:type="dxa"/>
            </w:tcMar>
            <w:vAlign w:val="center"/>
            <w:hideMark/>
          </w:tcPr>
          <w:p w14:paraId="5198EA1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(0.0013)</w:t>
            </w:r>
          </w:p>
        </w:tc>
        <w:tc>
          <w:tcPr>
            <w:tcW w:w="0" w:type="auto"/>
            <w:tcMar>
              <w:top w:w="0" w:type="dxa"/>
              <w:left w:w="115" w:type="dxa"/>
              <w:bottom w:w="0" w:type="dxa"/>
              <w:right w:w="115" w:type="dxa"/>
            </w:tcMar>
            <w:vAlign w:val="center"/>
            <w:hideMark/>
          </w:tcPr>
          <w:p w14:paraId="725A4B99" w14:textId="77777777" w:rsidR="00C033B5" w:rsidRPr="00746567" w:rsidRDefault="00C033B5" w:rsidP="00C033B5">
            <w:pPr>
              <w:rPr>
                <w:rFonts w:asciiTheme="majorBidi" w:hAnsiTheme="majorBidi" w:cstheme="majorBidi"/>
              </w:rPr>
            </w:pPr>
            <w:r w:rsidRPr="00746567">
              <w:rPr>
                <w:rFonts w:asciiTheme="majorBidi" w:hAnsiTheme="majorBidi" w:cstheme="majorBidi"/>
              </w:rPr>
              <w:t>(0.2662)</w:t>
            </w:r>
          </w:p>
        </w:tc>
        <w:tc>
          <w:tcPr>
            <w:tcW w:w="0" w:type="auto"/>
            <w:tcMar>
              <w:top w:w="0" w:type="dxa"/>
              <w:left w:w="115" w:type="dxa"/>
              <w:bottom w:w="0" w:type="dxa"/>
              <w:right w:w="115" w:type="dxa"/>
            </w:tcMar>
            <w:vAlign w:val="center"/>
            <w:hideMark/>
          </w:tcPr>
          <w:p w14:paraId="0D13307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(0.0009)</w:t>
            </w:r>
          </w:p>
        </w:tc>
        <w:tc>
          <w:tcPr>
            <w:tcW w:w="0" w:type="auto"/>
            <w:tcMar>
              <w:top w:w="0" w:type="dxa"/>
              <w:left w:w="115" w:type="dxa"/>
              <w:bottom w:w="0" w:type="dxa"/>
              <w:right w:w="115" w:type="dxa"/>
            </w:tcMar>
            <w:vAlign w:val="center"/>
            <w:hideMark/>
          </w:tcPr>
          <w:p w14:paraId="3436C65B" w14:textId="77777777" w:rsidR="00C033B5" w:rsidRPr="00746567" w:rsidRDefault="00C033B5" w:rsidP="00C033B5">
            <w:pPr>
              <w:rPr>
                <w:rFonts w:asciiTheme="majorBidi" w:hAnsiTheme="majorBidi" w:cstheme="majorBidi"/>
              </w:rPr>
            </w:pPr>
            <w:r w:rsidRPr="00746567">
              <w:rPr>
                <w:rFonts w:asciiTheme="majorBidi" w:hAnsiTheme="majorBidi" w:cstheme="majorBidi"/>
              </w:rPr>
              <w:t>(0.1535)</w:t>
            </w:r>
          </w:p>
        </w:tc>
        <w:tc>
          <w:tcPr>
            <w:tcW w:w="0" w:type="auto"/>
            <w:tcMar>
              <w:top w:w="0" w:type="dxa"/>
              <w:left w:w="115" w:type="dxa"/>
              <w:bottom w:w="0" w:type="dxa"/>
              <w:right w:w="115" w:type="dxa"/>
            </w:tcMar>
            <w:vAlign w:val="center"/>
            <w:hideMark/>
          </w:tcPr>
          <w:p w14:paraId="34646055" w14:textId="77777777" w:rsidR="00C033B5" w:rsidRPr="00746567" w:rsidRDefault="00C033B5" w:rsidP="00C033B5">
            <w:pPr>
              <w:rPr>
                <w:rFonts w:asciiTheme="majorBidi" w:hAnsiTheme="majorBidi" w:cstheme="majorBidi"/>
              </w:rPr>
            </w:pPr>
            <w:r w:rsidRPr="00746567">
              <w:rPr>
                <w:rFonts w:asciiTheme="majorBidi" w:hAnsiTheme="majorBidi" w:cstheme="majorBidi"/>
              </w:rPr>
              <w:t>(0.0441)</w:t>
            </w:r>
          </w:p>
        </w:tc>
        <w:tc>
          <w:tcPr>
            <w:tcW w:w="0" w:type="auto"/>
            <w:tcMar>
              <w:top w:w="0" w:type="dxa"/>
              <w:left w:w="115" w:type="dxa"/>
              <w:bottom w:w="0" w:type="dxa"/>
              <w:right w:w="115" w:type="dxa"/>
            </w:tcMar>
            <w:vAlign w:val="center"/>
            <w:hideMark/>
          </w:tcPr>
          <w:p w14:paraId="09D07D77" w14:textId="77777777" w:rsidR="00C033B5" w:rsidRPr="00746567" w:rsidRDefault="00C033B5" w:rsidP="00C033B5">
            <w:pPr>
              <w:rPr>
                <w:rFonts w:asciiTheme="majorBidi" w:hAnsiTheme="majorBidi" w:cstheme="majorBidi"/>
              </w:rPr>
            </w:pPr>
            <w:r w:rsidRPr="00746567">
              <w:rPr>
                <w:rFonts w:asciiTheme="majorBidi" w:hAnsiTheme="majorBidi" w:cstheme="majorBidi"/>
              </w:rPr>
              <w:t>(0.3380)</w:t>
            </w:r>
          </w:p>
        </w:tc>
        <w:tc>
          <w:tcPr>
            <w:tcW w:w="0" w:type="auto"/>
            <w:tcMar>
              <w:top w:w="0" w:type="dxa"/>
              <w:left w:w="115" w:type="dxa"/>
              <w:bottom w:w="0" w:type="dxa"/>
              <w:right w:w="115" w:type="dxa"/>
            </w:tcMar>
            <w:vAlign w:val="center"/>
            <w:hideMark/>
          </w:tcPr>
          <w:p w14:paraId="1E69F6E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(0.0010)</w:t>
            </w:r>
          </w:p>
        </w:tc>
        <w:tc>
          <w:tcPr>
            <w:tcW w:w="0" w:type="auto"/>
            <w:tcMar>
              <w:top w:w="0" w:type="dxa"/>
              <w:left w:w="115" w:type="dxa"/>
              <w:bottom w:w="0" w:type="dxa"/>
              <w:right w:w="115" w:type="dxa"/>
            </w:tcMar>
            <w:vAlign w:val="center"/>
            <w:hideMark/>
          </w:tcPr>
          <w:p w14:paraId="6230D580" w14:textId="77777777" w:rsidR="00C033B5" w:rsidRPr="00746567" w:rsidRDefault="00C033B5" w:rsidP="00C033B5">
            <w:pPr>
              <w:rPr>
                <w:rFonts w:asciiTheme="majorBidi" w:hAnsiTheme="majorBidi" w:cstheme="majorBidi"/>
              </w:rPr>
            </w:pPr>
            <w:r w:rsidRPr="00746567">
              <w:rPr>
                <w:rFonts w:asciiTheme="majorBidi" w:hAnsiTheme="majorBidi" w:cstheme="majorBidi"/>
              </w:rPr>
              <w:t>(0.1485)</w:t>
            </w:r>
          </w:p>
        </w:tc>
        <w:tc>
          <w:tcPr>
            <w:tcW w:w="0" w:type="auto"/>
            <w:tcMar>
              <w:top w:w="0" w:type="dxa"/>
              <w:left w:w="115" w:type="dxa"/>
              <w:bottom w:w="0" w:type="dxa"/>
              <w:right w:w="115" w:type="dxa"/>
            </w:tcMar>
            <w:vAlign w:val="center"/>
            <w:hideMark/>
          </w:tcPr>
          <w:p w14:paraId="067B7F72" w14:textId="77777777" w:rsidR="00C033B5" w:rsidRPr="00746567" w:rsidRDefault="00C033B5" w:rsidP="00C033B5">
            <w:pPr>
              <w:rPr>
                <w:rFonts w:asciiTheme="majorBidi" w:hAnsiTheme="majorBidi" w:cstheme="majorBidi"/>
              </w:rPr>
            </w:pPr>
            <w:r w:rsidRPr="00746567">
              <w:rPr>
                <w:rFonts w:asciiTheme="majorBidi" w:hAnsiTheme="majorBidi" w:cstheme="majorBidi"/>
              </w:rPr>
              <w:t>(0.0361)</w:t>
            </w:r>
          </w:p>
        </w:tc>
      </w:tr>
      <w:tr w:rsidR="00C033B5" w:rsidRPr="00746567" w14:paraId="5FBEA476" w14:textId="77777777">
        <w:trPr>
          <w:trHeight w:val="20"/>
        </w:trPr>
        <w:tc>
          <w:tcPr>
            <w:tcW w:w="0" w:type="auto"/>
            <w:tcMar>
              <w:top w:w="0" w:type="dxa"/>
              <w:left w:w="115" w:type="dxa"/>
              <w:bottom w:w="0" w:type="dxa"/>
              <w:right w:w="115" w:type="dxa"/>
            </w:tcMar>
            <w:vAlign w:val="center"/>
            <w:hideMark/>
          </w:tcPr>
          <w:p w14:paraId="678C82ED"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Extsched</w:t>
            </w:r>
            <w:proofErr w:type="spellEnd"/>
          </w:p>
        </w:tc>
        <w:tc>
          <w:tcPr>
            <w:tcW w:w="0" w:type="auto"/>
            <w:tcMar>
              <w:top w:w="0" w:type="dxa"/>
              <w:left w:w="115" w:type="dxa"/>
              <w:bottom w:w="0" w:type="dxa"/>
              <w:right w:w="115" w:type="dxa"/>
            </w:tcMar>
            <w:vAlign w:val="center"/>
            <w:hideMark/>
          </w:tcPr>
          <w:p w14:paraId="1487AE1E" w14:textId="77777777" w:rsidR="00C033B5" w:rsidRPr="00746567" w:rsidRDefault="00C033B5" w:rsidP="00C033B5">
            <w:pPr>
              <w:rPr>
                <w:rFonts w:asciiTheme="majorBidi" w:hAnsiTheme="majorBidi" w:cstheme="majorBidi"/>
              </w:rPr>
            </w:pPr>
            <w:r w:rsidRPr="00746567">
              <w:rPr>
                <w:rFonts w:asciiTheme="majorBidi" w:hAnsiTheme="majorBidi" w:cstheme="majorBidi"/>
              </w:rPr>
              <w:t>-0.0166***</w:t>
            </w:r>
          </w:p>
        </w:tc>
        <w:tc>
          <w:tcPr>
            <w:tcW w:w="0" w:type="auto"/>
            <w:tcMar>
              <w:top w:w="0" w:type="dxa"/>
              <w:left w:w="115" w:type="dxa"/>
              <w:bottom w:w="0" w:type="dxa"/>
              <w:right w:w="115" w:type="dxa"/>
            </w:tcMar>
            <w:vAlign w:val="center"/>
            <w:hideMark/>
          </w:tcPr>
          <w:p w14:paraId="342F7D94" w14:textId="77777777" w:rsidR="00C033B5" w:rsidRPr="00746567" w:rsidRDefault="00C033B5" w:rsidP="00C033B5">
            <w:pPr>
              <w:rPr>
                <w:rFonts w:asciiTheme="majorBidi" w:hAnsiTheme="majorBidi" w:cstheme="majorBidi"/>
              </w:rPr>
            </w:pPr>
            <w:r w:rsidRPr="00746567">
              <w:rPr>
                <w:rFonts w:asciiTheme="majorBidi" w:hAnsiTheme="majorBidi" w:cstheme="majorBidi"/>
              </w:rPr>
              <w:t>-0.0106***</w:t>
            </w:r>
          </w:p>
        </w:tc>
        <w:tc>
          <w:tcPr>
            <w:tcW w:w="0" w:type="auto"/>
            <w:tcMar>
              <w:top w:w="0" w:type="dxa"/>
              <w:left w:w="115" w:type="dxa"/>
              <w:bottom w:w="0" w:type="dxa"/>
              <w:right w:w="115" w:type="dxa"/>
            </w:tcMar>
            <w:vAlign w:val="center"/>
            <w:hideMark/>
          </w:tcPr>
          <w:p w14:paraId="1CF177F3" w14:textId="77777777" w:rsidR="00C033B5" w:rsidRPr="00746567" w:rsidRDefault="00C033B5" w:rsidP="00C033B5">
            <w:pPr>
              <w:rPr>
                <w:rFonts w:asciiTheme="majorBidi" w:hAnsiTheme="majorBidi" w:cstheme="majorBidi"/>
              </w:rPr>
            </w:pPr>
            <w:r w:rsidRPr="00746567">
              <w:rPr>
                <w:rFonts w:asciiTheme="majorBidi" w:hAnsiTheme="majorBidi" w:cstheme="majorBidi"/>
              </w:rPr>
              <w:t>-1.4472***</w:t>
            </w:r>
          </w:p>
        </w:tc>
        <w:tc>
          <w:tcPr>
            <w:tcW w:w="0" w:type="auto"/>
            <w:tcMar>
              <w:top w:w="0" w:type="dxa"/>
              <w:left w:w="115" w:type="dxa"/>
              <w:bottom w:w="0" w:type="dxa"/>
              <w:right w:w="115" w:type="dxa"/>
            </w:tcMar>
            <w:vAlign w:val="center"/>
            <w:hideMark/>
          </w:tcPr>
          <w:p w14:paraId="76936F4E" w14:textId="77777777" w:rsidR="00C033B5" w:rsidRPr="00746567" w:rsidRDefault="00C033B5" w:rsidP="00C033B5">
            <w:pPr>
              <w:rPr>
                <w:rFonts w:asciiTheme="majorBidi" w:hAnsiTheme="majorBidi" w:cstheme="majorBidi"/>
              </w:rPr>
            </w:pPr>
            <w:r w:rsidRPr="00746567">
              <w:rPr>
                <w:rFonts w:asciiTheme="majorBidi" w:hAnsiTheme="majorBidi" w:cstheme="majorBidi"/>
              </w:rPr>
              <w:t>-0.0256</w:t>
            </w:r>
          </w:p>
        </w:tc>
        <w:tc>
          <w:tcPr>
            <w:tcW w:w="0" w:type="auto"/>
            <w:tcMar>
              <w:top w:w="0" w:type="dxa"/>
              <w:left w:w="115" w:type="dxa"/>
              <w:bottom w:w="0" w:type="dxa"/>
              <w:right w:w="115" w:type="dxa"/>
            </w:tcMar>
            <w:vAlign w:val="center"/>
            <w:hideMark/>
          </w:tcPr>
          <w:p w14:paraId="1121EEDC" w14:textId="77777777" w:rsidR="00C033B5" w:rsidRPr="00746567" w:rsidRDefault="00C033B5" w:rsidP="00C033B5">
            <w:pPr>
              <w:rPr>
                <w:rFonts w:asciiTheme="majorBidi" w:hAnsiTheme="majorBidi" w:cstheme="majorBidi"/>
              </w:rPr>
            </w:pPr>
            <w:r w:rsidRPr="00746567">
              <w:rPr>
                <w:rFonts w:asciiTheme="majorBidi" w:hAnsiTheme="majorBidi" w:cstheme="majorBidi"/>
              </w:rPr>
              <w:t>0.8069***</w:t>
            </w:r>
          </w:p>
        </w:tc>
        <w:tc>
          <w:tcPr>
            <w:tcW w:w="0" w:type="auto"/>
            <w:tcMar>
              <w:top w:w="0" w:type="dxa"/>
              <w:left w:w="115" w:type="dxa"/>
              <w:bottom w:w="0" w:type="dxa"/>
              <w:right w:w="115" w:type="dxa"/>
            </w:tcMar>
            <w:vAlign w:val="center"/>
            <w:hideMark/>
          </w:tcPr>
          <w:p w14:paraId="5DD53A92" w14:textId="77777777" w:rsidR="00C033B5" w:rsidRPr="00746567" w:rsidRDefault="00C033B5" w:rsidP="00C033B5">
            <w:pPr>
              <w:rPr>
                <w:rFonts w:asciiTheme="majorBidi" w:hAnsiTheme="majorBidi" w:cstheme="majorBidi"/>
              </w:rPr>
            </w:pPr>
            <w:r w:rsidRPr="00746567">
              <w:rPr>
                <w:rFonts w:asciiTheme="majorBidi" w:hAnsiTheme="majorBidi" w:cstheme="majorBidi"/>
              </w:rPr>
              <w:t>0.1644***</w:t>
            </w:r>
          </w:p>
        </w:tc>
        <w:tc>
          <w:tcPr>
            <w:tcW w:w="0" w:type="auto"/>
            <w:tcMar>
              <w:top w:w="0" w:type="dxa"/>
              <w:left w:w="115" w:type="dxa"/>
              <w:bottom w:w="0" w:type="dxa"/>
              <w:right w:w="115" w:type="dxa"/>
            </w:tcMar>
            <w:vAlign w:val="center"/>
            <w:hideMark/>
          </w:tcPr>
          <w:p w14:paraId="5834EC46" w14:textId="77777777" w:rsidR="00C033B5" w:rsidRPr="00746567" w:rsidRDefault="00C033B5" w:rsidP="00C033B5">
            <w:pPr>
              <w:rPr>
                <w:rFonts w:asciiTheme="majorBidi" w:hAnsiTheme="majorBidi" w:cstheme="majorBidi"/>
              </w:rPr>
            </w:pPr>
            <w:r w:rsidRPr="00746567">
              <w:rPr>
                <w:rFonts w:asciiTheme="majorBidi" w:hAnsiTheme="majorBidi" w:cstheme="majorBidi"/>
              </w:rPr>
              <w:t>-0.2773</w:t>
            </w:r>
          </w:p>
        </w:tc>
        <w:tc>
          <w:tcPr>
            <w:tcW w:w="0" w:type="auto"/>
            <w:tcMar>
              <w:top w:w="0" w:type="dxa"/>
              <w:left w:w="115" w:type="dxa"/>
              <w:bottom w:w="0" w:type="dxa"/>
              <w:right w:w="115" w:type="dxa"/>
            </w:tcMar>
            <w:vAlign w:val="center"/>
            <w:hideMark/>
          </w:tcPr>
          <w:p w14:paraId="01590F3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-0.0007</w:t>
            </w:r>
          </w:p>
        </w:tc>
        <w:tc>
          <w:tcPr>
            <w:tcW w:w="0" w:type="auto"/>
            <w:tcMar>
              <w:top w:w="0" w:type="dxa"/>
              <w:left w:w="115" w:type="dxa"/>
              <w:bottom w:w="0" w:type="dxa"/>
              <w:right w:w="115" w:type="dxa"/>
            </w:tcMar>
            <w:vAlign w:val="center"/>
            <w:hideMark/>
          </w:tcPr>
          <w:p w14:paraId="50A9D6B9" w14:textId="77777777" w:rsidR="00C033B5" w:rsidRPr="00746567" w:rsidRDefault="00C033B5" w:rsidP="00C033B5">
            <w:pPr>
              <w:rPr>
                <w:rFonts w:asciiTheme="majorBidi" w:hAnsiTheme="majorBidi" w:cstheme="majorBidi"/>
              </w:rPr>
            </w:pPr>
            <w:r w:rsidRPr="00746567">
              <w:rPr>
                <w:rFonts w:asciiTheme="majorBidi" w:hAnsiTheme="majorBidi" w:cstheme="majorBidi"/>
              </w:rPr>
              <w:t>0.7530***</w:t>
            </w:r>
          </w:p>
        </w:tc>
        <w:tc>
          <w:tcPr>
            <w:tcW w:w="0" w:type="auto"/>
            <w:tcMar>
              <w:top w:w="0" w:type="dxa"/>
              <w:left w:w="115" w:type="dxa"/>
              <w:bottom w:w="0" w:type="dxa"/>
              <w:right w:w="115" w:type="dxa"/>
            </w:tcMar>
            <w:vAlign w:val="center"/>
            <w:hideMark/>
          </w:tcPr>
          <w:p w14:paraId="1E9F48F5" w14:textId="77777777" w:rsidR="00C033B5" w:rsidRPr="00746567" w:rsidRDefault="00C033B5" w:rsidP="00C033B5">
            <w:pPr>
              <w:rPr>
                <w:rFonts w:asciiTheme="majorBidi" w:hAnsiTheme="majorBidi" w:cstheme="majorBidi"/>
              </w:rPr>
            </w:pPr>
            <w:r w:rsidRPr="00746567">
              <w:rPr>
                <w:rFonts w:asciiTheme="majorBidi" w:hAnsiTheme="majorBidi" w:cstheme="majorBidi"/>
              </w:rPr>
              <w:t>0.1478</w:t>
            </w:r>
          </w:p>
        </w:tc>
      </w:tr>
      <w:tr w:rsidR="00C033B5" w:rsidRPr="00746567" w14:paraId="5E0CC960" w14:textId="77777777">
        <w:trPr>
          <w:trHeight w:val="20"/>
        </w:trPr>
        <w:tc>
          <w:tcPr>
            <w:tcW w:w="0" w:type="auto"/>
            <w:tcMar>
              <w:top w:w="0" w:type="dxa"/>
              <w:left w:w="115" w:type="dxa"/>
              <w:bottom w:w="0" w:type="dxa"/>
              <w:right w:w="115" w:type="dxa"/>
            </w:tcMar>
            <w:vAlign w:val="center"/>
            <w:hideMark/>
          </w:tcPr>
          <w:p w14:paraId="2FB82B5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762A43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(0.0005)</w:t>
            </w:r>
          </w:p>
        </w:tc>
        <w:tc>
          <w:tcPr>
            <w:tcW w:w="0" w:type="auto"/>
            <w:tcMar>
              <w:top w:w="0" w:type="dxa"/>
              <w:left w:w="115" w:type="dxa"/>
              <w:bottom w:w="0" w:type="dxa"/>
              <w:right w:w="115" w:type="dxa"/>
            </w:tcMar>
            <w:vAlign w:val="center"/>
            <w:hideMark/>
          </w:tcPr>
          <w:p w14:paraId="2E4260A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43834AAD" w14:textId="77777777" w:rsidR="00C033B5" w:rsidRPr="00746567" w:rsidRDefault="00C033B5" w:rsidP="00C033B5">
            <w:pPr>
              <w:rPr>
                <w:rFonts w:asciiTheme="majorBidi" w:hAnsiTheme="majorBidi" w:cstheme="majorBidi"/>
              </w:rPr>
            </w:pPr>
            <w:r w:rsidRPr="00746567">
              <w:rPr>
                <w:rFonts w:asciiTheme="majorBidi" w:hAnsiTheme="majorBidi" w:cstheme="majorBidi"/>
              </w:rPr>
              <w:t>(0.4046)</w:t>
            </w:r>
          </w:p>
        </w:tc>
        <w:tc>
          <w:tcPr>
            <w:tcW w:w="0" w:type="auto"/>
            <w:tcMar>
              <w:top w:w="0" w:type="dxa"/>
              <w:left w:w="115" w:type="dxa"/>
              <w:bottom w:w="0" w:type="dxa"/>
              <w:right w:w="115" w:type="dxa"/>
            </w:tcMar>
            <w:vAlign w:val="center"/>
            <w:hideMark/>
          </w:tcPr>
          <w:p w14:paraId="1ED49E6D" w14:textId="77777777" w:rsidR="00C033B5" w:rsidRPr="00746567" w:rsidRDefault="00C033B5" w:rsidP="00C033B5">
            <w:pPr>
              <w:rPr>
                <w:rFonts w:asciiTheme="majorBidi" w:hAnsiTheme="majorBidi" w:cstheme="majorBidi"/>
              </w:rPr>
            </w:pPr>
            <w:r w:rsidRPr="00746567">
              <w:rPr>
                <w:rFonts w:asciiTheme="majorBidi" w:hAnsiTheme="majorBidi" w:cstheme="majorBidi"/>
              </w:rPr>
              <w:t>(0.0212)</w:t>
            </w:r>
          </w:p>
        </w:tc>
        <w:tc>
          <w:tcPr>
            <w:tcW w:w="0" w:type="auto"/>
            <w:tcMar>
              <w:top w:w="0" w:type="dxa"/>
              <w:left w:w="115" w:type="dxa"/>
              <w:bottom w:w="0" w:type="dxa"/>
              <w:right w:w="115" w:type="dxa"/>
            </w:tcMar>
            <w:vAlign w:val="center"/>
            <w:hideMark/>
          </w:tcPr>
          <w:p w14:paraId="5DCE6B53" w14:textId="77777777" w:rsidR="00C033B5" w:rsidRPr="00746567" w:rsidRDefault="00C033B5" w:rsidP="00C033B5">
            <w:pPr>
              <w:rPr>
                <w:rFonts w:asciiTheme="majorBidi" w:hAnsiTheme="majorBidi" w:cstheme="majorBidi"/>
              </w:rPr>
            </w:pPr>
            <w:r w:rsidRPr="00746567">
              <w:rPr>
                <w:rFonts w:asciiTheme="majorBidi" w:hAnsiTheme="majorBidi" w:cstheme="majorBidi"/>
              </w:rPr>
              <w:t>(0.0206)</w:t>
            </w:r>
          </w:p>
        </w:tc>
        <w:tc>
          <w:tcPr>
            <w:tcW w:w="0" w:type="auto"/>
            <w:tcMar>
              <w:top w:w="0" w:type="dxa"/>
              <w:left w:w="115" w:type="dxa"/>
              <w:bottom w:w="0" w:type="dxa"/>
              <w:right w:w="115" w:type="dxa"/>
            </w:tcMar>
            <w:vAlign w:val="center"/>
            <w:hideMark/>
          </w:tcPr>
          <w:p w14:paraId="52F8440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(0.0032)</w:t>
            </w:r>
          </w:p>
        </w:tc>
        <w:tc>
          <w:tcPr>
            <w:tcW w:w="0" w:type="auto"/>
            <w:tcMar>
              <w:top w:w="0" w:type="dxa"/>
              <w:left w:w="115" w:type="dxa"/>
              <w:bottom w:w="0" w:type="dxa"/>
              <w:right w:w="115" w:type="dxa"/>
            </w:tcMar>
            <w:vAlign w:val="center"/>
            <w:hideMark/>
          </w:tcPr>
          <w:p w14:paraId="19571B43" w14:textId="77777777" w:rsidR="00C033B5" w:rsidRPr="00746567" w:rsidRDefault="00C033B5" w:rsidP="00C033B5">
            <w:pPr>
              <w:rPr>
                <w:rFonts w:asciiTheme="majorBidi" w:hAnsiTheme="majorBidi" w:cstheme="majorBidi"/>
              </w:rPr>
            </w:pPr>
            <w:r w:rsidRPr="00746567">
              <w:rPr>
                <w:rFonts w:asciiTheme="majorBidi" w:hAnsiTheme="majorBidi" w:cstheme="majorBidi"/>
              </w:rPr>
              <w:t>(0.3049)</w:t>
            </w:r>
          </w:p>
        </w:tc>
        <w:tc>
          <w:tcPr>
            <w:tcW w:w="0" w:type="auto"/>
            <w:tcMar>
              <w:top w:w="0" w:type="dxa"/>
              <w:left w:w="115" w:type="dxa"/>
              <w:bottom w:w="0" w:type="dxa"/>
              <w:right w:w="115" w:type="dxa"/>
            </w:tcMar>
            <w:vAlign w:val="center"/>
            <w:hideMark/>
          </w:tcPr>
          <w:p w14:paraId="3DBD94D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(0.0011)</w:t>
            </w:r>
          </w:p>
        </w:tc>
        <w:tc>
          <w:tcPr>
            <w:tcW w:w="0" w:type="auto"/>
            <w:tcMar>
              <w:top w:w="0" w:type="dxa"/>
              <w:left w:w="115" w:type="dxa"/>
              <w:bottom w:w="0" w:type="dxa"/>
              <w:right w:w="115" w:type="dxa"/>
            </w:tcMar>
            <w:vAlign w:val="center"/>
            <w:hideMark/>
          </w:tcPr>
          <w:p w14:paraId="2D0391C3" w14:textId="77777777" w:rsidR="00C033B5" w:rsidRPr="00746567" w:rsidRDefault="00C033B5" w:rsidP="00C033B5">
            <w:pPr>
              <w:rPr>
                <w:rFonts w:asciiTheme="majorBidi" w:hAnsiTheme="majorBidi" w:cstheme="majorBidi"/>
              </w:rPr>
            </w:pPr>
            <w:r w:rsidRPr="00746567">
              <w:rPr>
                <w:rFonts w:asciiTheme="majorBidi" w:hAnsiTheme="majorBidi" w:cstheme="majorBidi"/>
              </w:rPr>
              <w:t>(0.0204)</w:t>
            </w:r>
          </w:p>
        </w:tc>
        <w:tc>
          <w:tcPr>
            <w:tcW w:w="0" w:type="auto"/>
            <w:tcMar>
              <w:top w:w="0" w:type="dxa"/>
              <w:left w:w="115" w:type="dxa"/>
              <w:bottom w:w="0" w:type="dxa"/>
              <w:right w:w="115" w:type="dxa"/>
            </w:tcMar>
            <w:vAlign w:val="center"/>
            <w:hideMark/>
          </w:tcPr>
          <w:p w14:paraId="7CFBAC4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(0.0031)</w:t>
            </w:r>
          </w:p>
        </w:tc>
      </w:tr>
      <w:tr w:rsidR="00C033B5" w:rsidRPr="00746567" w14:paraId="008805AE" w14:textId="77777777">
        <w:trPr>
          <w:trHeight w:val="20"/>
        </w:trPr>
        <w:tc>
          <w:tcPr>
            <w:tcW w:w="0" w:type="auto"/>
            <w:tcMar>
              <w:top w:w="0" w:type="dxa"/>
              <w:left w:w="115" w:type="dxa"/>
              <w:bottom w:w="0" w:type="dxa"/>
              <w:right w:w="115" w:type="dxa"/>
            </w:tcMar>
            <w:vAlign w:val="center"/>
            <w:hideMark/>
          </w:tcPr>
          <w:p w14:paraId="2B9660E3"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Loantype</w:t>
            </w:r>
            <w:proofErr w:type="spellEnd"/>
          </w:p>
        </w:tc>
        <w:tc>
          <w:tcPr>
            <w:tcW w:w="0" w:type="auto"/>
            <w:tcMar>
              <w:top w:w="0" w:type="dxa"/>
              <w:left w:w="115" w:type="dxa"/>
              <w:bottom w:w="0" w:type="dxa"/>
              <w:right w:w="115" w:type="dxa"/>
            </w:tcMar>
            <w:vAlign w:val="center"/>
            <w:hideMark/>
          </w:tcPr>
          <w:p w14:paraId="430FA55A"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A475313"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D4AD087"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A2E8F9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747E88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CAF635E"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F840A6D"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790EC6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DCA58E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6C07652" w14:textId="77777777" w:rsidR="00C033B5" w:rsidRPr="00746567" w:rsidRDefault="00C033B5" w:rsidP="00C033B5">
            <w:pPr>
              <w:rPr>
                <w:rFonts w:asciiTheme="majorBidi" w:hAnsiTheme="majorBidi" w:cstheme="majorBidi"/>
              </w:rPr>
            </w:pPr>
          </w:p>
        </w:tc>
      </w:tr>
      <w:tr w:rsidR="00C033B5" w:rsidRPr="00746567" w14:paraId="3EEFDC9E" w14:textId="77777777">
        <w:trPr>
          <w:trHeight w:val="20"/>
        </w:trPr>
        <w:tc>
          <w:tcPr>
            <w:tcW w:w="0" w:type="auto"/>
            <w:tcMar>
              <w:top w:w="0" w:type="dxa"/>
              <w:left w:w="115" w:type="dxa"/>
              <w:bottom w:w="0" w:type="dxa"/>
              <w:right w:w="115" w:type="dxa"/>
            </w:tcMar>
            <w:vAlign w:val="center"/>
            <w:hideMark/>
          </w:tcPr>
          <w:p w14:paraId="7D4E882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8CB0761"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FE7024F"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C506405"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319ED0E"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4A818BD"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FC9DEA7"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E6F9E43"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B1731E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3E2424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A15BC91" w14:textId="77777777" w:rsidR="00C033B5" w:rsidRPr="00746567" w:rsidRDefault="00C033B5" w:rsidP="00C033B5">
            <w:pPr>
              <w:rPr>
                <w:rFonts w:asciiTheme="majorBidi" w:hAnsiTheme="majorBidi" w:cstheme="majorBidi"/>
              </w:rPr>
            </w:pPr>
          </w:p>
        </w:tc>
      </w:tr>
      <w:tr w:rsidR="00C033B5" w:rsidRPr="00746567" w14:paraId="50E03C57" w14:textId="77777777">
        <w:trPr>
          <w:trHeight w:val="20"/>
        </w:trPr>
        <w:tc>
          <w:tcPr>
            <w:tcW w:w="0" w:type="auto"/>
            <w:tcMar>
              <w:top w:w="0" w:type="dxa"/>
              <w:left w:w="115" w:type="dxa"/>
              <w:bottom w:w="0" w:type="dxa"/>
              <w:right w:w="115" w:type="dxa"/>
            </w:tcMar>
            <w:vAlign w:val="center"/>
            <w:hideMark/>
          </w:tcPr>
          <w:p w14:paraId="12EF805A" w14:textId="77777777" w:rsidR="00C033B5" w:rsidRPr="00746567" w:rsidRDefault="00C033B5" w:rsidP="00C033B5">
            <w:pPr>
              <w:rPr>
                <w:rFonts w:asciiTheme="majorBidi" w:hAnsiTheme="majorBidi" w:cstheme="majorBidi"/>
              </w:rPr>
            </w:pPr>
            <w:r w:rsidRPr="00746567">
              <w:rPr>
                <w:rFonts w:asciiTheme="majorBidi" w:hAnsiTheme="majorBidi" w:cstheme="majorBidi"/>
              </w:rPr>
              <w:t>Agricultural Loan</w:t>
            </w:r>
          </w:p>
        </w:tc>
        <w:tc>
          <w:tcPr>
            <w:tcW w:w="0" w:type="auto"/>
            <w:tcMar>
              <w:top w:w="0" w:type="dxa"/>
              <w:left w:w="115" w:type="dxa"/>
              <w:bottom w:w="0" w:type="dxa"/>
              <w:right w:w="115" w:type="dxa"/>
            </w:tcMar>
            <w:vAlign w:val="center"/>
            <w:hideMark/>
          </w:tcPr>
          <w:p w14:paraId="091BC63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0.0074**</w:t>
            </w:r>
          </w:p>
        </w:tc>
        <w:tc>
          <w:tcPr>
            <w:tcW w:w="0" w:type="auto"/>
            <w:tcMar>
              <w:top w:w="0" w:type="dxa"/>
              <w:left w:w="115" w:type="dxa"/>
              <w:bottom w:w="0" w:type="dxa"/>
              <w:right w:w="115" w:type="dxa"/>
            </w:tcMar>
            <w:vAlign w:val="center"/>
            <w:hideMark/>
          </w:tcPr>
          <w:p w14:paraId="098F73A3"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5F53F746" w14:textId="77777777" w:rsidR="00C033B5" w:rsidRPr="00746567" w:rsidRDefault="00C033B5" w:rsidP="00C033B5">
            <w:pPr>
              <w:rPr>
                <w:rFonts w:asciiTheme="majorBidi" w:hAnsiTheme="majorBidi" w:cstheme="majorBidi"/>
              </w:rPr>
            </w:pPr>
            <w:r w:rsidRPr="00746567">
              <w:rPr>
                <w:rFonts w:asciiTheme="majorBidi" w:hAnsiTheme="majorBidi" w:cstheme="majorBidi"/>
              </w:rPr>
              <w:t>2.1314***</w:t>
            </w:r>
          </w:p>
        </w:tc>
        <w:tc>
          <w:tcPr>
            <w:tcW w:w="0" w:type="auto"/>
            <w:tcMar>
              <w:top w:w="0" w:type="dxa"/>
              <w:left w:w="115" w:type="dxa"/>
              <w:bottom w:w="0" w:type="dxa"/>
              <w:right w:w="115" w:type="dxa"/>
            </w:tcMar>
            <w:vAlign w:val="center"/>
            <w:hideMark/>
          </w:tcPr>
          <w:p w14:paraId="33422813" w14:textId="77777777" w:rsidR="00C033B5" w:rsidRPr="00746567" w:rsidRDefault="00C033B5" w:rsidP="00C033B5">
            <w:pPr>
              <w:rPr>
                <w:rFonts w:asciiTheme="majorBidi" w:hAnsiTheme="majorBidi" w:cstheme="majorBidi"/>
              </w:rPr>
            </w:pPr>
            <w:r w:rsidRPr="00746567">
              <w:rPr>
                <w:rFonts w:asciiTheme="majorBidi" w:hAnsiTheme="majorBidi" w:cstheme="majorBidi"/>
              </w:rPr>
              <w:t>0.1107**</w:t>
            </w:r>
          </w:p>
        </w:tc>
        <w:tc>
          <w:tcPr>
            <w:tcW w:w="0" w:type="auto"/>
            <w:tcMar>
              <w:top w:w="0" w:type="dxa"/>
              <w:left w:w="115" w:type="dxa"/>
              <w:bottom w:w="0" w:type="dxa"/>
              <w:right w:w="115" w:type="dxa"/>
            </w:tcMar>
            <w:vAlign w:val="center"/>
            <w:hideMark/>
          </w:tcPr>
          <w:p w14:paraId="0C082D1C"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30B7343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F5BA9F3" w14:textId="77777777" w:rsidR="00C033B5" w:rsidRPr="00746567" w:rsidRDefault="00C033B5" w:rsidP="00C033B5">
            <w:pPr>
              <w:rPr>
                <w:rFonts w:asciiTheme="majorBidi" w:hAnsiTheme="majorBidi" w:cstheme="majorBidi"/>
              </w:rPr>
            </w:pPr>
            <w:r w:rsidRPr="00746567">
              <w:rPr>
                <w:rFonts w:asciiTheme="majorBidi" w:hAnsiTheme="majorBidi" w:cstheme="majorBidi"/>
              </w:rPr>
              <w:t>-3.2967***</w:t>
            </w:r>
          </w:p>
        </w:tc>
        <w:tc>
          <w:tcPr>
            <w:tcW w:w="0" w:type="auto"/>
            <w:tcMar>
              <w:top w:w="0" w:type="dxa"/>
              <w:left w:w="115" w:type="dxa"/>
              <w:bottom w:w="0" w:type="dxa"/>
              <w:right w:w="115" w:type="dxa"/>
            </w:tcMar>
            <w:vAlign w:val="center"/>
            <w:hideMark/>
          </w:tcPr>
          <w:p w14:paraId="7A93CC6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-0.0010</w:t>
            </w:r>
          </w:p>
        </w:tc>
        <w:tc>
          <w:tcPr>
            <w:tcW w:w="0" w:type="auto"/>
            <w:tcMar>
              <w:top w:w="0" w:type="dxa"/>
              <w:left w:w="115" w:type="dxa"/>
              <w:bottom w:w="0" w:type="dxa"/>
              <w:right w:w="115" w:type="dxa"/>
            </w:tcMar>
            <w:vAlign w:val="center"/>
            <w:hideMark/>
          </w:tcPr>
          <w:p w14:paraId="131598D0"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3E940DBF" w14:textId="77777777" w:rsidR="00C033B5" w:rsidRPr="00746567" w:rsidRDefault="00C033B5" w:rsidP="00C033B5">
            <w:pPr>
              <w:rPr>
                <w:rFonts w:asciiTheme="majorBidi" w:hAnsiTheme="majorBidi" w:cstheme="majorBidi"/>
              </w:rPr>
            </w:pPr>
          </w:p>
        </w:tc>
      </w:tr>
      <w:tr w:rsidR="00C033B5" w:rsidRPr="00746567" w14:paraId="5865EBFC" w14:textId="77777777">
        <w:trPr>
          <w:trHeight w:val="20"/>
        </w:trPr>
        <w:tc>
          <w:tcPr>
            <w:tcW w:w="0" w:type="auto"/>
            <w:tcMar>
              <w:top w:w="0" w:type="dxa"/>
              <w:left w:w="115" w:type="dxa"/>
              <w:bottom w:w="0" w:type="dxa"/>
              <w:right w:w="115" w:type="dxa"/>
            </w:tcMar>
            <w:vAlign w:val="center"/>
            <w:hideMark/>
          </w:tcPr>
          <w:p w14:paraId="4577BB4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D58A5A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(0.0030)</w:t>
            </w:r>
          </w:p>
        </w:tc>
        <w:tc>
          <w:tcPr>
            <w:tcW w:w="0" w:type="auto"/>
            <w:tcMar>
              <w:top w:w="0" w:type="dxa"/>
              <w:left w:w="115" w:type="dxa"/>
              <w:bottom w:w="0" w:type="dxa"/>
              <w:right w:w="115" w:type="dxa"/>
            </w:tcMar>
            <w:vAlign w:val="center"/>
            <w:hideMark/>
          </w:tcPr>
          <w:p w14:paraId="6CD7D21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EA438DD" w14:textId="77777777" w:rsidR="00C033B5" w:rsidRPr="00746567" w:rsidRDefault="00C033B5" w:rsidP="00C033B5">
            <w:pPr>
              <w:rPr>
                <w:rFonts w:asciiTheme="majorBidi" w:hAnsiTheme="majorBidi" w:cstheme="majorBidi"/>
              </w:rPr>
            </w:pPr>
            <w:r w:rsidRPr="00746567">
              <w:rPr>
                <w:rFonts w:asciiTheme="majorBidi" w:hAnsiTheme="majorBidi" w:cstheme="majorBidi"/>
              </w:rPr>
              <w:t>(0.3284)</w:t>
            </w:r>
          </w:p>
        </w:tc>
        <w:tc>
          <w:tcPr>
            <w:tcW w:w="0" w:type="auto"/>
            <w:tcMar>
              <w:top w:w="0" w:type="dxa"/>
              <w:left w:w="115" w:type="dxa"/>
              <w:bottom w:w="0" w:type="dxa"/>
              <w:right w:w="115" w:type="dxa"/>
            </w:tcMar>
            <w:vAlign w:val="center"/>
            <w:hideMark/>
          </w:tcPr>
          <w:p w14:paraId="6D265538" w14:textId="77777777" w:rsidR="00C033B5" w:rsidRPr="00746567" w:rsidRDefault="00C033B5" w:rsidP="00C033B5">
            <w:pPr>
              <w:rPr>
                <w:rFonts w:asciiTheme="majorBidi" w:hAnsiTheme="majorBidi" w:cstheme="majorBidi"/>
              </w:rPr>
            </w:pPr>
            <w:r w:rsidRPr="00746567">
              <w:rPr>
                <w:rFonts w:asciiTheme="majorBidi" w:hAnsiTheme="majorBidi" w:cstheme="majorBidi"/>
              </w:rPr>
              <w:t>(0.0529)</w:t>
            </w:r>
          </w:p>
        </w:tc>
        <w:tc>
          <w:tcPr>
            <w:tcW w:w="0" w:type="auto"/>
            <w:tcMar>
              <w:top w:w="0" w:type="dxa"/>
              <w:left w:w="115" w:type="dxa"/>
              <w:bottom w:w="0" w:type="dxa"/>
              <w:right w:w="115" w:type="dxa"/>
            </w:tcMar>
            <w:vAlign w:val="center"/>
            <w:hideMark/>
          </w:tcPr>
          <w:p w14:paraId="72A0248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4A536B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130D9D4" w14:textId="77777777" w:rsidR="00C033B5" w:rsidRPr="00746567" w:rsidRDefault="00C033B5" w:rsidP="00C033B5">
            <w:pPr>
              <w:rPr>
                <w:rFonts w:asciiTheme="majorBidi" w:hAnsiTheme="majorBidi" w:cstheme="majorBidi"/>
              </w:rPr>
            </w:pPr>
            <w:r w:rsidRPr="00746567">
              <w:rPr>
                <w:rFonts w:asciiTheme="majorBidi" w:hAnsiTheme="majorBidi" w:cstheme="majorBidi"/>
              </w:rPr>
              <w:t>(0.3922)</w:t>
            </w:r>
          </w:p>
        </w:tc>
        <w:tc>
          <w:tcPr>
            <w:tcW w:w="0" w:type="auto"/>
            <w:tcMar>
              <w:top w:w="0" w:type="dxa"/>
              <w:left w:w="115" w:type="dxa"/>
              <w:bottom w:w="0" w:type="dxa"/>
              <w:right w:w="115" w:type="dxa"/>
            </w:tcMar>
            <w:vAlign w:val="center"/>
            <w:hideMark/>
          </w:tcPr>
          <w:p w14:paraId="5A218191" w14:textId="77777777" w:rsidR="00C033B5" w:rsidRPr="00746567" w:rsidRDefault="00C033B5" w:rsidP="00C033B5">
            <w:pPr>
              <w:rPr>
                <w:rFonts w:asciiTheme="majorBidi" w:hAnsiTheme="majorBidi" w:cstheme="majorBidi"/>
              </w:rPr>
            </w:pPr>
            <w:r w:rsidRPr="00746567">
              <w:rPr>
                <w:rFonts w:asciiTheme="majorBidi" w:hAnsiTheme="majorBidi" w:cstheme="majorBidi"/>
              </w:rPr>
              <w:t>(0.0159)</w:t>
            </w:r>
          </w:p>
        </w:tc>
        <w:tc>
          <w:tcPr>
            <w:tcW w:w="0" w:type="auto"/>
            <w:tcMar>
              <w:top w:w="0" w:type="dxa"/>
              <w:left w:w="115" w:type="dxa"/>
              <w:bottom w:w="0" w:type="dxa"/>
              <w:right w:w="115" w:type="dxa"/>
            </w:tcMar>
            <w:vAlign w:val="center"/>
            <w:hideMark/>
          </w:tcPr>
          <w:p w14:paraId="5274729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85BE4D0" w14:textId="77777777" w:rsidR="00C033B5" w:rsidRPr="00746567" w:rsidRDefault="00C033B5" w:rsidP="00C033B5">
            <w:pPr>
              <w:rPr>
                <w:rFonts w:asciiTheme="majorBidi" w:hAnsiTheme="majorBidi" w:cstheme="majorBidi"/>
              </w:rPr>
            </w:pPr>
          </w:p>
        </w:tc>
      </w:tr>
      <w:tr w:rsidR="00C033B5" w:rsidRPr="00746567" w14:paraId="4DE786F8" w14:textId="77777777">
        <w:trPr>
          <w:trHeight w:val="20"/>
        </w:trPr>
        <w:tc>
          <w:tcPr>
            <w:tcW w:w="0" w:type="auto"/>
            <w:tcMar>
              <w:top w:w="0" w:type="dxa"/>
              <w:left w:w="115" w:type="dxa"/>
              <w:bottom w:w="0" w:type="dxa"/>
              <w:right w:w="115" w:type="dxa"/>
            </w:tcMar>
            <w:vAlign w:val="center"/>
            <w:hideMark/>
          </w:tcPr>
          <w:p w14:paraId="591AF604" w14:textId="77777777" w:rsidR="00C033B5" w:rsidRPr="00746567" w:rsidRDefault="00C033B5" w:rsidP="00C033B5">
            <w:pPr>
              <w:rPr>
                <w:rFonts w:asciiTheme="majorBidi" w:hAnsiTheme="majorBidi" w:cstheme="majorBidi"/>
              </w:rPr>
            </w:pPr>
            <w:r w:rsidRPr="00746567">
              <w:rPr>
                <w:rFonts w:asciiTheme="majorBidi" w:hAnsiTheme="majorBidi" w:cstheme="majorBidi"/>
              </w:rPr>
              <w:t>Business Loan</w:t>
            </w:r>
          </w:p>
        </w:tc>
        <w:tc>
          <w:tcPr>
            <w:tcW w:w="0" w:type="auto"/>
            <w:tcMar>
              <w:top w:w="0" w:type="dxa"/>
              <w:left w:w="115" w:type="dxa"/>
              <w:bottom w:w="0" w:type="dxa"/>
              <w:right w:w="115" w:type="dxa"/>
            </w:tcMar>
            <w:vAlign w:val="center"/>
            <w:hideMark/>
          </w:tcPr>
          <w:p w14:paraId="7A5CDEA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0.0025</w:t>
            </w:r>
          </w:p>
        </w:tc>
        <w:tc>
          <w:tcPr>
            <w:tcW w:w="0" w:type="auto"/>
            <w:tcMar>
              <w:top w:w="0" w:type="dxa"/>
              <w:left w:w="115" w:type="dxa"/>
              <w:bottom w:w="0" w:type="dxa"/>
              <w:right w:w="115" w:type="dxa"/>
            </w:tcMar>
            <w:vAlign w:val="center"/>
            <w:hideMark/>
          </w:tcPr>
          <w:p w14:paraId="57D5A4E6" w14:textId="77777777" w:rsidR="00C033B5" w:rsidRPr="00746567" w:rsidRDefault="00C033B5" w:rsidP="00C033B5">
            <w:pPr>
              <w:rPr>
                <w:rFonts w:asciiTheme="majorBidi" w:hAnsiTheme="majorBidi" w:cstheme="majorBidi"/>
              </w:rPr>
            </w:pPr>
            <w:r w:rsidRPr="00746567">
              <w:rPr>
                <w:rFonts w:asciiTheme="majorBidi" w:hAnsiTheme="majorBidi" w:cstheme="majorBidi"/>
              </w:rPr>
              <w:t>-0.0663***</w:t>
            </w:r>
          </w:p>
        </w:tc>
        <w:tc>
          <w:tcPr>
            <w:tcW w:w="0" w:type="auto"/>
            <w:tcMar>
              <w:top w:w="0" w:type="dxa"/>
              <w:left w:w="115" w:type="dxa"/>
              <w:bottom w:w="0" w:type="dxa"/>
              <w:right w:w="115" w:type="dxa"/>
            </w:tcMar>
            <w:vAlign w:val="center"/>
            <w:hideMark/>
          </w:tcPr>
          <w:p w14:paraId="3A23E04D" w14:textId="77777777" w:rsidR="00C033B5" w:rsidRPr="00746567" w:rsidRDefault="00C033B5" w:rsidP="00C033B5">
            <w:pPr>
              <w:rPr>
                <w:rFonts w:asciiTheme="majorBidi" w:hAnsiTheme="majorBidi" w:cstheme="majorBidi"/>
              </w:rPr>
            </w:pPr>
            <w:r w:rsidRPr="00746567">
              <w:rPr>
                <w:rFonts w:asciiTheme="majorBidi" w:hAnsiTheme="majorBidi" w:cstheme="majorBidi"/>
              </w:rPr>
              <w:t>0.7489*</w:t>
            </w:r>
          </w:p>
        </w:tc>
        <w:tc>
          <w:tcPr>
            <w:tcW w:w="0" w:type="auto"/>
            <w:tcMar>
              <w:top w:w="0" w:type="dxa"/>
              <w:left w:w="115" w:type="dxa"/>
              <w:bottom w:w="0" w:type="dxa"/>
              <w:right w:w="115" w:type="dxa"/>
            </w:tcMar>
            <w:vAlign w:val="center"/>
            <w:hideMark/>
          </w:tcPr>
          <w:p w14:paraId="0D60AE2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0.0068</w:t>
            </w:r>
          </w:p>
        </w:tc>
        <w:tc>
          <w:tcPr>
            <w:tcW w:w="0" w:type="auto"/>
            <w:tcMar>
              <w:top w:w="0" w:type="dxa"/>
              <w:left w:w="115" w:type="dxa"/>
              <w:bottom w:w="0" w:type="dxa"/>
              <w:right w:w="115" w:type="dxa"/>
            </w:tcMar>
            <w:vAlign w:val="center"/>
            <w:hideMark/>
          </w:tcPr>
          <w:p w14:paraId="5106199C" w14:textId="77777777" w:rsidR="00C033B5" w:rsidRPr="00746567" w:rsidRDefault="00C033B5" w:rsidP="00C033B5">
            <w:pPr>
              <w:rPr>
                <w:rFonts w:asciiTheme="majorBidi" w:hAnsiTheme="majorBidi" w:cstheme="majorBidi"/>
              </w:rPr>
            </w:pPr>
            <w:r w:rsidRPr="00746567">
              <w:rPr>
                <w:rFonts w:asciiTheme="majorBidi" w:hAnsiTheme="majorBidi" w:cstheme="majorBidi"/>
              </w:rPr>
              <w:t>-1.9503**</w:t>
            </w:r>
          </w:p>
        </w:tc>
        <w:tc>
          <w:tcPr>
            <w:tcW w:w="0" w:type="auto"/>
            <w:tcMar>
              <w:top w:w="0" w:type="dxa"/>
              <w:left w:w="115" w:type="dxa"/>
              <w:bottom w:w="0" w:type="dxa"/>
              <w:right w:w="115" w:type="dxa"/>
            </w:tcMar>
            <w:vAlign w:val="center"/>
            <w:hideMark/>
          </w:tcPr>
          <w:p w14:paraId="721150C8" w14:textId="77777777" w:rsidR="00C033B5" w:rsidRPr="00746567" w:rsidRDefault="00C033B5" w:rsidP="00C033B5">
            <w:pPr>
              <w:rPr>
                <w:rFonts w:asciiTheme="majorBidi" w:hAnsiTheme="majorBidi" w:cstheme="majorBidi"/>
              </w:rPr>
            </w:pPr>
            <w:r w:rsidRPr="00746567">
              <w:rPr>
                <w:rFonts w:asciiTheme="majorBidi" w:hAnsiTheme="majorBidi" w:cstheme="majorBidi"/>
              </w:rPr>
              <w:t>-0.2250***</w:t>
            </w:r>
          </w:p>
        </w:tc>
        <w:tc>
          <w:tcPr>
            <w:tcW w:w="0" w:type="auto"/>
            <w:tcMar>
              <w:top w:w="0" w:type="dxa"/>
              <w:left w:w="115" w:type="dxa"/>
              <w:bottom w:w="0" w:type="dxa"/>
              <w:right w:w="115" w:type="dxa"/>
            </w:tcMar>
            <w:vAlign w:val="center"/>
            <w:hideMark/>
          </w:tcPr>
          <w:p w14:paraId="1D550411" w14:textId="77777777" w:rsidR="00C033B5" w:rsidRPr="00746567" w:rsidRDefault="00C033B5" w:rsidP="00C033B5">
            <w:pPr>
              <w:rPr>
                <w:rFonts w:asciiTheme="majorBidi" w:hAnsiTheme="majorBidi" w:cstheme="majorBidi"/>
              </w:rPr>
            </w:pPr>
            <w:r w:rsidRPr="00746567">
              <w:rPr>
                <w:rFonts w:asciiTheme="majorBidi" w:hAnsiTheme="majorBidi" w:cstheme="majorBidi"/>
              </w:rPr>
              <w:t>0.1361</w:t>
            </w:r>
          </w:p>
        </w:tc>
        <w:tc>
          <w:tcPr>
            <w:tcW w:w="0" w:type="auto"/>
            <w:tcMar>
              <w:top w:w="0" w:type="dxa"/>
              <w:left w:w="115" w:type="dxa"/>
              <w:bottom w:w="0" w:type="dxa"/>
              <w:right w:w="115" w:type="dxa"/>
            </w:tcMar>
            <w:vAlign w:val="center"/>
            <w:hideMark/>
          </w:tcPr>
          <w:p w14:paraId="6189B9F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0.0004</w:t>
            </w:r>
          </w:p>
        </w:tc>
        <w:tc>
          <w:tcPr>
            <w:tcW w:w="0" w:type="auto"/>
            <w:tcMar>
              <w:top w:w="0" w:type="dxa"/>
              <w:left w:w="115" w:type="dxa"/>
              <w:bottom w:w="0" w:type="dxa"/>
              <w:right w:w="115" w:type="dxa"/>
            </w:tcMar>
            <w:vAlign w:val="center"/>
            <w:hideMark/>
          </w:tcPr>
          <w:p w14:paraId="7BAF5479" w14:textId="77777777" w:rsidR="00C033B5" w:rsidRPr="00746567" w:rsidRDefault="00C033B5" w:rsidP="00C033B5">
            <w:pPr>
              <w:rPr>
                <w:rFonts w:asciiTheme="majorBidi" w:hAnsiTheme="majorBidi" w:cstheme="majorBidi"/>
              </w:rPr>
            </w:pPr>
            <w:r w:rsidRPr="00746567">
              <w:rPr>
                <w:rFonts w:asciiTheme="majorBidi" w:hAnsiTheme="majorBidi" w:cstheme="majorBidi"/>
              </w:rPr>
              <w:t>-1.5480**</w:t>
            </w:r>
          </w:p>
        </w:tc>
        <w:tc>
          <w:tcPr>
            <w:tcW w:w="0" w:type="auto"/>
            <w:tcMar>
              <w:top w:w="0" w:type="dxa"/>
              <w:left w:w="115" w:type="dxa"/>
              <w:bottom w:w="0" w:type="dxa"/>
              <w:right w:w="115" w:type="dxa"/>
            </w:tcMar>
            <w:vAlign w:val="center"/>
            <w:hideMark/>
          </w:tcPr>
          <w:p w14:paraId="1048A4D0" w14:textId="77777777" w:rsidR="00C033B5" w:rsidRPr="00746567" w:rsidRDefault="00C033B5" w:rsidP="00C033B5">
            <w:pPr>
              <w:rPr>
                <w:rFonts w:asciiTheme="majorBidi" w:hAnsiTheme="majorBidi" w:cstheme="majorBidi"/>
              </w:rPr>
            </w:pPr>
            <w:r w:rsidRPr="00746567">
              <w:rPr>
                <w:rFonts w:asciiTheme="majorBidi" w:hAnsiTheme="majorBidi" w:cstheme="majorBidi"/>
              </w:rPr>
              <w:t>-0.1773</w:t>
            </w:r>
          </w:p>
        </w:tc>
      </w:tr>
      <w:tr w:rsidR="00C033B5" w:rsidRPr="00746567" w14:paraId="1686394F" w14:textId="77777777">
        <w:trPr>
          <w:trHeight w:val="20"/>
        </w:trPr>
        <w:tc>
          <w:tcPr>
            <w:tcW w:w="0" w:type="auto"/>
            <w:tcMar>
              <w:top w:w="0" w:type="dxa"/>
              <w:left w:w="115" w:type="dxa"/>
              <w:bottom w:w="0" w:type="dxa"/>
              <w:right w:w="115" w:type="dxa"/>
            </w:tcMar>
            <w:vAlign w:val="center"/>
            <w:hideMark/>
          </w:tcPr>
          <w:p w14:paraId="4631B5E7"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C1C48A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(0.0035)</w:t>
            </w:r>
          </w:p>
        </w:tc>
        <w:tc>
          <w:tcPr>
            <w:tcW w:w="0" w:type="auto"/>
            <w:tcMar>
              <w:top w:w="0" w:type="dxa"/>
              <w:left w:w="115" w:type="dxa"/>
              <w:bottom w:w="0" w:type="dxa"/>
              <w:right w:w="115" w:type="dxa"/>
            </w:tcMar>
            <w:vAlign w:val="center"/>
            <w:hideMark/>
          </w:tcPr>
          <w:p w14:paraId="641BA0B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(0.0023)</w:t>
            </w:r>
          </w:p>
        </w:tc>
        <w:tc>
          <w:tcPr>
            <w:tcW w:w="0" w:type="auto"/>
            <w:tcMar>
              <w:top w:w="0" w:type="dxa"/>
              <w:left w:w="115" w:type="dxa"/>
              <w:bottom w:w="0" w:type="dxa"/>
              <w:right w:w="115" w:type="dxa"/>
            </w:tcMar>
            <w:vAlign w:val="center"/>
            <w:hideMark/>
          </w:tcPr>
          <w:p w14:paraId="12F2082B" w14:textId="77777777" w:rsidR="00C033B5" w:rsidRPr="00746567" w:rsidRDefault="00C033B5" w:rsidP="00C033B5">
            <w:pPr>
              <w:rPr>
                <w:rFonts w:asciiTheme="majorBidi" w:hAnsiTheme="majorBidi" w:cstheme="majorBidi"/>
              </w:rPr>
            </w:pPr>
            <w:r w:rsidRPr="00746567">
              <w:rPr>
                <w:rFonts w:asciiTheme="majorBidi" w:hAnsiTheme="majorBidi" w:cstheme="majorBidi"/>
              </w:rPr>
              <w:t>(0.4353)</w:t>
            </w:r>
          </w:p>
        </w:tc>
        <w:tc>
          <w:tcPr>
            <w:tcW w:w="0" w:type="auto"/>
            <w:tcMar>
              <w:top w:w="0" w:type="dxa"/>
              <w:left w:w="115" w:type="dxa"/>
              <w:bottom w:w="0" w:type="dxa"/>
              <w:right w:w="115" w:type="dxa"/>
            </w:tcMar>
            <w:vAlign w:val="center"/>
            <w:hideMark/>
          </w:tcPr>
          <w:p w14:paraId="6A30121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(0.0073)</w:t>
            </w:r>
          </w:p>
        </w:tc>
        <w:tc>
          <w:tcPr>
            <w:tcW w:w="0" w:type="auto"/>
            <w:tcMar>
              <w:top w:w="0" w:type="dxa"/>
              <w:left w:w="115" w:type="dxa"/>
              <w:bottom w:w="0" w:type="dxa"/>
              <w:right w:w="115" w:type="dxa"/>
            </w:tcMar>
            <w:vAlign w:val="center"/>
            <w:hideMark/>
          </w:tcPr>
          <w:p w14:paraId="5133E117" w14:textId="77777777" w:rsidR="00C033B5" w:rsidRPr="00746567" w:rsidRDefault="00C033B5" w:rsidP="00C033B5">
            <w:pPr>
              <w:rPr>
                <w:rFonts w:asciiTheme="majorBidi" w:hAnsiTheme="majorBidi" w:cstheme="majorBidi"/>
              </w:rPr>
            </w:pPr>
            <w:r w:rsidRPr="00746567">
              <w:rPr>
                <w:rFonts w:asciiTheme="majorBidi" w:hAnsiTheme="majorBidi" w:cstheme="majorBidi"/>
              </w:rPr>
              <w:t>(0.8207)</w:t>
            </w:r>
          </w:p>
        </w:tc>
        <w:tc>
          <w:tcPr>
            <w:tcW w:w="0" w:type="auto"/>
            <w:tcMar>
              <w:top w:w="0" w:type="dxa"/>
              <w:left w:w="115" w:type="dxa"/>
              <w:bottom w:w="0" w:type="dxa"/>
              <w:right w:w="115" w:type="dxa"/>
            </w:tcMar>
            <w:vAlign w:val="center"/>
            <w:hideMark/>
          </w:tcPr>
          <w:p w14:paraId="4E4F012D" w14:textId="77777777" w:rsidR="00C033B5" w:rsidRPr="00746567" w:rsidRDefault="00C033B5" w:rsidP="00C033B5">
            <w:pPr>
              <w:rPr>
                <w:rFonts w:asciiTheme="majorBidi" w:hAnsiTheme="majorBidi" w:cstheme="majorBidi"/>
              </w:rPr>
            </w:pPr>
            <w:r w:rsidRPr="00746567">
              <w:rPr>
                <w:rFonts w:asciiTheme="majorBidi" w:hAnsiTheme="majorBidi" w:cstheme="majorBidi"/>
              </w:rPr>
              <w:t>(0.0197)</w:t>
            </w:r>
          </w:p>
        </w:tc>
        <w:tc>
          <w:tcPr>
            <w:tcW w:w="0" w:type="auto"/>
            <w:tcMar>
              <w:top w:w="0" w:type="dxa"/>
              <w:left w:w="115" w:type="dxa"/>
              <w:bottom w:w="0" w:type="dxa"/>
              <w:right w:w="115" w:type="dxa"/>
            </w:tcMar>
            <w:vAlign w:val="center"/>
            <w:hideMark/>
          </w:tcPr>
          <w:p w14:paraId="47ED02AC" w14:textId="77777777" w:rsidR="00C033B5" w:rsidRPr="00746567" w:rsidRDefault="00C033B5" w:rsidP="00C033B5">
            <w:pPr>
              <w:rPr>
                <w:rFonts w:asciiTheme="majorBidi" w:hAnsiTheme="majorBidi" w:cstheme="majorBidi"/>
              </w:rPr>
            </w:pPr>
            <w:r w:rsidRPr="00746567">
              <w:rPr>
                <w:rFonts w:asciiTheme="majorBidi" w:hAnsiTheme="majorBidi" w:cstheme="majorBidi"/>
              </w:rPr>
              <w:t>(0.4000)</w:t>
            </w:r>
          </w:p>
        </w:tc>
        <w:tc>
          <w:tcPr>
            <w:tcW w:w="0" w:type="auto"/>
            <w:tcMar>
              <w:top w:w="0" w:type="dxa"/>
              <w:left w:w="115" w:type="dxa"/>
              <w:bottom w:w="0" w:type="dxa"/>
              <w:right w:w="115" w:type="dxa"/>
            </w:tcMar>
            <w:vAlign w:val="center"/>
            <w:hideMark/>
          </w:tcPr>
          <w:p w14:paraId="6A8C6CD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(0.0015)</w:t>
            </w:r>
          </w:p>
        </w:tc>
        <w:tc>
          <w:tcPr>
            <w:tcW w:w="0" w:type="auto"/>
            <w:tcMar>
              <w:top w:w="0" w:type="dxa"/>
              <w:left w:w="115" w:type="dxa"/>
              <w:bottom w:w="0" w:type="dxa"/>
              <w:right w:w="115" w:type="dxa"/>
            </w:tcMar>
            <w:vAlign w:val="center"/>
            <w:hideMark/>
          </w:tcPr>
          <w:p w14:paraId="2837F3E2" w14:textId="77777777" w:rsidR="00C033B5" w:rsidRPr="00746567" w:rsidRDefault="00C033B5" w:rsidP="00C033B5">
            <w:pPr>
              <w:rPr>
                <w:rFonts w:asciiTheme="majorBidi" w:hAnsiTheme="majorBidi" w:cstheme="majorBidi"/>
              </w:rPr>
            </w:pPr>
            <w:r w:rsidRPr="00746567">
              <w:rPr>
                <w:rFonts w:asciiTheme="majorBidi" w:hAnsiTheme="majorBidi" w:cstheme="majorBidi"/>
              </w:rPr>
              <w:t>(0.6888)</w:t>
            </w:r>
          </w:p>
        </w:tc>
        <w:tc>
          <w:tcPr>
            <w:tcW w:w="0" w:type="auto"/>
            <w:tcMar>
              <w:top w:w="0" w:type="dxa"/>
              <w:left w:w="115" w:type="dxa"/>
              <w:bottom w:w="0" w:type="dxa"/>
              <w:right w:w="115" w:type="dxa"/>
            </w:tcMar>
            <w:vAlign w:val="center"/>
            <w:hideMark/>
          </w:tcPr>
          <w:p w14:paraId="0593EA0A" w14:textId="77777777" w:rsidR="00C033B5" w:rsidRPr="00746567" w:rsidRDefault="00C033B5" w:rsidP="00C033B5">
            <w:pPr>
              <w:rPr>
                <w:rFonts w:asciiTheme="majorBidi" w:hAnsiTheme="majorBidi" w:cstheme="majorBidi"/>
              </w:rPr>
            </w:pPr>
            <w:r w:rsidRPr="00746567">
              <w:rPr>
                <w:rFonts w:asciiTheme="majorBidi" w:hAnsiTheme="majorBidi" w:cstheme="majorBidi"/>
              </w:rPr>
              <w:t>(0.0208)</w:t>
            </w:r>
          </w:p>
        </w:tc>
      </w:tr>
      <w:tr w:rsidR="00C033B5" w:rsidRPr="00746567" w14:paraId="745BBB5E" w14:textId="77777777">
        <w:trPr>
          <w:trHeight w:val="20"/>
        </w:trPr>
        <w:tc>
          <w:tcPr>
            <w:tcW w:w="0" w:type="auto"/>
            <w:tcMar>
              <w:top w:w="0" w:type="dxa"/>
              <w:left w:w="115" w:type="dxa"/>
              <w:bottom w:w="0" w:type="dxa"/>
              <w:right w:w="115" w:type="dxa"/>
            </w:tcMar>
            <w:vAlign w:val="center"/>
            <w:hideMark/>
          </w:tcPr>
          <w:p w14:paraId="36513D9A" w14:textId="77777777" w:rsidR="00C033B5" w:rsidRPr="00746567" w:rsidRDefault="00C033B5" w:rsidP="00C033B5">
            <w:pPr>
              <w:rPr>
                <w:rFonts w:asciiTheme="majorBidi" w:hAnsiTheme="majorBidi" w:cstheme="majorBidi"/>
              </w:rPr>
            </w:pPr>
            <w:r w:rsidRPr="00746567">
              <w:rPr>
                <w:rFonts w:asciiTheme="majorBidi" w:hAnsiTheme="majorBidi" w:cstheme="majorBidi"/>
              </w:rPr>
              <w:t>Car Loan</w:t>
            </w:r>
          </w:p>
        </w:tc>
        <w:tc>
          <w:tcPr>
            <w:tcW w:w="0" w:type="auto"/>
            <w:tcMar>
              <w:top w:w="0" w:type="dxa"/>
              <w:left w:w="115" w:type="dxa"/>
              <w:bottom w:w="0" w:type="dxa"/>
              <w:right w:w="115" w:type="dxa"/>
            </w:tcMar>
            <w:vAlign w:val="center"/>
            <w:hideMark/>
          </w:tcPr>
          <w:p w14:paraId="65B515B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-0.0078***</w:t>
            </w:r>
          </w:p>
        </w:tc>
        <w:tc>
          <w:tcPr>
            <w:tcW w:w="0" w:type="auto"/>
            <w:tcMar>
              <w:top w:w="0" w:type="dxa"/>
              <w:left w:w="115" w:type="dxa"/>
              <w:bottom w:w="0" w:type="dxa"/>
              <w:right w:w="115" w:type="dxa"/>
            </w:tcMar>
            <w:vAlign w:val="center"/>
            <w:hideMark/>
          </w:tcPr>
          <w:p w14:paraId="6F0FB080" w14:textId="77777777" w:rsidR="00C033B5" w:rsidRPr="00746567" w:rsidRDefault="00C033B5" w:rsidP="00C033B5">
            <w:pPr>
              <w:rPr>
                <w:rFonts w:asciiTheme="majorBidi" w:hAnsiTheme="majorBidi" w:cstheme="majorBidi"/>
              </w:rPr>
            </w:pPr>
            <w:r w:rsidRPr="00746567">
              <w:rPr>
                <w:rFonts w:asciiTheme="majorBidi" w:hAnsiTheme="majorBidi" w:cstheme="majorBidi"/>
              </w:rPr>
              <w:t>-0.0569***</w:t>
            </w:r>
          </w:p>
        </w:tc>
        <w:tc>
          <w:tcPr>
            <w:tcW w:w="0" w:type="auto"/>
            <w:tcMar>
              <w:top w:w="0" w:type="dxa"/>
              <w:left w:w="115" w:type="dxa"/>
              <w:bottom w:w="0" w:type="dxa"/>
              <w:right w:w="115" w:type="dxa"/>
            </w:tcMar>
            <w:vAlign w:val="center"/>
            <w:hideMark/>
          </w:tcPr>
          <w:p w14:paraId="47F30B39" w14:textId="77777777" w:rsidR="00C033B5" w:rsidRPr="00746567" w:rsidRDefault="00C033B5" w:rsidP="00C033B5">
            <w:pPr>
              <w:rPr>
                <w:rFonts w:asciiTheme="majorBidi" w:hAnsiTheme="majorBidi" w:cstheme="majorBidi"/>
              </w:rPr>
            </w:pPr>
            <w:r w:rsidRPr="00746567">
              <w:rPr>
                <w:rFonts w:asciiTheme="majorBidi" w:hAnsiTheme="majorBidi" w:cstheme="majorBidi"/>
              </w:rPr>
              <w:t>-0.1462</w:t>
            </w:r>
          </w:p>
        </w:tc>
        <w:tc>
          <w:tcPr>
            <w:tcW w:w="0" w:type="auto"/>
            <w:tcMar>
              <w:top w:w="0" w:type="dxa"/>
              <w:left w:w="115" w:type="dxa"/>
              <w:bottom w:w="0" w:type="dxa"/>
              <w:right w:w="115" w:type="dxa"/>
            </w:tcMar>
            <w:vAlign w:val="center"/>
            <w:hideMark/>
          </w:tcPr>
          <w:p w14:paraId="520252C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-0.0004</w:t>
            </w:r>
          </w:p>
        </w:tc>
        <w:tc>
          <w:tcPr>
            <w:tcW w:w="0" w:type="auto"/>
            <w:tcMar>
              <w:top w:w="0" w:type="dxa"/>
              <w:left w:w="115" w:type="dxa"/>
              <w:bottom w:w="0" w:type="dxa"/>
              <w:right w:w="115" w:type="dxa"/>
            </w:tcMar>
            <w:vAlign w:val="center"/>
            <w:hideMark/>
          </w:tcPr>
          <w:p w14:paraId="3E2DE080" w14:textId="77777777" w:rsidR="00C033B5" w:rsidRPr="00746567" w:rsidRDefault="00C033B5" w:rsidP="00C033B5">
            <w:pPr>
              <w:rPr>
                <w:rFonts w:asciiTheme="majorBidi" w:hAnsiTheme="majorBidi" w:cstheme="majorBidi"/>
              </w:rPr>
            </w:pPr>
            <w:r w:rsidRPr="00746567">
              <w:rPr>
                <w:rFonts w:asciiTheme="majorBidi" w:hAnsiTheme="majorBidi" w:cstheme="majorBidi"/>
              </w:rPr>
              <w:t>-1.7371***</w:t>
            </w:r>
          </w:p>
        </w:tc>
        <w:tc>
          <w:tcPr>
            <w:tcW w:w="0" w:type="auto"/>
            <w:tcMar>
              <w:top w:w="0" w:type="dxa"/>
              <w:left w:w="115" w:type="dxa"/>
              <w:bottom w:w="0" w:type="dxa"/>
              <w:right w:w="115" w:type="dxa"/>
            </w:tcMar>
            <w:vAlign w:val="center"/>
            <w:hideMark/>
          </w:tcPr>
          <w:p w14:paraId="010A6A4B" w14:textId="77777777" w:rsidR="00C033B5" w:rsidRPr="00746567" w:rsidRDefault="00C033B5" w:rsidP="00C033B5">
            <w:pPr>
              <w:rPr>
                <w:rFonts w:asciiTheme="majorBidi" w:hAnsiTheme="majorBidi" w:cstheme="majorBidi"/>
              </w:rPr>
            </w:pPr>
            <w:r w:rsidRPr="00746567">
              <w:rPr>
                <w:rFonts w:asciiTheme="majorBidi" w:hAnsiTheme="majorBidi" w:cstheme="majorBidi"/>
              </w:rPr>
              <w:t>-0.2192***</w:t>
            </w:r>
          </w:p>
        </w:tc>
        <w:tc>
          <w:tcPr>
            <w:tcW w:w="0" w:type="auto"/>
            <w:tcMar>
              <w:top w:w="0" w:type="dxa"/>
              <w:left w:w="115" w:type="dxa"/>
              <w:bottom w:w="0" w:type="dxa"/>
              <w:right w:w="115" w:type="dxa"/>
            </w:tcMar>
            <w:vAlign w:val="center"/>
            <w:hideMark/>
          </w:tcPr>
          <w:p w14:paraId="079C5FEB" w14:textId="77777777" w:rsidR="00C033B5" w:rsidRPr="00746567" w:rsidRDefault="00C033B5" w:rsidP="00C033B5">
            <w:pPr>
              <w:rPr>
                <w:rFonts w:asciiTheme="majorBidi" w:hAnsiTheme="majorBidi" w:cstheme="majorBidi"/>
              </w:rPr>
            </w:pPr>
            <w:r w:rsidRPr="00746567">
              <w:rPr>
                <w:rFonts w:asciiTheme="majorBidi" w:hAnsiTheme="majorBidi" w:cstheme="majorBidi"/>
              </w:rPr>
              <w:t>0.0915</w:t>
            </w:r>
          </w:p>
        </w:tc>
        <w:tc>
          <w:tcPr>
            <w:tcW w:w="0" w:type="auto"/>
            <w:tcMar>
              <w:top w:w="0" w:type="dxa"/>
              <w:left w:w="115" w:type="dxa"/>
              <w:bottom w:w="0" w:type="dxa"/>
              <w:right w:w="115" w:type="dxa"/>
            </w:tcMar>
            <w:vAlign w:val="center"/>
            <w:hideMark/>
          </w:tcPr>
          <w:p w14:paraId="1518755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vAlign w:val="center"/>
            <w:hideMark/>
          </w:tcPr>
          <w:p w14:paraId="665A6E12" w14:textId="77777777" w:rsidR="00C033B5" w:rsidRPr="00746567" w:rsidRDefault="00C033B5" w:rsidP="00C033B5">
            <w:pPr>
              <w:rPr>
                <w:rFonts w:asciiTheme="majorBidi" w:hAnsiTheme="majorBidi" w:cstheme="majorBidi"/>
              </w:rPr>
            </w:pPr>
            <w:r w:rsidRPr="00746567">
              <w:rPr>
                <w:rFonts w:asciiTheme="majorBidi" w:hAnsiTheme="majorBidi" w:cstheme="majorBidi"/>
              </w:rPr>
              <w:t>-1.5054***</w:t>
            </w:r>
          </w:p>
        </w:tc>
        <w:tc>
          <w:tcPr>
            <w:tcW w:w="0" w:type="auto"/>
            <w:tcMar>
              <w:top w:w="0" w:type="dxa"/>
              <w:left w:w="115" w:type="dxa"/>
              <w:bottom w:w="0" w:type="dxa"/>
              <w:right w:w="115" w:type="dxa"/>
            </w:tcMar>
            <w:vAlign w:val="center"/>
            <w:hideMark/>
          </w:tcPr>
          <w:p w14:paraId="363D9A78" w14:textId="77777777" w:rsidR="00C033B5" w:rsidRPr="00746567" w:rsidRDefault="00C033B5" w:rsidP="00C033B5">
            <w:pPr>
              <w:rPr>
                <w:rFonts w:asciiTheme="majorBidi" w:hAnsiTheme="majorBidi" w:cstheme="majorBidi"/>
              </w:rPr>
            </w:pPr>
            <w:r w:rsidRPr="00746567">
              <w:rPr>
                <w:rFonts w:asciiTheme="majorBidi" w:hAnsiTheme="majorBidi" w:cstheme="majorBidi"/>
              </w:rPr>
              <w:t>-0.1761</w:t>
            </w:r>
          </w:p>
        </w:tc>
      </w:tr>
      <w:tr w:rsidR="00C033B5" w:rsidRPr="00746567" w14:paraId="4997F899" w14:textId="77777777">
        <w:trPr>
          <w:trHeight w:val="20"/>
        </w:trPr>
        <w:tc>
          <w:tcPr>
            <w:tcW w:w="0" w:type="auto"/>
            <w:tcMar>
              <w:top w:w="0" w:type="dxa"/>
              <w:left w:w="115" w:type="dxa"/>
              <w:bottom w:w="0" w:type="dxa"/>
              <w:right w:w="115" w:type="dxa"/>
            </w:tcMar>
            <w:vAlign w:val="center"/>
            <w:hideMark/>
          </w:tcPr>
          <w:p w14:paraId="7E2FF3D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0A97DB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(0.0025)</w:t>
            </w:r>
          </w:p>
        </w:tc>
        <w:tc>
          <w:tcPr>
            <w:tcW w:w="0" w:type="auto"/>
            <w:tcMar>
              <w:top w:w="0" w:type="dxa"/>
              <w:left w:w="115" w:type="dxa"/>
              <w:bottom w:w="0" w:type="dxa"/>
              <w:right w:w="115" w:type="dxa"/>
            </w:tcMar>
            <w:vAlign w:val="center"/>
            <w:hideMark/>
          </w:tcPr>
          <w:p w14:paraId="5148481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(0.0011)</w:t>
            </w:r>
          </w:p>
        </w:tc>
        <w:tc>
          <w:tcPr>
            <w:tcW w:w="0" w:type="auto"/>
            <w:tcMar>
              <w:top w:w="0" w:type="dxa"/>
              <w:left w:w="115" w:type="dxa"/>
              <w:bottom w:w="0" w:type="dxa"/>
              <w:right w:w="115" w:type="dxa"/>
            </w:tcMar>
            <w:vAlign w:val="center"/>
            <w:hideMark/>
          </w:tcPr>
          <w:p w14:paraId="5D01A0AC" w14:textId="77777777" w:rsidR="00C033B5" w:rsidRPr="00746567" w:rsidRDefault="00C033B5" w:rsidP="00C033B5">
            <w:pPr>
              <w:rPr>
                <w:rFonts w:asciiTheme="majorBidi" w:hAnsiTheme="majorBidi" w:cstheme="majorBidi"/>
              </w:rPr>
            </w:pPr>
            <w:r w:rsidRPr="00746567">
              <w:rPr>
                <w:rFonts w:asciiTheme="majorBidi" w:hAnsiTheme="majorBidi" w:cstheme="majorBidi"/>
              </w:rPr>
              <w:t>(0.2803</w:t>
            </w:r>
          </w:p>
        </w:tc>
        <w:tc>
          <w:tcPr>
            <w:tcW w:w="0" w:type="auto"/>
            <w:tcMar>
              <w:top w:w="0" w:type="dxa"/>
              <w:left w:w="115" w:type="dxa"/>
              <w:bottom w:w="0" w:type="dxa"/>
              <w:right w:w="115" w:type="dxa"/>
            </w:tcMar>
            <w:vAlign w:val="center"/>
            <w:hideMark/>
          </w:tcPr>
          <w:p w14:paraId="227DC0E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(0.0007)</w:t>
            </w:r>
          </w:p>
        </w:tc>
        <w:tc>
          <w:tcPr>
            <w:tcW w:w="0" w:type="auto"/>
            <w:tcMar>
              <w:top w:w="0" w:type="dxa"/>
              <w:left w:w="115" w:type="dxa"/>
              <w:bottom w:w="0" w:type="dxa"/>
              <w:right w:w="115" w:type="dxa"/>
            </w:tcMar>
            <w:vAlign w:val="center"/>
            <w:hideMark/>
          </w:tcPr>
          <w:p w14:paraId="4D5F00CA" w14:textId="77777777" w:rsidR="00C033B5" w:rsidRPr="00746567" w:rsidRDefault="00C033B5" w:rsidP="00C033B5">
            <w:pPr>
              <w:rPr>
                <w:rFonts w:asciiTheme="majorBidi" w:hAnsiTheme="majorBidi" w:cstheme="majorBidi"/>
              </w:rPr>
            </w:pPr>
            <w:r w:rsidRPr="00746567">
              <w:rPr>
                <w:rFonts w:asciiTheme="majorBidi" w:hAnsiTheme="majorBidi" w:cstheme="majorBidi"/>
              </w:rPr>
              <w:t>(0.1517)</w:t>
            </w:r>
          </w:p>
        </w:tc>
        <w:tc>
          <w:tcPr>
            <w:tcW w:w="0" w:type="auto"/>
            <w:tcMar>
              <w:top w:w="0" w:type="dxa"/>
              <w:left w:w="115" w:type="dxa"/>
              <w:bottom w:w="0" w:type="dxa"/>
              <w:right w:w="115" w:type="dxa"/>
            </w:tcMar>
            <w:vAlign w:val="center"/>
            <w:hideMark/>
          </w:tcPr>
          <w:p w14:paraId="50AE242B" w14:textId="77777777" w:rsidR="00C033B5" w:rsidRPr="00746567" w:rsidRDefault="00C033B5" w:rsidP="00C033B5">
            <w:pPr>
              <w:rPr>
                <w:rFonts w:asciiTheme="majorBidi" w:hAnsiTheme="majorBidi" w:cstheme="majorBidi"/>
              </w:rPr>
            </w:pPr>
            <w:r w:rsidRPr="00746567">
              <w:rPr>
                <w:rFonts w:asciiTheme="majorBidi" w:hAnsiTheme="majorBidi" w:cstheme="majorBidi"/>
              </w:rPr>
              <w:t>(0.0118)</w:t>
            </w:r>
          </w:p>
        </w:tc>
        <w:tc>
          <w:tcPr>
            <w:tcW w:w="0" w:type="auto"/>
            <w:tcMar>
              <w:top w:w="0" w:type="dxa"/>
              <w:left w:w="115" w:type="dxa"/>
              <w:bottom w:w="0" w:type="dxa"/>
              <w:right w:w="115" w:type="dxa"/>
            </w:tcMar>
            <w:vAlign w:val="center"/>
            <w:hideMark/>
          </w:tcPr>
          <w:p w14:paraId="43AE56D8" w14:textId="77777777" w:rsidR="00C033B5" w:rsidRPr="00746567" w:rsidRDefault="00C033B5" w:rsidP="00C033B5">
            <w:pPr>
              <w:rPr>
                <w:rFonts w:asciiTheme="majorBidi" w:hAnsiTheme="majorBidi" w:cstheme="majorBidi"/>
              </w:rPr>
            </w:pPr>
            <w:r w:rsidRPr="00746567">
              <w:rPr>
                <w:rFonts w:asciiTheme="majorBidi" w:hAnsiTheme="majorBidi" w:cstheme="majorBidi"/>
              </w:rPr>
              <w:t>(0.3433)</w:t>
            </w:r>
          </w:p>
        </w:tc>
        <w:tc>
          <w:tcPr>
            <w:tcW w:w="0" w:type="auto"/>
            <w:tcMar>
              <w:top w:w="0" w:type="dxa"/>
              <w:left w:w="115" w:type="dxa"/>
              <w:bottom w:w="0" w:type="dxa"/>
              <w:right w:w="115" w:type="dxa"/>
            </w:tcMar>
            <w:vAlign w:val="center"/>
            <w:hideMark/>
          </w:tcPr>
          <w:p w14:paraId="1246726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(0.0012)</w:t>
            </w:r>
          </w:p>
        </w:tc>
        <w:tc>
          <w:tcPr>
            <w:tcW w:w="0" w:type="auto"/>
            <w:tcMar>
              <w:top w:w="0" w:type="dxa"/>
              <w:left w:w="115" w:type="dxa"/>
              <w:bottom w:w="0" w:type="dxa"/>
              <w:right w:w="115" w:type="dxa"/>
            </w:tcMar>
            <w:vAlign w:val="center"/>
            <w:hideMark/>
          </w:tcPr>
          <w:p w14:paraId="33A00D19" w14:textId="77777777" w:rsidR="00C033B5" w:rsidRPr="00746567" w:rsidRDefault="00C033B5" w:rsidP="00C033B5">
            <w:pPr>
              <w:rPr>
                <w:rFonts w:asciiTheme="majorBidi" w:hAnsiTheme="majorBidi" w:cstheme="majorBidi"/>
              </w:rPr>
            </w:pPr>
            <w:r w:rsidRPr="00746567">
              <w:rPr>
                <w:rFonts w:asciiTheme="majorBidi" w:hAnsiTheme="majorBidi" w:cstheme="majorBidi"/>
              </w:rPr>
              <w:t>(0.1483)</w:t>
            </w:r>
          </w:p>
        </w:tc>
        <w:tc>
          <w:tcPr>
            <w:tcW w:w="0" w:type="auto"/>
            <w:tcMar>
              <w:top w:w="0" w:type="dxa"/>
              <w:left w:w="115" w:type="dxa"/>
              <w:bottom w:w="0" w:type="dxa"/>
              <w:right w:w="115" w:type="dxa"/>
            </w:tcMar>
            <w:vAlign w:val="center"/>
            <w:hideMark/>
          </w:tcPr>
          <w:p w14:paraId="1E234197" w14:textId="77777777" w:rsidR="00C033B5" w:rsidRPr="00746567" w:rsidRDefault="00C033B5" w:rsidP="00C033B5">
            <w:pPr>
              <w:rPr>
                <w:rFonts w:asciiTheme="majorBidi" w:hAnsiTheme="majorBidi" w:cstheme="majorBidi"/>
              </w:rPr>
            </w:pPr>
            <w:r w:rsidRPr="00746567">
              <w:rPr>
                <w:rFonts w:asciiTheme="majorBidi" w:hAnsiTheme="majorBidi" w:cstheme="majorBidi"/>
              </w:rPr>
              <w:t>(0.0119)</w:t>
            </w:r>
          </w:p>
        </w:tc>
      </w:tr>
      <w:tr w:rsidR="00C033B5" w:rsidRPr="00746567" w14:paraId="131F73F4" w14:textId="77777777">
        <w:trPr>
          <w:trHeight w:val="20"/>
        </w:trPr>
        <w:tc>
          <w:tcPr>
            <w:tcW w:w="0" w:type="auto"/>
            <w:tcMar>
              <w:top w:w="0" w:type="dxa"/>
              <w:left w:w="115" w:type="dxa"/>
              <w:bottom w:w="0" w:type="dxa"/>
              <w:right w:w="115" w:type="dxa"/>
            </w:tcMar>
            <w:vAlign w:val="center"/>
            <w:hideMark/>
          </w:tcPr>
          <w:p w14:paraId="6628EF01" w14:textId="77777777" w:rsidR="00C033B5" w:rsidRPr="00746567" w:rsidRDefault="00C033B5" w:rsidP="00C033B5">
            <w:pPr>
              <w:rPr>
                <w:rFonts w:asciiTheme="majorBidi" w:hAnsiTheme="majorBidi" w:cstheme="majorBidi"/>
              </w:rPr>
            </w:pPr>
            <w:r w:rsidRPr="00746567">
              <w:rPr>
                <w:rFonts w:asciiTheme="majorBidi" w:hAnsiTheme="majorBidi" w:cstheme="majorBidi"/>
              </w:rPr>
              <w:t>Mortgage Loan</w:t>
            </w:r>
          </w:p>
        </w:tc>
        <w:tc>
          <w:tcPr>
            <w:tcW w:w="0" w:type="auto"/>
            <w:tcMar>
              <w:top w:w="0" w:type="dxa"/>
              <w:left w:w="115" w:type="dxa"/>
              <w:bottom w:w="0" w:type="dxa"/>
              <w:right w:w="115" w:type="dxa"/>
            </w:tcMar>
            <w:vAlign w:val="center"/>
            <w:hideMark/>
          </w:tcPr>
          <w:p w14:paraId="4B65E902" w14:textId="77777777" w:rsidR="00C033B5" w:rsidRPr="00746567" w:rsidRDefault="00C033B5" w:rsidP="00C033B5">
            <w:pPr>
              <w:rPr>
                <w:rFonts w:asciiTheme="majorBidi" w:hAnsiTheme="majorBidi" w:cstheme="majorBidi"/>
              </w:rPr>
            </w:pPr>
            <w:r w:rsidRPr="00746567">
              <w:rPr>
                <w:rFonts w:asciiTheme="majorBidi" w:hAnsiTheme="majorBidi" w:cstheme="majorBidi"/>
              </w:rPr>
              <w:t>-0.0937***</w:t>
            </w:r>
          </w:p>
        </w:tc>
        <w:tc>
          <w:tcPr>
            <w:tcW w:w="0" w:type="auto"/>
            <w:tcMar>
              <w:top w:w="0" w:type="dxa"/>
              <w:left w:w="115" w:type="dxa"/>
              <w:bottom w:w="0" w:type="dxa"/>
              <w:right w:w="115" w:type="dxa"/>
            </w:tcMar>
            <w:vAlign w:val="center"/>
            <w:hideMark/>
          </w:tcPr>
          <w:p w14:paraId="1FA8BDEE" w14:textId="77777777" w:rsidR="00C033B5" w:rsidRPr="00746567" w:rsidRDefault="00C033B5" w:rsidP="00C033B5">
            <w:pPr>
              <w:rPr>
                <w:rFonts w:asciiTheme="majorBidi" w:hAnsiTheme="majorBidi" w:cstheme="majorBidi"/>
              </w:rPr>
            </w:pPr>
            <w:r w:rsidRPr="00746567">
              <w:rPr>
                <w:rFonts w:asciiTheme="majorBidi" w:hAnsiTheme="majorBidi" w:cstheme="majorBidi"/>
              </w:rPr>
              <w:t>-0.1586***</w:t>
            </w:r>
          </w:p>
        </w:tc>
        <w:tc>
          <w:tcPr>
            <w:tcW w:w="0" w:type="auto"/>
            <w:tcMar>
              <w:top w:w="0" w:type="dxa"/>
              <w:left w:w="115" w:type="dxa"/>
              <w:bottom w:w="0" w:type="dxa"/>
              <w:right w:w="115" w:type="dxa"/>
            </w:tcMar>
            <w:vAlign w:val="center"/>
            <w:hideMark/>
          </w:tcPr>
          <w:p w14:paraId="278B22E3" w14:textId="77777777" w:rsidR="00C033B5" w:rsidRPr="00746567" w:rsidRDefault="00C033B5" w:rsidP="00C033B5">
            <w:pPr>
              <w:rPr>
                <w:rFonts w:asciiTheme="majorBidi" w:hAnsiTheme="majorBidi" w:cstheme="majorBidi"/>
              </w:rPr>
            </w:pPr>
            <w:r w:rsidRPr="00746567">
              <w:rPr>
                <w:rFonts w:asciiTheme="majorBidi" w:hAnsiTheme="majorBidi" w:cstheme="majorBidi"/>
              </w:rPr>
              <w:t>-2.7234***</w:t>
            </w:r>
          </w:p>
        </w:tc>
        <w:tc>
          <w:tcPr>
            <w:tcW w:w="0" w:type="auto"/>
            <w:tcMar>
              <w:top w:w="0" w:type="dxa"/>
              <w:left w:w="115" w:type="dxa"/>
              <w:bottom w:w="0" w:type="dxa"/>
              <w:right w:w="115" w:type="dxa"/>
            </w:tcMar>
            <w:vAlign w:val="center"/>
            <w:hideMark/>
          </w:tcPr>
          <w:p w14:paraId="1FC626A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-0.0013***</w:t>
            </w:r>
          </w:p>
        </w:tc>
        <w:tc>
          <w:tcPr>
            <w:tcW w:w="0" w:type="auto"/>
            <w:tcMar>
              <w:top w:w="0" w:type="dxa"/>
              <w:left w:w="115" w:type="dxa"/>
              <w:bottom w:w="0" w:type="dxa"/>
              <w:right w:w="115" w:type="dxa"/>
            </w:tcMar>
            <w:vAlign w:val="center"/>
            <w:hideMark/>
          </w:tcPr>
          <w:p w14:paraId="0FC47888" w14:textId="77777777" w:rsidR="00C033B5" w:rsidRPr="00746567" w:rsidRDefault="00C033B5" w:rsidP="00C033B5">
            <w:pPr>
              <w:rPr>
                <w:rFonts w:asciiTheme="majorBidi" w:hAnsiTheme="majorBidi" w:cstheme="majorBidi"/>
              </w:rPr>
            </w:pPr>
            <w:r w:rsidRPr="00746567">
              <w:rPr>
                <w:rFonts w:asciiTheme="majorBidi" w:hAnsiTheme="majorBidi" w:cstheme="majorBidi"/>
              </w:rPr>
              <w:t>-3.2192***</w:t>
            </w:r>
          </w:p>
        </w:tc>
        <w:tc>
          <w:tcPr>
            <w:tcW w:w="0" w:type="auto"/>
            <w:tcMar>
              <w:top w:w="0" w:type="dxa"/>
              <w:left w:w="115" w:type="dxa"/>
              <w:bottom w:w="0" w:type="dxa"/>
              <w:right w:w="115" w:type="dxa"/>
            </w:tcMar>
            <w:vAlign w:val="center"/>
            <w:hideMark/>
          </w:tcPr>
          <w:p w14:paraId="7F50B9EA" w14:textId="77777777" w:rsidR="00C033B5" w:rsidRPr="00746567" w:rsidRDefault="00C033B5" w:rsidP="00C033B5">
            <w:pPr>
              <w:rPr>
                <w:rFonts w:asciiTheme="majorBidi" w:hAnsiTheme="majorBidi" w:cstheme="majorBidi"/>
              </w:rPr>
            </w:pPr>
            <w:r w:rsidRPr="00746567">
              <w:rPr>
                <w:rFonts w:asciiTheme="majorBidi" w:hAnsiTheme="majorBidi" w:cstheme="majorBidi"/>
              </w:rPr>
              <w:t>-0.2362***</w:t>
            </w:r>
          </w:p>
        </w:tc>
        <w:tc>
          <w:tcPr>
            <w:tcW w:w="0" w:type="auto"/>
            <w:tcMar>
              <w:top w:w="0" w:type="dxa"/>
              <w:left w:w="115" w:type="dxa"/>
              <w:bottom w:w="0" w:type="dxa"/>
              <w:right w:w="115" w:type="dxa"/>
            </w:tcMar>
            <w:vAlign w:val="center"/>
            <w:hideMark/>
          </w:tcPr>
          <w:p w14:paraId="56F95545" w14:textId="77777777" w:rsidR="00C033B5" w:rsidRPr="00746567" w:rsidRDefault="00C033B5" w:rsidP="00C033B5">
            <w:pPr>
              <w:rPr>
                <w:rFonts w:asciiTheme="majorBidi" w:hAnsiTheme="majorBidi" w:cstheme="majorBidi"/>
              </w:rPr>
            </w:pPr>
            <w:r w:rsidRPr="00746567">
              <w:rPr>
                <w:rFonts w:asciiTheme="majorBidi" w:hAnsiTheme="majorBidi" w:cstheme="majorBidi"/>
              </w:rPr>
              <w:t>-1.0058*</w:t>
            </w:r>
          </w:p>
        </w:tc>
        <w:tc>
          <w:tcPr>
            <w:tcW w:w="0" w:type="auto"/>
            <w:tcMar>
              <w:top w:w="0" w:type="dxa"/>
              <w:left w:w="115" w:type="dxa"/>
              <w:bottom w:w="0" w:type="dxa"/>
              <w:right w:w="115" w:type="dxa"/>
            </w:tcMar>
            <w:vAlign w:val="center"/>
            <w:hideMark/>
          </w:tcPr>
          <w:p w14:paraId="36491D4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-0.0010***</w:t>
            </w:r>
          </w:p>
        </w:tc>
        <w:tc>
          <w:tcPr>
            <w:tcW w:w="0" w:type="auto"/>
            <w:tcMar>
              <w:top w:w="0" w:type="dxa"/>
              <w:left w:w="115" w:type="dxa"/>
              <w:bottom w:w="0" w:type="dxa"/>
              <w:right w:w="115" w:type="dxa"/>
            </w:tcMar>
            <w:vAlign w:val="center"/>
            <w:hideMark/>
          </w:tcPr>
          <w:p w14:paraId="2DF5AF4C" w14:textId="77777777" w:rsidR="00C033B5" w:rsidRPr="00746567" w:rsidRDefault="00C033B5" w:rsidP="00C033B5">
            <w:pPr>
              <w:rPr>
                <w:rFonts w:asciiTheme="majorBidi" w:hAnsiTheme="majorBidi" w:cstheme="majorBidi"/>
              </w:rPr>
            </w:pPr>
            <w:r w:rsidRPr="00746567">
              <w:rPr>
                <w:rFonts w:asciiTheme="majorBidi" w:hAnsiTheme="majorBidi" w:cstheme="majorBidi"/>
              </w:rPr>
              <w:t>-2.5310***</w:t>
            </w:r>
          </w:p>
        </w:tc>
        <w:tc>
          <w:tcPr>
            <w:tcW w:w="0" w:type="auto"/>
            <w:tcMar>
              <w:top w:w="0" w:type="dxa"/>
              <w:left w:w="115" w:type="dxa"/>
              <w:bottom w:w="0" w:type="dxa"/>
              <w:right w:w="115" w:type="dxa"/>
            </w:tcMar>
            <w:vAlign w:val="center"/>
            <w:hideMark/>
          </w:tcPr>
          <w:p w14:paraId="4552C369" w14:textId="77777777" w:rsidR="00C033B5" w:rsidRPr="00746567" w:rsidRDefault="00C033B5" w:rsidP="00C033B5">
            <w:pPr>
              <w:rPr>
                <w:rFonts w:asciiTheme="majorBidi" w:hAnsiTheme="majorBidi" w:cstheme="majorBidi"/>
              </w:rPr>
            </w:pPr>
            <w:r w:rsidRPr="00746567">
              <w:rPr>
                <w:rFonts w:asciiTheme="majorBidi" w:hAnsiTheme="majorBidi" w:cstheme="majorBidi"/>
              </w:rPr>
              <w:t>-0.1894</w:t>
            </w:r>
          </w:p>
        </w:tc>
      </w:tr>
      <w:tr w:rsidR="00C033B5" w:rsidRPr="00746567" w14:paraId="1FFD9961" w14:textId="77777777">
        <w:trPr>
          <w:trHeight w:val="20"/>
        </w:trPr>
        <w:tc>
          <w:tcPr>
            <w:tcW w:w="0" w:type="auto"/>
            <w:tcMar>
              <w:top w:w="0" w:type="dxa"/>
              <w:left w:w="115" w:type="dxa"/>
              <w:bottom w:w="0" w:type="dxa"/>
              <w:right w:w="115" w:type="dxa"/>
            </w:tcMar>
            <w:vAlign w:val="center"/>
            <w:hideMark/>
          </w:tcPr>
          <w:p w14:paraId="38B02531"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88FA29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(0.0035)</w:t>
            </w:r>
          </w:p>
        </w:tc>
        <w:tc>
          <w:tcPr>
            <w:tcW w:w="0" w:type="auto"/>
            <w:tcMar>
              <w:top w:w="0" w:type="dxa"/>
              <w:left w:w="115" w:type="dxa"/>
              <w:bottom w:w="0" w:type="dxa"/>
              <w:right w:w="115" w:type="dxa"/>
            </w:tcMar>
            <w:vAlign w:val="center"/>
            <w:hideMark/>
          </w:tcPr>
          <w:p w14:paraId="195C5F6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(0.0047)</w:t>
            </w:r>
          </w:p>
        </w:tc>
        <w:tc>
          <w:tcPr>
            <w:tcW w:w="0" w:type="auto"/>
            <w:tcMar>
              <w:top w:w="0" w:type="dxa"/>
              <w:left w:w="115" w:type="dxa"/>
              <w:bottom w:w="0" w:type="dxa"/>
              <w:right w:w="115" w:type="dxa"/>
            </w:tcMar>
            <w:vAlign w:val="center"/>
            <w:hideMark/>
          </w:tcPr>
          <w:p w14:paraId="07C3E9C1" w14:textId="77777777" w:rsidR="00C033B5" w:rsidRPr="00746567" w:rsidRDefault="00C033B5" w:rsidP="00C033B5">
            <w:pPr>
              <w:rPr>
                <w:rFonts w:asciiTheme="majorBidi" w:hAnsiTheme="majorBidi" w:cstheme="majorBidi"/>
              </w:rPr>
            </w:pPr>
            <w:r w:rsidRPr="00746567">
              <w:rPr>
                <w:rFonts w:asciiTheme="majorBidi" w:hAnsiTheme="majorBidi" w:cstheme="majorBidi"/>
              </w:rPr>
              <w:t>(0.6532)</w:t>
            </w:r>
          </w:p>
        </w:tc>
        <w:tc>
          <w:tcPr>
            <w:tcW w:w="0" w:type="auto"/>
            <w:tcMar>
              <w:top w:w="0" w:type="dxa"/>
              <w:left w:w="115" w:type="dxa"/>
              <w:bottom w:w="0" w:type="dxa"/>
              <w:right w:w="115" w:type="dxa"/>
            </w:tcMar>
            <w:vAlign w:val="center"/>
            <w:hideMark/>
          </w:tcPr>
          <w:p w14:paraId="01EB389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(0.0003)</w:t>
            </w:r>
          </w:p>
        </w:tc>
        <w:tc>
          <w:tcPr>
            <w:tcW w:w="0" w:type="auto"/>
            <w:tcMar>
              <w:top w:w="0" w:type="dxa"/>
              <w:left w:w="115" w:type="dxa"/>
              <w:bottom w:w="0" w:type="dxa"/>
              <w:right w:w="115" w:type="dxa"/>
            </w:tcMar>
            <w:vAlign w:val="center"/>
            <w:hideMark/>
          </w:tcPr>
          <w:p w14:paraId="37E73B38" w14:textId="77777777" w:rsidR="00C033B5" w:rsidRPr="00746567" w:rsidRDefault="00C033B5" w:rsidP="00C033B5">
            <w:pPr>
              <w:rPr>
                <w:rFonts w:asciiTheme="majorBidi" w:hAnsiTheme="majorBidi" w:cstheme="majorBidi"/>
              </w:rPr>
            </w:pPr>
            <w:r w:rsidRPr="00746567">
              <w:rPr>
                <w:rFonts w:asciiTheme="majorBidi" w:hAnsiTheme="majorBidi" w:cstheme="majorBidi"/>
              </w:rPr>
              <w:t>(0.5337)</w:t>
            </w:r>
          </w:p>
        </w:tc>
        <w:tc>
          <w:tcPr>
            <w:tcW w:w="0" w:type="auto"/>
            <w:tcMar>
              <w:top w:w="0" w:type="dxa"/>
              <w:left w:w="115" w:type="dxa"/>
              <w:bottom w:w="0" w:type="dxa"/>
              <w:right w:w="115" w:type="dxa"/>
            </w:tcMar>
            <w:vAlign w:val="center"/>
            <w:hideMark/>
          </w:tcPr>
          <w:p w14:paraId="3CD7B3EE" w14:textId="77777777" w:rsidR="00C033B5" w:rsidRPr="00746567" w:rsidRDefault="00C033B5" w:rsidP="00C033B5">
            <w:pPr>
              <w:rPr>
                <w:rFonts w:asciiTheme="majorBidi" w:hAnsiTheme="majorBidi" w:cstheme="majorBidi"/>
              </w:rPr>
            </w:pPr>
            <w:r w:rsidRPr="00746567">
              <w:rPr>
                <w:rFonts w:asciiTheme="majorBidi" w:hAnsiTheme="majorBidi" w:cstheme="majorBidi"/>
              </w:rPr>
              <w:t>(0.0107)</w:t>
            </w:r>
          </w:p>
        </w:tc>
        <w:tc>
          <w:tcPr>
            <w:tcW w:w="0" w:type="auto"/>
            <w:tcMar>
              <w:top w:w="0" w:type="dxa"/>
              <w:left w:w="115" w:type="dxa"/>
              <w:bottom w:w="0" w:type="dxa"/>
              <w:right w:w="115" w:type="dxa"/>
            </w:tcMar>
            <w:vAlign w:val="center"/>
            <w:hideMark/>
          </w:tcPr>
          <w:p w14:paraId="3A1E811C" w14:textId="77777777" w:rsidR="00C033B5" w:rsidRPr="00746567" w:rsidRDefault="00C033B5" w:rsidP="00C033B5">
            <w:pPr>
              <w:rPr>
                <w:rFonts w:asciiTheme="majorBidi" w:hAnsiTheme="majorBidi" w:cstheme="majorBidi"/>
              </w:rPr>
            </w:pPr>
            <w:r w:rsidRPr="00746567">
              <w:rPr>
                <w:rFonts w:asciiTheme="majorBidi" w:hAnsiTheme="majorBidi" w:cstheme="majorBidi"/>
              </w:rPr>
              <w:t>(0.6030)</w:t>
            </w:r>
          </w:p>
        </w:tc>
        <w:tc>
          <w:tcPr>
            <w:tcW w:w="0" w:type="auto"/>
            <w:tcMar>
              <w:top w:w="0" w:type="dxa"/>
              <w:left w:w="115" w:type="dxa"/>
              <w:bottom w:w="0" w:type="dxa"/>
              <w:right w:w="115" w:type="dxa"/>
            </w:tcMar>
            <w:vAlign w:val="center"/>
            <w:hideMark/>
          </w:tcPr>
          <w:p w14:paraId="3F4BEC3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vAlign w:val="center"/>
            <w:hideMark/>
          </w:tcPr>
          <w:p w14:paraId="5EB28433" w14:textId="77777777" w:rsidR="00C033B5" w:rsidRPr="00746567" w:rsidRDefault="00C033B5" w:rsidP="00C033B5">
            <w:pPr>
              <w:rPr>
                <w:rFonts w:asciiTheme="majorBidi" w:hAnsiTheme="majorBidi" w:cstheme="majorBidi"/>
              </w:rPr>
            </w:pPr>
            <w:r w:rsidRPr="00746567">
              <w:rPr>
                <w:rFonts w:asciiTheme="majorBidi" w:hAnsiTheme="majorBidi" w:cstheme="majorBidi"/>
              </w:rPr>
              <w:t>(0.5067)</w:t>
            </w:r>
          </w:p>
        </w:tc>
        <w:tc>
          <w:tcPr>
            <w:tcW w:w="0" w:type="auto"/>
            <w:tcMar>
              <w:top w:w="0" w:type="dxa"/>
              <w:left w:w="115" w:type="dxa"/>
              <w:bottom w:w="0" w:type="dxa"/>
              <w:right w:w="115" w:type="dxa"/>
            </w:tcMar>
            <w:vAlign w:val="center"/>
            <w:hideMark/>
          </w:tcPr>
          <w:p w14:paraId="01868088" w14:textId="77777777" w:rsidR="00C033B5" w:rsidRPr="00746567" w:rsidRDefault="00C033B5" w:rsidP="00C033B5">
            <w:pPr>
              <w:rPr>
                <w:rFonts w:asciiTheme="majorBidi" w:hAnsiTheme="majorBidi" w:cstheme="majorBidi"/>
              </w:rPr>
            </w:pPr>
            <w:r w:rsidRPr="00746567">
              <w:rPr>
                <w:rFonts w:asciiTheme="majorBidi" w:hAnsiTheme="majorBidi" w:cstheme="majorBidi"/>
              </w:rPr>
              <w:t>(0.0104)</w:t>
            </w:r>
          </w:p>
        </w:tc>
      </w:tr>
      <w:tr w:rsidR="00C033B5" w:rsidRPr="00746567" w14:paraId="73EFAA3B" w14:textId="77777777">
        <w:trPr>
          <w:trHeight w:val="20"/>
        </w:trPr>
        <w:tc>
          <w:tcPr>
            <w:tcW w:w="0" w:type="auto"/>
            <w:tcMar>
              <w:top w:w="0" w:type="dxa"/>
              <w:left w:w="115" w:type="dxa"/>
              <w:bottom w:w="0" w:type="dxa"/>
              <w:right w:w="115" w:type="dxa"/>
            </w:tcMar>
            <w:vAlign w:val="center"/>
            <w:hideMark/>
          </w:tcPr>
          <w:p w14:paraId="5EF1EC03" w14:textId="77777777" w:rsidR="00C033B5" w:rsidRPr="00746567" w:rsidRDefault="00C033B5" w:rsidP="00C033B5">
            <w:pPr>
              <w:rPr>
                <w:rFonts w:asciiTheme="majorBidi" w:hAnsiTheme="majorBidi" w:cstheme="majorBidi"/>
              </w:rPr>
            </w:pPr>
            <w:r w:rsidRPr="00746567">
              <w:rPr>
                <w:rFonts w:asciiTheme="majorBidi" w:hAnsiTheme="majorBidi" w:cstheme="majorBidi"/>
              </w:rPr>
              <w:t>Pawnbroking Loan</w:t>
            </w:r>
          </w:p>
        </w:tc>
        <w:tc>
          <w:tcPr>
            <w:tcW w:w="0" w:type="auto"/>
            <w:tcMar>
              <w:top w:w="0" w:type="dxa"/>
              <w:left w:w="115" w:type="dxa"/>
              <w:bottom w:w="0" w:type="dxa"/>
              <w:right w:w="115" w:type="dxa"/>
            </w:tcMar>
            <w:vAlign w:val="center"/>
            <w:hideMark/>
          </w:tcPr>
          <w:p w14:paraId="01F8294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0.0071**</w:t>
            </w:r>
          </w:p>
        </w:tc>
        <w:tc>
          <w:tcPr>
            <w:tcW w:w="0" w:type="auto"/>
            <w:tcMar>
              <w:top w:w="0" w:type="dxa"/>
              <w:left w:w="115" w:type="dxa"/>
              <w:bottom w:w="0" w:type="dxa"/>
              <w:right w:w="115" w:type="dxa"/>
            </w:tcMar>
            <w:vAlign w:val="center"/>
            <w:hideMark/>
          </w:tcPr>
          <w:p w14:paraId="2853BC5E" w14:textId="77777777" w:rsidR="00C033B5" w:rsidRPr="00746567" w:rsidRDefault="00C033B5" w:rsidP="00C033B5">
            <w:pPr>
              <w:rPr>
                <w:rFonts w:asciiTheme="majorBidi" w:hAnsiTheme="majorBidi" w:cstheme="majorBidi"/>
              </w:rPr>
            </w:pPr>
            <w:r w:rsidRPr="00746567">
              <w:rPr>
                <w:rFonts w:asciiTheme="majorBidi" w:hAnsiTheme="majorBidi" w:cstheme="majorBidi"/>
              </w:rPr>
              <w:t>-0.1154***</w:t>
            </w:r>
          </w:p>
        </w:tc>
        <w:tc>
          <w:tcPr>
            <w:tcW w:w="0" w:type="auto"/>
            <w:tcMar>
              <w:top w:w="0" w:type="dxa"/>
              <w:left w:w="115" w:type="dxa"/>
              <w:bottom w:w="0" w:type="dxa"/>
              <w:right w:w="115" w:type="dxa"/>
            </w:tcMar>
            <w:vAlign w:val="center"/>
            <w:hideMark/>
          </w:tcPr>
          <w:p w14:paraId="2F6E3180" w14:textId="77777777" w:rsidR="00C033B5" w:rsidRPr="00746567" w:rsidRDefault="00C033B5" w:rsidP="00C033B5">
            <w:pPr>
              <w:rPr>
                <w:rFonts w:asciiTheme="majorBidi" w:hAnsiTheme="majorBidi" w:cstheme="majorBidi"/>
              </w:rPr>
            </w:pPr>
            <w:r w:rsidRPr="00746567">
              <w:rPr>
                <w:rFonts w:asciiTheme="majorBidi" w:hAnsiTheme="majorBidi" w:cstheme="majorBidi"/>
              </w:rPr>
              <w:t>-0.9946***</w:t>
            </w:r>
          </w:p>
        </w:tc>
        <w:tc>
          <w:tcPr>
            <w:tcW w:w="0" w:type="auto"/>
            <w:tcMar>
              <w:top w:w="0" w:type="dxa"/>
              <w:left w:w="115" w:type="dxa"/>
              <w:bottom w:w="0" w:type="dxa"/>
              <w:right w:w="115" w:type="dxa"/>
            </w:tcMar>
            <w:vAlign w:val="center"/>
            <w:hideMark/>
          </w:tcPr>
          <w:p w14:paraId="316DD3B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-0.0012***</w:t>
            </w:r>
          </w:p>
        </w:tc>
        <w:tc>
          <w:tcPr>
            <w:tcW w:w="0" w:type="auto"/>
            <w:tcMar>
              <w:top w:w="0" w:type="dxa"/>
              <w:left w:w="115" w:type="dxa"/>
              <w:bottom w:w="0" w:type="dxa"/>
              <w:right w:w="115" w:type="dxa"/>
            </w:tcMar>
            <w:vAlign w:val="center"/>
            <w:hideMark/>
          </w:tcPr>
          <w:p w14:paraId="5D5EFF1F" w14:textId="77777777" w:rsidR="00C033B5" w:rsidRPr="00746567" w:rsidRDefault="00C033B5" w:rsidP="00C033B5">
            <w:pPr>
              <w:rPr>
                <w:rFonts w:asciiTheme="majorBidi" w:hAnsiTheme="majorBidi" w:cstheme="majorBidi"/>
              </w:rPr>
            </w:pPr>
            <w:r w:rsidRPr="00746567">
              <w:rPr>
                <w:rFonts w:asciiTheme="majorBidi" w:hAnsiTheme="majorBidi" w:cstheme="majorBidi"/>
              </w:rPr>
              <w:t>-0.9635***</w:t>
            </w:r>
          </w:p>
        </w:tc>
        <w:tc>
          <w:tcPr>
            <w:tcW w:w="0" w:type="auto"/>
            <w:tcMar>
              <w:top w:w="0" w:type="dxa"/>
              <w:left w:w="115" w:type="dxa"/>
              <w:bottom w:w="0" w:type="dxa"/>
              <w:right w:w="115" w:type="dxa"/>
            </w:tcMar>
            <w:vAlign w:val="center"/>
            <w:hideMark/>
          </w:tcPr>
          <w:p w14:paraId="206E2F97" w14:textId="77777777" w:rsidR="00C033B5" w:rsidRPr="00746567" w:rsidRDefault="00C033B5" w:rsidP="00C033B5">
            <w:pPr>
              <w:rPr>
                <w:rFonts w:asciiTheme="majorBidi" w:hAnsiTheme="majorBidi" w:cstheme="majorBidi"/>
              </w:rPr>
            </w:pPr>
            <w:r w:rsidRPr="00746567">
              <w:rPr>
                <w:rFonts w:asciiTheme="majorBidi" w:hAnsiTheme="majorBidi" w:cstheme="majorBidi"/>
              </w:rPr>
              <w:t>-0.1711***</w:t>
            </w:r>
          </w:p>
        </w:tc>
        <w:tc>
          <w:tcPr>
            <w:tcW w:w="0" w:type="auto"/>
            <w:tcMar>
              <w:top w:w="0" w:type="dxa"/>
              <w:left w:w="115" w:type="dxa"/>
              <w:bottom w:w="0" w:type="dxa"/>
              <w:right w:w="115" w:type="dxa"/>
            </w:tcMar>
            <w:vAlign w:val="center"/>
            <w:hideMark/>
          </w:tcPr>
          <w:p w14:paraId="3E2479D7" w14:textId="77777777" w:rsidR="00C033B5" w:rsidRPr="00746567" w:rsidRDefault="00C033B5" w:rsidP="00C033B5">
            <w:pPr>
              <w:rPr>
                <w:rFonts w:asciiTheme="majorBidi" w:hAnsiTheme="majorBidi" w:cstheme="majorBidi"/>
              </w:rPr>
            </w:pPr>
            <w:r w:rsidRPr="00746567">
              <w:rPr>
                <w:rFonts w:asciiTheme="majorBidi" w:hAnsiTheme="majorBidi" w:cstheme="majorBidi"/>
              </w:rPr>
              <w:t>-0.9840***</w:t>
            </w:r>
          </w:p>
        </w:tc>
        <w:tc>
          <w:tcPr>
            <w:tcW w:w="0" w:type="auto"/>
            <w:tcMar>
              <w:top w:w="0" w:type="dxa"/>
              <w:left w:w="115" w:type="dxa"/>
              <w:bottom w:w="0" w:type="dxa"/>
              <w:right w:w="115" w:type="dxa"/>
            </w:tcMar>
            <w:vAlign w:val="center"/>
            <w:hideMark/>
          </w:tcPr>
          <w:p w14:paraId="1862F99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-0.0010***</w:t>
            </w:r>
          </w:p>
        </w:tc>
        <w:tc>
          <w:tcPr>
            <w:tcW w:w="0" w:type="auto"/>
            <w:tcMar>
              <w:top w:w="0" w:type="dxa"/>
              <w:left w:w="115" w:type="dxa"/>
              <w:bottom w:w="0" w:type="dxa"/>
              <w:right w:w="115" w:type="dxa"/>
            </w:tcMar>
            <w:vAlign w:val="center"/>
            <w:hideMark/>
          </w:tcPr>
          <w:p w14:paraId="280E9A9C" w14:textId="77777777" w:rsidR="00C033B5" w:rsidRPr="00746567" w:rsidRDefault="00C033B5" w:rsidP="00C033B5">
            <w:pPr>
              <w:rPr>
                <w:rFonts w:asciiTheme="majorBidi" w:hAnsiTheme="majorBidi" w:cstheme="majorBidi"/>
              </w:rPr>
            </w:pPr>
            <w:r w:rsidRPr="00746567">
              <w:rPr>
                <w:rFonts w:asciiTheme="majorBidi" w:hAnsiTheme="majorBidi" w:cstheme="majorBidi"/>
              </w:rPr>
              <w:t>-0.4879***</w:t>
            </w:r>
          </w:p>
        </w:tc>
        <w:tc>
          <w:tcPr>
            <w:tcW w:w="0" w:type="auto"/>
            <w:tcMar>
              <w:top w:w="0" w:type="dxa"/>
              <w:left w:w="115" w:type="dxa"/>
              <w:bottom w:w="0" w:type="dxa"/>
              <w:right w:w="115" w:type="dxa"/>
            </w:tcMar>
            <w:vAlign w:val="center"/>
            <w:hideMark/>
          </w:tcPr>
          <w:p w14:paraId="534E0A58" w14:textId="77777777" w:rsidR="00C033B5" w:rsidRPr="00746567" w:rsidRDefault="00C033B5" w:rsidP="00C033B5">
            <w:pPr>
              <w:rPr>
                <w:rFonts w:asciiTheme="majorBidi" w:hAnsiTheme="majorBidi" w:cstheme="majorBidi"/>
              </w:rPr>
            </w:pPr>
            <w:r w:rsidRPr="00746567">
              <w:rPr>
                <w:rFonts w:asciiTheme="majorBidi" w:hAnsiTheme="majorBidi" w:cstheme="majorBidi"/>
              </w:rPr>
              <w:t>-0.0955</w:t>
            </w:r>
          </w:p>
        </w:tc>
      </w:tr>
      <w:tr w:rsidR="00C033B5" w:rsidRPr="00746567" w14:paraId="7208A0BE" w14:textId="77777777">
        <w:trPr>
          <w:trHeight w:val="20"/>
        </w:trPr>
        <w:tc>
          <w:tcPr>
            <w:tcW w:w="0" w:type="auto"/>
            <w:tcMar>
              <w:top w:w="0" w:type="dxa"/>
              <w:left w:w="115" w:type="dxa"/>
              <w:bottom w:w="0" w:type="dxa"/>
              <w:right w:w="115" w:type="dxa"/>
            </w:tcMar>
            <w:vAlign w:val="center"/>
            <w:hideMark/>
          </w:tcPr>
          <w:p w14:paraId="4C62989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D8495C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(0.0029)</w:t>
            </w:r>
          </w:p>
        </w:tc>
        <w:tc>
          <w:tcPr>
            <w:tcW w:w="0" w:type="auto"/>
            <w:tcMar>
              <w:top w:w="0" w:type="dxa"/>
              <w:left w:w="115" w:type="dxa"/>
              <w:bottom w:w="0" w:type="dxa"/>
              <w:right w:w="115" w:type="dxa"/>
            </w:tcMar>
            <w:vAlign w:val="center"/>
            <w:hideMark/>
          </w:tcPr>
          <w:p w14:paraId="62729A4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(0.0013)</w:t>
            </w:r>
          </w:p>
        </w:tc>
        <w:tc>
          <w:tcPr>
            <w:tcW w:w="0" w:type="auto"/>
            <w:tcMar>
              <w:top w:w="0" w:type="dxa"/>
              <w:left w:w="115" w:type="dxa"/>
              <w:bottom w:w="0" w:type="dxa"/>
              <w:right w:w="115" w:type="dxa"/>
            </w:tcMar>
            <w:vAlign w:val="center"/>
            <w:hideMark/>
          </w:tcPr>
          <w:p w14:paraId="61949AD5" w14:textId="77777777" w:rsidR="00C033B5" w:rsidRPr="00746567" w:rsidRDefault="00C033B5" w:rsidP="00C033B5">
            <w:pPr>
              <w:rPr>
                <w:rFonts w:asciiTheme="majorBidi" w:hAnsiTheme="majorBidi" w:cstheme="majorBidi"/>
              </w:rPr>
            </w:pPr>
            <w:r w:rsidRPr="00746567">
              <w:rPr>
                <w:rFonts w:asciiTheme="majorBidi" w:hAnsiTheme="majorBidi" w:cstheme="majorBidi"/>
              </w:rPr>
              <w:t>(0.3009)</w:t>
            </w:r>
          </w:p>
        </w:tc>
        <w:tc>
          <w:tcPr>
            <w:tcW w:w="0" w:type="auto"/>
            <w:tcMar>
              <w:top w:w="0" w:type="dxa"/>
              <w:left w:w="115" w:type="dxa"/>
              <w:bottom w:w="0" w:type="dxa"/>
              <w:right w:w="115" w:type="dxa"/>
            </w:tcMar>
            <w:vAlign w:val="center"/>
            <w:hideMark/>
          </w:tcPr>
          <w:p w14:paraId="1D04DAD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(0.0004)</w:t>
            </w:r>
          </w:p>
        </w:tc>
        <w:tc>
          <w:tcPr>
            <w:tcW w:w="0" w:type="auto"/>
            <w:tcMar>
              <w:top w:w="0" w:type="dxa"/>
              <w:left w:w="115" w:type="dxa"/>
              <w:bottom w:w="0" w:type="dxa"/>
              <w:right w:w="115" w:type="dxa"/>
            </w:tcMar>
            <w:vAlign w:val="center"/>
            <w:hideMark/>
          </w:tcPr>
          <w:p w14:paraId="5E4B1396" w14:textId="77777777" w:rsidR="00C033B5" w:rsidRPr="00746567" w:rsidRDefault="00C033B5" w:rsidP="00C033B5">
            <w:pPr>
              <w:rPr>
                <w:rFonts w:asciiTheme="majorBidi" w:hAnsiTheme="majorBidi" w:cstheme="majorBidi"/>
              </w:rPr>
            </w:pPr>
            <w:r w:rsidRPr="00746567">
              <w:rPr>
                <w:rFonts w:asciiTheme="majorBidi" w:hAnsiTheme="majorBidi" w:cstheme="majorBidi"/>
              </w:rPr>
              <w:t>(0.1570)</w:t>
            </w:r>
          </w:p>
        </w:tc>
        <w:tc>
          <w:tcPr>
            <w:tcW w:w="0" w:type="auto"/>
            <w:tcMar>
              <w:top w:w="0" w:type="dxa"/>
              <w:left w:w="115" w:type="dxa"/>
              <w:bottom w:w="0" w:type="dxa"/>
              <w:right w:w="115" w:type="dxa"/>
            </w:tcMar>
            <w:vAlign w:val="center"/>
            <w:hideMark/>
          </w:tcPr>
          <w:p w14:paraId="013B39E9" w14:textId="77777777" w:rsidR="00C033B5" w:rsidRPr="00746567" w:rsidRDefault="00C033B5" w:rsidP="00C033B5">
            <w:pPr>
              <w:rPr>
                <w:rFonts w:asciiTheme="majorBidi" w:hAnsiTheme="majorBidi" w:cstheme="majorBidi"/>
              </w:rPr>
            </w:pPr>
            <w:r w:rsidRPr="00746567">
              <w:rPr>
                <w:rFonts w:asciiTheme="majorBidi" w:hAnsiTheme="majorBidi" w:cstheme="majorBidi"/>
              </w:rPr>
              <w:t>(0.0186)</w:t>
            </w:r>
          </w:p>
        </w:tc>
        <w:tc>
          <w:tcPr>
            <w:tcW w:w="0" w:type="auto"/>
            <w:tcMar>
              <w:top w:w="0" w:type="dxa"/>
              <w:left w:w="115" w:type="dxa"/>
              <w:bottom w:w="0" w:type="dxa"/>
              <w:right w:w="115" w:type="dxa"/>
            </w:tcMar>
            <w:vAlign w:val="center"/>
            <w:hideMark/>
          </w:tcPr>
          <w:p w14:paraId="58296002" w14:textId="77777777" w:rsidR="00C033B5" w:rsidRPr="00746567" w:rsidRDefault="00C033B5" w:rsidP="00C033B5">
            <w:pPr>
              <w:rPr>
                <w:rFonts w:asciiTheme="majorBidi" w:hAnsiTheme="majorBidi" w:cstheme="majorBidi"/>
              </w:rPr>
            </w:pPr>
            <w:r w:rsidRPr="00746567">
              <w:rPr>
                <w:rFonts w:asciiTheme="majorBidi" w:hAnsiTheme="majorBidi" w:cstheme="majorBidi"/>
              </w:rPr>
              <w:t>(0.3690)</w:t>
            </w:r>
          </w:p>
        </w:tc>
        <w:tc>
          <w:tcPr>
            <w:tcW w:w="0" w:type="auto"/>
            <w:tcMar>
              <w:top w:w="0" w:type="dxa"/>
              <w:left w:w="115" w:type="dxa"/>
              <w:bottom w:w="0" w:type="dxa"/>
              <w:right w:w="115" w:type="dxa"/>
            </w:tcMar>
            <w:vAlign w:val="center"/>
            <w:hideMark/>
          </w:tcPr>
          <w:p w14:paraId="465507B1"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vAlign w:val="center"/>
            <w:hideMark/>
          </w:tcPr>
          <w:p w14:paraId="4714E3DF" w14:textId="77777777" w:rsidR="00C033B5" w:rsidRPr="00746567" w:rsidRDefault="00C033B5" w:rsidP="00C033B5">
            <w:pPr>
              <w:rPr>
                <w:rFonts w:asciiTheme="majorBidi" w:hAnsiTheme="majorBidi" w:cstheme="majorBidi"/>
              </w:rPr>
            </w:pPr>
            <w:r w:rsidRPr="00746567">
              <w:rPr>
                <w:rFonts w:asciiTheme="majorBidi" w:hAnsiTheme="majorBidi" w:cstheme="majorBidi"/>
              </w:rPr>
              <w:t>(0.1522)</w:t>
            </w:r>
          </w:p>
        </w:tc>
        <w:tc>
          <w:tcPr>
            <w:tcW w:w="0" w:type="auto"/>
            <w:tcMar>
              <w:top w:w="0" w:type="dxa"/>
              <w:left w:w="115" w:type="dxa"/>
              <w:bottom w:w="0" w:type="dxa"/>
              <w:right w:w="115" w:type="dxa"/>
            </w:tcMar>
            <w:vAlign w:val="center"/>
            <w:hideMark/>
          </w:tcPr>
          <w:p w14:paraId="0776C24C" w14:textId="77777777" w:rsidR="00C033B5" w:rsidRPr="00746567" w:rsidRDefault="00C033B5" w:rsidP="00C033B5">
            <w:pPr>
              <w:rPr>
                <w:rFonts w:asciiTheme="majorBidi" w:hAnsiTheme="majorBidi" w:cstheme="majorBidi"/>
              </w:rPr>
            </w:pPr>
            <w:r w:rsidRPr="00746567">
              <w:rPr>
                <w:rFonts w:asciiTheme="majorBidi" w:hAnsiTheme="majorBidi" w:cstheme="majorBidi"/>
              </w:rPr>
              <w:t>(0.0249)</w:t>
            </w:r>
          </w:p>
        </w:tc>
      </w:tr>
      <w:tr w:rsidR="00C033B5" w:rsidRPr="00746567" w14:paraId="15FEA756" w14:textId="77777777">
        <w:trPr>
          <w:trHeight w:val="20"/>
        </w:trPr>
        <w:tc>
          <w:tcPr>
            <w:tcW w:w="0" w:type="auto"/>
            <w:tcMar>
              <w:top w:w="0" w:type="dxa"/>
              <w:left w:w="115" w:type="dxa"/>
              <w:bottom w:w="0" w:type="dxa"/>
              <w:right w:w="115" w:type="dxa"/>
            </w:tcMar>
            <w:vAlign w:val="center"/>
            <w:hideMark/>
          </w:tcPr>
          <w:p w14:paraId="500B8FA2" w14:textId="77777777" w:rsidR="00C033B5" w:rsidRPr="00746567" w:rsidRDefault="00C033B5" w:rsidP="00C033B5">
            <w:pPr>
              <w:rPr>
                <w:rFonts w:asciiTheme="majorBidi" w:hAnsiTheme="majorBidi" w:cstheme="majorBidi"/>
              </w:rPr>
            </w:pPr>
            <w:r w:rsidRPr="00746567">
              <w:rPr>
                <w:rFonts w:asciiTheme="majorBidi" w:hAnsiTheme="majorBidi" w:cstheme="majorBidi"/>
              </w:rPr>
              <w:t>Personal Loan</w:t>
            </w:r>
          </w:p>
        </w:tc>
        <w:tc>
          <w:tcPr>
            <w:tcW w:w="0" w:type="auto"/>
            <w:tcMar>
              <w:top w:w="0" w:type="dxa"/>
              <w:left w:w="115" w:type="dxa"/>
              <w:bottom w:w="0" w:type="dxa"/>
              <w:right w:w="115" w:type="dxa"/>
            </w:tcMar>
            <w:vAlign w:val="center"/>
            <w:hideMark/>
          </w:tcPr>
          <w:p w14:paraId="6692285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-0.0017</w:t>
            </w:r>
          </w:p>
        </w:tc>
        <w:tc>
          <w:tcPr>
            <w:tcW w:w="0" w:type="auto"/>
            <w:tcMar>
              <w:top w:w="0" w:type="dxa"/>
              <w:left w:w="115" w:type="dxa"/>
              <w:bottom w:w="0" w:type="dxa"/>
              <w:right w:w="115" w:type="dxa"/>
            </w:tcMar>
            <w:vAlign w:val="center"/>
            <w:hideMark/>
          </w:tcPr>
          <w:p w14:paraId="10239B48" w14:textId="77777777" w:rsidR="00C033B5" w:rsidRPr="00746567" w:rsidRDefault="00C033B5" w:rsidP="00C033B5">
            <w:pPr>
              <w:rPr>
                <w:rFonts w:asciiTheme="majorBidi" w:hAnsiTheme="majorBidi" w:cstheme="majorBidi"/>
              </w:rPr>
            </w:pPr>
            <w:r w:rsidRPr="00746567">
              <w:rPr>
                <w:rFonts w:asciiTheme="majorBidi" w:hAnsiTheme="majorBidi" w:cstheme="majorBidi"/>
              </w:rPr>
              <w:t>-0.0313***</w:t>
            </w:r>
          </w:p>
        </w:tc>
        <w:tc>
          <w:tcPr>
            <w:tcW w:w="0" w:type="auto"/>
            <w:tcMar>
              <w:top w:w="0" w:type="dxa"/>
              <w:left w:w="115" w:type="dxa"/>
              <w:bottom w:w="0" w:type="dxa"/>
              <w:right w:w="115" w:type="dxa"/>
            </w:tcMar>
            <w:vAlign w:val="center"/>
            <w:hideMark/>
          </w:tcPr>
          <w:p w14:paraId="4108D9AB" w14:textId="77777777" w:rsidR="00C033B5" w:rsidRPr="00746567" w:rsidRDefault="00C033B5" w:rsidP="00C033B5">
            <w:pPr>
              <w:rPr>
                <w:rFonts w:asciiTheme="majorBidi" w:hAnsiTheme="majorBidi" w:cstheme="majorBidi"/>
              </w:rPr>
            </w:pPr>
            <w:r w:rsidRPr="00746567">
              <w:rPr>
                <w:rFonts w:asciiTheme="majorBidi" w:hAnsiTheme="majorBidi" w:cstheme="majorBidi"/>
              </w:rPr>
              <w:t>-0.0244</w:t>
            </w:r>
          </w:p>
        </w:tc>
        <w:tc>
          <w:tcPr>
            <w:tcW w:w="0" w:type="auto"/>
            <w:tcMar>
              <w:top w:w="0" w:type="dxa"/>
              <w:left w:w="115" w:type="dxa"/>
              <w:bottom w:w="0" w:type="dxa"/>
              <w:right w:w="115" w:type="dxa"/>
            </w:tcMar>
            <w:vAlign w:val="center"/>
            <w:hideMark/>
          </w:tcPr>
          <w:p w14:paraId="0B935E0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2F8ACB0C" w14:textId="77777777" w:rsidR="00C033B5" w:rsidRPr="00746567" w:rsidRDefault="00C033B5" w:rsidP="00C033B5">
            <w:pPr>
              <w:rPr>
                <w:rFonts w:asciiTheme="majorBidi" w:hAnsiTheme="majorBidi" w:cstheme="majorBidi"/>
              </w:rPr>
            </w:pPr>
            <w:r w:rsidRPr="00746567">
              <w:rPr>
                <w:rFonts w:asciiTheme="majorBidi" w:hAnsiTheme="majorBidi" w:cstheme="majorBidi"/>
              </w:rPr>
              <w:t>0.1927***</w:t>
            </w:r>
          </w:p>
        </w:tc>
        <w:tc>
          <w:tcPr>
            <w:tcW w:w="0" w:type="auto"/>
            <w:tcMar>
              <w:top w:w="0" w:type="dxa"/>
              <w:left w:w="115" w:type="dxa"/>
              <w:bottom w:w="0" w:type="dxa"/>
              <w:right w:w="115" w:type="dxa"/>
            </w:tcMar>
            <w:vAlign w:val="center"/>
            <w:hideMark/>
          </w:tcPr>
          <w:p w14:paraId="7A9C4E0B" w14:textId="77777777" w:rsidR="00C033B5" w:rsidRPr="00746567" w:rsidRDefault="00C033B5" w:rsidP="00C033B5">
            <w:pPr>
              <w:rPr>
                <w:rFonts w:asciiTheme="majorBidi" w:hAnsiTheme="majorBidi" w:cstheme="majorBidi"/>
              </w:rPr>
            </w:pPr>
            <w:r w:rsidRPr="00746567">
              <w:rPr>
                <w:rFonts w:asciiTheme="majorBidi" w:hAnsiTheme="majorBidi" w:cstheme="majorBidi"/>
              </w:rPr>
              <w:t>0.0533***</w:t>
            </w:r>
          </w:p>
        </w:tc>
        <w:tc>
          <w:tcPr>
            <w:tcW w:w="0" w:type="auto"/>
            <w:tcMar>
              <w:top w:w="0" w:type="dxa"/>
              <w:left w:w="115" w:type="dxa"/>
              <w:bottom w:w="0" w:type="dxa"/>
              <w:right w:w="115" w:type="dxa"/>
            </w:tcMar>
            <w:vAlign w:val="center"/>
            <w:hideMark/>
          </w:tcPr>
          <w:p w14:paraId="596AEF29" w14:textId="77777777" w:rsidR="00C033B5" w:rsidRPr="00746567" w:rsidRDefault="00C033B5" w:rsidP="00C033B5">
            <w:pPr>
              <w:rPr>
                <w:rFonts w:asciiTheme="majorBidi" w:hAnsiTheme="majorBidi" w:cstheme="majorBidi"/>
              </w:rPr>
            </w:pPr>
            <w:r w:rsidRPr="00746567">
              <w:rPr>
                <w:rFonts w:asciiTheme="majorBidi" w:hAnsiTheme="majorBidi" w:cstheme="majorBidi"/>
              </w:rPr>
              <w:t>-0.2126***</w:t>
            </w:r>
          </w:p>
        </w:tc>
        <w:tc>
          <w:tcPr>
            <w:tcW w:w="0" w:type="auto"/>
            <w:tcMar>
              <w:top w:w="0" w:type="dxa"/>
              <w:left w:w="115" w:type="dxa"/>
              <w:bottom w:w="0" w:type="dxa"/>
              <w:right w:w="115" w:type="dxa"/>
            </w:tcMar>
            <w:vAlign w:val="center"/>
            <w:hideMark/>
          </w:tcPr>
          <w:p w14:paraId="7665D8C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-0.0004***</w:t>
            </w:r>
          </w:p>
        </w:tc>
        <w:tc>
          <w:tcPr>
            <w:tcW w:w="0" w:type="auto"/>
            <w:tcMar>
              <w:top w:w="0" w:type="dxa"/>
              <w:left w:w="115" w:type="dxa"/>
              <w:bottom w:w="0" w:type="dxa"/>
              <w:right w:w="115" w:type="dxa"/>
            </w:tcMar>
            <w:vAlign w:val="center"/>
            <w:hideMark/>
          </w:tcPr>
          <w:p w14:paraId="3C3A1ED0" w14:textId="77777777" w:rsidR="00C033B5" w:rsidRPr="00746567" w:rsidRDefault="00C033B5" w:rsidP="00C033B5">
            <w:pPr>
              <w:rPr>
                <w:rFonts w:asciiTheme="majorBidi" w:hAnsiTheme="majorBidi" w:cstheme="majorBidi"/>
              </w:rPr>
            </w:pPr>
            <w:r w:rsidRPr="00746567">
              <w:rPr>
                <w:rFonts w:asciiTheme="majorBidi" w:hAnsiTheme="majorBidi" w:cstheme="majorBidi"/>
              </w:rPr>
              <w:t>0.2237***</w:t>
            </w:r>
          </w:p>
        </w:tc>
        <w:tc>
          <w:tcPr>
            <w:tcW w:w="0" w:type="auto"/>
            <w:tcMar>
              <w:top w:w="0" w:type="dxa"/>
              <w:left w:w="115" w:type="dxa"/>
              <w:bottom w:w="0" w:type="dxa"/>
              <w:right w:w="115" w:type="dxa"/>
            </w:tcMar>
            <w:vAlign w:val="center"/>
            <w:hideMark/>
          </w:tcPr>
          <w:p w14:paraId="1CBCE735" w14:textId="77777777" w:rsidR="00C033B5" w:rsidRPr="00746567" w:rsidRDefault="00C033B5" w:rsidP="00C033B5">
            <w:pPr>
              <w:rPr>
                <w:rFonts w:asciiTheme="majorBidi" w:hAnsiTheme="majorBidi" w:cstheme="majorBidi"/>
              </w:rPr>
            </w:pPr>
            <w:r w:rsidRPr="00746567">
              <w:rPr>
                <w:rFonts w:asciiTheme="majorBidi" w:hAnsiTheme="majorBidi" w:cstheme="majorBidi"/>
              </w:rPr>
              <w:t>0.0593</w:t>
            </w:r>
          </w:p>
        </w:tc>
      </w:tr>
      <w:tr w:rsidR="00C033B5" w:rsidRPr="00746567" w14:paraId="3C9E7D3D" w14:textId="77777777">
        <w:trPr>
          <w:trHeight w:val="20"/>
        </w:trPr>
        <w:tc>
          <w:tcPr>
            <w:tcW w:w="0" w:type="auto"/>
            <w:tcMar>
              <w:top w:w="0" w:type="dxa"/>
              <w:left w:w="115" w:type="dxa"/>
              <w:bottom w:w="0" w:type="dxa"/>
              <w:right w:w="115" w:type="dxa"/>
            </w:tcMar>
            <w:vAlign w:val="center"/>
            <w:hideMark/>
          </w:tcPr>
          <w:p w14:paraId="656641DE"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EF9C14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6E77D21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05C4E49A" w14:textId="77777777" w:rsidR="00C033B5" w:rsidRPr="00746567" w:rsidRDefault="00C033B5" w:rsidP="00C033B5">
            <w:pPr>
              <w:rPr>
                <w:rFonts w:asciiTheme="majorBidi" w:hAnsiTheme="majorBidi" w:cstheme="majorBidi"/>
              </w:rPr>
            </w:pPr>
            <w:r w:rsidRPr="00746567">
              <w:rPr>
                <w:rFonts w:asciiTheme="majorBidi" w:hAnsiTheme="majorBidi" w:cstheme="majorBidi"/>
              </w:rPr>
              <w:t>(0.0508)</w:t>
            </w:r>
          </w:p>
        </w:tc>
        <w:tc>
          <w:tcPr>
            <w:tcW w:w="0" w:type="auto"/>
            <w:tcMar>
              <w:top w:w="0" w:type="dxa"/>
              <w:left w:w="115" w:type="dxa"/>
              <w:bottom w:w="0" w:type="dxa"/>
              <w:right w:w="115" w:type="dxa"/>
            </w:tcMar>
            <w:vAlign w:val="center"/>
            <w:hideMark/>
          </w:tcPr>
          <w:p w14:paraId="6D82ACC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492C31E7" w14:textId="77777777" w:rsidR="00C033B5" w:rsidRPr="00746567" w:rsidRDefault="00C033B5" w:rsidP="00C033B5">
            <w:pPr>
              <w:rPr>
                <w:rFonts w:asciiTheme="majorBidi" w:hAnsiTheme="majorBidi" w:cstheme="majorBidi"/>
              </w:rPr>
            </w:pPr>
            <w:r w:rsidRPr="00746567">
              <w:rPr>
                <w:rFonts w:asciiTheme="majorBidi" w:hAnsiTheme="majorBidi" w:cstheme="majorBidi"/>
              </w:rPr>
              <w:t>(0.0142)</w:t>
            </w:r>
          </w:p>
        </w:tc>
        <w:tc>
          <w:tcPr>
            <w:tcW w:w="0" w:type="auto"/>
            <w:tcMar>
              <w:top w:w="0" w:type="dxa"/>
              <w:left w:w="115" w:type="dxa"/>
              <w:bottom w:w="0" w:type="dxa"/>
              <w:right w:w="115" w:type="dxa"/>
            </w:tcMar>
            <w:vAlign w:val="center"/>
            <w:hideMark/>
          </w:tcPr>
          <w:p w14:paraId="3F83477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(0.0041)</w:t>
            </w:r>
          </w:p>
        </w:tc>
        <w:tc>
          <w:tcPr>
            <w:tcW w:w="0" w:type="auto"/>
            <w:tcMar>
              <w:top w:w="0" w:type="dxa"/>
              <w:left w:w="115" w:type="dxa"/>
              <w:bottom w:w="0" w:type="dxa"/>
              <w:right w:w="115" w:type="dxa"/>
            </w:tcMar>
            <w:vAlign w:val="center"/>
            <w:hideMark/>
          </w:tcPr>
          <w:p w14:paraId="2A59137F" w14:textId="77777777" w:rsidR="00C033B5" w:rsidRPr="00746567" w:rsidRDefault="00C033B5" w:rsidP="00C033B5">
            <w:pPr>
              <w:rPr>
                <w:rFonts w:asciiTheme="majorBidi" w:hAnsiTheme="majorBidi" w:cstheme="majorBidi"/>
              </w:rPr>
            </w:pPr>
            <w:r w:rsidRPr="00746567">
              <w:rPr>
                <w:rFonts w:asciiTheme="majorBidi" w:hAnsiTheme="majorBidi" w:cstheme="majorBidi"/>
              </w:rPr>
              <w:t>(0.0468)</w:t>
            </w:r>
          </w:p>
        </w:tc>
        <w:tc>
          <w:tcPr>
            <w:tcW w:w="0" w:type="auto"/>
            <w:tcMar>
              <w:top w:w="0" w:type="dxa"/>
              <w:left w:w="115" w:type="dxa"/>
              <w:bottom w:w="0" w:type="dxa"/>
              <w:right w:w="115" w:type="dxa"/>
            </w:tcMar>
            <w:vAlign w:val="center"/>
            <w:hideMark/>
          </w:tcPr>
          <w:p w14:paraId="364DA74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5C166AB0" w14:textId="77777777" w:rsidR="00C033B5" w:rsidRPr="00746567" w:rsidRDefault="00C033B5" w:rsidP="00C033B5">
            <w:pPr>
              <w:rPr>
                <w:rFonts w:asciiTheme="majorBidi" w:hAnsiTheme="majorBidi" w:cstheme="majorBidi"/>
              </w:rPr>
            </w:pPr>
            <w:r w:rsidRPr="00746567">
              <w:rPr>
                <w:rFonts w:asciiTheme="majorBidi" w:hAnsiTheme="majorBidi" w:cstheme="majorBidi"/>
              </w:rPr>
              <w:t>(0.0141)</w:t>
            </w:r>
          </w:p>
        </w:tc>
        <w:tc>
          <w:tcPr>
            <w:tcW w:w="0" w:type="auto"/>
            <w:tcMar>
              <w:top w:w="0" w:type="dxa"/>
              <w:left w:w="115" w:type="dxa"/>
              <w:bottom w:w="0" w:type="dxa"/>
              <w:right w:w="115" w:type="dxa"/>
            </w:tcMar>
            <w:vAlign w:val="center"/>
            <w:hideMark/>
          </w:tcPr>
          <w:p w14:paraId="6307C85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(0.0038)</w:t>
            </w:r>
          </w:p>
        </w:tc>
      </w:tr>
      <w:tr w:rsidR="00C033B5" w:rsidRPr="00746567" w14:paraId="22DA08AE" w14:textId="77777777">
        <w:trPr>
          <w:trHeight w:val="20"/>
        </w:trPr>
        <w:tc>
          <w:tcPr>
            <w:tcW w:w="0" w:type="auto"/>
            <w:tcMar>
              <w:top w:w="0" w:type="dxa"/>
              <w:left w:w="115" w:type="dxa"/>
              <w:bottom w:w="0" w:type="dxa"/>
              <w:right w:w="115" w:type="dxa"/>
            </w:tcMar>
            <w:vAlign w:val="center"/>
            <w:hideMark/>
          </w:tcPr>
          <w:p w14:paraId="273764C1" w14:textId="77777777" w:rsidR="00C033B5" w:rsidRPr="00746567" w:rsidRDefault="00C033B5" w:rsidP="00C033B5">
            <w:pPr>
              <w:rPr>
                <w:rFonts w:asciiTheme="majorBidi" w:hAnsiTheme="majorBidi" w:cstheme="majorBidi"/>
              </w:rPr>
            </w:pPr>
            <w:r w:rsidRPr="00746567">
              <w:rPr>
                <w:rFonts w:asciiTheme="majorBidi" w:hAnsiTheme="majorBidi" w:cstheme="majorBidi"/>
              </w:rPr>
              <w:t>Age</w:t>
            </w:r>
          </w:p>
        </w:tc>
        <w:tc>
          <w:tcPr>
            <w:tcW w:w="0" w:type="auto"/>
            <w:tcMar>
              <w:top w:w="0" w:type="dxa"/>
              <w:left w:w="115" w:type="dxa"/>
              <w:bottom w:w="0" w:type="dxa"/>
              <w:right w:w="115" w:type="dxa"/>
            </w:tcMar>
            <w:vAlign w:val="center"/>
            <w:hideMark/>
          </w:tcPr>
          <w:p w14:paraId="1321008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-0.0039***</w:t>
            </w:r>
          </w:p>
        </w:tc>
        <w:tc>
          <w:tcPr>
            <w:tcW w:w="0" w:type="auto"/>
            <w:tcMar>
              <w:top w:w="0" w:type="dxa"/>
              <w:left w:w="115" w:type="dxa"/>
              <w:bottom w:w="0" w:type="dxa"/>
              <w:right w:w="115" w:type="dxa"/>
            </w:tcMar>
            <w:vAlign w:val="center"/>
            <w:hideMark/>
          </w:tcPr>
          <w:p w14:paraId="741F0327" w14:textId="77777777" w:rsidR="00C033B5" w:rsidRPr="00746567" w:rsidRDefault="00C033B5" w:rsidP="00C033B5">
            <w:pPr>
              <w:rPr>
                <w:rFonts w:asciiTheme="majorBidi" w:hAnsiTheme="majorBidi" w:cstheme="majorBidi"/>
              </w:rPr>
            </w:pPr>
            <w:r w:rsidRPr="00746567">
              <w:rPr>
                <w:rFonts w:asciiTheme="majorBidi" w:hAnsiTheme="majorBidi" w:cstheme="majorBidi"/>
              </w:rPr>
              <w:t>-0.0153***</w:t>
            </w:r>
          </w:p>
        </w:tc>
        <w:tc>
          <w:tcPr>
            <w:tcW w:w="0" w:type="auto"/>
            <w:tcMar>
              <w:top w:w="0" w:type="dxa"/>
              <w:left w:w="115" w:type="dxa"/>
              <w:bottom w:w="0" w:type="dxa"/>
              <w:right w:w="115" w:type="dxa"/>
            </w:tcMar>
            <w:vAlign w:val="center"/>
            <w:hideMark/>
          </w:tcPr>
          <w:p w14:paraId="64C8D884" w14:textId="77777777" w:rsidR="00C033B5" w:rsidRPr="00746567" w:rsidRDefault="00C033B5" w:rsidP="00C033B5">
            <w:pPr>
              <w:rPr>
                <w:rFonts w:asciiTheme="majorBidi" w:hAnsiTheme="majorBidi" w:cstheme="majorBidi"/>
              </w:rPr>
            </w:pPr>
            <w:r w:rsidRPr="00746567">
              <w:rPr>
                <w:rFonts w:asciiTheme="majorBidi" w:hAnsiTheme="majorBidi" w:cstheme="majorBidi"/>
              </w:rPr>
              <w:t>-2.0626***</w:t>
            </w:r>
          </w:p>
        </w:tc>
        <w:tc>
          <w:tcPr>
            <w:tcW w:w="0" w:type="auto"/>
            <w:tcMar>
              <w:top w:w="0" w:type="dxa"/>
              <w:left w:w="115" w:type="dxa"/>
              <w:bottom w:w="0" w:type="dxa"/>
              <w:right w:w="115" w:type="dxa"/>
            </w:tcMar>
            <w:vAlign w:val="center"/>
            <w:hideMark/>
          </w:tcPr>
          <w:p w14:paraId="082728C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-0.0055***</w:t>
            </w:r>
          </w:p>
        </w:tc>
        <w:tc>
          <w:tcPr>
            <w:tcW w:w="0" w:type="auto"/>
            <w:tcMar>
              <w:top w:w="0" w:type="dxa"/>
              <w:left w:w="115" w:type="dxa"/>
              <w:bottom w:w="0" w:type="dxa"/>
              <w:right w:w="115" w:type="dxa"/>
            </w:tcMar>
            <w:vAlign w:val="center"/>
            <w:hideMark/>
          </w:tcPr>
          <w:p w14:paraId="6154388D" w14:textId="77777777" w:rsidR="00C033B5" w:rsidRPr="00746567" w:rsidRDefault="00C033B5" w:rsidP="00C033B5">
            <w:pPr>
              <w:rPr>
                <w:rFonts w:asciiTheme="majorBidi" w:hAnsiTheme="majorBidi" w:cstheme="majorBidi"/>
              </w:rPr>
            </w:pPr>
            <w:r w:rsidRPr="00746567">
              <w:rPr>
                <w:rFonts w:asciiTheme="majorBidi" w:hAnsiTheme="majorBidi" w:cstheme="majorBidi"/>
              </w:rPr>
              <w:t>-0.0700***</w:t>
            </w:r>
          </w:p>
        </w:tc>
        <w:tc>
          <w:tcPr>
            <w:tcW w:w="0" w:type="auto"/>
            <w:tcMar>
              <w:top w:w="0" w:type="dxa"/>
              <w:left w:w="115" w:type="dxa"/>
              <w:bottom w:w="0" w:type="dxa"/>
              <w:right w:w="115" w:type="dxa"/>
            </w:tcMar>
            <w:vAlign w:val="center"/>
            <w:hideMark/>
          </w:tcPr>
          <w:p w14:paraId="770A6664" w14:textId="77777777" w:rsidR="00C033B5" w:rsidRPr="00746567" w:rsidRDefault="00C033B5" w:rsidP="00C033B5">
            <w:pPr>
              <w:rPr>
                <w:rFonts w:asciiTheme="majorBidi" w:hAnsiTheme="majorBidi" w:cstheme="majorBidi"/>
              </w:rPr>
            </w:pPr>
            <w:r w:rsidRPr="00746567">
              <w:rPr>
                <w:rFonts w:asciiTheme="majorBidi" w:hAnsiTheme="majorBidi" w:cstheme="majorBidi"/>
              </w:rPr>
              <w:t>-0.0180***</w:t>
            </w:r>
          </w:p>
        </w:tc>
        <w:tc>
          <w:tcPr>
            <w:tcW w:w="0" w:type="auto"/>
            <w:tcMar>
              <w:top w:w="0" w:type="dxa"/>
              <w:left w:w="115" w:type="dxa"/>
              <w:bottom w:w="0" w:type="dxa"/>
              <w:right w:w="115" w:type="dxa"/>
            </w:tcMar>
            <w:vAlign w:val="center"/>
            <w:hideMark/>
          </w:tcPr>
          <w:p w14:paraId="6506FD1E" w14:textId="77777777" w:rsidR="00C033B5" w:rsidRPr="00746567" w:rsidRDefault="00C033B5" w:rsidP="00C033B5">
            <w:pPr>
              <w:rPr>
                <w:rFonts w:asciiTheme="majorBidi" w:hAnsiTheme="majorBidi" w:cstheme="majorBidi"/>
              </w:rPr>
            </w:pPr>
            <w:r w:rsidRPr="00746567">
              <w:rPr>
                <w:rFonts w:asciiTheme="majorBidi" w:hAnsiTheme="majorBidi" w:cstheme="majorBidi"/>
              </w:rPr>
              <w:t>-0.0983***</w:t>
            </w:r>
          </w:p>
        </w:tc>
        <w:tc>
          <w:tcPr>
            <w:tcW w:w="0" w:type="auto"/>
            <w:tcMar>
              <w:top w:w="0" w:type="dxa"/>
              <w:left w:w="115" w:type="dxa"/>
              <w:bottom w:w="0" w:type="dxa"/>
              <w:right w:w="115" w:type="dxa"/>
            </w:tcMar>
            <w:vAlign w:val="center"/>
            <w:hideMark/>
          </w:tcPr>
          <w:p w14:paraId="58294C3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vAlign w:val="center"/>
            <w:hideMark/>
          </w:tcPr>
          <w:p w14:paraId="435E2F3A" w14:textId="77777777" w:rsidR="00C033B5" w:rsidRPr="00746567" w:rsidRDefault="00C033B5" w:rsidP="00C033B5">
            <w:pPr>
              <w:rPr>
                <w:rFonts w:asciiTheme="majorBidi" w:hAnsiTheme="majorBidi" w:cstheme="majorBidi"/>
              </w:rPr>
            </w:pPr>
            <w:r w:rsidRPr="00746567">
              <w:rPr>
                <w:rFonts w:asciiTheme="majorBidi" w:hAnsiTheme="majorBidi" w:cstheme="majorBidi"/>
              </w:rPr>
              <w:t>-0.0310**</w:t>
            </w:r>
          </w:p>
        </w:tc>
        <w:tc>
          <w:tcPr>
            <w:tcW w:w="0" w:type="auto"/>
            <w:tcMar>
              <w:top w:w="0" w:type="dxa"/>
              <w:left w:w="115" w:type="dxa"/>
              <w:bottom w:w="0" w:type="dxa"/>
              <w:right w:w="115" w:type="dxa"/>
            </w:tcMar>
            <w:vAlign w:val="center"/>
            <w:hideMark/>
          </w:tcPr>
          <w:p w14:paraId="0F469BF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-0.0075</w:t>
            </w:r>
          </w:p>
        </w:tc>
      </w:tr>
      <w:tr w:rsidR="00C033B5" w:rsidRPr="00746567" w14:paraId="71682E61" w14:textId="77777777">
        <w:trPr>
          <w:trHeight w:val="20"/>
        </w:trPr>
        <w:tc>
          <w:tcPr>
            <w:tcW w:w="0" w:type="auto"/>
            <w:tcMar>
              <w:top w:w="0" w:type="dxa"/>
              <w:left w:w="115" w:type="dxa"/>
              <w:bottom w:w="0" w:type="dxa"/>
              <w:right w:w="115" w:type="dxa"/>
            </w:tcMar>
            <w:vAlign w:val="center"/>
            <w:hideMark/>
          </w:tcPr>
          <w:p w14:paraId="218BCCA9"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B3733E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5FCE195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00AE7626" w14:textId="77777777" w:rsidR="00C033B5" w:rsidRPr="00746567" w:rsidRDefault="00C033B5" w:rsidP="00C033B5">
            <w:pPr>
              <w:rPr>
                <w:rFonts w:asciiTheme="majorBidi" w:hAnsiTheme="majorBidi" w:cstheme="majorBidi"/>
              </w:rPr>
            </w:pPr>
            <w:r w:rsidRPr="00746567">
              <w:rPr>
                <w:rFonts w:asciiTheme="majorBidi" w:hAnsiTheme="majorBidi" w:cstheme="majorBidi"/>
              </w:rPr>
              <w:t>(0.4155)</w:t>
            </w:r>
          </w:p>
        </w:tc>
        <w:tc>
          <w:tcPr>
            <w:tcW w:w="0" w:type="auto"/>
            <w:tcMar>
              <w:top w:w="0" w:type="dxa"/>
              <w:left w:w="115" w:type="dxa"/>
              <w:bottom w:w="0" w:type="dxa"/>
              <w:right w:w="115" w:type="dxa"/>
            </w:tcMar>
            <w:vAlign w:val="center"/>
            <w:hideMark/>
          </w:tcPr>
          <w:p w14:paraId="3FF73FF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(0.0011)</w:t>
            </w:r>
          </w:p>
        </w:tc>
        <w:tc>
          <w:tcPr>
            <w:tcW w:w="0" w:type="auto"/>
            <w:tcMar>
              <w:top w:w="0" w:type="dxa"/>
              <w:left w:w="115" w:type="dxa"/>
              <w:bottom w:w="0" w:type="dxa"/>
              <w:right w:w="115" w:type="dxa"/>
            </w:tcMar>
            <w:vAlign w:val="center"/>
            <w:hideMark/>
          </w:tcPr>
          <w:p w14:paraId="0B5E7886" w14:textId="77777777" w:rsidR="00C033B5" w:rsidRPr="00746567" w:rsidRDefault="00C033B5" w:rsidP="00C033B5">
            <w:pPr>
              <w:rPr>
                <w:rFonts w:asciiTheme="majorBidi" w:hAnsiTheme="majorBidi" w:cstheme="majorBidi"/>
              </w:rPr>
            </w:pPr>
            <w:r w:rsidRPr="00746567">
              <w:rPr>
                <w:rFonts w:asciiTheme="majorBidi" w:hAnsiTheme="majorBidi" w:cstheme="majorBidi"/>
              </w:rPr>
              <w:t>(0.0131)</w:t>
            </w:r>
          </w:p>
        </w:tc>
        <w:tc>
          <w:tcPr>
            <w:tcW w:w="0" w:type="auto"/>
            <w:tcMar>
              <w:top w:w="0" w:type="dxa"/>
              <w:left w:w="115" w:type="dxa"/>
              <w:bottom w:w="0" w:type="dxa"/>
              <w:right w:w="115" w:type="dxa"/>
            </w:tcMar>
            <w:vAlign w:val="center"/>
            <w:hideMark/>
          </w:tcPr>
          <w:p w14:paraId="424260A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(0.0034)</w:t>
            </w:r>
          </w:p>
        </w:tc>
        <w:tc>
          <w:tcPr>
            <w:tcW w:w="0" w:type="auto"/>
            <w:tcMar>
              <w:top w:w="0" w:type="dxa"/>
              <w:left w:w="115" w:type="dxa"/>
              <w:bottom w:w="0" w:type="dxa"/>
              <w:right w:w="115" w:type="dxa"/>
            </w:tcMar>
            <w:vAlign w:val="center"/>
            <w:hideMark/>
          </w:tcPr>
          <w:p w14:paraId="0783CF4D" w14:textId="77777777" w:rsidR="00C033B5" w:rsidRPr="00746567" w:rsidRDefault="00C033B5" w:rsidP="00C033B5">
            <w:pPr>
              <w:rPr>
                <w:rFonts w:asciiTheme="majorBidi" w:hAnsiTheme="majorBidi" w:cstheme="majorBidi"/>
              </w:rPr>
            </w:pPr>
            <w:r w:rsidRPr="00746567">
              <w:rPr>
                <w:rFonts w:asciiTheme="majorBidi" w:hAnsiTheme="majorBidi" w:cstheme="majorBidi"/>
              </w:rPr>
              <w:t>(0.0316)</w:t>
            </w:r>
          </w:p>
        </w:tc>
        <w:tc>
          <w:tcPr>
            <w:tcW w:w="0" w:type="auto"/>
            <w:tcMar>
              <w:top w:w="0" w:type="dxa"/>
              <w:left w:w="115" w:type="dxa"/>
              <w:bottom w:w="0" w:type="dxa"/>
              <w:right w:w="115" w:type="dxa"/>
            </w:tcMar>
            <w:vAlign w:val="center"/>
            <w:hideMark/>
          </w:tcPr>
          <w:p w14:paraId="66B4798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34A68DCD" w14:textId="77777777" w:rsidR="00C033B5" w:rsidRPr="00746567" w:rsidRDefault="00C033B5" w:rsidP="00C033B5">
            <w:pPr>
              <w:rPr>
                <w:rFonts w:asciiTheme="majorBidi" w:hAnsiTheme="majorBidi" w:cstheme="majorBidi"/>
              </w:rPr>
            </w:pPr>
            <w:r w:rsidRPr="00746567">
              <w:rPr>
                <w:rFonts w:asciiTheme="majorBidi" w:hAnsiTheme="majorBidi" w:cstheme="majorBidi"/>
              </w:rPr>
              <w:t>(0.0139)</w:t>
            </w:r>
          </w:p>
        </w:tc>
        <w:tc>
          <w:tcPr>
            <w:tcW w:w="0" w:type="auto"/>
            <w:tcMar>
              <w:top w:w="0" w:type="dxa"/>
              <w:left w:w="115" w:type="dxa"/>
              <w:bottom w:w="0" w:type="dxa"/>
              <w:right w:w="115" w:type="dxa"/>
            </w:tcMar>
            <w:vAlign w:val="center"/>
            <w:hideMark/>
          </w:tcPr>
          <w:p w14:paraId="749ACAE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(0.0034)</w:t>
            </w:r>
          </w:p>
        </w:tc>
      </w:tr>
      <w:tr w:rsidR="00C033B5" w:rsidRPr="00746567" w14:paraId="1E792068" w14:textId="77777777">
        <w:trPr>
          <w:trHeight w:val="20"/>
        </w:trPr>
        <w:tc>
          <w:tcPr>
            <w:tcW w:w="0" w:type="auto"/>
            <w:tcMar>
              <w:top w:w="0" w:type="dxa"/>
              <w:left w:w="115" w:type="dxa"/>
              <w:bottom w:w="0" w:type="dxa"/>
              <w:right w:w="115" w:type="dxa"/>
            </w:tcMar>
            <w:vAlign w:val="center"/>
            <w:hideMark/>
          </w:tcPr>
          <w:p w14:paraId="44C82D4F"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Loanport</w:t>
            </w:r>
            <w:proofErr w:type="spellEnd"/>
          </w:p>
        </w:tc>
        <w:tc>
          <w:tcPr>
            <w:tcW w:w="0" w:type="auto"/>
            <w:tcMar>
              <w:top w:w="0" w:type="dxa"/>
              <w:left w:w="115" w:type="dxa"/>
              <w:bottom w:w="0" w:type="dxa"/>
              <w:right w:w="115" w:type="dxa"/>
            </w:tcMar>
            <w:vAlign w:val="center"/>
            <w:hideMark/>
          </w:tcPr>
          <w:p w14:paraId="4E7F031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-0.0061***</w:t>
            </w:r>
          </w:p>
        </w:tc>
        <w:tc>
          <w:tcPr>
            <w:tcW w:w="0" w:type="auto"/>
            <w:tcMar>
              <w:top w:w="0" w:type="dxa"/>
              <w:left w:w="115" w:type="dxa"/>
              <w:bottom w:w="0" w:type="dxa"/>
              <w:right w:w="115" w:type="dxa"/>
            </w:tcMar>
            <w:vAlign w:val="center"/>
            <w:hideMark/>
          </w:tcPr>
          <w:p w14:paraId="79A68FE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-0.0013***</w:t>
            </w:r>
          </w:p>
        </w:tc>
        <w:tc>
          <w:tcPr>
            <w:tcW w:w="0" w:type="auto"/>
            <w:tcMar>
              <w:top w:w="0" w:type="dxa"/>
              <w:left w:w="115" w:type="dxa"/>
              <w:bottom w:w="0" w:type="dxa"/>
              <w:right w:w="115" w:type="dxa"/>
            </w:tcMar>
            <w:vAlign w:val="center"/>
            <w:hideMark/>
          </w:tcPr>
          <w:p w14:paraId="05EC59A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573749E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7F1C247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75B111B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2500D9B8" w14:textId="77777777" w:rsidR="00C033B5" w:rsidRPr="00746567" w:rsidRDefault="00C033B5" w:rsidP="00C033B5">
            <w:pPr>
              <w:rPr>
                <w:rFonts w:asciiTheme="majorBidi" w:hAnsiTheme="majorBidi" w:cstheme="majorBidi"/>
              </w:rPr>
            </w:pPr>
            <w:r w:rsidRPr="00746567">
              <w:rPr>
                <w:rFonts w:asciiTheme="majorBidi" w:hAnsiTheme="majorBidi" w:cstheme="majorBidi"/>
              </w:rPr>
              <w:t>0.0967**</w:t>
            </w:r>
          </w:p>
        </w:tc>
        <w:tc>
          <w:tcPr>
            <w:tcW w:w="0" w:type="auto"/>
            <w:tcMar>
              <w:top w:w="0" w:type="dxa"/>
              <w:left w:w="115" w:type="dxa"/>
              <w:bottom w:w="0" w:type="dxa"/>
              <w:right w:w="115" w:type="dxa"/>
            </w:tcMar>
            <w:vAlign w:val="center"/>
            <w:hideMark/>
          </w:tcPr>
          <w:p w14:paraId="2CAD2BA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0A708E4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1B0EB66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r>
      <w:tr w:rsidR="00C033B5" w:rsidRPr="00746567" w14:paraId="3042D2C8" w14:textId="77777777">
        <w:trPr>
          <w:trHeight w:val="20"/>
        </w:trPr>
        <w:tc>
          <w:tcPr>
            <w:tcW w:w="0" w:type="auto"/>
            <w:tcMar>
              <w:top w:w="0" w:type="dxa"/>
              <w:left w:w="115" w:type="dxa"/>
              <w:bottom w:w="0" w:type="dxa"/>
              <w:right w:w="115" w:type="dxa"/>
            </w:tcMar>
            <w:vAlign w:val="center"/>
            <w:hideMark/>
          </w:tcPr>
          <w:p w14:paraId="27DD011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47F718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0832F4E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25EAFA5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4293D2E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3C0F7B5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38FC20C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3B837B5E" w14:textId="77777777" w:rsidR="00C033B5" w:rsidRPr="00746567" w:rsidRDefault="00C033B5" w:rsidP="00C033B5">
            <w:pPr>
              <w:rPr>
                <w:rFonts w:asciiTheme="majorBidi" w:hAnsiTheme="majorBidi" w:cstheme="majorBidi"/>
              </w:rPr>
            </w:pPr>
            <w:r w:rsidRPr="00746567">
              <w:rPr>
                <w:rFonts w:asciiTheme="majorBidi" w:hAnsiTheme="majorBidi" w:cstheme="majorBidi"/>
              </w:rPr>
              <w:t>(0.0407)</w:t>
            </w:r>
          </w:p>
        </w:tc>
        <w:tc>
          <w:tcPr>
            <w:tcW w:w="0" w:type="auto"/>
            <w:tcMar>
              <w:top w:w="0" w:type="dxa"/>
              <w:left w:w="115" w:type="dxa"/>
              <w:bottom w:w="0" w:type="dxa"/>
              <w:right w:w="115" w:type="dxa"/>
            </w:tcMar>
            <w:vAlign w:val="center"/>
            <w:hideMark/>
          </w:tcPr>
          <w:p w14:paraId="3E209AA4"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03D96916"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c>
          <w:tcPr>
            <w:tcW w:w="0" w:type="auto"/>
            <w:tcMar>
              <w:top w:w="0" w:type="dxa"/>
              <w:left w:w="115" w:type="dxa"/>
              <w:bottom w:w="0" w:type="dxa"/>
              <w:right w:w="115" w:type="dxa"/>
            </w:tcMar>
            <w:vAlign w:val="center"/>
            <w:hideMark/>
          </w:tcPr>
          <w:p w14:paraId="46A12CD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(0.0000)</w:t>
            </w:r>
          </w:p>
        </w:tc>
      </w:tr>
      <w:tr w:rsidR="00C033B5" w:rsidRPr="00746567" w14:paraId="62C8F1B9" w14:textId="77777777">
        <w:trPr>
          <w:trHeight w:val="20"/>
        </w:trPr>
        <w:tc>
          <w:tcPr>
            <w:tcW w:w="0" w:type="auto"/>
            <w:tcMar>
              <w:top w:w="0" w:type="dxa"/>
              <w:left w:w="115" w:type="dxa"/>
              <w:bottom w:w="0" w:type="dxa"/>
              <w:right w:w="115" w:type="dxa"/>
            </w:tcMar>
            <w:vAlign w:val="center"/>
            <w:hideMark/>
          </w:tcPr>
          <w:p w14:paraId="0E9D1ADA"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Loanport</w:t>
            </w:r>
            <w:proofErr w:type="spellEnd"/>
            <w:r w:rsidRPr="00746567">
              <w:rPr>
                <w:rFonts w:asciiTheme="majorBidi" w:hAnsiTheme="majorBidi" w:cstheme="majorBidi"/>
              </w:rPr>
              <w:t xml:space="preserve"> × </w:t>
            </w:r>
            <w:proofErr w:type="spellStart"/>
            <w:r w:rsidRPr="00746567">
              <w:rPr>
                <w:rFonts w:asciiTheme="majorBidi" w:hAnsiTheme="majorBidi" w:cstheme="majorBidi"/>
              </w:rPr>
              <w:t>Loanport</w:t>
            </w:r>
            <w:proofErr w:type="spellEnd"/>
          </w:p>
        </w:tc>
        <w:tc>
          <w:tcPr>
            <w:tcW w:w="0" w:type="auto"/>
            <w:tcMar>
              <w:top w:w="0" w:type="dxa"/>
              <w:left w:w="115" w:type="dxa"/>
              <w:bottom w:w="0" w:type="dxa"/>
              <w:right w:w="115" w:type="dxa"/>
            </w:tcMar>
            <w:vAlign w:val="center"/>
            <w:hideMark/>
          </w:tcPr>
          <w:p w14:paraId="3C1BC8A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0.0075***</w:t>
            </w:r>
          </w:p>
        </w:tc>
        <w:tc>
          <w:tcPr>
            <w:tcW w:w="0" w:type="auto"/>
            <w:tcMar>
              <w:top w:w="0" w:type="dxa"/>
              <w:left w:w="115" w:type="dxa"/>
              <w:bottom w:w="0" w:type="dxa"/>
              <w:right w:w="115" w:type="dxa"/>
            </w:tcMar>
            <w:vAlign w:val="center"/>
            <w:hideMark/>
          </w:tcPr>
          <w:p w14:paraId="10ED95FF"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-0.0014***</w:t>
            </w:r>
          </w:p>
        </w:tc>
        <w:tc>
          <w:tcPr>
            <w:tcW w:w="0" w:type="auto"/>
            <w:tcMar>
              <w:top w:w="0" w:type="dxa"/>
              <w:left w:w="115" w:type="dxa"/>
              <w:bottom w:w="0" w:type="dxa"/>
              <w:right w:w="115" w:type="dxa"/>
            </w:tcMar>
            <w:vAlign w:val="center"/>
            <w:hideMark/>
          </w:tcPr>
          <w:p w14:paraId="05A01DA0"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6A9D2943"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A44DAA4"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2E847D40"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2BC5D884"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601018BE"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6492143A" w14:textId="77777777" w:rsidR="00C033B5" w:rsidRPr="00746567" w:rsidRDefault="00C033B5" w:rsidP="00C033B5">
            <w:pPr>
              <w:rPr>
                <w:rFonts w:asciiTheme="majorBidi" w:hAnsiTheme="majorBidi" w:cstheme="majorBidi"/>
              </w:rPr>
            </w:pPr>
            <w:r w:rsidRPr="00746567">
              <w:rPr>
                <w:rFonts w:asciiTheme="majorBidi" w:hAnsiTheme="majorBidi" w:cstheme="majorBidi"/>
              </w:rPr>
              <w:t>-</w:t>
            </w:r>
          </w:p>
        </w:tc>
        <w:tc>
          <w:tcPr>
            <w:tcW w:w="0" w:type="auto"/>
            <w:tcMar>
              <w:top w:w="0" w:type="dxa"/>
              <w:left w:w="115" w:type="dxa"/>
              <w:bottom w:w="0" w:type="dxa"/>
              <w:right w:w="115" w:type="dxa"/>
            </w:tcMar>
            <w:vAlign w:val="center"/>
            <w:hideMark/>
          </w:tcPr>
          <w:p w14:paraId="531EE1CA" w14:textId="77777777" w:rsidR="00C033B5" w:rsidRPr="00746567" w:rsidRDefault="00C033B5" w:rsidP="00C033B5">
            <w:pPr>
              <w:rPr>
                <w:rFonts w:asciiTheme="majorBidi" w:hAnsiTheme="majorBidi" w:cstheme="majorBidi"/>
              </w:rPr>
            </w:pPr>
          </w:p>
        </w:tc>
      </w:tr>
      <w:tr w:rsidR="00C033B5" w:rsidRPr="00746567" w14:paraId="1D07EE1A" w14:textId="77777777">
        <w:trPr>
          <w:trHeight w:val="20"/>
        </w:trPr>
        <w:tc>
          <w:tcPr>
            <w:tcW w:w="0" w:type="auto"/>
            <w:tcMar>
              <w:top w:w="0" w:type="dxa"/>
              <w:left w:w="115" w:type="dxa"/>
              <w:bottom w:w="0" w:type="dxa"/>
              <w:right w:w="115" w:type="dxa"/>
            </w:tcMar>
            <w:vAlign w:val="center"/>
            <w:hideMark/>
          </w:tcPr>
          <w:p w14:paraId="51EE4343"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C97414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11AEFAE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00DC7B24"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56CB3ED"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63F4624"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472BD83"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0DD386F"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1CADF1A"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EDDCE0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E3687E3" w14:textId="77777777" w:rsidR="00C033B5" w:rsidRPr="00746567" w:rsidRDefault="00C033B5" w:rsidP="00C033B5">
            <w:pPr>
              <w:rPr>
                <w:rFonts w:asciiTheme="majorBidi" w:hAnsiTheme="majorBidi" w:cstheme="majorBidi"/>
              </w:rPr>
            </w:pPr>
          </w:p>
        </w:tc>
      </w:tr>
      <w:tr w:rsidR="00C033B5" w:rsidRPr="00746567" w14:paraId="75F0FDB3" w14:textId="77777777">
        <w:trPr>
          <w:trHeight w:val="20"/>
        </w:trPr>
        <w:tc>
          <w:tcPr>
            <w:tcW w:w="0" w:type="auto"/>
            <w:tcMar>
              <w:top w:w="0" w:type="dxa"/>
              <w:left w:w="115" w:type="dxa"/>
              <w:bottom w:w="0" w:type="dxa"/>
              <w:right w:w="115" w:type="dxa"/>
            </w:tcMar>
            <w:vAlign w:val="center"/>
            <w:hideMark/>
          </w:tcPr>
          <w:p w14:paraId="54461EBB" w14:textId="77777777" w:rsidR="00C033B5" w:rsidRPr="00746567" w:rsidRDefault="00C033B5" w:rsidP="00C033B5">
            <w:pPr>
              <w:rPr>
                <w:rFonts w:asciiTheme="majorBidi" w:hAnsiTheme="majorBidi" w:cstheme="majorBidi"/>
              </w:rPr>
            </w:pPr>
            <w:r w:rsidRPr="00746567">
              <w:rPr>
                <w:rFonts w:asciiTheme="majorBidi" w:hAnsiTheme="majorBidi" w:cstheme="majorBidi"/>
              </w:rPr>
              <w:t>Country Fixed effects</w:t>
            </w:r>
          </w:p>
        </w:tc>
        <w:tc>
          <w:tcPr>
            <w:tcW w:w="0" w:type="auto"/>
            <w:tcMar>
              <w:top w:w="0" w:type="dxa"/>
              <w:left w:w="115" w:type="dxa"/>
              <w:bottom w:w="0" w:type="dxa"/>
              <w:right w:w="115" w:type="dxa"/>
            </w:tcMar>
            <w:vAlign w:val="center"/>
            <w:hideMark/>
          </w:tcPr>
          <w:p w14:paraId="2115CA1F"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c>
          <w:tcPr>
            <w:tcW w:w="0" w:type="auto"/>
            <w:tcMar>
              <w:top w:w="0" w:type="dxa"/>
              <w:left w:w="115" w:type="dxa"/>
              <w:bottom w:w="0" w:type="dxa"/>
              <w:right w:w="115" w:type="dxa"/>
            </w:tcMar>
            <w:vAlign w:val="center"/>
            <w:hideMark/>
          </w:tcPr>
          <w:p w14:paraId="5BF7C719"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c>
          <w:tcPr>
            <w:tcW w:w="0" w:type="auto"/>
            <w:tcMar>
              <w:top w:w="0" w:type="dxa"/>
              <w:left w:w="115" w:type="dxa"/>
              <w:bottom w:w="0" w:type="dxa"/>
              <w:right w:w="115" w:type="dxa"/>
            </w:tcMar>
            <w:vAlign w:val="center"/>
            <w:hideMark/>
          </w:tcPr>
          <w:p w14:paraId="4B9E00FE"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c>
          <w:tcPr>
            <w:tcW w:w="0" w:type="auto"/>
            <w:tcMar>
              <w:top w:w="0" w:type="dxa"/>
              <w:left w:w="115" w:type="dxa"/>
              <w:bottom w:w="0" w:type="dxa"/>
              <w:right w:w="115" w:type="dxa"/>
            </w:tcMar>
            <w:vAlign w:val="center"/>
            <w:hideMark/>
          </w:tcPr>
          <w:p w14:paraId="0798F43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1DE3AC0"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c>
          <w:tcPr>
            <w:tcW w:w="0" w:type="auto"/>
            <w:tcMar>
              <w:top w:w="0" w:type="dxa"/>
              <w:left w:w="115" w:type="dxa"/>
              <w:bottom w:w="0" w:type="dxa"/>
              <w:right w:w="115" w:type="dxa"/>
            </w:tcMar>
            <w:vAlign w:val="center"/>
            <w:hideMark/>
          </w:tcPr>
          <w:p w14:paraId="15809DE3"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235C18B"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c>
          <w:tcPr>
            <w:tcW w:w="0" w:type="auto"/>
            <w:tcMar>
              <w:top w:w="0" w:type="dxa"/>
              <w:left w:w="115" w:type="dxa"/>
              <w:bottom w:w="0" w:type="dxa"/>
              <w:right w:w="115" w:type="dxa"/>
            </w:tcMar>
            <w:vAlign w:val="center"/>
            <w:hideMark/>
          </w:tcPr>
          <w:p w14:paraId="634EAE3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5C7D4639" w14:textId="77777777" w:rsidR="00C033B5" w:rsidRPr="00746567" w:rsidRDefault="00C033B5" w:rsidP="00C033B5">
            <w:pPr>
              <w:rPr>
                <w:rFonts w:asciiTheme="majorBidi" w:hAnsiTheme="majorBidi" w:cstheme="majorBidi"/>
              </w:rPr>
            </w:pPr>
            <w:r w:rsidRPr="00746567">
              <w:rPr>
                <w:rFonts w:asciiTheme="majorBidi" w:hAnsiTheme="majorBidi" w:cstheme="majorBidi"/>
              </w:rPr>
              <w:t>Yes</w:t>
            </w:r>
          </w:p>
        </w:tc>
        <w:tc>
          <w:tcPr>
            <w:tcW w:w="0" w:type="auto"/>
            <w:tcMar>
              <w:top w:w="0" w:type="dxa"/>
              <w:left w:w="115" w:type="dxa"/>
              <w:bottom w:w="0" w:type="dxa"/>
              <w:right w:w="115" w:type="dxa"/>
            </w:tcMar>
            <w:vAlign w:val="center"/>
            <w:hideMark/>
          </w:tcPr>
          <w:p w14:paraId="4CFBE0EF" w14:textId="77777777" w:rsidR="00C033B5" w:rsidRPr="00746567" w:rsidRDefault="00C033B5" w:rsidP="00C033B5">
            <w:pPr>
              <w:rPr>
                <w:rFonts w:asciiTheme="majorBidi" w:hAnsiTheme="majorBidi" w:cstheme="majorBidi"/>
              </w:rPr>
            </w:pPr>
          </w:p>
        </w:tc>
      </w:tr>
      <w:tr w:rsidR="00C033B5" w:rsidRPr="00746567" w14:paraId="1CB2C1BD" w14:textId="77777777">
        <w:trPr>
          <w:trHeight w:val="20"/>
        </w:trPr>
        <w:tc>
          <w:tcPr>
            <w:tcW w:w="0" w:type="auto"/>
            <w:tcMar>
              <w:top w:w="0" w:type="dxa"/>
              <w:left w:w="115" w:type="dxa"/>
              <w:bottom w:w="0" w:type="dxa"/>
              <w:right w:w="115" w:type="dxa"/>
            </w:tcMar>
            <w:vAlign w:val="center"/>
            <w:hideMark/>
          </w:tcPr>
          <w:p w14:paraId="3941A3CE"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635DF5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BC5EDB6"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33D488A"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114C5DB"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4F70F7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518345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C9C189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B67200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E43C272"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18876177" w14:textId="77777777" w:rsidR="00C033B5" w:rsidRPr="00746567" w:rsidRDefault="00C033B5" w:rsidP="00C033B5">
            <w:pPr>
              <w:rPr>
                <w:rFonts w:asciiTheme="majorBidi" w:hAnsiTheme="majorBidi" w:cstheme="majorBidi"/>
              </w:rPr>
            </w:pPr>
          </w:p>
        </w:tc>
      </w:tr>
      <w:tr w:rsidR="00C033B5" w:rsidRPr="00746567" w14:paraId="361C2643" w14:textId="77777777">
        <w:trPr>
          <w:trHeight w:val="20"/>
        </w:trPr>
        <w:tc>
          <w:tcPr>
            <w:tcW w:w="0" w:type="auto"/>
            <w:tcMar>
              <w:top w:w="0" w:type="dxa"/>
              <w:left w:w="115" w:type="dxa"/>
              <w:bottom w:w="0" w:type="dxa"/>
              <w:right w:w="115" w:type="dxa"/>
            </w:tcMar>
            <w:vAlign w:val="center"/>
            <w:hideMark/>
          </w:tcPr>
          <w:p w14:paraId="10BF2949"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Unemplymt</w:t>
            </w:r>
            <w:proofErr w:type="spellEnd"/>
          </w:p>
        </w:tc>
        <w:tc>
          <w:tcPr>
            <w:tcW w:w="0" w:type="auto"/>
            <w:tcMar>
              <w:top w:w="0" w:type="dxa"/>
              <w:left w:w="115" w:type="dxa"/>
              <w:bottom w:w="0" w:type="dxa"/>
              <w:right w:w="115" w:type="dxa"/>
            </w:tcMar>
            <w:vAlign w:val="center"/>
            <w:hideMark/>
          </w:tcPr>
          <w:p w14:paraId="109F7CC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0.0079***</w:t>
            </w:r>
          </w:p>
        </w:tc>
        <w:tc>
          <w:tcPr>
            <w:tcW w:w="0" w:type="auto"/>
            <w:tcMar>
              <w:top w:w="0" w:type="dxa"/>
              <w:left w:w="115" w:type="dxa"/>
              <w:bottom w:w="0" w:type="dxa"/>
              <w:right w:w="115" w:type="dxa"/>
            </w:tcMar>
            <w:vAlign w:val="center"/>
            <w:hideMark/>
          </w:tcPr>
          <w:p w14:paraId="5182E56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-0.0008***</w:t>
            </w:r>
          </w:p>
        </w:tc>
        <w:tc>
          <w:tcPr>
            <w:tcW w:w="0" w:type="auto"/>
            <w:tcMar>
              <w:top w:w="0" w:type="dxa"/>
              <w:left w:w="115" w:type="dxa"/>
              <w:bottom w:w="0" w:type="dxa"/>
              <w:right w:w="115" w:type="dxa"/>
            </w:tcMar>
            <w:vAlign w:val="center"/>
            <w:hideMark/>
          </w:tcPr>
          <w:p w14:paraId="25A6F3EA" w14:textId="77777777" w:rsidR="00C033B5" w:rsidRPr="00746567" w:rsidRDefault="00C033B5" w:rsidP="00C033B5">
            <w:pPr>
              <w:rPr>
                <w:rFonts w:asciiTheme="majorBidi" w:hAnsiTheme="majorBidi" w:cstheme="majorBidi"/>
              </w:rPr>
            </w:pPr>
            <w:r w:rsidRPr="00746567">
              <w:rPr>
                <w:rFonts w:asciiTheme="majorBidi" w:hAnsiTheme="majorBidi" w:cstheme="majorBidi"/>
              </w:rPr>
              <w:t>0.4160***</w:t>
            </w:r>
          </w:p>
        </w:tc>
        <w:tc>
          <w:tcPr>
            <w:tcW w:w="0" w:type="auto"/>
            <w:tcMar>
              <w:top w:w="0" w:type="dxa"/>
              <w:left w:w="115" w:type="dxa"/>
              <w:bottom w:w="0" w:type="dxa"/>
              <w:right w:w="115" w:type="dxa"/>
            </w:tcMar>
            <w:vAlign w:val="center"/>
            <w:hideMark/>
          </w:tcPr>
          <w:p w14:paraId="10E80F8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0.0011***</w:t>
            </w:r>
          </w:p>
        </w:tc>
        <w:tc>
          <w:tcPr>
            <w:tcW w:w="0" w:type="auto"/>
            <w:tcMar>
              <w:top w:w="0" w:type="dxa"/>
              <w:left w:w="115" w:type="dxa"/>
              <w:bottom w:w="0" w:type="dxa"/>
              <w:right w:w="115" w:type="dxa"/>
            </w:tcMar>
            <w:vAlign w:val="center"/>
            <w:hideMark/>
          </w:tcPr>
          <w:p w14:paraId="31A89EBC" w14:textId="77777777" w:rsidR="00C033B5" w:rsidRPr="00746567" w:rsidRDefault="00C033B5" w:rsidP="00C033B5">
            <w:pPr>
              <w:rPr>
                <w:rFonts w:asciiTheme="majorBidi" w:hAnsiTheme="majorBidi" w:cstheme="majorBidi"/>
              </w:rPr>
            </w:pPr>
            <w:r w:rsidRPr="00746567">
              <w:rPr>
                <w:rFonts w:asciiTheme="majorBidi" w:hAnsiTheme="majorBidi" w:cstheme="majorBidi"/>
              </w:rPr>
              <w:t>0.8453***</w:t>
            </w:r>
          </w:p>
        </w:tc>
        <w:tc>
          <w:tcPr>
            <w:tcW w:w="0" w:type="auto"/>
            <w:tcMar>
              <w:top w:w="0" w:type="dxa"/>
              <w:left w:w="115" w:type="dxa"/>
              <w:bottom w:w="0" w:type="dxa"/>
              <w:right w:w="115" w:type="dxa"/>
            </w:tcMar>
            <w:vAlign w:val="center"/>
            <w:hideMark/>
          </w:tcPr>
          <w:p w14:paraId="2CDE7355" w14:textId="77777777" w:rsidR="00C033B5" w:rsidRPr="00746567" w:rsidRDefault="00C033B5" w:rsidP="00C033B5">
            <w:pPr>
              <w:rPr>
                <w:rFonts w:asciiTheme="majorBidi" w:hAnsiTheme="majorBidi" w:cstheme="majorBidi"/>
              </w:rPr>
            </w:pPr>
            <w:r w:rsidRPr="00746567">
              <w:rPr>
                <w:rFonts w:asciiTheme="majorBidi" w:hAnsiTheme="majorBidi" w:cstheme="majorBidi"/>
              </w:rPr>
              <w:t>0.2171***</w:t>
            </w:r>
          </w:p>
        </w:tc>
        <w:tc>
          <w:tcPr>
            <w:tcW w:w="0" w:type="auto"/>
            <w:tcMar>
              <w:top w:w="0" w:type="dxa"/>
              <w:left w:w="115" w:type="dxa"/>
              <w:bottom w:w="0" w:type="dxa"/>
              <w:right w:w="115" w:type="dxa"/>
            </w:tcMar>
            <w:vAlign w:val="center"/>
            <w:hideMark/>
          </w:tcPr>
          <w:p w14:paraId="6CFB3FF8" w14:textId="77777777" w:rsidR="00C033B5" w:rsidRPr="00746567" w:rsidRDefault="00C033B5" w:rsidP="00C033B5">
            <w:pPr>
              <w:rPr>
                <w:rFonts w:asciiTheme="majorBidi" w:hAnsiTheme="majorBidi" w:cstheme="majorBidi"/>
              </w:rPr>
            </w:pPr>
            <w:r w:rsidRPr="00746567">
              <w:rPr>
                <w:rFonts w:asciiTheme="majorBidi" w:hAnsiTheme="majorBidi" w:cstheme="majorBidi"/>
              </w:rPr>
              <w:t>-44.7609***</w:t>
            </w:r>
          </w:p>
        </w:tc>
        <w:tc>
          <w:tcPr>
            <w:tcW w:w="0" w:type="auto"/>
            <w:tcMar>
              <w:top w:w="0" w:type="dxa"/>
              <w:left w:w="115" w:type="dxa"/>
              <w:bottom w:w="0" w:type="dxa"/>
              <w:right w:w="115" w:type="dxa"/>
            </w:tcMar>
            <w:vAlign w:val="center"/>
            <w:hideMark/>
          </w:tcPr>
          <w:p w14:paraId="7DD200DB" w14:textId="77777777" w:rsidR="00C033B5" w:rsidRPr="00746567" w:rsidRDefault="00C033B5" w:rsidP="00C033B5">
            <w:pPr>
              <w:rPr>
                <w:rFonts w:asciiTheme="majorBidi" w:hAnsiTheme="majorBidi" w:cstheme="majorBidi"/>
              </w:rPr>
            </w:pPr>
            <w:r w:rsidRPr="00746567">
              <w:rPr>
                <w:rFonts w:asciiTheme="majorBidi" w:hAnsiTheme="majorBidi" w:cstheme="majorBidi"/>
              </w:rPr>
              <w:t>-0.0914***</w:t>
            </w:r>
          </w:p>
        </w:tc>
        <w:tc>
          <w:tcPr>
            <w:tcW w:w="0" w:type="auto"/>
            <w:tcMar>
              <w:top w:w="0" w:type="dxa"/>
              <w:left w:w="115" w:type="dxa"/>
              <w:bottom w:w="0" w:type="dxa"/>
              <w:right w:w="115" w:type="dxa"/>
            </w:tcMar>
            <w:vAlign w:val="center"/>
            <w:hideMark/>
          </w:tcPr>
          <w:p w14:paraId="7C77C3D2" w14:textId="77777777" w:rsidR="00C033B5" w:rsidRPr="00746567" w:rsidRDefault="00C033B5" w:rsidP="00C033B5">
            <w:pPr>
              <w:rPr>
                <w:rFonts w:asciiTheme="majorBidi" w:hAnsiTheme="majorBidi" w:cstheme="majorBidi"/>
              </w:rPr>
            </w:pPr>
            <w:r w:rsidRPr="00746567">
              <w:rPr>
                <w:rFonts w:asciiTheme="majorBidi" w:hAnsiTheme="majorBidi" w:cstheme="majorBidi"/>
              </w:rPr>
              <w:t>0.8885***</w:t>
            </w:r>
          </w:p>
        </w:tc>
        <w:tc>
          <w:tcPr>
            <w:tcW w:w="0" w:type="auto"/>
            <w:tcMar>
              <w:top w:w="0" w:type="dxa"/>
              <w:left w:w="115" w:type="dxa"/>
              <w:bottom w:w="0" w:type="dxa"/>
              <w:right w:w="115" w:type="dxa"/>
            </w:tcMar>
            <w:vAlign w:val="center"/>
            <w:hideMark/>
          </w:tcPr>
          <w:p w14:paraId="19A04FA5" w14:textId="77777777" w:rsidR="00C033B5" w:rsidRPr="00746567" w:rsidRDefault="00C033B5" w:rsidP="00C033B5">
            <w:pPr>
              <w:rPr>
                <w:rFonts w:asciiTheme="majorBidi" w:hAnsiTheme="majorBidi" w:cstheme="majorBidi"/>
              </w:rPr>
            </w:pPr>
            <w:r w:rsidRPr="00746567">
              <w:rPr>
                <w:rFonts w:asciiTheme="majorBidi" w:hAnsiTheme="majorBidi" w:cstheme="majorBidi"/>
              </w:rPr>
              <w:t>0.2163</w:t>
            </w:r>
          </w:p>
        </w:tc>
      </w:tr>
      <w:tr w:rsidR="00C033B5" w:rsidRPr="00746567" w14:paraId="46D75E92" w14:textId="77777777">
        <w:trPr>
          <w:trHeight w:val="20"/>
        </w:trPr>
        <w:tc>
          <w:tcPr>
            <w:tcW w:w="0" w:type="auto"/>
            <w:tcMar>
              <w:top w:w="0" w:type="dxa"/>
              <w:left w:w="115" w:type="dxa"/>
              <w:bottom w:w="0" w:type="dxa"/>
              <w:right w:w="115" w:type="dxa"/>
            </w:tcMar>
            <w:vAlign w:val="center"/>
            <w:hideMark/>
          </w:tcPr>
          <w:p w14:paraId="70F4B074"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7622435B"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1B7EE59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(0.0002)</w:t>
            </w:r>
          </w:p>
        </w:tc>
        <w:tc>
          <w:tcPr>
            <w:tcW w:w="0" w:type="auto"/>
            <w:tcMar>
              <w:top w:w="0" w:type="dxa"/>
              <w:left w:w="115" w:type="dxa"/>
              <w:bottom w:w="0" w:type="dxa"/>
              <w:right w:w="115" w:type="dxa"/>
            </w:tcMar>
            <w:vAlign w:val="center"/>
            <w:hideMark/>
          </w:tcPr>
          <w:p w14:paraId="6E3A51C7" w14:textId="77777777" w:rsidR="00C033B5" w:rsidRPr="00746567" w:rsidRDefault="00C033B5" w:rsidP="00C033B5">
            <w:pPr>
              <w:rPr>
                <w:rFonts w:asciiTheme="majorBidi" w:hAnsiTheme="majorBidi" w:cstheme="majorBidi"/>
              </w:rPr>
            </w:pPr>
            <w:r w:rsidRPr="00746567">
              <w:rPr>
                <w:rFonts w:asciiTheme="majorBidi" w:hAnsiTheme="majorBidi" w:cstheme="majorBidi"/>
              </w:rPr>
              <w:t>(0.0557)</w:t>
            </w:r>
          </w:p>
        </w:tc>
        <w:tc>
          <w:tcPr>
            <w:tcW w:w="0" w:type="auto"/>
            <w:tcMar>
              <w:top w:w="0" w:type="dxa"/>
              <w:left w:w="115" w:type="dxa"/>
              <w:bottom w:w="0" w:type="dxa"/>
              <w:right w:w="115" w:type="dxa"/>
            </w:tcMar>
            <w:vAlign w:val="center"/>
            <w:hideMark/>
          </w:tcPr>
          <w:p w14:paraId="4E60388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5C6568FC" w14:textId="77777777" w:rsidR="00C033B5" w:rsidRPr="00746567" w:rsidRDefault="00C033B5" w:rsidP="00C033B5">
            <w:pPr>
              <w:rPr>
                <w:rFonts w:asciiTheme="majorBidi" w:hAnsiTheme="majorBidi" w:cstheme="majorBidi"/>
              </w:rPr>
            </w:pPr>
            <w:r w:rsidRPr="00746567">
              <w:rPr>
                <w:rFonts w:asciiTheme="majorBidi" w:hAnsiTheme="majorBidi" w:cstheme="majorBidi"/>
              </w:rPr>
              <w:t>(0.0243)</w:t>
            </w:r>
          </w:p>
        </w:tc>
        <w:tc>
          <w:tcPr>
            <w:tcW w:w="0" w:type="auto"/>
            <w:tcMar>
              <w:top w:w="0" w:type="dxa"/>
              <w:left w:w="115" w:type="dxa"/>
              <w:bottom w:w="0" w:type="dxa"/>
              <w:right w:w="115" w:type="dxa"/>
            </w:tcMar>
            <w:vAlign w:val="center"/>
            <w:hideMark/>
          </w:tcPr>
          <w:p w14:paraId="3979728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(0.0062)</w:t>
            </w:r>
          </w:p>
        </w:tc>
        <w:tc>
          <w:tcPr>
            <w:tcW w:w="0" w:type="auto"/>
            <w:tcMar>
              <w:top w:w="0" w:type="dxa"/>
              <w:left w:w="115" w:type="dxa"/>
              <w:bottom w:w="0" w:type="dxa"/>
              <w:right w:w="115" w:type="dxa"/>
            </w:tcMar>
            <w:vAlign w:val="center"/>
            <w:hideMark/>
          </w:tcPr>
          <w:p w14:paraId="032A6202" w14:textId="77777777" w:rsidR="00C033B5" w:rsidRPr="00746567" w:rsidRDefault="00C033B5" w:rsidP="00C033B5">
            <w:pPr>
              <w:rPr>
                <w:rFonts w:asciiTheme="majorBidi" w:hAnsiTheme="majorBidi" w:cstheme="majorBidi"/>
              </w:rPr>
            </w:pPr>
            <w:r w:rsidRPr="00746567">
              <w:rPr>
                <w:rFonts w:asciiTheme="majorBidi" w:hAnsiTheme="majorBidi" w:cstheme="majorBidi"/>
              </w:rPr>
              <w:t>(2.5184)</w:t>
            </w:r>
          </w:p>
        </w:tc>
        <w:tc>
          <w:tcPr>
            <w:tcW w:w="0" w:type="auto"/>
            <w:tcMar>
              <w:top w:w="0" w:type="dxa"/>
              <w:left w:w="115" w:type="dxa"/>
              <w:bottom w:w="0" w:type="dxa"/>
              <w:right w:w="115" w:type="dxa"/>
            </w:tcMar>
            <w:vAlign w:val="center"/>
            <w:hideMark/>
          </w:tcPr>
          <w:p w14:paraId="0BFEA179" w14:textId="77777777" w:rsidR="00C033B5" w:rsidRPr="00746567" w:rsidRDefault="00C033B5" w:rsidP="00C033B5">
            <w:pPr>
              <w:rPr>
                <w:rFonts w:asciiTheme="majorBidi" w:hAnsiTheme="majorBidi" w:cstheme="majorBidi"/>
              </w:rPr>
            </w:pPr>
            <w:r w:rsidRPr="00746567">
              <w:rPr>
                <w:rFonts w:asciiTheme="majorBidi" w:hAnsiTheme="majorBidi" w:cstheme="majorBidi"/>
              </w:rPr>
              <w:t>(0.0056)</w:t>
            </w:r>
          </w:p>
        </w:tc>
        <w:tc>
          <w:tcPr>
            <w:tcW w:w="0" w:type="auto"/>
            <w:tcMar>
              <w:top w:w="0" w:type="dxa"/>
              <w:left w:w="115" w:type="dxa"/>
              <w:bottom w:w="0" w:type="dxa"/>
              <w:right w:w="115" w:type="dxa"/>
            </w:tcMar>
            <w:vAlign w:val="center"/>
            <w:hideMark/>
          </w:tcPr>
          <w:p w14:paraId="42856205" w14:textId="77777777" w:rsidR="00C033B5" w:rsidRPr="00746567" w:rsidRDefault="00C033B5" w:rsidP="00C033B5">
            <w:pPr>
              <w:rPr>
                <w:rFonts w:asciiTheme="majorBidi" w:hAnsiTheme="majorBidi" w:cstheme="majorBidi"/>
              </w:rPr>
            </w:pPr>
            <w:r w:rsidRPr="00746567">
              <w:rPr>
                <w:rFonts w:asciiTheme="majorBidi" w:hAnsiTheme="majorBidi" w:cstheme="majorBidi"/>
              </w:rPr>
              <w:t>(0.0241)</w:t>
            </w:r>
          </w:p>
        </w:tc>
        <w:tc>
          <w:tcPr>
            <w:tcW w:w="0" w:type="auto"/>
            <w:tcMar>
              <w:top w:w="0" w:type="dxa"/>
              <w:left w:w="115" w:type="dxa"/>
              <w:bottom w:w="0" w:type="dxa"/>
              <w:right w:w="115" w:type="dxa"/>
            </w:tcMar>
            <w:vAlign w:val="center"/>
            <w:hideMark/>
          </w:tcPr>
          <w:p w14:paraId="120E3A1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(0.0059)</w:t>
            </w:r>
          </w:p>
        </w:tc>
      </w:tr>
      <w:tr w:rsidR="00C033B5" w:rsidRPr="00746567" w14:paraId="4BF0D344" w14:textId="77777777">
        <w:trPr>
          <w:trHeight w:val="20"/>
        </w:trPr>
        <w:tc>
          <w:tcPr>
            <w:tcW w:w="0" w:type="auto"/>
            <w:tcMar>
              <w:top w:w="0" w:type="dxa"/>
              <w:left w:w="115" w:type="dxa"/>
              <w:bottom w:w="0" w:type="dxa"/>
              <w:right w:w="115" w:type="dxa"/>
            </w:tcMar>
            <w:vAlign w:val="center"/>
            <w:hideMark/>
          </w:tcPr>
          <w:p w14:paraId="4F53D530" w14:textId="77777777" w:rsidR="00C033B5" w:rsidRPr="00746567" w:rsidRDefault="00C033B5" w:rsidP="00C033B5">
            <w:pPr>
              <w:rPr>
                <w:rFonts w:asciiTheme="majorBidi" w:hAnsiTheme="majorBidi" w:cstheme="majorBidi"/>
              </w:rPr>
            </w:pPr>
            <w:proofErr w:type="spellStart"/>
            <w:r w:rsidRPr="00746567">
              <w:rPr>
                <w:rFonts w:asciiTheme="majorBidi" w:hAnsiTheme="majorBidi" w:cstheme="majorBidi"/>
              </w:rPr>
              <w:t>Govtbond</w:t>
            </w:r>
            <w:proofErr w:type="spellEnd"/>
          </w:p>
        </w:tc>
        <w:tc>
          <w:tcPr>
            <w:tcW w:w="0" w:type="auto"/>
            <w:tcMar>
              <w:top w:w="0" w:type="dxa"/>
              <w:left w:w="115" w:type="dxa"/>
              <w:bottom w:w="0" w:type="dxa"/>
              <w:right w:w="115" w:type="dxa"/>
            </w:tcMar>
            <w:vAlign w:val="center"/>
            <w:hideMark/>
          </w:tcPr>
          <w:p w14:paraId="5E267D95" w14:textId="77777777" w:rsidR="00C033B5" w:rsidRPr="00746567" w:rsidRDefault="00C033B5" w:rsidP="00C033B5">
            <w:pPr>
              <w:rPr>
                <w:rFonts w:asciiTheme="majorBidi" w:hAnsiTheme="majorBidi" w:cstheme="majorBidi"/>
              </w:rPr>
            </w:pPr>
            <w:r w:rsidRPr="00746567">
              <w:rPr>
                <w:rFonts w:asciiTheme="majorBidi" w:hAnsiTheme="majorBidi" w:cstheme="majorBidi"/>
              </w:rPr>
              <w:t>-2.1719***</w:t>
            </w:r>
          </w:p>
        </w:tc>
        <w:tc>
          <w:tcPr>
            <w:tcW w:w="0" w:type="auto"/>
            <w:tcMar>
              <w:top w:w="0" w:type="dxa"/>
              <w:left w:w="115" w:type="dxa"/>
              <w:bottom w:w="0" w:type="dxa"/>
              <w:right w:w="115" w:type="dxa"/>
            </w:tcMar>
            <w:vAlign w:val="center"/>
            <w:hideMark/>
          </w:tcPr>
          <w:p w14:paraId="05ACB39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0.0026***</w:t>
            </w:r>
          </w:p>
        </w:tc>
        <w:tc>
          <w:tcPr>
            <w:tcW w:w="0" w:type="auto"/>
            <w:tcMar>
              <w:top w:w="0" w:type="dxa"/>
              <w:left w:w="115" w:type="dxa"/>
              <w:bottom w:w="0" w:type="dxa"/>
              <w:right w:w="115" w:type="dxa"/>
            </w:tcMar>
            <w:vAlign w:val="center"/>
            <w:hideMark/>
          </w:tcPr>
          <w:p w14:paraId="4D72885D" w14:textId="77777777" w:rsidR="00C033B5" w:rsidRPr="00746567" w:rsidRDefault="00C033B5" w:rsidP="00C033B5">
            <w:pPr>
              <w:rPr>
                <w:rFonts w:asciiTheme="majorBidi" w:hAnsiTheme="majorBidi" w:cstheme="majorBidi"/>
              </w:rPr>
            </w:pPr>
            <w:r w:rsidRPr="00746567">
              <w:rPr>
                <w:rFonts w:asciiTheme="majorBidi" w:hAnsiTheme="majorBidi" w:cstheme="majorBidi"/>
              </w:rPr>
              <w:t>11.8778***</w:t>
            </w:r>
          </w:p>
        </w:tc>
        <w:tc>
          <w:tcPr>
            <w:tcW w:w="0" w:type="auto"/>
            <w:tcMar>
              <w:top w:w="0" w:type="dxa"/>
              <w:left w:w="115" w:type="dxa"/>
              <w:bottom w:w="0" w:type="dxa"/>
              <w:right w:w="115" w:type="dxa"/>
            </w:tcMar>
            <w:vAlign w:val="center"/>
            <w:hideMark/>
          </w:tcPr>
          <w:p w14:paraId="3DE62FD4" w14:textId="77777777" w:rsidR="00C033B5" w:rsidRPr="00746567" w:rsidRDefault="00C033B5" w:rsidP="00C033B5">
            <w:pPr>
              <w:rPr>
                <w:rFonts w:asciiTheme="majorBidi" w:hAnsiTheme="majorBidi" w:cstheme="majorBidi"/>
              </w:rPr>
            </w:pPr>
            <w:r w:rsidRPr="00746567">
              <w:rPr>
                <w:rFonts w:asciiTheme="majorBidi" w:hAnsiTheme="majorBidi" w:cstheme="majorBidi"/>
              </w:rPr>
              <w:t>0.0318***</w:t>
            </w:r>
          </w:p>
        </w:tc>
        <w:tc>
          <w:tcPr>
            <w:tcW w:w="0" w:type="auto"/>
            <w:tcMar>
              <w:top w:w="0" w:type="dxa"/>
              <w:left w:w="115" w:type="dxa"/>
              <w:bottom w:w="0" w:type="dxa"/>
              <w:right w:w="115" w:type="dxa"/>
            </w:tcMar>
            <w:vAlign w:val="center"/>
            <w:hideMark/>
          </w:tcPr>
          <w:p w14:paraId="42C59BE7" w14:textId="77777777" w:rsidR="00C033B5" w:rsidRPr="00746567" w:rsidRDefault="00C033B5" w:rsidP="00C033B5">
            <w:pPr>
              <w:rPr>
                <w:rFonts w:asciiTheme="majorBidi" w:hAnsiTheme="majorBidi" w:cstheme="majorBidi"/>
              </w:rPr>
            </w:pPr>
            <w:r w:rsidRPr="00746567">
              <w:rPr>
                <w:rFonts w:asciiTheme="majorBidi" w:hAnsiTheme="majorBidi" w:cstheme="majorBidi"/>
              </w:rPr>
              <w:t>0.0033</w:t>
            </w:r>
          </w:p>
        </w:tc>
        <w:tc>
          <w:tcPr>
            <w:tcW w:w="0" w:type="auto"/>
            <w:tcMar>
              <w:top w:w="0" w:type="dxa"/>
              <w:left w:w="115" w:type="dxa"/>
              <w:bottom w:w="0" w:type="dxa"/>
              <w:right w:w="115" w:type="dxa"/>
            </w:tcMar>
            <w:vAlign w:val="center"/>
            <w:hideMark/>
          </w:tcPr>
          <w:p w14:paraId="31FAB620"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0.0008</w:t>
            </w:r>
          </w:p>
        </w:tc>
        <w:tc>
          <w:tcPr>
            <w:tcW w:w="0" w:type="auto"/>
            <w:tcMar>
              <w:top w:w="0" w:type="dxa"/>
              <w:left w:w="115" w:type="dxa"/>
              <w:bottom w:w="0" w:type="dxa"/>
              <w:right w:w="115" w:type="dxa"/>
            </w:tcMar>
            <w:vAlign w:val="center"/>
            <w:hideMark/>
          </w:tcPr>
          <w:p w14:paraId="7A29AEDB" w14:textId="77777777" w:rsidR="00C033B5" w:rsidRPr="00746567" w:rsidRDefault="00C033B5" w:rsidP="00C033B5">
            <w:pPr>
              <w:rPr>
                <w:rFonts w:asciiTheme="majorBidi" w:hAnsiTheme="majorBidi" w:cstheme="majorBidi"/>
              </w:rPr>
            </w:pPr>
            <w:r w:rsidRPr="00746567">
              <w:rPr>
                <w:rFonts w:asciiTheme="majorBidi" w:hAnsiTheme="majorBidi" w:cstheme="majorBidi"/>
              </w:rPr>
              <w:t>20.7215***</w:t>
            </w:r>
          </w:p>
        </w:tc>
        <w:tc>
          <w:tcPr>
            <w:tcW w:w="0" w:type="auto"/>
            <w:tcMar>
              <w:top w:w="0" w:type="dxa"/>
              <w:left w:w="115" w:type="dxa"/>
              <w:bottom w:w="0" w:type="dxa"/>
              <w:right w:w="115" w:type="dxa"/>
            </w:tcMar>
            <w:vAlign w:val="center"/>
            <w:hideMark/>
          </w:tcPr>
          <w:p w14:paraId="2C260178" w14:textId="77777777" w:rsidR="00C033B5" w:rsidRPr="00746567" w:rsidRDefault="00C033B5" w:rsidP="00C033B5">
            <w:pPr>
              <w:rPr>
                <w:rFonts w:asciiTheme="majorBidi" w:hAnsiTheme="majorBidi" w:cstheme="majorBidi"/>
              </w:rPr>
            </w:pPr>
            <w:r w:rsidRPr="00746567">
              <w:rPr>
                <w:rFonts w:asciiTheme="majorBidi" w:hAnsiTheme="majorBidi" w:cstheme="majorBidi"/>
              </w:rPr>
              <w:t>0.0423***</w:t>
            </w:r>
          </w:p>
        </w:tc>
        <w:tc>
          <w:tcPr>
            <w:tcW w:w="0" w:type="auto"/>
            <w:tcMar>
              <w:top w:w="0" w:type="dxa"/>
              <w:left w:w="115" w:type="dxa"/>
              <w:bottom w:w="0" w:type="dxa"/>
              <w:right w:w="115" w:type="dxa"/>
            </w:tcMar>
            <w:vAlign w:val="center"/>
            <w:hideMark/>
          </w:tcPr>
          <w:p w14:paraId="49132073" w14:textId="77777777" w:rsidR="00C033B5" w:rsidRPr="00746567" w:rsidRDefault="00C033B5" w:rsidP="00C033B5">
            <w:pPr>
              <w:rPr>
                <w:rFonts w:asciiTheme="majorBidi" w:hAnsiTheme="majorBidi" w:cstheme="majorBidi"/>
              </w:rPr>
            </w:pPr>
            <w:r w:rsidRPr="00746567">
              <w:rPr>
                <w:rFonts w:asciiTheme="majorBidi" w:hAnsiTheme="majorBidi" w:cstheme="majorBidi"/>
              </w:rPr>
              <w:t>-0.0940***</w:t>
            </w:r>
          </w:p>
        </w:tc>
        <w:tc>
          <w:tcPr>
            <w:tcW w:w="0" w:type="auto"/>
            <w:tcMar>
              <w:top w:w="0" w:type="dxa"/>
              <w:left w:w="115" w:type="dxa"/>
              <w:bottom w:w="0" w:type="dxa"/>
              <w:right w:w="115" w:type="dxa"/>
            </w:tcMar>
            <w:vAlign w:val="center"/>
            <w:hideMark/>
          </w:tcPr>
          <w:p w14:paraId="7DD0BD08" w14:textId="77777777" w:rsidR="00C033B5" w:rsidRPr="00746567" w:rsidRDefault="00C033B5" w:rsidP="00C033B5">
            <w:pPr>
              <w:rPr>
                <w:rFonts w:asciiTheme="majorBidi" w:hAnsiTheme="majorBidi" w:cstheme="majorBidi"/>
              </w:rPr>
            </w:pPr>
            <w:r w:rsidRPr="00746567">
              <w:rPr>
                <w:rFonts w:asciiTheme="majorBidi" w:hAnsiTheme="majorBidi" w:cstheme="majorBidi"/>
              </w:rPr>
              <w:t>-0.0229</w:t>
            </w:r>
          </w:p>
        </w:tc>
      </w:tr>
      <w:tr w:rsidR="00C033B5" w:rsidRPr="00746567" w14:paraId="54895C35" w14:textId="77777777">
        <w:trPr>
          <w:trHeight w:val="20"/>
        </w:trPr>
        <w:tc>
          <w:tcPr>
            <w:tcW w:w="0" w:type="auto"/>
            <w:tcMar>
              <w:top w:w="0" w:type="dxa"/>
              <w:left w:w="115" w:type="dxa"/>
              <w:bottom w:w="0" w:type="dxa"/>
              <w:right w:w="115" w:type="dxa"/>
            </w:tcMar>
            <w:vAlign w:val="center"/>
            <w:hideMark/>
          </w:tcPr>
          <w:p w14:paraId="70E5BF2D"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8E41BA2" w14:textId="77777777" w:rsidR="00C033B5" w:rsidRPr="00746567" w:rsidRDefault="00C033B5" w:rsidP="00C033B5">
            <w:pPr>
              <w:rPr>
                <w:rFonts w:asciiTheme="majorBidi" w:hAnsiTheme="majorBidi" w:cstheme="majorBidi"/>
              </w:rPr>
            </w:pPr>
            <w:r w:rsidRPr="00746567">
              <w:rPr>
                <w:rFonts w:asciiTheme="majorBidi" w:hAnsiTheme="majorBidi" w:cstheme="majorBidi"/>
              </w:rPr>
              <w:t>(0.0083)</w:t>
            </w:r>
          </w:p>
        </w:tc>
        <w:tc>
          <w:tcPr>
            <w:tcW w:w="0" w:type="auto"/>
            <w:tcMar>
              <w:top w:w="0" w:type="dxa"/>
              <w:left w:w="115" w:type="dxa"/>
              <w:bottom w:w="0" w:type="dxa"/>
              <w:right w:w="115" w:type="dxa"/>
            </w:tcMar>
            <w:vAlign w:val="center"/>
            <w:hideMark/>
          </w:tcPr>
          <w:p w14:paraId="2204DA1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(0.0001)</w:t>
            </w:r>
          </w:p>
        </w:tc>
        <w:tc>
          <w:tcPr>
            <w:tcW w:w="0" w:type="auto"/>
            <w:tcMar>
              <w:top w:w="0" w:type="dxa"/>
              <w:left w:w="115" w:type="dxa"/>
              <w:bottom w:w="0" w:type="dxa"/>
              <w:right w:w="115" w:type="dxa"/>
            </w:tcMar>
            <w:vAlign w:val="center"/>
            <w:hideMark/>
          </w:tcPr>
          <w:p w14:paraId="2F305038" w14:textId="77777777" w:rsidR="00C033B5" w:rsidRPr="00746567" w:rsidRDefault="00C033B5" w:rsidP="00C033B5">
            <w:pPr>
              <w:rPr>
                <w:rFonts w:asciiTheme="majorBidi" w:hAnsiTheme="majorBidi" w:cstheme="majorBidi"/>
              </w:rPr>
            </w:pPr>
            <w:r w:rsidRPr="00746567">
              <w:rPr>
                <w:rFonts w:asciiTheme="majorBidi" w:hAnsiTheme="majorBidi" w:cstheme="majorBidi"/>
              </w:rPr>
              <w:t>(2.9149)</w:t>
            </w:r>
          </w:p>
        </w:tc>
        <w:tc>
          <w:tcPr>
            <w:tcW w:w="0" w:type="auto"/>
            <w:tcMar>
              <w:top w:w="0" w:type="dxa"/>
              <w:left w:w="115" w:type="dxa"/>
              <w:bottom w:w="0" w:type="dxa"/>
              <w:right w:w="115" w:type="dxa"/>
            </w:tcMar>
            <w:vAlign w:val="center"/>
            <w:hideMark/>
          </w:tcPr>
          <w:p w14:paraId="6B824B55" w14:textId="77777777" w:rsidR="00C033B5" w:rsidRPr="00746567" w:rsidRDefault="00C033B5" w:rsidP="00C033B5">
            <w:pPr>
              <w:rPr>
                <w:rFonts w:asciiTheme="majorBidi" w:hAnsiTheme="majorBidi" w:cstheme="majorBidi"/>
              </w:rPr>
            </w:pPr>
            <w:r w:rsidRPr="00746567">
              <w:rPr>
                <w:rFonts w:asciiTheme="majorBidi" w:hAnsiTheme="majorBidi" w:cstheme="majorBidi"/>
              </w:rPr>
              <w:t>(0.0079)</w:t>
            </w:r>
          </w:p>
        </w:tc>
        <w:tc>
          <w:tcPr>
            <w:tcW w:w="0" w:type="auto"/>
            <w:tcMar>
              <w:top w:w="0" w:type="dxa"/>
              <w:left w:w="115" w:type="dxa"/>
              <w:bottom w:w="0" w:type="dxa"/>
              <w:right w:w="115" w:type="dxa"/>
            </w:tcMar>
            <w:vAlign w:val="center"/>
            <w:hideMark/>
          </w:tcPr>
          <w:p w14:paraId="0090F7A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(0.0075)</w:t>
            </w:r>
          </w:p>
        </w:tc>
        <w:tc>
          <w:tcPr>
            <w:tcW w:w="0" w:type="auto"/>
            <w:tcMar>
              <w:top w:w="0" w:type="dxa"/>
              <w:left w:w="115" w:type="dxa"/>
              <w:bottom w:w="0" w:type="dxa"/>
              <w:right w:w="115" w:type="dxa"/>
            </w:tcMar>
            <w:vAlign w:val="center"/>
            <w:hideMark/>
          </w:tcPr>
          <w:p w14:paraId="5479EAEE"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(0.0019)</w:t>
            </w:r>
          </w:p>
        </w:tc>
        <w:tc>
          <w:tcPr>
            <w:tcW w:w="0" w:type="auto"/>
            <w:tcMar>
              <w:top w:w="0" w:type="dxa"/>
              <w:left w:w="115" w:type="dxa"/>
              <w:bottom w:w="0" w:type="dxa"/>
              <w:right w:w="115" w:type="dxa"/>
            </w:tcMar>
            <w:vAlign w:val="center"/>
            <w:hideMark/>
          </w:tcPr>
          <w:p w14:paraId="643692D0" w14:textId="77777777" w:rsidR="00C033B5" w:rsidRPr="00746567" w:rsidRDefault="00C033B5" w:rsidP="00C033B5">
            <w:pPr>
              <w:rPr>
                <w:rFonts w:asciiTheme="majorBidi" w:hAnsiTheme="majorBidi" w:cstheme="majorBidi"/>
              </w:rPr>
            </w:pPr>
            <w:r w:rsidRPr="00746567">
              <w:rPr>
                <w:rFonts w:asciiTheme="majorBidi" w:hAnsiTheme="majorBidi" w:cstheme="majorBidi"/>
              </w:rPr>
              <w:t>(2.5979)</w:t>
            </w:r>
          </w:p>
        </w:tc>
        <w:tc>
          <w:tcPr>
            <w:tcW w:w="0" w:type="auto"/>
            <w:tcMar>
              <w:top w:w="0" w:type="dxa"/>
              <w:left w:w="115" w:type="dxa"/>
              <w:bottom w:w="0" w:type="dxa"/>
              <w:right w:w="115" w:type="dxa"/>
            </w:tcMar>
            <w:vAlign w:val="center"/>
            <w:hideMark/>
          </w:tcPr>
          <w:p w14:paraId="1CAB1F83" w14:textId="77777777" w:rsidR="00C033B5" w:rsidRPr="00746567" w:rsidRDefault="00C033B5" w:rsidP="00C033B5">
            <w:pPr>
              <w:rPr>
                <w:rFonts w:asciiTheme="majorBidi" w:hAnsiTheme="majorBidi" w:cstheme="majorBidi"/>
              </w:rPr>
            </w:pPr>
            <w:r w:rsidRPr="00746567">
              <w:rPr>
                <w:rFonts w:asciiTheme="majorBidi" w:hAnsiTheme="majorBidi" w:cstheme="majorBidi"/>
              </w:rPr>
              <w:t>(0.0053)</w:t>
            </w:r>
          </w:p>
        </w:tc>
        <w:tc>
          <w:tcPr>
            <w:tcW w:w="0" w:type="auto"/>
            <w:tcMar>
              <w:top w:w="0" w:type="dxa"/>
              <w:left w:w="115" w:type="dxa"/>
              <w:bottom w:w="0" w:type="dxa"/>
              <w:right w:w="115" w:type="dxa"/>
            </w:tcMar>
            <w:vAlign w:val="center"/>
            <w:hideMark/>
          </w:tcPr>
          <w:p w14:paraId="6BE4B848" w14:textId="77777777" w:rsidR="00C033B5" w:rsidRPr="00746567" w:rsidRDefault="00C033B5" w:rsidP="00C033B5">
            <w:pPr>
              <w:rPr>
                <w:rFonts w:asciiTheme="majorBidi" w:hAnsiTheme="majorBidi" w:cstheme="majorBidi"/>
              </w:rPr>
            </w:pPr>
            <w:r w:rsidRPr="00746567">
              <w:rPr>
                <w:rFonts w:asciiTheme="majorBidi" w:hAnsiTheme="majorBidi" w:cstheme="majorBidi"/>
              </w:rPr>
              <w:t>(0.0075)</w:t>
            </w:r>
          </w:p>
        </w:tc>
        <w:tc>
          <w:tcPr>
            <w:tcW w:w="0" w:type="auto"/>
            <w:tcMar>
              <w:top w:w="0" w:type="dxa"/>
              <w:left w:w="115" w:type="dxa"/>
              <w:bottom w:w="0" w:type="dxa"/>
              <w:right w:w="115" w:type="dxa"/>
            </w:tcMar>
            <w:vAlign w:val="center"/>
            <w:hideMark/>
          </w:tcPr>
          <w:p w14:paraId="407E9E3D"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(0.0018)</w:t>
            </w:r>
          </w:p>
        </w:tc>
      </w:tr>
      <w:tr w:rsidR="00C033B5" w:rsidRPr="00746567" w14:paraId="1E0C2A42" w14:textId="77777777">
        <w:trPr>
          <w:trHeight w:val="20"/>
        </w:trPr>
        <w:tc>
          <w:tcPr>
            <w:tcW w:w="0" w:type="auto"/>
            <w:tcMar>
              <w:top w:w="0" w:type="dxa"/>
              <w:left w:w="115" w:type="dxa"/>
              <w:bottom w:w="0" w:type="dxa"/>
              <w:right w:w="115" w:type="dxa"/>
            </w:tcMar>
            <w:vAlign w:val="center"/>
            <w:hideMark/>
          </w:tcPr>
          <w:p w14:paraId="34A3331F" w14:textId="77777777" w:rsidR="00C033B5" w:rsidRPr="00746567" w:rsidRDefault="00C033B5" w:rsidP="00C033B5">
            <w:pPr>
              <w:rPr>
                <w:rFonts w:asciiTheme="majorBidi" w:hAnsiTheme="majorBidi" w:cstheme="majorBidi"/>
              </w:rPr>
            </w:pPr>
            <w:r w:rsidRPr="00746567">
              <w:rPr>
                <w:rFonts w:asciiTheme="majorBidi" w:hAnsiTheme="majorBidi" w:cstheme="majorBidi"/>
              </w:rPr>
              <w:t>_cons</w:t>
            </w:r>
          </w:p>
        </w:tc>
        <w:tc>
          <w:tcPr>
            <w:tcW w:w="0" w:type="auto"/>
            <w:tcMar>
              <w:top w:w="0" w:type="dxa"/>
              <w:left w:w="115" w:type="dxa"/>
              <w:bottom w:w="0" w:type="dxa"/>
              <w:right w:w="115" w:type="dxa"/>
            </w:tcMar>
            <w:vAlign w:val="center"/>
            <w:hideMark/>
          </w:tcPr>
          <w:p w14:paraId="73ED0C3E" w14:textId="77777777" w:rsidR="00C033B5" w:rsidRPr="00746567" w:rsidRDefault="00C033B5" w:rsidP="00C033B5">
            <w:pPr>
              <w:rPr>
                <w:rFonts w:asciiTheme="majorBidi" w:hAnsiTheme="majorBidi" w:cstheme="majorBidi"/>
              </w:rPr>
            </w:pPr>
            <w:r w:rsidRPr="00746567">
              <w:rPr>
                <w:rFonts w:asciiTheme="majorBidi" w:hAnsiTheme="majorBidi" w:cstheme="majorBidi"/>
              </w:rPr>
              <w:t>0.2536***</w:t>
            </w:r>
          </w:p>
        </w:tc>
        <w:tc>
          <w:tcPr>
            <w:tcW w:w="0" w:type="auto"/>
            <w:tcMar>
              <w:top w:w="0" w:type="dxa"/>
              <w:left w:w="115" w:type="dxa"/>
              <w:bottom w:w="0" w:type="dxa"/>
              <w:right w:w="115" w:type="dxa"/>
            </w:tcMar>
            <w:vAlign w:val="center"/>
            <w:hideMark/>
          </w:tcPr>
          <w:p w14:paraId="67FB9A83" w14:textId="77777777" w:rsidR="00C033B5" w:rsidRPr="00746567" w:rsidRDefault="00C033B5" w:rsidP="00C033B5">
            <w:pPr>
              <w:rPr>
                <w:rFonts w:asciiTheme="majorBidi" w:hAnsiTheme="majorBidi" w:cstheme="majorBidi"/>
              </w:rPr>
            </w:pPr>
            <w:r w:rsidRPr="00746567">
              <w:rPr>
                <w:rFonts w:asciiTheme="majorBidi" w:hAnsiTheme="majorBidi" w:cstheme="majorBidi"/>
              </w:rPr>
              <w:t>0.2473***</w:t>
            </w:r>
          </w:p>
        </w:tc>
        <w:tc>
          <w:tcPr>
            <w:tcW w:w="0" w:type="auto"/>
            <w:tcMar>
              <w:top w:w="0" w:type="dxa"/>
              <w:left w:w="115" w:type="dxa"/>
              <w:bottom w:w="0" w:type="dxa"/>
              <w:right w:w="115" w:type="dxa"/>
            </w:tcMar>
            <w:vAlign w:val="center"/>
            <w:hideMark/>
          </w:tcPr>
          <w:p w14:paraId="3A637453" w14:textId="77777777" w:rsidR="00C033B5" w:rsidRPr="00746567" w:rsidRDefault="00C033B5" w:rsidP="00C033B5">
            <w:pPr>
              <w:rPr>
                <w:rFonts w:asciiTheme="majorBidi" w:hAnsiTheme="majorBidi" w:cstheme="majorBidi"/>
              </w:rPr>
            </w:pPr>
            <w:r w:rsidRPr="00746567">
              <w:rPr>
                <w:rFonts w:asciiTheme="majorBidi" w:hAnsiTheme="majorBidi" w:cstheme="majorBidi"/>
              </w:rPr>
              <w:t>8.7455***</w:t>
            </w:r>
          </w:p>
        </w:tc>
        <w:tc>
          <w:tcPr>
            <w:tcW w:w="0" w:type="auto"/>
            <w:tcMar>
              <w:top w:w="0" w:type="dxa"/>
              <w:left w:w="115" w:type="dxa"/>
              <w:bottom w:w="0" w:type="dxa"/>
              <w:right w:w="115" w:type="dxa"/>
            </w:tcMar>
            <w:vAlign w:val="center"/>
            <w:hideMark/>
          </w:tcPr>
          <w:p w14:paraId="14725ABD"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20FBC30" w14:textId="77777777" w:rsidR="00C033B5" w:rsidRPr="00746567" w:rsidRDefault="00C033B5" w:rsidP="00C033B5">
            <w:pPr>
              <w:rPr>
                <w:rFonts w:asciiTheme="majorBidi" w:hAnsiTheme="majorBidi" w:cstheme="majorBidi"/>
              </w:rPr>
            </w:pPr>
            <w:r w:rsidRPr="00746567">
              <w:rPr>
                <w:rFonts w:asciiTheme="majorBidi" w:hAnsiTheme="majorBidi" w:cstheme="majorBidi"/>
              </w:rPr>
              <w:t>-4.3983***</w:t>
            </w:r>
          </w:p>
        </w:tc>
        <w:tc>
          <w:tcPr>
            <w:tcW w:w="0" w:type="auto"/>
            <w:tcMar>
              <w:top w:w="0" w:type="dxa"/>
              <w:left w:w="115" w:type="dxa"/>
              <w:bottom w:w="0" w:type="dxa"/>
              <w:right w:w="115" w:type="dxa"/>
            </w:tcMar>
            <w:vAlign w:val="center"/>
            <w:hideMark/>
          </w:tcPr>
          <w:p w14:paraId="30B3216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3154D73" w14:textId="77777777" w:rsidR="00C033B5" w:rsidRPr="00746567" w:rsidRDefault="00C033B5" w:rsidP="00C033B5">
            <w:pPr>
              <w:rPr>
                <w:rFonts w:asciiTheme="majorBidi" w:hAnsiTheme="majorBidi" w:cstheme="majorBidi"/>
              </w:rPr>
            </w:pPr>
            <w:r w:rsidRPr="00746567">
              <w:rPr>
                <w:rFonts w:asciiTheme="majorBidi" w:hAnsiTheme="majorBidi" w:cstheme="majorBidi"/>
              </w:rPr>
              <w:t>7.8140***</w:t>
            </w:r>
          </w:p>
        </w:tc>
        <w:tc>
          <w:tcPr>
            <w:tcW w:w="0" w:type="auto"/>
            <w:tcMar>
              <w:top w:w="0" w:type="dxa"/>
              <w:left w:w="115" w:type="dxa"/>
              <w:bottom w:w="0" w:type="dxa"/>
              <w:right w:w="115" w:type="dxa"/>
            </w:tcMar>
            <w:vAlign w:val="center"/>
            <w:hideMark/>
          </w:tcPr>
          <w:p w14:paraId="43492E3C"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97F9E7E" w14:textId="77777777" w:rsidR="00C033B5" w:rsidRPr="00746567" w:rsidRDefault="00C033B5" w:rsidP="00C033B5">
            <w:pPr>
              <w:rPr>
                <w:rFonts w:asciiTheme="majorBidi" w:hAnsiTheme="majorBidi" w:cstheme="majorBidi"/>
              </w:rPr>
            </w:pPr>
            <w:r w:rsidRPr="00746567">
              <w:rPr>
                <w:rFonts w:asciiTheme="majorBidi" w:hAnsiTheme="majorBidi" w:cstheme="majorBidi"/>
              </w:rPr>
              <w:t>-4.3176***</w:t>
            </w:r>
          </w:p>
        </w:tc>
        <w:tc>
          <w:tcPr>
            <w:tcW w:w="0" w:type="auto"/>
            <w:tcMar>
              <w:top w:w="0" w:type="dxa"/>
              <w:left w:w="115" w:type="dxa"/>
              <w:bottom w:w="0" w:type="dxa"/>
              <w:right w:w="115" w:type="dxa"/>
            </w:tcMar>
            <w:vAlign w:val="center"/>
            <w:hideMark/>
          </w:tcPr>
          <w:p w14:paraId="5FF03AC9" w14:textId="77777777" w:rsidR="00C033B5" w:rsidRPr="00746567" w:rsidRDefault="00C033B5" w:rsidP="00C033B5">
            <w:pPr>
              <w:rPr>
                <w:rFonts w:asciiTheme="majorBidi" w:hAnsiTheme="majorBidi" w:cstheme="majorBidi"/>
              </w:rPr>
            </w:pPr>
          </w:p>
        </w:tc>
      </w:tr>
      <w:tr w:rsidR="00C033B5" w:rsidRPr="00746567" w14:paraId="3D824FD5" w14:textId="77777777">
        <w:trPr>
          <w:trHeight w:val="20"/>
        </w:trPr>
        <w:tc>
          <w:tcPr>
            <w:tcW w:w="0" w:type="auto"/>
            <w:tcMar>
              <w:top w:w="0" w:type="dxa"/>
              <w:left w:w="115" w:type="dxa"/>
              <w:bottom w:w="0" w:type="dxa"/>
              <w:right w:w="115" w:type="dxa"/>
            </w:tcMar>
            <w:vAlign w:val="center"/>
            <w:hideMark/>
          </w:tcPr>
          <w:p w14:paraId="53BDD56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34B0CFCC" w14:textId="77777777" w:rsidR="00C033B5" w:rsidRPr="00746567" w:rsidRDefault="00C033B5" w:rsidP="00C033B5">
            <w:pPr>
              <w:rPr>
                <w:rFonts w:asciiTheme="majorBidi" w:hAnsiTheme="majorBidi" w:cstheme="majorBidi"/>
              </w:rPr>
            </w:pPr>
            <w:r w:rsidRPr="00746567">
              <w:rPr>
                <w:rFonts w:asciiTheme="majorBidi" w:hAnsiTheme="majorBidi" w:cstheme="majorBidi"/>
              </w:rPr>
              <w:t>(0.0029)</w:t>
            </w:r>
          </w:p>
        </w:tc>
        <w:tc>
          <w:tcPr>
            <w:tcW w:w="0" w:type="auto"/>
            <w:tcMar>
              <w:top w:w="0" w:type="dxa"/>
              <w:left w:w="115" w:type="dxa"/>
              <w:bottom w:w="0" w:type="dxa"/>
              <w:right w:w="115" w:type="dxa"/>
            </w:tcMar>
            <w:vAlign w:val="center"/>
            <w:hideMark/>
          </w:tcPr>
          <w:p w14:paraId="7E2096DA" w14:textId="77777777" w:rsidR="00C033B5" w:rsidRPr="00746567" w:rsidRDefault="00C033B5" w:rsidP="00C033B5">
            <w:pPr>
              <w:rPr>
                <w:rFonts w:asciiTheme="majorBidi" w:hAnsiTheme="majorBidi" w:cstheme="majorBidi"/>
              </w:rPr>
            </w:pPr>
            <w:r w:rsidRPr="00746567">
              <w:rPr>
                <w:rFonts w:asciiTheme="majorBidi" w:hAnsiTheme="majorBidi" w:cstheme="majorBidi"/>
              </w:rPr>
              <w:t>(0.0010)</w:t>
            </w:r>
          </w:p>
        </w:tc>
        <w:tc>
          <w:tcPr>
            <w:tcW w:w="0" w:type="auto"/>
            <w:tcMar>
              <w:top w:w="0" w:type="dxa"/>
              <w:left w:w="115" w:type="dxa"/>
              <w:bottom w:w="0" w:type="dxa"/>
              <w:right w:w="115" w:type="dxa"/>
            </w:tcMar>
            <w:vAlign w:val="center"/>
            <w:hideMark/>
          </w:tcPr>
          <w:p w14:paraId="43482FEB" w14:textId="77777777" w:rsidR="00C033B5" w:rsidRPr="00746567" w:rsidRDefault="00C033B5" w:rsidP="00C033B5">
            <w:pPr>
              <w:rPr>
                <w:rFonts w:asciiTheme="majorBidi" w:hAnsiTheme="majorBidi" w:cstheme="majorBidi"/>
              </w:rPr>
            </w:pPr>
            <w:r w:rsidRPr="00746567">
              <w:rPr>
                <w:rFonts w:asciiTheme="majorBidi" w:hAnsiTheme="majorBidi" w:cstheme="majorBidi"/>
              </w:rPr>
              <w:t>(1.9236)</w:t>
            </w:r>
          </w:p>
        </w:tc>
        <w:tc>
          <w:tcPr>
            <w:tcW w:w="0" w:type="auto"/>
            <w:tcMar>
              <w:top w:w="0" w:type="dxa"/>
              <w:left w:w="115" w:type="dxa"/>
              <w:bottom w:w="0" w:type="dxa"/>
              <w:right w:w="115" w:type="dxa"/>
            </w:tcMar>
            <w:vAlign w:val="center"/>
            <w:hideMark/>
          </w:tcPr>
          <w:p w14:paraId="436314A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B1B1830" w14:textId="77777777" w:rsidR="00C033B5" w:rsidRPr="00746567" w:rsidRDefault="00C033B5" w:rsidP="00C033B5">
            <w:pPr>
              <w:rPr>
                <w:rFonts w:asciiTheme="majorBidi" w:hAnsiTheme="majorBidi" w:cstheme="majorBidi"/>
              </w:rPr>
            </w:pPr>
            <w:r w:rsidRPr="00746567">
              <w:rPr>
                <w:rFonts w:asciiTheme="majorBidi" w:hAnsiTheme="majorBidi" w:cstheme="majorBidi"/>
              </w:rPr>
              <w:t>(0.1043)</w:t>
            </w:r>
          </w:p>
        </w:tc>
        <w:tc>
          <w:tcPr>
            <w:tcW w:w="0" w:type="auto"/>
            <w:tcMar>
              <w:top w:w="0" w:type="dxa"/>
              <w:left w:w="115" w:type="dxa"/>
              <w:bottom w:w="0" w:type="dxa"/>
              <w:right w:w="115" w:type="dxa"/>
            </w:tcMar>
            <w:vAlign w:val="center"/>
            <w:hideMark/>
          </w:tcPr>
          <w:p w14:paraId="697BD003"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4DE7F67B" w14:textId="77777777" w:rsidR="00C033B5" w:rsidRPr="00746567" w:rsidRDefault="00C033B5" w:rsidP="00C033B5">
            <w:pPr>
              <w:rPr>
                <w:rFonts w:asciiTheme="majorBidi" w:hAnsiTheme="majorBidi" w:cstheme="majorBidi"/>
              </w:rPr>
            </w:pPr>
            <w:r w:rsidRPr="00746567">
              <w:rPr>
                <w:rFonts w:asciiTheme="majorBidi" w:hAnsiTheme="majorBidi" w:cstheme="majorBidi"/>
              </w:rPr>
              <w:t>(1.9768)</w:t>
            </w:r>
          </w:p>
        </w:tc>
        <w:tc>
          <w:tcPr>
            <w:tcW w:w="0" w:type="auto"/>
            <w:tcMar>
              <w:top w:w="0" w:type="dxa"/>
              <w:left w:w="115" w:type="dxa"/>
              <w:bottom w:w="0" w:type="dxa"/>
              <w:right w:w="115" w:type="dxa"/>
            </w:tcMar>
            <w:vAlign w:val="center"/>
            <w:hideMark/>
          </w:tcPr>
          <w:p w14:paraId="56E79C08"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0E59C676" w14:textId="77777777" w:rsidR="00C033B5" w:rsidRPr="00746567" w:rsidRDefault="00C033B5" w:rsidP="00C033B5">
            <w:pPr>
              <w:rPr>
                <w:rFonts w:asciiTheme="majorBidi" w:hAnsiTheme="majorBidi" w:cstheme="majorBidi"/>
              </w:rPr>
            </w:pPr>
            <w:r w:rsidRPr="00746567">
              <w:rPr>
                <w:rFonts w:asciiTheme="majorBidi" w:hAnsiTheme="majorBidi" w:cstheme="majorBidi"/>
              </w:rPr>
              <w:t>(0.1029)</w:t>
            </w:r>
          </w:p>
        </w:tc>
        <w:tc>
          <w:tcPr>
            <w:tcW w:w="0" w:type="auto"/>
            <w:tcMar>
              <w:top w:w="0" w:type="dxa"/>
              <w:left w:w="115" w:type="dxa"/>
              <w:bottom w:w="0" w:type="dxa"/>
              <w:right w:w="115" w:type="dxa"/>
            </w:tcMar>
            <w:vAlign w:val="center"/>
            <w:hideMark/>
          </w:tcPr>
          <w:p w14:paraId="251F5165" w14:textId="77777777" w:rsidR="00C033B5" w:rsidRPr="00746567" w:rsidRDefault="00C033B5" w:rsidP="00C033B5">
            <w:pPr>
              <w:rPr>
                <w:rFonts w:asciiTheme="majorBidi" w:hAnsiTheme="majorBidi" w:cstheme="majorBidi"/>
              </w:rPr>
            </w:pPr>
          </w:p>
        </w:tc>
      </w:tr>
      <w:tr w:rsidR="00C033B5" w:rsidRPr="00746567" w14:paraId="40D8D70E" w14:textId="77777777">
        <w:trPr>
          <w:trHeight w:val="20"/>
        </w:trPr>
        <w:tc>
          <w:tcPr>
            <w:tcW w:w="0" w:type="auto"/>
            <w:tcMar>
              <w:top w:w="0" w:type="dxa"/>
              <w:left w:w="115" w:type="dxa"/>
              <w:bottom w:w="0" w:type="dxa"/>
              <w:right w:w="115" w:type="dxa"/>
            </w:tcMar>
            <w:vAlign w:val="center"/>
            <w:hideMark/>
          </w:tcPr>
          <w:p w14:paraId="4B3D6470" w14:textId="77777777" w:rsidR="00C033B5" w:rsidRPr="00746567" w:rsidRDefault="00C033B5" w:rsidP="00C033B5">
            <w:pPr>
              <w:rPr>
                <w:rFonts w:asciiTheme="majorBidi" w:hAnsiTheme="majorBidi" w:cstheme="majorBidi"/>
              </w:rPr>
            </w:pPr>
            <w:r w:rsidRPr="00746567">
              <w:rPr>
                <w:rFonts w:asciiTheme="majorBidi" w:hAnsiTheme="majorBidi" w:cstheme="majorBidi"/>
              </w:rPr>
              <w:t>N</w:t>
            </w:r>
          </w:p>
        </w:tc>
        <w:tc>
          <w:tcPr>
            <w:tcW w:w="0" w:type="auto"/>
            <w:tcMar>
              <w:top w:w="0" w:type="dxa"/>
              <w:left w:w="115" w:type="dxa"/>
              <w:bottom w:w="0" w:type="dxa"/>
              <w:right w:w="115" w:type="dxa"/>
            </w:tcMar>
            <w:vAlign w:val="center"/>
            <w:hideMark/>
          </w:tcPr>
          <w:p w14:paraId="0D42F029" w14:textId="77777777" w:rsidR="00C033B5" w:rsidRPr="00746567" w:rsidRDefault="00C033B5" w:rsidP="00C033B5">
            <w:pPr>
              <w:rPr>
                <w:rFonts w:asciiTheme="majorBidi" w:hAnsiTheme="majorBidi" w:cstheme="majorBidi"/>
              </w:rPr>
            </w:pPr>
            <w:r w:rsidRPr="00746567">
              <w:rPr>
                <w:rFonts w:asciiTheme="majorBidi" w:hAnsiTheme="majorBidi" w:cstheme="majorBidi"/>
              </w:rPr>
              <w:t>1,326,332</w:t>
            </w:r>
          </w:p>
        </w:tc>
        <w:tc>
          <w:tcPr>
            <w:tcW w:w="0" w:type="auto"/>
            <w:tcMar>
              <w:top w:w="0" w:type="dxa"/>
              <w:left w:w="115" w:type="dxa"/>
              <w:bottom w:w="0" w:type="dxa"/>
              <w:right w:w="115" w:type="dxa"/>
            </w:tcMar>
            <w:vAlign w:val="center"/>
            <w:hideMark/>
          </w:tcPr>
          <w:p w14:paraId="5C0415B5" w14:textId="77777777" w:rsidR="00C033B5" w:rsidRPr="00746567" w:rsidRDefault="00C033B5" w:rsidP="00C033B5">
            <w:pPr>
              <w:rPr>
                <w:rFonts w:asciiTheme="majorBidi" w:hAnsiTheme="majorBidi" w:cstheme="majorBidi"/>
              </w:rPr>
            </w:pPr>
            <w:r w:rsidRPr="00746567">
              <w:rPr>
                <w:rFonts w:asciiTheme="majorBidi" w:hAnsiTheme="majorBidi" w:cstheme="majorBidi"/>
              </w:rPr>
              <w:t>530,434</w:t>
            </w:r>
          </w:p>
        </w:tc>
        <w:tc>
          <w:tcPr>
            <w:tcW w:w="0" w:type="auto"/>
            <w:tcMar>
              <w:top w:w="0" w:type="dxa"/>
              <w:left w:w="115" w:type="dxa"/>
              <w:bottom w:w="0" w:type="dxa"/>
              <w:right w:w="115" w:type="dxa"/>
            </w:tcMar>
            <w:vAlign w:val="center"/>
            <w:hideMark/>
          </w:tcPr>
          <w:p w14:paraId="23C19F2A" w14:textId="77777777" w:rsidR="00C033B5" w:rsidRPr="00746567" w:rsidRDefault="00C033B5" w:rsidP="00C033B5">
            <w:pPr>
              <w:rPr>
                <w:rFonts w:asciiTheme="majorBidi" w:hAnsiTheme="majorBidi" w:cstheme="majorBidi"/>
              </w:rPr>
            </w:pPr>
            <w:r w:rsidRPr="00746567">
              <w:rPr>
                <w:rFonts w:asciiTheme="majorBidi" w:hAnsiTheme="majorBidi" w:cstheme="majorBidi"/>
              </w:rPr>
              <w:t>1,277,525</w:t>
            </w:r>
          </w:p>
        </w:tc>
        <w:tc>
          <w:tcPr>
            <w:tcW w:w="0" w:type="auto"/>
            <w:tcMar>
              <w:top w:w="0" w:type="dxa"/>
              <w:left w:w="115" w:type="dxa"/>
              <w:bottom w:w="0" w:type="dxa"/>
              <w:right w:w="115" w:type="dxa"/>
            </w:tcMar>
            <w:vAlign w:val="center"/>
            <w:hideMark/>
          </w:tcPr>
          <w:p w14:paraId="5603E300"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6E28618C" w14:textId="77777777" w:rsidR="00C033B5" w:rsidRPr="00746567" w:rsidRDefault="00C033B5" w:rsidP="00C033B5">
            <w:pPr>
              <w:rPr>
                <w:rFonts w:asciiTheme="majorBidi" w:hAnsiTheme="majorBidi" w:cstheme="majorBidi"/>
              </w:rPr>
            </w:pPr>
            <w:r w:rsidRPr="00746567">
              <w:rPr>
                <w:rFonts w:asciiTheme="majorBidi" w:hAnsiTheme="majorBidi" w:cstheme="majorBidi"/>
              </w:rPr>
              <w:t>213,088</w:t>
            </w:r>
          </w:p>
        </w:tc>
        <w:tc>
          <w:tcPr>
            <w:tcW w:w="0" w:type="auto"/>
            <w:tcMar>
              <w:top w:w="0" w:type="dxa"/>
              <w:left w:w="115" w:type="dxa"/>
              <w:bottom w:w="0" w:type="dxa"/>
              <w:right w:w="115" w:type="dxa"/>
            </w:tcMar>
            <w:vAlign w:val="center"/>
            <w:hideMark/>
          </w:tcPr>
          <w:p w14:paraId="1E331CF1"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9E9FE60" w14:textId="77777777" w:rsidR="00C033B5" w:rsidRPr="00746567" w:rsidRDefault="00C033B5" w:rsidP="00C033B5">
            <w:pPr>
              <w:rPr>
                <w:rFonts w:asciiTheme="majorBidi" w:hAnsiTheme="majorBidi" w:cstheme="majorBidi"/>
              </w:rPr>
            </w:pPr>
            <w:r w:rsidRPr="00746567">
              <w:rPr>
                <w:rFonts w:asciiTheme="majorBidi" w:hAnsiTheme="majorBidi" w:cstheme="majorBidi"/>
              </w:rPr>
              <w:t>1,277,525</w:t>
            </w:r>
          </w:p>
        </w:tc>
        <w:tc>
          <w:tcPr>
            <w:tcW w:w="0" w:type="auto"/>
            <w:tcMar>
              <w:top w:w="0" w:type="dxa"/>
              <w:left w:w="115" w:type="dxa"/>
              <w:bottom w:w="0" w:type="dxa"/>
              <w:right w:w="115" w:type="dxa"/>
            </w:tcMar>
            <w:vAlign w:val="center"/>
            <w:hideMark/>
          </w:tcPr>
          <w:p w14:paraId="10D084E4" w14:textId="77777777" w:rsidR="00C033B5" w:rsidRPr="00746567" w:rsidRDefault="00C033B5" w:rsidP="00C033B5">
            <w:pPr>
              <w:rPr>
                <w:rFonts w:asciiTheme="majorBidi" w:hAnsiTheme="majorBidi" w:cstheme="majorBidi"/>
              </w:rPr>
            </w:pPr>
          </w:p>
        </w:tc>
        <w:tc>
          <w:tcPr>
            <w:tcW w:w="0" w:type="auto"/>
            <w:tcMar>
              <w:top w:w="0" w:type="dxa"/>
              <w:left w:w="115" w:type="dxa"/>
              <w:bottom w:w="0" w:type="dxa"/>
              <w:right w:w="115" w:type="dxa"/>
            </w:tcMar>
            <w:vAlign w:val="center"/>
            <w:hideMark/>
          </w:tcPr>
          <w:p w14:paraId="2A86D467" w14:textId="77777777" w:rsidR="00C033B5" w:rsidRPr="00746567" w:rsidRDefault="00C033B5" w:rsidP="00C033B5">
            <w:pPr>
              <w:rPr>
                <w:rFonts w:asciiTheme="majorBidi" w:hAnsiTheme="majorBidi" w:cstheme="majorBidi"/>
              </w:rPr>
            </w:pPr>
            <w:r w:rsidRPr="00746567">
              <w:rPr>
                <w:rFonts w:asciiTheme="majorBidi" w:hAnsiTheme="majorBidi" w:cstheme="majorBidi"/>
              </w:rPr>
              <w:t>213,088</w:t>
            </w:r>
          </w:p>
        </w:tc>
        <w:tc>
          <w:tcPr>
            <w:tcW w:w="0" w:type="auto"/>
            <w:tcMar>
              <w:top w:w="0" w:type="dxa"/>
              <w:left w:w="115" w:type="dxa"/>
              <w:bottom w:w="0" w:type="dxa"/>
              <w:right w:w="115" w:type="dxa"/>
            </w:tcMar>
            <w:vAlign w:val="center"/>
            <w:hideMark/>
          </w:tcPr>
          <w:p w14:paraId="118F4864" w14:textId="77777777" w:rsidR="00C033B5" w:rsidRPr="00746567" w:rsidRDefault="00C033B5" w:rsidP="00C033B5">
            <w:pPr>
              <w:rPr>
                <w:rFonts w:asciiTheme="majorBidi" w:hAnsiTheme="majorBidi" w:cstheme="majorBidi"/>
              </w:rPr>
            </w:pPr>
          </w:p>
        </w:tc>
      </w:tr>
      <w:tr w:rsidR="00C033B5" w:rsidRPr="00746567" w14:paraId="611019D8" w14:textId="77777777">
        <w:trPr>
          <w:trHeight w:val="20"/>
        </w:trPr>
        <w:tc>
          <w:tcPr>
            <w:tcW w:w="0" w:type="auto"/>
            <w:tcBorders>
              <w:bottom w:val="single" w:sz="4" w:space="0" w:color="000000"/>
            </w:tcBorders>
            <w:tcMar>
              <w:top w:w="0" w:type="dxa"/>
              <w:left w:w="115" w:type="dxa"/>
              <w:bottom w:w="0" w:type="dxa"/>
              <w:right w:w="115" w:type="dxa"/>
            </w:tcMar>
            <w:vAlign w:val="center"/>
            <w:hideMark/>
          </w:tcPr>
          <w:p w14:paraId="59BF0CCD" w14:textId="77777777" w:rsidR="00C033B5" w:rsidRPr="00746567" w:rsidRDefault="00C033B5" w:rsidP="00C033B5">
            <w:pPr>
              <w:rPr>
                <w:rFonts w:asciiTheme="majorBidi" w:hAnsiTheme="majorBidi" w:cstheme="majorBidi"/>
              </w:rPr>
            </w:pPr>
            <w:r w:rsidRPr="00746567">
              <w:rPr>
                <w:rFonts w:asciiTheme="majorBidi" w:hAnsiTheme="majorBidi" w:cstheme="majorBidi"/>
              </w:rPr>
              <w:t>Wald test Chi-Square</w:t>
            </w:r>
          </w:p>
        </w:tc>
        <w:tc>
          <w:tcPr>
            <w:tcW w:w="0" w:type="auto"/>
            <w:tcBorders>
              <w:bottom w:val="single" w:sz="4" w:space="0" w:color="000000"/>
            </w:tcBorders>
            <w:tcMar>
              <w:top w:w="0" w:type="dxa"/>
              <w:left w:w="115" w:type="dxa"/>
              <w:bottom w:w="0" w:type="dxa"/>
              <w:right w:w="115" w:type="dxa"/>
            </w:tcMar>
            <w:vAlign w:val="center"/>
            <w:hideMark/>
          </w:tcPr>
          <w:p w14:paraId="115AF0B6" w14:textId="77777777" w:rsidR="00C033B5" w:rsidRPr="00746567" w:rsidRDefault="00C033B5" w:rsidP="00C033B5">
            <w:pPr>
              <w:rPr>
                <w:rFonts w:asciiTheme="majorBidi" w:hAnsiTheme="majorBidi" w:cstheme="majorBidi"/>
              </w:rPr>
            </w:pPr>
            <w:r w:rsidRPr="00746567">
              <w:rPr>
                <w:rFonts w:asciiTheme="majorBidi" w:hAnsiTheme="majorBidi" w:cstheme="majorBidi"/>
              </w:rPr>
              <w:t>11961.4***</w:t>
            </w:r>
          </w:p>
        </w:tc>
        <w:tc>
          <w:tcPr>
            <w:tcW w:w="0" w:type="auto"/>
            <w:tcBorders>
              <w:bottom w:val="single" w:sz="4" w:space="0" w:color="000000"/>
            </w:tcBorders>
            <w:tcMar>
              <w:top w:w="0" w:type="dxa"/>
              <w:left w:w="115" w:type="dxa"/>
              <w:bottom w:w="0" w:type="dxa"/>
              <w:right w:w="115" w:type="dxa"/>
            </w:tcMar>
            <w:vAlign w:val="center"/>
            <w:hideMark/>
          </w:tcPr>
          <w:p w14:paraId="68D14098" w14:textId="77777777" w:rsidR="00C033B5" w:rsidRPr="00746567" w:rsidRDefault="00C033B5" w:rsidP="00C033B5">
            <w:pPr>
              <w:rPr>
                <w:rFonts w:asciiTheme="majorBidi" w:hAnsiTheme="majorBidi" w:cstheme="majorBidi"/>
              </w:rPr>
            </w:pPr>
            <w:r w:rsidRPr="00746567">
              <w:rPr>
                <w:rFonts w:asciiTheme="majorBidi" w:hAnsiTheme="majorBidi" w:cstheme="majorBidi"/>
              </w:rPr>
              <w:t>1358.87***</w:t>
            </w:r>
          </w:p>
        </w:tc>
        <w:tc>
          <w:tcPr>
            <w:tcW w:w="0" w:type="auto"/>
            <w:tcBorders>
              <w:bottom w:val="single" w:sz="4" w:space="0" w:color="000000"/>
            </w:tcBorders>
            <w:tcMar>
              <w:top w:w="0" w:type="dxa"/>
              <w:left w:w="115" w:type="dxa"/>
              <w:bottom w:w="0" w:type="dxa"/>
              <w:right w:w="115" w:type="dxa"/>
            </w:tcMar>
            <w:vAlign w:val="center"/>
            <w:hideMark/>
          </w:tcPr>
          <w:p w14:paraId="3EA7F630" w14:textId="77777777" w:rsidR="00C033B5" w:rsidRPr="00746567" w:rsidRDefault="00C033B5" w:rsidP="00C033B5">
            <w:pPr>
              <w:rPr>
                <w:rFonts w:asciiTheme="majorBidi" w:hAnsiTheme="majorBidi" w:cstheme="majorBidi"/>
              </w:rPr>
            </w:pPr>
            <w:r w:rsidRPr="00746567">
              <w:rPr>
                <w:rFonts w:asciiTheme="majorBidi" w:hAnsiTheme="majorBidi" w:cstheme="majorBidi"/>
              </w:rPr>
              <w:t>17.98***</w:t>
            </w:r>
          </w:p>
        </w:tc>
        <w:tc>
          <w:tcPr>
            <w:tcW w:w="0" w:type="auto"/>
            <w:tcBorders>
              <w:bottom w:val="single" w:sz="4" w:space="0" w:color="000000"/>
            </w:tcBorders>
            <w:tcMar>
              <w:top w:w="0" w:type="dxa"/>
              <w:left w:w="115" w:type="dxa"/>
              <w:bottom w:w="0" w:type="dxa"/>
              <w:right w:w="115" w:type="dxa"/>
            </w:tcMar>
            <w:vAlign w:val="center"/>
            <w:hideMark/>
          </w:tcPr>
          <w:p w14:paraId="4C9C69A7" w14:textId="77777777" w:rsidR="00C033B5" w:rsidRPr="00746567" w:rsidRDefault="00C033B5" w:rsidP="00C033B5">
            <w:pPr>
              <w:rPr>
                <w:rFonts w:asciiTheme="majorBidi" w:hAnsiTheme="majorBidi" w:cstheme="majorBidi"/>
              </w:rPr>
            </w:pPr>
          </w:p>
        </w:tc>
        <w:tc>
          <w:tcPr>
            <w:tcW w:w="0" w:type="auto"/>
            <w:tcBorders>
              <w:bottom w:val="single" w:sz="4" w:space="0" w:color="000000"/>
            </w:tcBorders>
            <w:tcMar>
              <w:top w:w="0" w:type="dxa"/>
              <w:left w:w="115" w:type="dxa"/>
              <w:bottom w:w="0" w:type="dxa"/>
              <w:right w:w="115" w:type="dxa"/>
            </w:tcMar>
            <w:vAlign w:val="center"/>
            <w:hideMark/>
          </w:tcPr>
          <w:p w14:paraId="278DF9D2" w14:textId="77777777" w:rsidR="00C033B5" w:rsidRPr="00746567" w:rsidRDefault="00C033B5" w:rsidP="00C033B5">
            <w:pPr>
              <w:rPr>
                <w:rFonts w:asciiTheme="majorBidi" w:hAnsiTheme="majorBidi" w:cstheme="majorBidi"/>
              </w:rPr>
            </w:pPr>
            <w:r w:rsidRPr="00746567">
              <w:rPr>
                <w:rFonts w:asciiTheme="majorBidi" w:hAnsiTheme="majorBidi" w:cstheme="majorBidi"/>
              </w:rPr>
              <w:t>2.14</w:t>
            </w:r>
          </w:p>
        </w:tc>
        <w:tc>
          <w:tcPr>
            <w:tcW w:w="0" w:type="auto"/>
            <w:tcBorders>
              <w:bottom w:val="single" w:sz="4" w:space="0" w:color="000000"/>
            </w:tcBorders>
            <w:tcMar>
              <w:top w:w="0" w:type="dxa"/>
              <w:left w:w="115" w:type="dxa"/>
              <w:bottom w:w="0" w:type="dxa"/>
              <w:right w:w="115" w:type="dxa"/>
            </w:tcMar>
            <w:vAlign w:val="center"/>
            <w:hideMark/>
          </w:tcPr>
          <w:p w14:paraId="0CB5B214" w14:textId="77777777" w:rsidR="00C033B5" w:rsidRPr="00746567" w:rsidRDefault="00C033B5" w:rsidP="00C033B5">
            <w:pPr>
              <w:rPr>
                <w:rFonts w:asciiTheme="majorBidi" w:hAnsiTheme="majorBidi" w:cstheme="majorBidi"/>
              </w:rPr>
            </w:pPr>
          </w:p>
        </w:tc>
        <w:tc>
          <w:tcPr>
            <w:tcW w:w="0" w:type="auto"/>
            <w:tcBorders>
              <w:bottom w:val="single" w:sz="4" w:space="0" w:color="000000"/>
            </w:tcBorders>
            <w:tcMar>
              <w:top w:w="0" w:type="dxa"/>
              <w:left w:w="115" w:type="dxa"/>
              <w:bottom w:w="0" w:type="dxa"/>
              <w:right w:w="115" w:type="dxa"/>
            </w:tcMar>
            <w:vAlign w:val="center"/>
            <w:hideMark/>
          </w:tcPr>
          <w:p w14:paraId="317D5300" w14:textId="77777777" w:rsidR="00C033B5" w:rsidRPr="00746567" w:rsidRDefault="00C033B5" w:rsidP="00C033B5">
            <w:pPr>
              <w:rPr>
                <w:rFonts w:asciiTheme="majorBidi" w:hAnsiTheme="majorBidi" w:cstheme="majorBidi"/>
              </w:rPr>
            </w:pPr>
            <w:r w:rsidRPr="00746567">
              <w:rPr>
                <w:rFonts w:asciiTheme="majorBidi" w:hAnsiTheme="majorBidi" w:cstheme="majorBidi"/>
              </w:rPr>
              <w:t>3.26*</w:t>
            </w:r>
          </w:p>
        </w:tc>
        <w:tc>
          <w:tcPr>
            <w:tcW w:w="0" w:type="auto"/>
            <w:tcBorders>
              <w:bottom w:val="single" w:sz="4" w:space="0" w:color="000000"/>
            </w:tcBorders>
            <w:tcMar>
              <w:top w:w="0" w:type="dxa"/>
              <w:left w:w="115" w:type="dxa"/>
              <w:bottom w:w="0" w:type="dxa"/>
              <w:right w:w="115" w:type="dxa"/>
            </w:tcMar>
            <w:vAlign w:val="center"/>
            <w:hideMark/>
          </w:tcPr>
          <w:p w14:paraId="2FE60782" w14:textId="77777777" w:rsidR="00C033B5" w:rsidRPr="00746567" w:rsidRDefault="00C033B5" w:rsidP="00C033B5">
            <w:pPr>
              <w:rPr>
                <w:rFonts w:asciiTheme="majorBidi" w:hAnsiTheme="majorBidi" w:cstheme="majorBidi"/>
              </w:rPr>
            </w:pPr>
          </w:p>
        </w:tc>
        <w:tc>
          <w:tcPr>
            <w:tcW w:w="0" w:type="auto"/>
            <w:tcBorders>
              <w:bottom w:val="single" w:sz="4" w:space="0" w:color="000000"/>
            </w:tcBorders>
            <w:tcMar>
              <w:top w:w="0" w:type="dxa"/>
              <w:left w:w="115" w:type="dxa"/>
              <w:bottom w:w="0" w:type="dxa"/>
              <w:right w:w="115" w:type="dxa"/>
            </w:tcMar>
            <w:vAlign w:val="center"/>
            <w:hideMark/>
          </w:tcPr>
          <w:p w14:paraId="26BADE45" w14:textId="77777777" w:rsidR="00C033B5" w:rsidRPr="00746567" w:rsidRDefault="00C033B5" w:rsidP="00C033B5">
            <w:pPr>
              <w:rPr>
                <w:rFonts w:asciiTheme="majorBidi" w:hAnsiTheme="majorBidi" w:cstheme="majorBidi"/>
              </w:rPr>
            </w:pPr>
            <w:r w:rsidRPr="00746567">
              <w:rPr>
                <w:rFonts w:asciiTheme="majorBidi" w:hAnsiTheme="majorBidi" w:cstheme="majorBidi"/>
              </w:rPr>
              <w:t>0.37</w:t>
            </w:r>
          </w:p>
        </w:tc>
        <w:tc>
          <w:tcPr>
            <w:tcW w:w="0" w:type="auto"/>
            <w:tcBorders>
              <w:bottom w:val="single" w:sz="4" w:space="0" w:color="000000"/>
            </w:tcBorders>
            <w:tcMar>
              <w:top w:w="0" w:type="dxa"/>
              <w:left w:w="115" w:type="dxa"/>
              <w:bottom w:w="0" w:type="dxa"/>
              <w:right w:w="115" w:type="dxa"/>
            </w:tcMar>
            <w:vAlign w:val="center"/>
            <w:hideMark/>
          </w:tcPr>
          <w:p w14:paraId="69EDC0F3" w14:textId="77777777" w:rsidR="00C033B5" w:rsidRPr="00746567" w:rsidRDefault="00C033B5" w:rsidP="00C033B5">
            <w:pPr>
              <w:rPr>
                <w:rFonts w:asciiTheme="majorBidi" w:hAnsiTheme="majorBidi" w:cstheme="majorBidi"/>
              </w:rPr>
            </w:pPr>
          </w:p>
        </w:tc>
      </w:tr>
      <w:tr w:rsidR="00C033B5" w:rsidRPr="00746567" w14:paraId="7297E2B8" w14:textId="77777777">
        <w:trPr>
          <w:trHeight w:val="20"/>
        </w:trPr>
        <w:tc>
          <w:tcPr>
            <w:tcW w:w="0" w:type="auto"/>
            <w:gridSpan w:val="11"/>
            <w:tcBorders>
              <w:top w:val="single" w:sz="4" w:space="0" w:color="000000"/>
            </w:tcBorders>
            <w:tcMar>
              <w:top w:w="0" w:type="dxa"/>
              <w:left w:w="115" w:type="dxa"/>
              <w:bottom w:w="0" w:type="dxa"/>
              <w:right w:w="115" w:type="dxa"/>
            </w:tcMar>
            <w:vAlign w:val="center"/>
            <w:hideMark/>
          </w:tcPr>
          <w:p w14:paraId="41BC5F11" w14:textId="77777777" w:rsidR="00C033B5" w:rsidRPr="00746567" w:rsidRDefault="00C033B5" w:rsidP="00C033B5">
            <w:pPr>
              <w:rPr>
                <w:rFonts w:asciiTheme="majorBidi" w:hAnsiTheme="majorBidi" w:cstheme="majorBidi"/>
              </w:rPr>
            </w:pPr>
            <w:r w:rsidRPr="00746567">
              <w:rPr>
                <w:rFonts w:asciiTheme="majorBidi" w:hAnsiTheme="majorBidi" w:cstheme="majorBidi"/>
                <w:i/>
                <w:iCs/>
              </w:rPr>
              <w:t>Note: The table reports the second stage regression results of  2SLS, Probit and Fractional instrumental variable regression analysis for the impact of skin in the game on interest rates, default likelihood and severity of default in Panel A, B and C respectively. Specification 1, 3a and 5a in PANEL A, B, and C reports the results for claims respectively. Specification 3b and 5b reports the corresponding margin coefficients for probit and fractional regression respectively. Specification 2, 4a, and 6a in Panel A, B, and C reports the results for notes respectively. Specification 4b and 6b reports the corresponding margin coefficients for probit and fractional regression respectively. All specifications of the model employ robust standard errors in parentheses. *, **, *** indicate significance at 10%, 5%, and 1% levels respectively.</w:t>
            </w:r>
          </w:p>
        </w:tc>
      </w:tr>
    </w:tbl>
    <w:p w14:paraId="375098E7" w14:textId="77777777" w:rsidR="00746567" w:rsidRDefault="00746567">
      <w:pPr>
        <w:rPr>
          <w:rFonts w:ascii="Times New Roman" w:eastAsia="Times New Roman" w:hAnsi="Times New Roman" w:cs="Times New Roman"/>
          <w:b/>
          <w:sz w:val="26"/>
          <w:szCs w:val="26"/>
        </w:rPr>
      </w:pPr>
      <w:r>
        <w:br w:type="page"/>
      </w:r>
    </w:p>
    <w:p w14:paraId="66D95553" w14:textId="654C3315" w:rsidR="007373F6" w:rsidRDefault="00000000">
      <w:pPr>
        <w:pStyle w:val="Heading1"/>
      </w:pPr>
      <w:bookmarkStart w:id="50" w:name="_Toc211808138"/>
      <w:r>
        <w:lastRenderedPageBreak/>
        <w:t>Paper ID 8</w:t>
      </w:r>
      <w:bookmarkEnd w:id="50"/>
    </w:p>
    <w:p w14:paraId="3AAB4644" w14:textId="77777777" w:rsidR="007373F6" w:rsidRDefault="00000000">
      <w:pPr>
        <w:pStyle w:val="Heading2"/>
        <w:spacing w:after="0" w:line="240" w:lineRule="auto"/>
      </w:pPr>
      <w:bookmarkStart w:id="51" w:name="_Toc211808139"/>
      <w:r>
        <w:t>THE IMPACT OF FINANCIAL LITERACY ON ROBO-ADVISOR ADOPTION DURING ECONOMIC CRISIS: EVIDENCE FROM MALAYSIA</w:t>
      </w:r>
      <w:bookmarkEnd w:id="51"/>
    </w:p>
    <w:p w14:paraId="57B374DF" w14:textId="77777777" w:rsidR="007373F6" w:rsidRDefault="007373F6" w:rsidP="00480C0A">
      <w:bookmarkStart w:id="52" w:name="_heading=h.wgffb9tdvfg" w:colFirst="0" w:colLast="0"/>
      <w:bookmarkEnd w:id="52"/>
    </w:p>
    <w:p w14:paraId="1A976482" w14:textId="6D639101" w:rsidR="007373F6" w:rsidRDefault="00000000">
      <w:pPr>
        <w:shd w:val="clear" w:color="auto" w:fill="FFFFFF"/>
        <w:jc w:val="cente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b/>
          <w:color w:val="222222"/>
          <w:sz w:val="24"/>
          <w:szCs w:val="24"/>
        </w:rPr>
        <w:t>Kamisah</w:t>
      </w:r>
      <w:proofErr w:type="spellEnd"/>
      <w:r>
        <w:rPr>
          <w:rFonts w:ascii="Times New Roman" w:eastAsia="Times New Roman" w:hAnsi="Times New Roman" w:cs="Times New Roman"/>
          <w:b/>
          <w:color w:val="222222"/>
          <w:sz w:val="24"/>
          <w:szCs w:val="24"/>
        </w:rPr>
        <w:t xml:space="preserve"> Ismail</w:t>
      </w:r>
      <w:r w:rsidR="00573C36">
        <w:rPr>
          <w:rFonts w:ascii="Times New Roman" w:eastAsia="Times New Roman" w:hAnsi="Times New Roman" w:cs="Times New Roman"/>
          <w:b/>
          <w:sz w:val="24"/>
          <w:szCs w:val="24"/>
        </w:rPr>
        <w:t>*</w:t>
      </w:r>
      <w:r>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sz w:val="24"/>
          <w:szCs w:val="24"/>
        </w:rPr>
        <w:t>University Malaya, Malaysia</w:t>
      </w:r>
      <w:r>
        <w:rPr>
          <w:rFonts w:ascii="Times New Roman" w:eastAsia="Times New Roman" w:hAnsi="Times New Roman" w:cs="Times New Roman"/>
          <w:color w:val="222222"/>
          <w:sz w:val="24"/>
          <w:szCs w:val="24"/>
        </w:rPr>
        <w:t xml:space="preserve"> (kamisah.ismail@um.edu.my)</w:t>
      </w:r>
    </w:p>
    <w:p w14:paraId="3CF78C5E" w14:textId="12915B2D" w:rsidR="007373F6" w:rsidRDefault="00000000">
      <w:pPr>
        <w:spacing w:after="0" w:line="240" w:lineRule="auto"/>
        <w:jc w:val="center"/>
        <w:rPr>
          <w:sz w:val="24"/>
          <w:szCs w:val="24"/>
        </w:rPr>
      </w:pPr>
      <w:r>
        <w:rPr>
          <w:rFonts w:ascii="Times New Roman" w:eastAsia="Times New Roman" w:hAnsi="Times New Roman" w:cs="Times New Roman"/>
          <w:b/>
          <w:sz w:val="24"/>
          <w:szCs w:val="24"/>
        </w:rPr>
        <w:t>Najihah Abd Razak</w:t>
      </w:r>
      <w:r>
        <w:rPr>
          <w:rFonts w:ascii="Times New Roman" w:eastAsia="Times New Roman" w:hAnsi="Times New Roman" w:cs="Times New Roman"/>
          <w:color w:val="222222"/>
          <w:sz w:val="24"/>
          <w:szCs w:val="24"/>
        </w:rPr>
        <w:t>, Asia Pacific University, Malaysia (jirazak@gmail.com)</w:t>
      </w:r>
    </w:p>
    <w:p w14:paraId="7FD0D460" w14:textId="77777777" w:rsidR="007373F6" w:rsidRDefault="007373F6">
      <w:pPr>
        <w:jc w:val="center"/>
      </w:pPr>
    </w:p>
    <w:p w14:paraId="09706C1A" w14:textId="77777777" w:rsidR="007373F6"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ABSTRACT</w:t>
      </w:r>
    </w:p>
    <w:p w14:paraId="38EFD36C"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study examines the relationship between financial literacy and the adoption of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 xml:space="preserve">-advisory services in Malaysia during the economic crisis. Despite the potential benefits of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 xml:space="preserve">-advisors, their adoption in Malaysia lags other East Asian developing economies, particularly during the recent economic crisis triggered by the COVID-19 pandemic. This gap highlights the need to explore underlying </w:t>
      </w: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and perceptual factors influencing the adoption of such technology-driven financial services. Using the Technology Acceptance Model (TAM) as a theoretical framework, this research investigates how different dimensions of financial literacy (knowledge,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and attitude) affect perceived usefulness and </w:t>
      </w: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intention to use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 xml:space="preserve">-advisors. Data was collected from 380 Malaysian retail investors through a survey questionnaire, </w:t>
      </w:r>
      <w:proofErr w:type="spellStart"/>
      <w:r>
        <w:rPr>
          <w:rFonts w:ascii="Times New Roman" w:eastAsia="Times New Roman" w:hAnsi="Times New Roman" w:cs="Times New Roman"/>
          <w:sz w:val="24"/>
          <w:szCs w:val="24"/>
        </w:rPr>
        <w:t>analyzed</w:t>
      </w:r>
      <w:proofErr w:type="spellEnd"/>
      <w:r>
        <w:rPr>
          <w:rFonts w:ascii="Times New Roman" w:eastAsia="Times New Roman" w:hAnsi="Times New Roman" w:cs="Times New Roman"/>
          <w:sz w:val="24"/>
          <w:szCs w:val="24"/>
        </w:rPr>
        <w:t xml:space="preserve"> using Partial Least Squares Structural Equation </w:t>
      </w:r>
      <w:proofErr w:type="spellStart"/>
      <w:r>
        <w:rPr>
          <w:rFonts w:ascii="Times New Roman" w:eastAsia="Times New Roman" w:hAnsi="Times New Roman" w:cs="Times New Roman"/>
          <w:sz w:val="24"/>
          <w:szCs w:val="24"/>
        </w:rPr>
        <w:t>Modeling</w:t>
      </w:r>
      <w:proofErr w:type="spellEnd"/>
      <w:r>
        <w:rPr>
          <w:rFonts w:ascii="Times New Roman" w:eastAsia="Times New Roman" w:hAnsi="Times New Roman" w:cs="Times New Roman"/>
          <w:sz w:val="24"/>
          <w:szCs w:val="24"/>
        </w:rPr>
        <w:t xml:space="preserve"> (PLS-SEM). The results reveal mixed outcomes regarding the influence of financial literacy components on perceived usefulness and </w:t>
      </w: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intention. Financial knowledge and financial attitude were found to have significant positive effects on perceived usefulness, whereas financial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demonstrated a significant negative effect. In contrast, all three dimensions of financial literacy did not significantly support direct effects on </w:t>
      </w: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intention (BI), suggesting that their impact on intention may be indirect. Finally, perceived usefulness exhibited a strong and highly significant positive relationship with BI, confirming its central role as a determinant of </w:t>
      </w: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intention in this model. These findings contribute to the growing body of literature on financial technology adoption in emerging markets and provide several practical implications. For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 xml:space="preserve">-advisory practitioners and service providers, the findings highlight the importance of positioning perceived usefulness at the </w:t>
      </w:r>
      <w:proofErr w:type="spellStart"/>
      <w:r>
        <w:rPr>
          <w:rFonts w:ascii="Times New Roman" w:eastAsia="Times New Roman" w:hAnsi="Times New Roman" w:cs="Times New Roman"/>
          <w:sz w:val="24"/>
          <w:szCs w:val="24"/>
        </w:rPr>
        <w:t>center</w:t>
      </w:r>
      <w:proofErr w:type="spellEnd"/>
      <w:r>
        <w:rPr>
          <w:rFonts w:ascii="Times New Roman" w:eastAsia="Times New Roman" w:hAnsi="Times New Roman" w:cs="Times New Roman"/>
          <w:sz w:val="24"/>
          <w:szCs w:val="24"/>
        </w:rPr>
        <w:t xml:space="preserve"> of their strategies. For policymakers and regulators, the results underline the need to integrate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-advisory awareness into broader financial literacy campaigns. For financial educators and institutions, the findings suggest that literacy initiatives should be directly connected to technology adoption.</w:t>
      </w:r>
    </w:p>
    <w:p w14:paraId="638EB5FE" w14:textId="77777777" w:rsidR="007373F6" w:rsidRDefault="007373F6">
      <w:pPr>
        <w:spacing w:after="0" w:line="240" w:lineRule="auto"/>
        <w:jc w:val="both"/>
        <w:rPr>
          <w:rFonts w:ascii="Times New Roman" w:eastAsia="Times New Roman" w:hAnsi="Times New Roman" w:cs="Times New Roman"/>
          <w:sz w:val="24"/>
          <w:szCs w:val="24"/>
        </w:rPr>
      </w:pPr>
    </w:p>
    <w:p w14:paraId="74E8B05B" w14:textId="77777777" w:rsidR="007373F6" w:rsidRDefault="00000000">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Keywords: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Robo-advisors, Financial literacy, Technology Acceptance Model, Economic crisis, Malaysia </w:t>
      </w:r>
    </w:p>
    <w:p w14:paraId="1DC28028" w14:textId="77777777" w:rsidR="007373F6" w:rsidRDefault="007373F6" w:rsidP="00480C0A"/>
    <w:p w14:paraId="49BB43FD" w14:textId="77777777" w:rsidR="007373F6" w:rsidRDefault="00000000">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 INTRODUCTION</w:t>
      </w:r>
    </w:p>
    <w:p w14:paraId="302C295D" w14:textId="77777777" w:rsidR="007373F6" w:rsidRDefault="00000000" w:rsidP="00746567">
      <w:pPr>
        <w:spacing w:line="24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Robo-advisors offer numerous benefits to users including lower costs, accessibility, and personalization (Belanche et al., 2019). Despite these advantages,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 xml:space="preserve">-advisory services have not gained widespread adoption in Malaysia compared to other developing economies in East Asia, especially during the recent economic crisis. Previous studies of AI-assisted services, which have examined adoption (Flavián et al., 2021; Belanche et al, 2019), continuance intention (Cheng, 2020), trust (Cheng et al., 2019; Zhang et al., 2021), </w:t>
      </w: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biases (Bhatia et al., 2021), the banking sector (Boustani, 2020; Caron, 2019; </w:t>
      </w:r>
      <w:proofErr w:type="spellStart"/>
      <w:r>
        <w:rPr>
          <w:rFonts w:ascii="Times New Roman" w:eastAsia="Times New Roman" w:hAnsi="Times New Roman" w:cs="Times New Roman"/>
          <w:sz w:val="24"/>
          <w:szCs w:val="24"/>
        </w:rPr>
        <w:t>Mogaji</w:t>
      </w:r>
      <w:proofErr w:type="spellEnd"/>
      <w:r>
        <w:rPr>
          <w:rFonts w:ascii="Times New Roman" w:eastAsia="Times New Roman" w:hAnsi="Times New Roman" w:cs="Times New Roman"/>
          <w:sz w:val="24"/>
          <w:szCs w:val="24"/>
        </w:rPr>
        <w:t xml:space="preserve"> et al., 2021) and credit scoring (Aggarwal, 2021; Mhlanga, 2021), have not sufficiently explored the linkage between </w:t>
      </w:r>
      <w:r>
        <w:rPr>
          <w:rFonts w:ascii="Times New Roman" w:eastAsia="Times New Roman" w:hAnsi="Times New Roman" w:cs="Times New Roman"/>
          <w:sz w:val="24"/>
          <w:szCs w:val="24"/>
        </w:rPr>
        <w:lastRenderedPageBreak/>
        <w:t xml:space="preserve">financial literacy dimensions and the adoption of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-advisors. Hence, this study addresses the following research questions:</w:t>
      </w:r>
    </w:p>
    <w:p w14:paraId="293B9034" w14:textId="77777777" w:rsidR="007373F6" w:rsidRDefault="00000000" w:rsidP="00856618">
      <w:pPr>
        <w:numPr>
          <w:ilvl w:val="0"/>
          <w:numId w:val="15"/>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Is there any relationship between financial literacy and perceived usefulness of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-advisors during a economic crisis?</w:t>
      </w:r>
    </w:p>
    <w:p w14:paraId="6D17F64D" w14:textId="77777777" w:rsidR="007373F6" w:rsidRDefault="00000000" w:rsidP="00856618">
      <w:pPr>
        <w:numPr>
          <w:ilvl w:val="0"/>
          <w:numId w:val="15"/>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Is there any relationship between financial literacy and </w:t>
      </w: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intention to use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-advisors during a economic crisis?</w:t>
      </w:r>
    </w:p>
    <w:p w14:paraId="4B50D8E4" w14:textId="77777777" w:rsidR="007373F6" w:rsidRDefault="00000000" w:rsidP="00856618">
      <w:pPr>
        <w:numPr>
          <w:ilvl w:val="0"/>
          <w:numId w:val="15"/>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Is there any relationship between perceived usefulness of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 xml:space="preserve">-advisors during a economic crisis and </w:t>
      </w: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intention to use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-advisors during a economic crisis?</w:t>
      </w:r>
    </w:p>
    <w:p w14:paraId="779D7279" w14:textId="77777777" w:rsidR="007373F6" w:rsidRDefault="00000000" w:rsidP="00856618">
      <w:pPr>
        <w:numPr>
          <w:ilvl w:val="0"/>
          <w:numId w:val="15"/>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Is there any mediating effect of perceived usefulness in the relationship between financial literacy and </w:t>
      </w: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intention to use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-advisors during a economic crisis?</w:t>
      </w:r>
    </w:p>
    <w:p w14:paraId="6E3D8F61" w14:textId="77777777" w:rsidR="007373F6" w:rsidRDefault="00000000" w:rsidP="00746567">
      <w:pPr>
        <w:spacing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By investigating these questions, this research contributes to the literature on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 xml:space="preserve">-advisory services adoption and extends the application of the Technology Acceptance Model (TAM) in the context of financial technology adoption during crisis periods. The findings provide valuable insights for financial institutions, policymakers, and educational institutions in Malaysia to enhance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-advisor adoption.</w:t>
      </w:r>
    </w:p>
    <w:p w14:paraId="5A867A32" w14:textId="77777777" w:rsidR="00746567" w:rsidRDefault="00746567" w:rsidP="00746567">
      <w:pPr>
        <w:spacing w:line="240" w:lineRule="auto"/>
        <w:ind w:firstLine="360"/>
        <w:jc w:val="both"/>
        <w:rPr>
          <w:rFonts w:ascii="Times New Roman" w:eastAsia="Times New Roman" w:hAnsi="Times New Roman" w:cs="Times New Roman"/>
          <w:sz w:val="24"/>
          <w:szCs w:val="24"/>
        </w:rPr>
      </w:pPr>
    </w:p>
    <w:p w14:paraId="4AB26D28" w14:textId="77777777" w:rsidR="007373F6" w:rsidRDefault="00000000">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 RESEARCH METHODOLOGY</w:t>
      </w:r>
    </w:p>
    <w:p w14:paraId="3A12672E" w14:textId="77777777" w:rsidR="007373F6" w:rsidRDefault="00000000" w:rsidP="00746567">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conceptual framework of the study examines how financial literacy, comprising financial knowledge, financial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and financial attitude influences </w:t>
      </w: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intention to use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 xml:space="preserve">-advisors during economic crises, with perceived usefulness serving as a mediating variable. This framework proposes that individuals with higher levels of financial literacy may better understand investment principles and risk management, potentially affecting how useful they perceive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 xml:space="preserve">-advisory services to be during market turbulence. This study employed a quantitative research approach using a survey questionnaire to collect data from retail investors in Malaysia. The research design allowed for testing the proposed hypotheses and examining the relationships between financial literacy, perceived usefulness, and </w:t>
      </w: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intention to use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-advisors during a economic crisis.</w:t>
      </w:r>
    </w:p>
    <w:p w14:paraId="6F0D2CC5" w14:textId="77777777" w:rsidR="007373F6" w:rsidRDefault="00000000" w:rsidP="00746567">
      <w:pPr>
        <w:spacing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target population for this study was retail investors in Malaysia. Due to the unavailability of a sampling frame (considered confidential data), non-probability sampling techniques were used as recommended by Saunders et al. (2019). To identify the right targeted respondent, the survey requires respondents to indicate that they have fulfilled two criteria, which are </w:t>
      </w:r>
      <w:proofErr w:type="spellStart"/>
      <w:r>
        <w:rPr>
          <w:rFonts w:ascii="Times New Roman" w:eastAsia="Times New Roman" w:hAnsi="Times New Roman" w:cs="Times New Roman"/>
          <w:sz w:val="24"/>
          <w:szCs w:val="24"/>
        </w:rPr>
        <w:t>i</w:t>
      </w:r>
      <w:proofErr w:type="spellEnd"/>
      <w:r>
        <w:rPr>
          <w:rFonts w:ascii="Times New Roman" w:eastAsia="Times New Roman" w:hAnsi="Times New Roman" w:cs="Times New Roman"/>
          <w:sz w:val="24"/>
          <w:szCs w:val="24"/>
        </w:rPr>
        <w:t xml:space="preserve">) retail investors who purchase assets such as stocks, bonds, securities, mutual funds, and exchange-traded funds, and ii) Malaysian residents. A sample size of 384 respondents was initially targeted to ensure adequate statistical power. The questionnaire included measures for financial literacy, perceived usefulness of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 xml:space="preserve">-advisors, and </w:t>
      </w: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intention to use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 xml:space="preserve">-advisors during an economic crisis. All measures were adopted and adapted from established scales in the literature with relevant modifications to suit the context of this research. </w:t>
      </w:r>
    </w:p>
    <w:p w14:paraId="53F9FBD3" w14:textId="77777777" w:rsidR="00746567" w:rsidRDefault="00746567" w:rsidP="00746567">
      <w:pPr>
        <w:spacing w:line="240" w:lineRule="auto"/>
        <w:ind w:firstLine="426"/>
        <w:jc w:val="both"/>
        <w:rPr>
          <w:rFonts w:ascii="Times New Roman" w:eastAsia="Times New Roman" w:hAnsi="Times New Roman" w:cs="Times New Roman"/>
          <w:sz w:val="24"/>
          <w:szCs w:val="24"/>
        </w:rPr>
      </w:pPr>
    </w:p>
    <w:p w14:paraId="677B7255" w14:textId="77777777" w:rsidR="007373F6" w:rsidRDefault="00000000">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3. RESULTS</w:t>
      </w:r>
    </w:p>
    <w:p w14:paraId="05DE0EF5" w14:textId="77777777" w:rsidR="007373F6" w:rsidRDefault="00000000">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3.1 Discussion of Findings</w:t>
      </w:r>
    </w:p>
    <w:p w14:paraId="32F08BF2" w14:textId="77777777" w:rsidR="007373F6" w:rsidRDefault="00000000" w:rsidP="00746567">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From February 2023 to July 2023, the survey was disseminated in 39 investment-related social media groups, 11 public Telegram channels, 35 WhatsApp groups, and 4 investment </w:t>
      </w:r>
      <w:r>
        <w:rPr>
          <w:rFonts w:ascii="Times New Roman" w:eastAsia="Times New Roman" w:hAnsi="Times New Roman" w:cs="Times New Roman"/>
          <w:sz w:val="24"/>
          <w:szCs w:val="24"/>
        </w:rPr>
        <w:lastRenderedPageBreak/>
        <w:t xml:space="preserve">forums, with a combined estimated reach of over 100,000 members. Due to the use of non-probability sampling techniques and open distribution channels, a conventional response rate could not be calculated. However, engagement was tracked using a </w:t>
      </w:r>
      <w:proofErr w:type="spellStart"/>
      <w:r>
        <w:rPr>
          <w:rFonts w:ascii="Times New Roman" w:eastAsia="Times New Roman" w:hAnsi="Times New Roman" w:cs="Times New Roman"/>
          <w:sz w:val="24"/>
          <w:szCs w:val="24"/>
        </w:rPr>
        <w:t>Bitly</w:t>
      </w:r>
      <w:proofErr w:type="spellEnd"/>
      <w:r>
        <w:rPr>
          <w:rFonts w:ascii="Times New Roman" w:eastAsia="Times New Roman" w:hAnsi="Times New Roman" w:cs="Times New Roman"/>
          <w:sz w:val="24"/>
          <w:szCs w:val="24"/>
        </w:rPr>
        <w:t xml:space="preserve"> link, which recorded 500 unique clicks during the data collection period. Although exact distribution numbers cannot be verified due to the snowball sampling technique, these methods collectively ensured that the survey reached well beyond the target of 384 potential participants, as evidenced by the final sample size of 380 valid responses.</w:t>
      </w:r>
    </w:p>
    <w:p w14:paraId="51358C91" w14:textId="77777777" w:rsidR="007373F6" w:rsidRDefault="00000000" w:rsidP="00746567">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PLS-SEM analysis shows that the antecedent patterns to perceived usefulness are nuanced. Financial knowledge and financial attitude exhibit positive and significant paths to perceived usefulness, which is consistent with the view that understanding financial concepts and holding constructive financial evaluations help individuals recognize the productivity value of an automated advisory tool (Jung et al., 2018; van </w:t>
      </w:r>
      <w:proofErr w:type="spellStart"/>
      <w:r>
        <w:rPr>
          <w:rFonts w:ascii="Times New Roman" w:eastAsia="Times New Roman" w:hAnsi="Times New Roman" w:cs="Times New Roman"/>
          <w:sz w:val="24"/>
          <w:szCs w:val="24"/>
        </w:rPr>
        <w:t>Rooij</w:t>
      </w:r>
      <w:proofErr w:type="spellEnd"/>
      <w:r>
        <w:rPr>
          <w:rFonts w:ascii="Times New Roman" w:eastAsia="Times New Roman" w:hAnsi="Times New Roman" w:cs="Times New Roman"/>
          <w:sz w:val="24"/>
          <w:szCs w:val="24"/>
        </w:rPr>
        <w:t xml:space="preserve"> et al., 2011). In contrast, financial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displays a significant negative association with perceived usefulness, which leads to rejection of the corresponding hypothesis because the sign contradicts the theorized direction. A plausible reading is that individuals who already practice disciplined </w:t>
      </w:r>
      <w:proofErr w:type="spellStart"/>
      <w:r>
        <w:rPr>
          <w:rFonts w:ascii="Times New Roman" w:eastAsia="Times New Roman" w:hAnsi="Times New Roman" w:cs="Times New Roman"/>
          <w:sz w:val="24"/>
          <w:szCs w:val="24"/>
        </w:rPr>
        <w:t>behaviors</w:t>
      </w:r>
      <w:proofErr w:type="spellEnd"/>
      <w:r>
        <w:rPr>
          <w:rFonts w:ascii="Times New Roman" w:eastAsia="Times New Roman" w:hAnsi="Times New Roman" w:cs="Times New Roman"/>
          <w:sz w:val="24"/>
          <w:szCs w:val="24"/>
        </w:rPr>
        <w:t xml:space="preserve"> such as budgeting and routine monitoring perceive a smaller incremental benefit from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 xml:space="preserve"> advisors, or they evaluate the automation as offering limited marginal utility over their current self-directed routines. </w:t>
      </w:r>
    </w:p>
    <w:p w14:paraId="0E5E85B9" w14:textId="77777777" w:rsidR="007373F6" w:rsidRDefault="00000000" w:rsidP="00746567">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Direct paths from three financial literacy dimensions to </w:t>
      </w: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intention do not receive support, even though two of them are statistically significant. Financial knowledge and financial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show significant negative coefficients to intention, and financial attitude is small and not significant. These patterns indicate sign inconsistency relative to the hypothesized positive effects and therefore the hypotheses are rejected on theoretical grounds. The combination of a strong perceived usefulness to intention link together with negative or negligible direct effects suggests a competitive or inconsistent mediation structure. More knowledgeable and </w:t>
      </w:r>
      <w:proofErr w:type="spellStart"/>
      <w:r>
        <w:rPr>
          <w:rFonts w:ascii="Times New Roman" w:eastAsia="Times New Roman" w:hAnsi="Times New Roman" w:cs="Times New Roman"/>
          <w:sz w:val="24"/>
          <w:szCs w:val="24"/>
        </w:rPr>
        <w:t>behaviorally</w:t>
      </w:r>
      <w:proofErr w:type="spellEnd"/>
      <w:r>
        <w:rPr>
          <w:rFonts w:ascii="Times New Roman" w:eastAsia="Times New Roman" w:hAnsi="Times New Roman" w:cs="Times New Roman"/>
          <w:sz w:val="24"/>
          <w:szCs w:val="24"/>
        </w:rPr>
        <w:t xml:space="preserve"> prudent individuals may become more critical and risk aware during a crisis, which can depress their stated intention once perceived usefulness is held constant. Put differently, after accounting for usefulness beliefs, the residual influence of knowledge and disciplined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may tilt toward caution, </w:t>
      </w:r>
      <w:proofErr w:type="spellStart"/>
      <w:r>
        <w:rPr>
          <w:rFonts w:ascii="Times New Roman" w:eastAsia="Times New Roman" w:hAnsi="Times New Roman" w:cs="Times New Roman"/>
          <w:sz w:val="24"/>
          <w:szCs w:val="24"/>
        </w:rPr>
        <w:t>skepticism</w:t>
      </w:r>
      <w:proofErr w:type="spellEnd"/>
      <w:r>
        <w:rPr>
          <w:rFonts w:ascii="Times New Roman" w:eastAsia="Times New Roman" w:hAnsi="Times New Roman" w:cs="Times New Roman"/>
          <w:sz w:val="24"/>
          <w:szCs w:val="24"/>
        </w:rPr>
        <w:t xml:space="preserve"> about algorithmic performance in volatile markets, or a preference for retaining control, all of which reduce the direct intention to adopt.</w:t>
      </w:r>
    </w:p>
    <w:p w14:paraId="5B3CC506" w14:textId="77777777" w:rsidR="007373F6" w:rsidRDefault="00000000" w:rsidP="00746567">
      <w:pPr>
        <w:spacing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mediating role of perceived usefulness is confirmed by the significant specific indirect effect from financial literacy to intention through perceived usefulness. The bias corrected interval is entirely above zero, which establishes the presence of mediation in line with the theoretical logic of the TAM (Belanche et al., 2019; Davis, 1989). Substantively, the aggregate positive indirect effect implies that the </w:t>
      </w:r>
      <w:proofErr w:type="spellStart"/>
      <w:r>
        <w:rPr>
          <w:rFonts w:ascii="Times New Roman" w:eastAsia="Times New Roman" w:hAnsi="Times New Roman" w:cs="Times New Roman"/>
          <w:sz w:val="24"/>
          <w:szCs w:val="24"/>
        </w:rPr>
        <w:t>favorable</w:t>
      </w:r>
      <w:proofErr w:type="spellEnd"/>
      <w:r>
        <w:rPr>
          <w:rFonts w:ascii="Times New Roman" w:eastAsia="Times New Roman" w:hAnsi="Times New Roman" w:cs="Times New Roman"/>
          <w:sz w:val="24"/>
          <w:szCs w:val="24"/>
        </w:rPr>
        <w:t xml:space="preserve"> contributions of financial knowledge and financial attitude to usefulness outweigh the small adverse contribution of financial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to usefulness, producing a net positive route from literacy to intention via usefulness. This is precisely the mechanism the model seeks to capture during a crisis context, where adoption decisions hinge less on background traits per se and more on the extent to which the technology is judged to add value under stress.</w:t>
      </w:r>
    </w:p>
    <w:p w14:paraId="455F6792" w14:textId="77777777" w:rsidR="007373F6" w:rsidRDefault="00000000">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3.2 Theoretical Implications</w:t>
      </w:r>
    </w:p>
    <w:p w14:paraId="7815378F" w14:textId="77777777" w:rsidR="007373F6" w:rsidRDefault="00000000" w:rsidP="00746567">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study contributes to the literature in several ways. First, it extends the application of TAM to the specific context of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 xml:space="preserve">-advisor adoption during economic crises, demonstrating its continued relevance in explaining financial technology adoption </w:t>
      </w:r>
      <w:proofErr w:type="spellStart"/>
      <w:r>
        <w:rPr>
          <w:rFonts w:ascii="Times New Roman" w:eastAsia="Times New Roman" w:hAnsi="Times New Roman" w:cs="Times New Roman"/>
          <w:sz w:val="24"/>
          <w:szCs w:val="24"/>
        </w:rPr>
        <w:t>behaviors</w:t>
      </w:r>
      <w:proofErr w:type="spellEnd"/>
      <w:r>
        <w:rPr>
          <w:rFonts w:ascii="Times New Roman" w:eastAsia="Times New Roman" w:hAnsi="Times New Roman" w:cs="Times New Roman"/>
          <w:sz w:val="24"/>
          <w:szCs w:val="24"/>
        </w:rPr>
        <w:t xml:space="preserve">. Second, by examining the multidimensional nature of financial literacy, this study provides a more nuanced understanding of how different aspects of financial literacy influence technology adoption decisions. The finding that financial knowledge and financial attitude are the most </w:t>
      </w:r>
      <w:r>
        <w:rPr>
          <w:rFonts w:ascii="Times New Roman" w:eastAsia="Times New Roman" w:hAnsi="Times New Roman" w:cs="Times New Roman"/>
          <w:sz w:val="24"/>
          <w:szCs w:val="24"/>
        </w:rPr>
        <w:lastRenderedPageBreak/>
        <w:t>significant predictors among the three dimensions contributes to the ongoing discussion about which aspects of financial literacy are most important in different contexts.</w:t>
      </w:r>
    </w:p>
    <w:p w14:paraId="61015BE3" w14:textId="77777777" w:rsidR="007373F6" w:rsidRDefault="00000000" w:rsidP="00746567">
      <w:pPr>
        <w:spacing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Third, this research responds to calls by Hentzen et al. (2022) and others to investigate the relationship between financial literacy and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 xml:space="preserve">-advisor adoption, filling an important gap in the literature. The findings provide empirical evidence that can serve as a foundation for future research in this area. Fourth, by focusing on adoption </w:t>
      </w:r>
      <w:proofErr w:type="spellStart"/>
      <w:r>
        <w:rPr>
          <w:rFonts w:ascii="Times New Roman" w:eastAsia="Times New Roman" w:hAnsi="Times New Roman" w:cs="Times New Roman"/>
          <w:sz w:val="24"/>
          <w:szCs w:val="24"/>
        </w:rPr>
        <w:t>behaviors</w:t>
      </w:r>
      <w:proofErr w:type="spellEnd"/>
      <w:r>
        <w:rPr>
          <w:rFonts w:ascii="Times New Roman" w:eastAsia="Times New Roman" w:hAnsi="Times New Roman" w:cs="Times New Roman"/>
          <w:sz w:val="24"/>
          <w:szCs w:val="24"/>
        </w:rPr>
        <w:t xml:space="preserve"> during economic crises, this study contributes to our understanding of how economic uncertainties might influence technology adoption decisions in the financial domain.</w:t>
      </w:r>
    </w:p>
    <w:p w14:paraId="0C2F05E2" w14:textId="77777777" w:rsidR="007373F6" w:rsidRDefault="00000000">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3.3 Practical Implications</w:t>
      </w:r>
    </w:p>
    <w:p w14:paraId="03017098" w14:textId="77777777" w:rsidR="007373F6" w:rsidRDefault="00000000" w:rsidP="00746567">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 xml:space="preserve">-advisory practitioners and service providers, the findings highlight the importance of positioning perceived usefulness at the </w:t>
      </w:r>
      <w:proofErr w:type="spellStart"/>
      <w:r>
        <w:rPr>
          <w:rFonts w:ascii="Times New Roman" w:eastAsia="Times New Roman" w:hAnsi="Times New Roman" w:cs="Times New Roman"/>
          <w:sz w:val="24"/>
          <w:szCs w:val="24"/>
        </w:rPr>
        <w:t>center</w:t>
      </w:r>
      <w:proofErr w:type="spellEnd"/>
      <w:r>
        <w:rPr>
          <w:rFonts w:ascii="Times New Roman" w:eastAsia="Times New Roman" w:hAnsi="Times New Roman" w:cs="Times New Roman"/>
          <w:sz w:val="24"/>
          <w:szCs w:val="24"/>
        </w:rPr>
        <w:t xml:space="preserve"> of their strategies. Providers should take deliberate steps to showcase the tangible value of their services through case studies, real-time demonstrations, and interactive simulations that reveal how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-advisors perform in volatile markets. For this segment, platforms need to offer customizable investment features, transparent explanations of algorithmic processes, and advanced options that align with their existing financial routines. Enhancing user experience through intuitive dashboards, scenario planning tools, and guided tutorials will further bridge the gap between financial literacy and technology adoption.</w:t>
      </w:r>
    </w:p>
    <w:p w14:paraId="69492140" w14:textId="77777777" w:rsidR="007373F6" w:rsidRDefault="00000000" w:rsidP="00746567">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policymakers and regulators, the results underline the need to integrate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 xml:space="preserve">-advisory awareness into broader financial literacy campaigns. Instead of focusing only on general financial knowledge, such programs should emphasize how individuals can apply their skills through technology to manage risk and enhance financial decision-making during crises. Policymakers should also develop clear regulatory frameworks that strengthen consumer protection, ensure transparency, and guarantee data security in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 xml:space="preserve">-advisory services. Such safeguards will reduce perceived risks and foster greater confidence among potential users. In addition, collaborative efforts between the public sector and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-advisory providers should be encouraged to deliver accessible education programs, demonstration platforms, and outreach initiatives targeted at younger investors and households affected by financial uncertainty.</w:t>
      </w:r>
    </w:p>
    <w:p w14:paraId="358D90A2" w14:textId="77777777" w:rsidR="007373F6" w:rsidRDefault="00000000" w:rsidP="00746567">
      <w:pPr>
        <w:spacing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financial educators and institutions, the findings suggest that literacy initiatives should be directly connected to technology adoption. Training programs need to go beyond theoretical concepts and incorporate applied learning activities that demonstrate how financial knowledge,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and attitudes can be operationalized through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 xml:space="preserve">-advisors. Simulations, practice sessions, and hands-on use of demo platforms will help learners experience the usefulness of these technologies in real decision-making contexts. Educators should also address </w:t>
      </w:r>
      <w:proofErr w:type="spellStart"/>
      <w:r>
        <w:rPr>
          <w:rFonts w:ascii="Times New Roman" w:eastAsia="Times New Roman" w:hAnsi="Times New Roman" w:cs="Times New Roman"/>
          <w:sz w:val="24"/>
          <w:szCs w:val="24"/>
        </w:rPr>
        <w:t>skepticism</w:t>
      </w:r>
      <w:proofErr w:type="spellEnd"/>
      <w:r>
        <w:rPr>
          <w:rFonts w:ascii="Times New Roman" w:eastAsia="Times New Roman" w:hAnsi="Times New Roman" w:cs="Times New Roman"/>
          <w:sz w:val="24"/>
          <w:szCs w:val="24"/>
        </w:rPr>
        <w:t xml:space="preserve"> by presenting both the strengths and limitations of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-advisors, equipping students and professionals with the ability to critically evaluate automated advice while remaining open to its potential benefits.</w:t>
      </w:r>
    </w:p>
    <w:p w14:paraId="12F2756A" w14:textId="77777777" w:rsidR="007373F6" w:rsidRDefault="00000000">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4. CONCLUSION</w:t>
      </w:r>
    </w:p>
    <w:p w14:paraId="7A8F1FD2" w14:textId="77777777" w:rsidR="007373F6" w:rsidRDefault="00000000" w:rsidP="00746567">
      <w:pPr>
        <w:spacing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conclusion, this study demonstrates that perceived usefulness is the pivotal determinant of </w:t>
      </w: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intention to adopt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 xml:space="preserve">-advisors during a economic crisis, consistent with the central tenets of the TAM. While financial knowledge and financial attitude positively shape perceptions of usefulness, financial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exerts an unexpected negative effect, and none of the financial literacy dimensions directly enhance intention. Instead, their influence operates indirectly through perceived usefulness, underscoring its role as a critical mediator. The model explains a moderate proportion of the variance in </w:t>
      </w: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intention but only a weak proportion in perceived usefulness, suggesting that additional antecedents such as trust, perceived risk, or transparency should be incorporated in future research. These findings highlight both the promise and the limitations of the current framework, while reinforcing the </w:t>
      </w:r>
      <w:r>
        <w:rPr>
          <w:rFonts w:ascii="Times New Roman" w:eastAsia="Times New Roman" w:hAnsi="Times New Roman" w:cs="Times New Roman"/>
          <w:sz w:val="24"/>
          <w:szCs w:val="24"/>
        </w:rPr>
        <w:lastRenderedPageBreak/>
        <w:t xml:space="preserve">need for strategies that enhance the perceived value of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-advisors to strengthen adoption during times of financial uncertainty.</w:t>
      </w:r>
    </w:p>
    <w:p w14:paraId="5FC4C3F5" w14:textId="77777777" w:rsidR="007373F6" w:rsidRDefault="007373F6">
      <w:pPr>
        <w:spacing w:line="240" w:lineRule="auto"/>
        <w:jc w:val="both"/>
        <w:rPr>
          <w:rFonts w:ascii="Times New Roman" w:eastAsia="Times New Roman" w:hAnsi="Times New Roman" w:cs="Times New Roman"/>
          <w:b/>
          <w:sz w:val="24"/>
          <w:szCs w:val="24"/>
        </w:rPr>
      </w:pPr>
    </w:p>
    <w:p w14:paraId="1A9E73D6" w14:textId="77777777" w:rsidR="007373F6" w:rsidRDefault="00000000">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REFERENCES</w:t>
      </w:r>
    </w:p>
    <w:p w14:paraId="4BCE8673" w14:textId="77777777" w:rsidR="007373F6" w:rsidRDefault="00000000" w:rsidP="00746567">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Aggarwal, N. (2021). The norms of algorithmic credit scoring. </w:t>
      </w:r>
      <w:r>
        <w:rPr>
          <w:rFonts w:ascii="Times New Roman" w:eastAsia="Times New Roman" w:hAnsi="Times New Roman" w:cs="Times New Roman"/>
          <w:i/>
          <w:sz w:val="24"/>
          <w:szCs w:val="24"/>
        </w:rPr>
        <w:t>Cambridge Law Journal, 80</w:t>
      </w:r>
      <w:r>
        <w:rPr>
          <w:rFonts w:ascii="Times New Roman" w:eastAsia="Times New Roman" w:hAnsi="Times New Roman" w:cs="Times New Roman"/>
          <w:sz w:val="24"/>
          <w:szCs w:val="24"/>
        </w:rPr>
        <w:t>(1), 42-73.</w:t>
      </w:r>
    </w:p>
    <w:p w14:paraId="4D08BBF9" w14:textId="77777777" w:rsidR="007373F6" w:rsidRDefault="00000000" w:rsidP="00746567">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Belanche, D., </w:t>
      </w:r>
      <w:proofErr w:type="spellStart"/>
      <w:r>
        <w:rPr>
          <w:rFonts w:ascii="Times New Roman" w:eastAsia="Times New Roman" w:hAnsi="Times New Roman" w:cs="Times New Roman"/>
          <w:sz w:val="24"/>
          <w:szCs w:val="24"/>
        </w:rPr>
        <w:t>Casaló</w:t>
      </w:r>
      <w:proofErr w:type="spellEnd"/>
      <w:r>
        <w:rPr>
          <w:rFonts w:ascii="Times New Roman" w:eastAsia="Times New Roman" w:hAnsi="Times New Roman" w:cs="Times New Roman"/>
          <w:sz w:val="24"/>
          <w:szCs w:val="24"/>
        </w:rPr>
        <w:t xml:space="preserve">, L. V., &amp; Flavián, C. (2019). Artificial intelligence in FinTech: Understanding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 xml:space="preserve">-advisors adoption among customers. </w:t>
      </w:r>
      <w:r>
        <w:rPr>
          <w:rFonts w:ascii="Times New Roman" w:eastAsia="Times New Roman" w:hAnsi="Times New Roman" w:cs="Times New Roman"/>
          <w:i/>
          <w:sz w:val="24"/>
          <w:szCs w:val="24"/>
        </w:rPr>
        <w:t>Industrial Management &amp; Data Systems, 119</w:t>
      </w:r>
      <w:r>
        <w:rPr>
          <w:rFonts w:ascii="Times New Roman" w:eastAsia="Times New Roman" w:hAnsi="Times New Roman" w:cs="Times New Roman"/>
          <w:sz w:val="24"/>
          <w:szCs w:val="24"/>
        </w:rPr>
        <w:t>(7), 1411-1430.</w:t>
      </w:r>
    </w:p>
    <w:p w14:paraId="63202342" w14:textId="77777777" w:rsidR="007373F6" w:rsidRDefault="00000000" w:rsidP="00746567">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Bhatia, A., Chandani, A., &amp; </w:t>
      </w:r>
      <w:proofErr w:type="spellStart"/>
      <w:r>
        <w:rPr>
          <w:rFonts w:ascii="Times New Roman" w:eastAsia="Times New Roman" w:hAnsi="Times New Roman" w:cs="Times New Roman"/>
          <w:sz w:val="24"/>
          <w:szCs w:val="24"/>
        </w:rPr>
        <w:t>Chhateja</w:t>
      </w:r>
      <w:proofErr w:type="spellEnd"/>
      <w:r>
        <w:rPr>
          <w:rFonts w:ascii="Times New Roman" w:eastAsia="Times New Roman" w:hAnsi="Times New Roman" w:cs="Times New Roman"/>
          <w:sz w:val="24"/>
          <w:szCs w:val="24"/>
        </w:rPr>
        <w:t xml:space="preserve">, J. (2021). Robo-advisory and its potential in addressing the </w:t>
      </w: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biases of investors—A qualitative study in Indian context. </w:t>
      </w:r>
      <w:r>
        <w:rPr>
          <w:rFonts w:ascii="Times New Roman" w:eastAsia="Times New Roman" w:hAnsi="Times New Roman" w:cs="Times New Roman"/>
          <w:i/>
          <w:sz w:val="24"/>
          <w:szCs w:val="24"/>
        </w:rPr>
        <w:t xml:space="preserve">Journal of </w:t>
      </w:r>
      <w:proofErr w:type="spellStart"/>
      <w:r>
        <w:rPr>
          <w:rFonts w:ascii="Times New Roman" w:eastAsia="Times New Roman" w:hAnsi="Times New Roman" w:cs="Times New Roman"/>
          <w:i/>
          <w:sz w:val="24"/>
          <w:szCs w:val="24"/>
        </w:rPr>
        <w:t>Behavioral</w:t>
      </w:r>
      <w:proofErr w:type="spellEnd"/>
      <w:r>
        <w:rPr>
          <w:rFonts w:ascii="Times New Roman" w:eastAsia="Times New Roman" w:hAnsi="Times New Roman" w:cs="Times New Roman"/>
          <w:i/>
          <w:sz w:val="24"/>
          <w:szCs w:val="24"/>
        </w:rPr>
        <w:t xml:space="preserve"> and Experimental Finance, 30</w:t>
      </w:r>
      <w:r>
        <w:rPr>
          <w:rFonts w:ascii="Times New Roman" w:eastAsia="Times New Roman" w:hAnsi="Times New Roman" w:cs="Times New Roman"/>
          <w:sz w:val="24"/>
          <w:szCs w:val="24"/>
        </w:rPr>
        <w:t>, 100466.</w:t>
      </w:r>
    </w:p>
    <w:p w14:paraId="62F59914" w14:textId="77777777" w:rsidR="007373F6" w:rsidRDefault="00000000" w:rsidP="00746567">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Boustani, N.M. (2020). Artificial intelligence impact on banks clients and employees in an Asian developing country. </w:t>
      </w:r>
      <w:r>
        <w:rPr>
          <w:rFonts w:ascii="Times New Roman" w:eastAsia="Times New Roman" w:hAnsi="Times New Roman" w:cs="Times New Roman"/>
          <w:i/>
          <w:sz w:val="24"/>
          <w:szCs w:val="24"/>
        </w:rPr>
        <w:t>Journal of Asia Business Studies, 16</w:t>
      </w:r>
      <w:r>
        <w:rPr>
          <w:rFonts w:ascii="Times New Roman" w:eastAsia="Times New Roman" w:hAnsi="Times New Roman" w:cs="Times New Roman"/>
          <w:sz w:val="24"/>
          <w:szCs w:val="24"/>
        </w:rPr>
        <w:t>(2), 267-278.</w:t>
      </w:r>
    </w:p>
    <w:p w14:paraId="02FE8902" w14:textId="77777777" w:rsidR="007373F6" w:rsidRDefault="00000000" w:rsidP="00746567">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Caron, M.S. (2019). The transformative effect of AI on the banking industry. </w:t>
      </w:r>
      <w:r>
        <w:rPr>
          <w:rFonts w:ascii="Times New Roman" w:eastAsia="Times New Roman" w:hAnsi="Times New Roman" w:cs="Times New Roman"/>
          <w:i/>
          <w:sz w:val="24"/>
          <w:szCs w:val="24"/>
        </w:rPr>
        <w:t>Banking and Finance Law Review, 34</w:t>
      </w:r>
      <w:r>
        <w:rPr>
          <w:rFonts w:ascii="Times New Roman" w:eastAsia="Times New Roman" w:hAnsi="Times New Roman" w:cs="Times New Roman"/>
          <w:sz w:val="24"/>
          <w:szCs w:val="24"/>
        </w:rPr>
        <w:t>(2), 169-214.</w:t>
      </w:r>
    </w:p>
    <w:p w14:paraId="79DAC50D" w14:textId="77777777" w:rsidR="007373F6" w:rsidRDefault="00000000" w:rsidP="00746567">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Cheng, Y. M. (2020). Understanding cloud ERP continuance intention and individual performance: A TTF-driven perspective. </w:t>
      </w:r>
      <w:r>
        <w:rPr>
          <w:rFonts w:ascii="Times New Roman" w:eastAsia="Times New Roman" w:hAnsi="Times New Roman" w:cs="Times New Roman"/>
          <w:i/>
          <w:sz w:val="24"/>
          <w:szCs w:val="24"/>
        </w:rPr>
        <w:t>Benchmarking: An International Journal, 27</w:t>
      </w:r>
      <w:r>
        <w:rPr>
          <w:rFonts w:ascii="Times New Roman" w:eastAsia="Times New Roman" w:hAnsi="Times New Roman" w:cs="Times New Roman"/>
          <w:sz w:val="24"/>
          <w:szCs w:val="24"/>
        </w:rPr>
        <w:t>(4), 1591-1614.</w:t>
      </w:r>
    </w:p>
    <w:p w14:paraId="58C66DD3" w14:textId="77777777" w:rsidR="007373F6" w:rsidRDefault="00000000" w:rsidP="00746567">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Cheng, X., Guo, F., Chen, J., Li, K., Zhang, Y., &amp; Gao, P. (2019). Exploring the trust influencing mechanism of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 xml:space="preserve">-advisor service: a mixed method approach. </w:t>
      </w:r>
      <w:r>
        <w:rPr>
          <w:rFonts w:ascii="Times New Roman" w:eastAsia="Times New Roman" w:hAnsi="Times New Roman" w:cs="Times New Roman"/>
          <w:i/>
          <w:sz w:val="24"/>
          <w:szCs w:val="24"/>
        </w:rPr>
        <w:t>Sustainability, 11</w:t>
      </w:r>
      <w:r>
        <w:rPr>
          <w:rFonts w:ascii="Times New Roman" w:eastAsia="Times New Roman" w:hAnsi="Times New Roman" w:cs="Times New Roman"/>
          <w:sz w:val="24"/>
          <w:szCs w:val="24"/>
        </w:rPr>
        <w:t>(18), 4917.</w:t>
      </w:r>
    </w:p>
    <w:p w14:paraId="4F7009FF" w14:textId="77777777" w:rsidR="007373F6" w:rsidRDefault="00000000" w:rsidP="00746567">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Davis, F. D. (1989). Perceived usefulness, perceived ease of use, and user acceptance of information technology. </w:t>
      </w:r>
      <w:r>
        <w:rPr>
          <w:rFonts w:ascii="Times New Roman" w:eastAsia="Times New Roman" w:hAnsi="Times New Roman" w:cs="Times New Roman"/>
          <w:i/>
          <w:sz w:val="24"/>
          <w:szCs w:val="24"/>
        </w:rPr>
        <w:t>MIS Quarterly, 13</w:t>
      </w:r>
      <w:r>
        <w:rPr>
          <w:rFonts w:ascii="Times New Roman" w:eastAsia="Times New Roman" w:hAnsi="Times New Roman" w:cs="Times New Roman"/>
          <w:sz w:val="24"/>
          <w:szCs w:val="24"/>
        </w:rPr>
        <w:t>(3), 319-340.</w:t>
      </w:r>
    </w:p>
    <w:p w14:paraId="183C6D61" w14:textId="77777777" w:rsidR="007373F6" w:rsidRDefault="00000000" w:rsidP="00746567">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Flavián, C., Pérez-Rueda, A., Belanche, D., &amp; </w:t>
      </w:r>
      <w:proofErr w:type="spellStart"/>
      <w:r>
        <w:rPr>
          <w:rFonts w:ascii="Times New Roman" w:eastAsia="Times New Roman" w:hAnsi="Times New Roman" w:cs="Times New Roman"/>
          <w:sz w:val="24"/>
          <w:szCs w:val="24"/>
        </w:rPr>
        <w:t>Casaló</w:t>
      </w:r>
      <w:proofErr w:type="spellEnd"/>
      <w:r>
        <w:rPr>
          <w:rFonts w:ascii="Times New Roman" w:eastAsia="Times New Roman" w:hAnsi="Times New Roman" w:cs="Times New Roman"/>
          <w:sz w:val="24"/>
          <w:szCs w:val="24"/>
        </w:rPr>
        <w:t xml:space="preserve">, L. V. (2021). Intention to use analytical artificial intelligence (AI) in services–the effect of technology readiness and awareness. </w:t>
      </w:r>
      <w:r>
        <w:rPr>
          <w:rFonts w:ascii="Times New Roman" w:eastAsia="Times New Roman" w:hAnsi="Times New Roman" w:cs="Times New Roman"/>
          <w:i/>
          <w:sz w:val="24"/>
          <w:szCs w:val="24"/>
        </w:rPr>
        <w:t>Journal of Service Management, 33</w:t>
      </w:r>
      <w:r>
        <w:rPr>
          <w:rFonts w:ascii="Times New Roman" w:eastAsia="Times New Roman" w:hAnsi="Times New Roman" w:cs="Times New Roman"/>
          <w:sz w:val="24"/>
          <w:szCs w:val="24"/>
        </w:rPr>
        <w:t>(20), 293-320.</w:t>
      </w:r>
    </w:p>
    <w:p w14:paraId="613CF1BC" w14:textId="77777777" w:rsidR="007373F6" w:rsidRDefault="00000000" w:rsidP="00746567">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Hentzen, J. K., Hoffmann, A., Dolan, R., &amp; Pala, E. (2022). Artificial intelligence in customer- facing financial services: a systematic literature review and agenda for future research. </w:t>
      </w:r>
      <w:r>
        <w:rPr>
          <w:rFonts w:ascii="Times New Roman" w:eastAsia="Times New Roman" w:hAnsi="Times New Roman" w:cs="Times New Roman"/>
          <w:i/>
          <w:sz w:val="24"/>
          <w:szCs w:val="24"/>
        </w:rPr>
        <w:t>International Journal of Bank Marketing, 40</w:t>
      </w:r>
      <w:r>
        <w:rPr>
          <w:rFonts w:ascii="Times New Roman" w:eastAsia="Times New Roman" w:hAnsi="Times New Roman" w:cs="Times New Roman"/>
          <w:sz w:val="24"/>
          <w:szCs w:val="24"/>
        </w:rPr>
        <w:t>(6), 1299-1336.</w:t>
      </w:r>
    </w:p>
    <w:p w14:paraId="7A12AEC8" w14:textId="77777777" w:rsidR="007373F6" w:rsidRDefault="00000000" w:rsidP="00746567">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Jung, D., Dorner, V., Weinhardt, C., &amp; </w:t>
      </w:r>
      <w:proofErr w:type="spellStart"/>
      <w:r>
        <w:rPr>
          <w:rFonts w:ascii="Times New Roman" w:eastAsia="Times New Roman" w:hAnsi="Times New Roman" w:cs="Times New Roman"/>
          <w:sz w:val="24"/>
          <w:szCs w:val="24"/>
        </w:rPr>
        <w:t>Pusmaz</w:t>
      </w:r>
      <w:proofErr w:type="spellEnd"/>
      <w:r>
        <w:rPr>
          <w:rFonts w:ascii="Times New Roman" w:eastAsia="Times New Roman" w:hAnsi="Times New Roman" w:cs="Times New Roman"/>
          <w:sz w:val="24"/>
          <w:szCs w:val="24"/>
        </w:rPr>
        <w:t xml:space="preserve">, H. (2018). Designing a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 xml:space="preserve">-advisor for risk-averse, low-budget consumers. </w:t>
      </w:r>
      <w:r>
        <w:rPr>
          <w:rFonts w:ascii="Times New Roman" w:eastAsia="Times New Roman" w:hAnsi="Times New Roman" w:cs="Times New Roman"/>
          <w:i/>
          <w:sz w:val="24"/>
          <w:szCs w:val="24"/>
        </w:rPr>
        <w:t>Electronic Markets, 28</w:t>
      </w:r>
      <w:r>
        <w:rPr>
          <w:rFonts w:ascii="Times New Roman" w:eastAsia="Times New Roman" w:hAnsi="Times New Roman" w:cs="Times New Roman"/>
          <w:sz w:val="24"/>
          <w:szCs w:val="24"/>
        </w:rPr>
        <w:t>(3), 367-380.</w:t>
      </w:r>
    </w:p>
    <w:p w14:paraId="39C827AB" w14:textId="77777777" w:rsidR="007373F6" w:rsidRDefault="00000000" w:rsidP="00746567">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Mhlanga, D. (2021). Financial inclusion in emerging economies: the application of machine learning and artificial intelligence in credit risk assessment. </w:t>
      </w:r>
      <w:r>
        <w:rPr>
          <w:rFonts w:ascii="Times New Roman" w:eastAsia="Times New Roman" w:hAnsi="Times New Roman" w:cs="Times New Roman"/>
          <w:i/>
          <w:sz w:val="24"/>
          <w:szCs w:val="24"/>
        </w:rPr>
        <w:t>International Journal of Financial Studies, 9</w:t>
      </w:r>
      <w:r>
        <w:rPr>
          <w:rFonts w:ascii="Times New Roman" w:eastAsia="Times New Roman" w:hAnsi="Times New Roman" w:cs="Times New Roman"/>
          <w:sz w:val="24"/>
          <w:szCs w:val="24"/>
        </w:rPr>
        <w:t>(3), 1-16.</w:t>
      </w:r>
    </w:p>
    <w:p w14:paraId="4EA68C15" w14:textId="77777777" w:rsidR="007373F6" w:rsidRDefault="00000000" w:rsidP="00746567">
      <w:pPr>
        <w:spacing w:after="0" w:line="240" w:lineRule="auto"/>
        <w:ind w:left="720" w:hanging="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Mogaji</w:t>
      </w:r>
      <w:proofErr w:type="spellEnd"/>
      <w:r>
        <w:rPr>
          <w:rFonts w:ascii="Times New Roman" w:eastAsia="Times New Roman" w:hAnsi="Times New Roman" w:cs="Times New Roman"/>
          <w:sz w:val="24"/>
          <w:szCs w:val="24"/>
        </w:rPr>
        <w:t xml:space="preserve">, E., </w:t>
      </w:r>
      <w:proofErr w:type="spellStart"/>
      <w:r>
        <w:rPr>
          <w:rFonts w:ascii="Times New Roman" w:eastAsia="Times New Roman" w:hAnsi="Times New Roman" w:cs="Times New Roman"/>
          <w:sz w:val="24"/>
          <w:szCs w:val="24"/>
        </w:rPr>
        <w:t>Soetan</w:t>
      </w:r>
      <w:proofErr w:type="spellEnd"/>
      <w:r>
        <w:rPr>
          <w:rFonts w:ascii="Times New Roman" w:eastAsia="Times New Roman" w:hAnsi="Times New Roman" w:cs="Times New Roman"/>
          <w:sz w:val="24"/>
          <w:szCs w:val="24"/>
        </w:rPr>
        <w:t xml:space="preserve">, T. O., &amp; Kieu, T. A. (2021). The implications of artificial intelligence on the digital marketing of financial services to vulnerable customers. </w:t>
      </w:r>
      <w:r>
        <w:rPr>
          <w:rFonts w:ascii="Times New Roman" w:eastAsia="Times New Roman" w:hAnsi="Times New Roman" w:cs="Times New Roman"/>
          <w:i/>
          <w:sz w:val="24"/>
          <w:szCs w:val="24"/>
        </w:rPr>
        <w:t>Australasian Marketing Journal, 29</w:t>
      </w:r>
      <w:r>
        <w:rPr>
          <w:rFonts w:ascii="Times New Roman" w:eastAsia="Times New Roman" w:hAnsi="Times New Roman" w:cs="Times New Roman"/>
          <w:sz w:val="24"/>
          <w:szCs w:val="24"/>
        </w:rPr>
        <w:t>(3), 235-242.</w:t>
      </w:r>
    </w:p>
    <w:p w14:paraId="6658EDF9" w14:textId="77777777" w:rsidR="007373F6" w:rsidRDefault="00000000" w:rsidP="00746567">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Saunders, M., Lewis, P., &amp; Thornhill, A. (2019). </w:t>
      </w:r>
      <w:r>
        <w:rPr>
          <w:rFonts w:ascii="Times New Roman" w:eastAsia="Times New Roman" w:hAnsi="Times New Roman" w:cs="Times New Roman"/>
          <w:i/>
          <w:sz w:val="24"/>
          <w:szCs w:val="24"/>
        </w:rPr>
        <w:t>Research methods for business students</w:t>
      </w:r>
      <w:r>
        <w:rPr>
          <w:rFonts w:ascii="Times New Roman" w:eastAsia="Times New Roman" w:hAnsi="Times New Roman" w:cs="Times New Roman"/>
          <w:sz w:val="24"/>
          <w:szCs w:val="24"/>
        </w:rPr>
        <w:t xml:space="preserve"> (8th ed.). Pearson.</w:t>
      </w:r>
    </w:p>
    <w:p w14:paraId="7CAE5C52" w14:textId="77777777" w:rsidR="007373F6" w:rsidRDefault="00000000" w:rsidP="00746567">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van </w:t>
      </w:r>
      <w:proofErr w:type="spellStart"/>
      <w:r>
        <w:rPr>
          <w:rFonts w:ascii="Times New Roman" w:eastAsia="Times New Roman" w:hAnsi="Times New Roman" w:cs="Times New Roman"/>
          <w:sz w:val="24"/>
          <w:szCs w:val="24"/>
        </w:rPr>
        <w:t>Rooij</w:t>
      </w:r>
      <w:proofErr w:type="spellEnd"/>
      <w:r>
        <w:rPr>
          <w:rFonts w:ascii="Times New Roman" w:eastAsia="Times New Roman" w:hAnsi="Times New Roman" w:cs="Times New Roman"/>
          <w:sz w:val="24"/>
          <w:szCs w:val="24"/>
        </w:rPr>
        <w:t xml:space="preserve">, M., Lusardi, A., &amp; </w:t>
      </w:r>
      <w:proofErr w:type="spellStart"/>
      <w:r>
        <w:rPr>
          <w:rFonts w:ascii="Times New Roman" w:eastAsia="Times New Roman" w:hAnsi="Times New Roman" w:cs="Times New Roman"/>
          <w:sz w:val="24"/>
          <w:szCs w:val="24"/>
        </w:rPr>
        <w:t>Alessie</w:t>
      </w:r>
      <w:proofErr w:type="spellEnd"/>
      <w:r>
        <w:rPr>
          <w:rFonts w:ascii="Times New Roman" w:eastAsia="Times New Roman" w:hAnsi="Times New Roman" w:cs="Times New Roman"/>
          <w:sz w:val="24"/>
          <w:szCs w:val="24"/>
        </w:rPr>
        <w:t xml:space="preserve">, R. (2011). Financial literacy and stock market participation. </w:t>
      </w:r>
      <w:r>
        <w:rPr>
          <w:rFonts w:ascii="Times New Roman" w:eastAsia="Times New Roman" w:hAnsi="Times New Roman" w:cs="Times New Roman"/>
          <w:i/>
          <w:sz w:val="24"/>
          <w:szCs w:val="24"/>
        </w:rPr>
        <w:t>Journal of Financial Economics, 101</w:t>
      </w:r>
      <w:r>
        <w:rPr>
          <w:rFonts w:ascii="Times New Roman" w:eastAsia="Times New Roman" w:hAnsi="Times New Roman" w:cs="Times New Roman"/>
          <w:sz w:val="24"/>
          <w:szCs w:val="24"/>
        </w:rPr>
        <w:t>(2), 449-472.</w:t>
      </w:r>
    </w:p>
    <w:p w14:paraId="4818A116" w14:textId="77777777" w:rsidR="007373F6" w:rsidRDefault="00000000" w:rsidP="00746567">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Zhang, L., </w:t>
      </w:r>
      <w:proofErr w:type="spellStart"/>
      <w:r>
        <w:rPr>
          <w:rFonts w:ascii="Times New Roman" w:eastAsia="Times New Roman" w:hAnsi="Times New Roman" w:cs="Times New Roman"/>
          <w:sz w:val="24"/>
          <w:szCs w:val="24"/>
        </w:rPr>
        <w:t>Pentina</w:t>
      </w:r>
      <w:proofErr w:type="spellEnd"/>
      <w:r>
        <w:rPr>
          <w:rFonts w:ascii="Times New Roman" w:eastAsia="Times New Roman" w:hAnsi="Times New Roman" w:cs="Times New Roman"/>
          <w:sz w:val="24"/>
          <w:szCs w:val="24"/>
        </w:rPr>
        <w:t xml:space="preserve">, I., &amp; Fan, Y. (2021). Who do you choose? Comparing perceptions of human vs </w:t>
      </w:r>
      <w:proofErr w:type="spellStart"/>
      <w:r>
        <w:rPr>
          <w:rFonts w:ascii="Times New Roman" w:eastAsia="Times New Roman" w:hAnsi="Times New Roman" w:cs="Times New Roman"/>
          <w:sz w:val="24"/>
          <w:szCs w:val="24"/>
        </w:rPr>
        <w:t>robo</w:t>
      </w:r>
      <w:proofErr w:type="spellEnd"/>
      <w:r>
        <w:rPr>
          <w:rFonts w:ascii="Times New Roman" w:eastAsia="Times New Roman" w:hAnsi="Times New Roman" w:cs="Times New Roman"/>
          <w:sz w:val="24"/>
          <w:szCs w:val="24"/>
        </w:rPr>
        <w:t xml:space="preserve">-advisor in the context of financial services. </w:t>
      </w:r>
      <w:r>
        <w:rPr>
          <w:rFonts w:ascii="Times New Roman" w:eastAsia="Times New Roman" w:hAnsi="Times New Roman" w:cs="Times New Roman"/>
          <w:i/>
          <w:sz w:val="24"/>
          <w:szCs w:val="24"/>
        </w:rPr>
        <w:t>Journal of Services Marketing, 35</w:t>
      </w:r>
      <w:r>
        <w:rPr>
          <w:rFonts w:ascii="Times New Roman" w:eastAsia="Times New Roman" w:hAnsi="Times New Roman" w:cs="Times New Roman"/>
          <w:sz w:val="24"/>
          <w:szCs w:val="24"/>
        </w:rPr>
        <w:t>(5), 634-646.</w:t>
      </w:r>
    </w:p>
    <w:p w14:paraId="65743B66" w14:textId="77777777" w:rsidR="007373F6" w:rsidRDefault="00000000">
      <w:pPr>
        <w:pStyle w:val="Heading1"/>
      </w:pPr>
      <w:bookmarkStart w:id="53" w:name="_Toc211808140"/>
      <w:r>
        <w:lastRenderedPageBreak/>
        <w:t>Paper ID 10</w:t>
      </w:r>
      <w:bookmarkEnd w:id="53"/>
    </w:p>
    <w:p w14:paraId="3717A081" w14:textId="77777777" w:rsidR="007373F6" w:rsidRDefault="00000000" w:rsidP="00D01771">
      <w:pPr>
        <w:pStyle w:val="Heading2"/>
      </w:pPr>
      <w:bookmarkStart w:id="54" w:name="_Toc211808141"/>
      <w:r>
        <w:t>ASSESSING CEO DUALITY: EFFECTS ON FIRM PROFITABILITY AND MANAGEMENT DYNAMICS OF THE LISTED MANUFACTURING COMPANIES OF THE ISTANBUL STOCK EXCHANGE</w:t>
      </w:r>
      <w:bookmarkEnd w:id="54"/>
    </w:p>
    <w:p w14:paraId="207556A6" w14:textId="77777777" w:rsidR="007373F6" w:rsidRPr="00F1138D" w:rsidRDefault="00000000">
      <w:pPr>
        <w:shd w:val="clear" w:color="auto" w:fill="FFFFFF"/>
        <w:jc w:val="center"/>
        <w:rPr>
          <w:rFonts w:ascii="Times New Roman" w:eastAsia="Times New Roman" w:hAnsi="Times New Roman" w:cs="Times New Roman"/>
          <w:sz w:val="24"/>
          <w:szCs w:val="24"/>
        </w:rPr>
      </w:pPr>
      <w:r w:rsidRPr="00F1138D">
        <w:rPr>
          <w:rFonts w:ascii="Times New Roman" w:eastAsia="Times New Roman" w:hAnsi="Times New Roman" w:cs="Times New Roman"/>
          <w:b/>
          <w:sz w:val="24"/>
          <w:szCs w:val="24"/>
        </w:rPr>
        <w:t>Dilek Şahin Yomralıoğlu*</w:t>
      </w:r>
      <w:r w:rsidRPr="00F1138D">
        <w:rPr>
          <w:rFonts w:ascii="Times New Roman" w:eastAsia="Times New Roman" w:hAnsi="Times New Roman" w:cs="Times New Roman"/>
          <w:sz w:val="24"/>
          <w:szCs w:val="24"/>
        </w:rPr>
        <w:t xml:space="preserve">, Business Administration, Istanbul </w:t>
      </w:r>
      <w:proofErr w:type="spellStart"/>
      <w:r w:rsidRPr="00F1138D">
        <w:rPr>
          <w:rFonts w:ascii="Times New Roman" w:eastAsia="Times New Roman" w:hAnsi="Times New Roman" w:cs="Times New Roman"/>
          <w:sz w:val="24"/>
          <w:szCs w:val="24"/>
        </w:rPr>
        <w:t>Medipol</w:t>
      </w:r>
      <w:proofErr w:type="spellEnd"/>
      <w:r w:rsidRPr="00F1138D">
        <w:rPr>
          <w:rFonts w:ascii="Times New Roman" w:eastAsia="Times New Roman" w:hAnsi="Times New Roman" w:cs="Times New Roman"/>
          <w:sz w:val="24"/>
          <w:szCs w:val="24"/>
        </w:rPr>
        <w:t xml:space="preserve"> University, Istanbul, Turkey (</w:t>
      </w:r>
      <w:hyperlink r:id="rId80">
        <w:r w:rsidR="007373F6" w:rsidRPr="00F1138D">
          <w:rPr>
            <w:rFonts w:ascii="Times New Roman" w:eastAsia="Times New Roman" w:hAnsi="Times New Roman" w:cs="Times New Roman"/>
          </w:rPr>
          <w:t>dilek.yomralioglu@medipol.edu.tr</w:t>
        </w:r>
      </w:hyperlink>
      <w:r w:rsidRPr="00F1138D">
        <w:rPr>
          <w:rFonts w:ascii="Times New Roman" w:eastAsia="Times New Roman" w:hAnsi="Times New Roman" w:cs="Times New Roman"/>
          <w:sz w:val="24"/>
          <w:szCs w:val="24"/>
        </w:rPr>
        <w:t>)</w:t>
      </w:r>
    </w:p>
    <w:p w14:paraId="5089D35A" w14:textId="77777777" w:rsidR="007373F6" w:rsidRDefault="007373F6">
      <w:pPr>
        <w:jc w:val="center"/>
      </w:pPr>
    </w:p>
    <w:p w14:paraId="527E149D" w14:textId="77777777" w:rsidR="007373F6"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ABSTRACT</w:t>
      </w:r>
    </w:p>
    <w:p w14:paraId="49E99A9C" w14:textId="77777777" w:rsidR="007373F6" w:rsidRDefault="00000000">
      <w:pPr>
        <w:pBdr>
          <w:top w:val="nil"/>
          <w:left w:val="nil"/>
          <w:bottom w:val="nil"/>
          <w:right w:val="nil"/>
          <w:between w:val="nil"/>
        </w:pBdr>
        <w:spacing w:before="280" w:after="24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CEO duality, which refers to the practice of one person holding both the positions of Chief Executive Officer (CEO) and chair of the board, has been a topic of academic research for over two decades. The aim of the research is to reveal whether CEO duality has an impact on firm profitability and how it reflects firm management processing by considering “Agency Theory” and “Stewardship Theory”. The data of the research is 201 listed manufacturing companies from the Istanbul Stock Exchange. Both quantitative and qualitative analysis are performed. In quantitative analysis the effect of CEO duality on firm profitability and stock value change is examined by logistic regression analysis. The result shows that there is no significant statistical impact of CEO duality on profitability ratios which are gross profit and ROE (Return on Equity) for the year 2024 and on yearly stock value change of the firms. In the qualitative part of the research semi-structured interviews are performed by choosing 9 purposive firm executives from the research sample. The executives agree that CEO duality is a beneficial structure in situations where fast decision making and easy strategy implementation are needed, but it carries risks of preventing board independence, transparency, objective auditing and managerial reporting processes. It is concluded that risks and benefits of CEO duality vary based on the firm size, firm culture, board size, CEO’s background and leadership style and the economic conditions of the country. The longevity of management experience of the CEO besides production experience, is the key issue for a beneficial CEO duality structure. Additionally, it is pointed out that the listed firms are usually not the young ones and the firms are expected to have experienced CEOs and long-standing market and management experience which neutralize the negative effect of CEO duality. </w:t>
      </w:r>
    </w:p>
    <w:p w14:paraId="21DD28C4" w14:textId="19E7CDEC" w:rsidR="007373F6"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Keywords:</w:t>
      </w:r>
      <w:r>
        <w:rPr>
          <w:rFonts w:ascii="Times New Roman" w:eastAsia="Times New Roman" w:hAnsi="Times New Roman" w:cs="Times New Roman"/>
          <w:i/>
          <w:sz w:val="24"/>
          <w:szCs w:val="24"/>
        </w:rPr>
        <w:t xml:space="preserve"> Firm Management, CEO </w:t>
      </w:r>
      <w:r w:rsidR="00F1138D">
        <w:rPr>
          <w:rFonts w:ascii="Times New Roman" w:eastAsia="Times New Roman" w:hAnsi="Times New Roman" w:cs="Times New Roman"/>
          <w:i/>
          <w:sz w:val="24"/>
          <w:szCs w:val="24"/>
        </w:rPr>
        <w:t xml:space="preserve">Duality, </w:t>
      </w:r>
      <w:r>
        <w:rPr>
          <w:rFonts w:ascii="Times New Roman" w:eastAsia="Times New Roman" w:hAnsi="Times New Roman" w:cs="Times New Roman"/>
          <w:i/>
          <w:sz w:val="24"/>
          <w:szCs w:val="24"/>
        </w:rPr>
        <w:t>Istanbul Stock Exchange</w:t>
      </w:r>
      <w:r w:rsidR="00F1138D">
        <w:rPr>
          <w:rFonts w:ascii="Times New Roman" w:eastAsia="Times New Roman" w:hAnsi="Times New Roman" w:cs="Times New Roman"/>
          <w:i/>
          <w:sz w:val="24"/>
          <w:szCs w:val="24"/>
        </w:rPr>
        <w:t>, Profitability, Sustainable Business, Firm Performance.</w:t>
      </w:r>
    </w:p>
    <w:p w14:paraId="3C71B5BB" w14:textId="2CC864D7" w:rsidR="007373F6" w:rsidRDefault="00000000">
      <w:pPr>
        <w:spacing w:after="200"/>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1</w:t>
      </w:r>
      <w:r w:rsidR="00F1138D">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 xml:space="preserve">  </w:t>
      </w:r>
      <w:r>
        <w:rPr>
          <w:rFonts w:ascii="Times New Roman" w:eastAsia="Times New Roman" w:hAnsi="Times New Roman" w:cs="Times New Roman"/>
          <w:b/>
          <w:color w:val="000000"/>
          <w:sz w:val="24"/>
          <w:szCs w:val="24"/>
        </w:rPr>
        <w:t>INTRODUCTION</w:t>
      </w:r>
    </w:p>
    <w:p w14:paraId="71558832" w14:textId="77777777" w:rsidR="007373F6" w:rsidRDefault="00000000" w:rsidP="00F1138D">
      <w:pPr>
        <w:spacing w:line="240" w:lineRule="auto"/>
        <w:ind w:firstLine="42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creation of international institutions, trade agreements, and environmental issues has led to greater interconnectedness and cooperation among countries. Corporate management explores how organizations make decisions and the mechanisms that oversee and regulate those decisions. Modern governance structures have developed through a long history of experiences, trials, and adjustments over time. Essential elements of corporate governance include transparency, accountability, and stakeholder participation. There are many management theories, each emphasizing different aspects and approaches to organizing and managing power and decision-making frameworks within a society (Gonzalez et.al., 2024). Both academics and practitioners are examining how specific management mechanisms affect firm-level outcomes such as profitability, growth, and risk management. The distinction between the roles of Chairman or Board member and CEO has long been seen as a vital element of governance. Advocates of this separation argue that it enhances board independence, improves oversight, </w:t>
      </w:r>
      <w:r>
        <w:rPr>
          <w:rFonts w:ascii="Times New Roman" w:eastAsia="Times New Roman" w:hAnsi="Times New Roman" w:cs="Times New Roman"/>
          <w:color w:val="000000"/>
          <w:sz w:val="24"/>
          <w:szCs w:val="24"/>
        </w:rPr>
        <w:lastRenderedPageBreak/>
        <w:t>and reduces potential conflicts of interest, which can lead to better management reporting and auditing for strategic decision-making. A separate Chair is thought to provide a counterbalance to executive power, thereby strengthening the board’s monitoring role. Conversely, supporters of CEO duality claim that combining both roles fosters more cohesive leadership, accelerates decision-making in crises, and facilitates more effective communication across the organization. In fast-paced or crisis-prone industries, unified leadership is believed to improve responsiveness and reduce uncertainty in strategic execution (Siddique et.al., 2025). Many studies are performed related to the impact of CEO duality on firm performance and management processes in literature. Majority of the studies are performed by quantitative analysis and present different results based on the data sample. The purpose of this study is to reveal a holistic result about the impact of CEO duality on firm profitability, stock value change and its reflection on management mechanisms. The data sample is 201 manufacturing firms listed in the Istanbul Stock Exchange. Both quantitative and qualitative analysis are conducted to measure not only the impact of CEO duality on firm profitability but also getting empirical results on how it affects management processes like auditing, reporting, decision making, etc.</w:t>
      </w:r>
    </w:p>
    <w:p w14:paraId="7956C804" w14:textId="78AC4B5F" w:rsidR="007373F6" w:rsidRDefault="00F1138D" w:rsidP="00477706">
      <w:pP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1.1 Theoretical Background</w:t>
      </w:r>
    </w:p>
    <w:p w14:paraId="11444A5A" w14:textId="77777777" w:rsidR="007373F6" w:rsidRDefault="00000000" w:rsidP="00F1138D">
      <w:pPr>
        <w:spacing w:line="240" w:lineRule="auto"/>
        <w:ind w:firstLine="426"/>
        <w:jc w:val="both"/>
        <w:rPr>
          <w:color w:val="000000"/>
          <w:sz w:val="24"/>
          <w:szCs w:val="24"/>
        </w:rPr>
      </w:pPr>
      <w:r>
        <w:rPr>
          <w:rFonts w:ascii="Times New Roman" w:eastAsia="Times New Roman" w:hAnsi="Times New Roman" w:cs="Times New Roman"/>
          <w:color w:val="000000"/>
          <w:sz w:val="24"/>
          <w:szCs w:val="24"/>
        </w:rPr>
        <w:t>There are two theories conflicting each other about the role of the firm principals. Agency theory examines the potential conflicts that can occur when agents have different objectives and risk preferences than the principals, leading agents to behave in ways that may not align with the interests of the principals (</w:t>
      </w:r>
      <w:proofErr w:type="spellStart"/>
      <w:r>
        <w:rPr>
          <w:rFonts w:ascii="Times New Roman" w:eastAsia="Times New Roman" w:hAnsi="Times New Roman" w:cs="Times New Roman"/>
          <w:color w:val="000000"/>
          <w:sz w:val="24"/>
          <w:szCs w:val="24"/>
        </w:rPr>
        <w:t>Chefor</w:t>
      </w:r>
      <w:proofErr w:type="spellEnd"/>
      <w:r>
        <w:rPr>
          <w:rFonts w:ascii="Times New Roman" w:eastAsia="Times New Roman" w:hAnsi="Times New Roman" w:cs="Times New Roman"/>
          <w:color w:val="000000"/>
          <w:sz w:val="24"/>
          <w:szCs w:val="24"/>
        </w:rPr>
        <w:t xml:space="preserve"> et.al., 2025). It is described as the ability of an organization to produce positive returns that enhance the wealth of its owners. This definition emphasizes the vital role and responsibility of managers in maximizing the owners' wealth. As a result, profitability serves as the main indicator that assures owners, particularly shareholders, that their wealth is being efficiently maximized by the organization's management (Matan et.al., 2024). Managers can distort profits by providing misleading financial statements to stakeholders. This earnings manipulation is frequently done to affect the outcomes of contracts that depend on the figures reported in the accounting statements (</w:t>
      </w:r>
      <w:proofErr w:type="spellStart"/>
      <w:r>
        <w:rPr>
          <w:rFonts w:ascii="Times New Roman" w:eastAsia="Times New Roman" w:hAnsi="Times New Roman" w:cs="Times New Roman"/>
          <w:color w:val="000000"/>
          <w:sz w:val="24"/>
          <w:szCs w:val="24"/>
        </w:rPr>
        <w:t>Andayani</w:t>
      </w:r>
      <w:proofErr w:type="spellEnd"/>
      <w:r>
        <w:rPr>
          <w:rFonts w:ascii="Times New Roman" w:eastAsia="Times New Roman" w:hAnsi="Times New Roman" w:cs="Times New Roman"/>
          <w:color w:val="000000"/>
          <w:sz w:val="24"/>
          <w:szCs w:val="24"/>
        </w:rPr>
        <w:t xml:space="preserve"> et.al., 2018). On the contrary, accountability is a core principle in stewardship theory. Stewardship theory asserts that employees prioritize collective </w:t>
      </w:r>
      <w:proofErr w:type="spellStart"/>
      <w:r>
        <w:rPr>
          <w:rFonts w:ascii="Times New Roman" w:eastAsia="Times New Roman" w:hAnsi="Times New Roman" w:cs="Times New Roman"/>
          <w:color w:val="000000"/>
          <w:sz w:val="24"/>
          <w:szCs w:val="24"/>
        </w:rPr>
        <w:t>behaviors</w:t>
      </w:r>
      <w:proofErr w:type="spellEnd"/>
      <w:r>
        <w:rPr>
          <w:rFonts w:ascii="Times New Roman" w:eastAsia="Times New Roman" w:hAnsi="Times New Roman" w:cs="Times New Roman"/>
          <w:color w:val="000000"/>
          <w:sz w:val="24"/>
          <w:szCs w:val="24"/>
        </w:rPr>
        <w:t xml:space="preserve"> focused on the organization over self-interest, viewing the organization's success as a shared achievement and motivation, even in the absence of financial rewards or personal benefits. Agency theory posits that there is a conflict between the principal and the agent, while stewardship theory contends that such conflict is not inevitable. Stewards are driven by factors such as trust, mutual benefit, independence, accountability, job satisfaction, stability, and alignment with the organization’s mission </w:t>
      </w:r>
      <w:r>
        <w:rPr>
          <w:color w:val="000000"/>
          <w:sz w:val="24"/>
          <w:szCs w:val="24"/>
        </w:rPr>
        <w:t>(</w:t>
      </w:r>
      <w:proofErr w:type="spellStart"/>
      <w:r>
        <w:rPr>
          <w:color w:val="000000"/>
          <w:sz w:val="24"/>
          <w:szCs w:val="24"/>
        </w:rPr>
        <w:t>Kluvers</w:t>
      </w:r>
      <w:proofErr w:type="spellEnd"/>
      <w:r>
        <w:rPr>
          <w:color w:val="000000"/>
          <w:sz w:val="24"/>
          <w:szCs w:val="24"/>
        </w:rPr>
        <w:t xml:space="preserve"> and Tippett, 2011). </w:t>
      </w:r>
    </w:p>
    <w:p w14:paraId="25E42733" w14:textId="77777777" w:rsidR="00F1138D" w:rsidRDefault="00F1138D" w:rsidP="00F1138D">
      <w:pPr>
        <w:spacing w:line="240" w:lineRule="auto"/>
        <w:ind w:firstLine="426"/>
        <w:jc w:val="both"/>
        <w:rPr>
          <w:rFonts w:ascii="Times New Roman" w:eastAsia="Times New Roman" w:hAnsi="Times New Roman" w:cs="Times New Roman"/>
          <w:b/>
          <w:color w:val="000000"/>
          <w:sz w:val="24"/>
          <w:szCs w:val="24"/>
        </w:rPr>
      </w:pPr>
    </w:p>
    <w:p w14:paraId="407A0E85" w14:textId="1A189801" w:rsidR="00F1138D" w:rsidRDefault="00000000" w:rsidP="00F1138D">
      <w:pP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2</w:t>
      </w:r>
      <w:r w:rsidR="00F1138D">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 xml:space="preserve">  </w:t>
      </w:r>
      <w:r>
        <w:rPr>
          <w:rFonts w:ascii="Times New Roman" w:eastAsia="Times New Roman" w:hAnsi="Times New Roman" w:cs="Times New Roman"/>
          <w:b/>
          <w:color w:val="000000"/>
          <w:sz w:val="24"/>
          <w:szCs w:val="24"/>
        </w:rPr>
        <w:t>METHODOLOGY</w:t>
      </w:r>
    </w:p>
    <w:p w14:paraId="606FC5A6" w14:textId="77777777" w:rsidR="00F1138D" w:rsidRDefault="00F1138D" w:rsidP="00F1138D">
      <w:pPr>
        <w:spacing w:after="0" w:line="240" w:lineRule="auto"/>
        <w:jc w:val="center"/>
        <w:rPr>
          <w:rFonts w:ascii="Times New Roman" w:eastAsia="Times New Roman" w:hAnsi="Times New Roman" w:cs="Times New Roman"/>
          <w:b/>
          <w:color w:val="000000"/>
          <w:sz w:val="24"/>
          <w:szCs w:val="24"/>
        </w:rPr>
      </w:pPr>
    </w:p>
    <w:p w14:paraId="0527FCF9" w14:textId="77777777" w:rsidR="007373F6" w:rsidRDefault="00000000" w:rsidP="00F1138D">
      <w:pPr>
        <w:spacing w:line="240" w:lineRule="auto"/>
        <w:ind w:firstLine="42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purpose of the study is to reveal a holistic result about the impact of CEO duality on profitability, stock value change and management processes. This study differentiates from the previous studies by considering gross profit as profitability ratio besides ROE and yearly stock value change of the firms for 2024. Previous studies mostly concentrate ROE and ROA as profitability ratios and firm value rather than stock value change. Additionally, two different methodologies are applied by considering Agency and Stewardship theories. It aims to reveal the impact of CEO duality on firm profitability and stock value change. Additionally, how it affects management processing by presenting real-time experiences by semi-structured interviews.  The quantitative methodology is performed on 201 listed manufacturing firms in Istanbul Stock Exchange. The research hypothesis is mentioned below;</w:t>
      </w:r>
    </w:p>
    <w:p w14:paraId="6A20854A" w14:textId="77777777" w:rsidR="007373F6" w:rsidRDefault="00000000" w:rsidP="00F1138D">
      <w:pPr>
        <w:spacing w:line="240" w:lineRule="auto"/>
        <w:ind w:firstLine="426"/>
        <w:jc w:val="both"/>
        <w:rPr>
          <w:rFonts w:ascii="Times New Roman" w:eastAsia="Times New Roman" w:hAnsi="Times New Roman" w:cs="Times New Roman"/>
          <w:color w:val="000000"/>
          <w:sz w:val="24"/>
          <w:szCs w:val="24"/>
        </w:rPr>
      </w:pPr>
      <w:r w:rsidRPr="00F1138D">
        <w:rPr>
          <w:rFonts w:ascii="Times New Roman" w:eastAsia="Times New Roman" w:hAnsi="Times New Roman" w:cs="Times New Roman"/>
          <w:b/>
          <w:bCs/>
          <w:color w:val="000000"/>
          <w:sz w:val="24"/>
          <w:szCs w:val="24"/>
        </w:rPr>
        <w:lastRenderedPageBreak/>
        <w:t>H</w:t>
      </w:r>
      <w:r w:rsidRPr="00F1138D">
        <w:rPr>
          <w:rFonts w:ascii="Times New Roman" w:eastAsia="Times New Roman" w:hAnsi="Times New Roman" w:cs="Times New Roman"/>
          <w:b/>
          <w:bCs/>
          <w:color w:val="000000"/>
          <w:sz w:val="24"/>
          <w:szCs w:val="24"/>
          <w:vertAlign w:val="subscript"/>
        </w:rPr>
        <w:t>1</w:t>
      </w:r>
      <w:r>
        <w:rPr>
          <w:rFonts w:ascii="Times New Roman" w:eastAsia="Times New Roman" w:hAnsi="Times New Roman" w:cs="Times New Roman"/>
          <w:color w:val="000000"/>
          <w:sz w:val="24"/>
          <w:szCs w:val="24"/>
        </w:rPr>
        <w:t>: CEO duality has an impact on firm profitability. Profitability ratios are chosen as gross profit margin and return on equity (ROE).</w:t>
      </w:r>
    </w:p>
    <w:p w14:paraId="7CA667DB" w14:textId="77777777" w:rsidR="007373F6" w:rsidRDefault="00000000" w:rsidP="00F1138D">
      <w:pPr>
        <w:spacing w:line="240" w:lineRule="auto"/>
        <w:ind w:firstLine="426"/>
        <w:jc w:val="both"/>
        <w:rPr>
          <w:rFonts w:ascii="Times New Roman" w:eastAsia="Times New Roman" w:hAnsi="Times New Roman" w:cs="Times New Roman"/>
          <w:color w:val="000000"/>
          <w:sz w:val="24"/>
          <w:szCs w:val="24"/>
        </w:rPr>
      </w:pPr>
      <w:r w:rsidRPr="00F1138D">
        <w:rPr>
          <w:rFonts w:ascii="Times New Roman" w:eastAsia="Times New Roman" w:hAnsi="Times New Roman" w:cs="Times New Roman"/>
          <w:b/>
          <w:bCs/>
          <w:color w:val="000000"/>
          <w:sz w:val="24"/>
          <w:szCs w:val="24"/>
        </w:rPr>
        <w:t>H</w:t>
      </w:r>
      <w:r w:rsidRPr="00F1138D">
        <w:rPr>
          <w:rFonts w:ascii="Times New Roman" w:eastAsia="Times New Roman" w:hAnsi="Times New Roman" w:cs="Times New Roman"/>
          <w:b/>
          <w:bCs/>
          <w:color w:val="000000"/>
          <w:sz w:val="24"/>
          <w:szCs w:val="24"/>
          <w:vertAlign w:val="subscript"/>
        </w:rPr>
        <w:t>2</w:t>
      </w:r>
      <w:r>
        <w:rPr>
          <w:rFonts w:ascii="Times New Roman" w:eastAsia="Times New Roman" w:hAnsi="Times New Roman" w:cs="Times New Roman"/>
          <w:color w:val="000000"/>
          <w:sz w:val="24"/>
          <w:szCs w:val="24"/>
          <w:vertAlign w:val="subscript"/>
        </w:rPr>
        <w:t xml:space="preserve">: </w:t>
      </w:r>
      <w:r>
        <w:rPr>
          <w:rFonts w:ascii="Times New Roman" w:eastAsia="Times New Roman" w:hAnsi="Times New Roman" w:cs="Times New Roman"/>
          <w:color w:val="000000"/>
          <w:sz w:val="24"/>
          <w:szCs w:val="24"/>
        </w:rPr>
        <w:t>CEO duality has an impact on the value change of stock shares.</w:t>
      </w:r>
    </w:p>
    <w:p w14:paraId="7512BBD8" w14:textId="77777777" w:rsidR="00F1138D" w:rsidRDefault="00F1138D">
      <w:pPr>
        <w:spacing w:line="240" w:lineRule="auto"/>
        <w:jc w:val="both"/>
        <w:rPr>
          <w:rFonts w:ascii="Times New Roman" w:eastAsia="Times New Roman" w:hAnsi="Times New Roman" w:cs="Times New Roman"/>
          <w:color w:val="000000"/>
          <w:sz w:val="24"/>
          <w:szCs w:val="24"/>
        </w:rPr>
      </w:pPr>
    </w:p>
    <w:p w14:paraId="16EB460E" w14:textId="44F48EAF" w:rsidR="007373F6" w:rsidRDefault="00000000">
      <w:pP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research model can be seen in Figure 1.</w:t>
      </w:r>
    </w:p>
    <w:p w14:paraId="5EDFA61D" w14:textId="77777777" w:rsidR="00F1138D" w:rsidRDefault="00F1138D">
      <w:pPr>
        <w:spacing w:line="240" w:lineRule="auto"/>
        <w:jc w:val="both"/>
        <w:rPr>
          <w:rFonts w:ascii="Times New Roman" w:eastAsia="Times New Roman" w:hAnsi="Times New Roman" w:cs="Times New Roman"/>
          <w:color w:val="000000"/>
          <w:sz w:val="24"/>
          <w:szCs w:val="24"/>
        </w:rPr>
      </w:pPr>
    </w:p>
    <w:p w14:paraId="5AEB468D" w14:textId="77777777" w:rsidR="007373F6" w:rsidRDefault="00000000" w:rsidP="00F1138D">
      <w:pPr>
        <w:spacing w:line="240" w:lineRule="auto"/>
        <w:jc w:val="center"/>
        <w:rPr>
          <w:rFonts w:ascii="Times New Roman" w:eastAsia="Times New Roman" w:hAnsi="Times New Roman" w:cs="Times New Roman"/>
          <w:color w:val="000000"/>
          <w:sz w:val="24"/>
          <w:szCs w:val="24"/>
        </w:rPr>
      </w:pPr>
      <w:r w:rsidRPr="00F1138D">
        <w:rPr>
          <w:rFonts w:ascii="Times New Roman" w:eastAsia="Times New Roman" w:hAnsi="Times New Roman" w:cs="Times New Roman"/>
          <w:b/>
          <w:bCs/>
          <w:color w:val="000000"/>
          <w:sz w:val="24"/>
          <w:szCs w:val="24"/>
        </w:rPr>
        <w:t>Figure 1</w:t>
      </w:r>
      <w:r>
        <w:rPr>
          <w:rFonts w:ascii="Times New Roman" w:eastAsia="Times New Roman" w:hAnsi="Times New Roman" w:cs="Times New Roman"/>
          <w:color w:val="000000"/>
          <w:sz w:val="24"/>
          <w:szCs w:val="24"/>
        </w:rPr>
        <w:t>. Research model on the impact of CEO duality over profitability and stock share value</w:t>
      </w:r>
    </w:p>
    <w:p w14:paraId="0EFE634C" w14:textId="77777777" w:rsidR="007373F6" w:rsidRDefault="00000000">
      <w:pPr>
        <w:jc w:val="both"/>
        <w:rPr>
          <w:rFonts w:ascii="Times New Roman" w:eastAsia="Times New Roman" w:hAnsi="Times New Roman" w:cs="Times New Roman"/>
          <w:color w:val="000000"/>
          <w:sz w:val="24"/>
          <w:szCs w:val="24"/>
        </w:rPr>
      </w:pPr>
      <w:r>
        <w:rPr>
          <w:noProof/>
        </w:rPr>
        <mc:AlternateContent>
          <mc:Choice Requires="wps">
            <w:drawing>
              <wp:anchor distT="0" distB="0" distL="114300" distR="114300" simplePos="0" relativeHeight="251659264" behindDoc="0" locked="0" layoutInCell="1" hidden="0" allowOverlap="1" wp14:anchorId="68E8C61A" wp14:editId="257388B8">
                <wp:simplePos x="0" y="0"/>
                <wp:positionH relativeFrom="column">
                  <wp:posOffset>2428134</wp:posOffset>
                </wp:positionH>
                <wp:positionV relativeFrom="paragraph">
                  <wp:posOffset>10795</wp:posOffset>
                </wp:positionV>
                <wp:extent cx="817562" cy="688975"/>
                <wp:effectExtent l="0" t="0" r="0" b="0"/>
                <wp:wrapNone/>
                <wp:docPr id="1931061967" name="Rectangle 1931061967"/>
                <wp:cNvGraphicFramePr/>
                <a:graphic xmlns:a="http://schemas.openxmlformats.org/drawingml/2006/main">
                  <a:graphicData uri="http://schemas.microsoft.com/office/word/2010/wordprocessingShape">
                    <wps:wsp>
                      <wps:cNvSpPr/>
                      <wps:spPr>
                        <a:xfrm>
                          <a:off x="0" y="0"/>
                          <a:ext cx="817562" cy="688975"/>
                        </a:xfrm>
                        <a:prstGeom prst="rect">
                          <a:avLst/>
                        </a:prstGeom>
                        <a:solidFill>
                          <a:srgbClr val="FFFFFF"/>
                        </a:solidFill>
                        <a:ln w="12700" cap="flat" cmpd="sng">
                          <a:solidFill>
                            <a:srgbClr val="4EA72E"/>
                          </a:solidFill>
                          <a:prstDash val="solid"/>
                          <a:miter lim="800000"/>
                          <a:headEnd type="none" w="sm" len="sm"/>
                          <a:tailEnd type="none" w="sm" len="sm"/>
                        </a:ln>
                      </wps:spPr>
                      <wps:txbx>
                        <w:txbxContent>
                          <w:p w14:paraId="497EEC71" w14:textId="77777777" w:rsidR="007373F6" w:rsidRPr="00CA3E0F" w:rsidRDefault="00000000">
                            <w:pPr>
                              <w:spacing w:line="258" w:lineRule="auto"/>
                              <w:jc w:val="center"/>
                              <w:textDirection w:val="btLr"/>
                            </w:pPr>
                            <w:r w:rsidRPr="00CA3E0F">
                              <w:rPr>
                                <w:b/>
                                <w:color w:val="000000"/>
                              </w:rPr>
                              <w:t>CEO</w:t>
                            </w:r>
                          </w:p>
                          <w:p w14:paraId="25418903" w14:textId="77777777" w:rsidR="007373F6" w:rsidRPr="00CA3E0F" w:rsidRDefault="00000000">
                            <w:pPr>
                              <w:spacing w:line="258" w:lineRule="auto"/>
                              <w:jc w:val="center"/>
                              <w:textDirection w:val="btLr"/>
                            </w:pPr>
                            <w:r w:rsidRPr="00CA3E0F">
                              <w:rPr>
                                <w:b/>
                                <w:color w:val="000000"/>
                              </w:rPr>
                              <w:t>DUALITY</w:t>
                            </w:r>
                          </w:p>
                          <w:p w14:paraId="5E320963" w14:textId="77777777" w:rsidR="007373F6" w:rsidRPr="00CA3E0F" w:rsidRDefault="007373F6">
                            <w:pPr>
                              <w:spacing w:line="258" w:lineRule="auto"/>
                              <w:jc w:val="center"/>
                              <w:textDirection w:val="btLr"/>
                            </w:pPr>
                          </w:p>
                        </w:txbxContent>
                      </wps:txbx>
                      <wps:bodyPr spcFirstLastPara="1" wrap="square" lIns="91425" tIns="45700" rIns="91425" bIns="45700" anchor="ctr" anchorCtr="0">
                        <a:noAutofit/>
                      </wps:bodyPr>
                    </wps:wsp>
                  </a:graphicData>
                </a:graphic>
              </wp:anchor>
            </w:drawing>
          </mc:Choice>
          <mc:Fallback>
            <w:pict>
              <v:rect w14:anchorId="68E8C61A" id="Rectangle 1931061967" o:spid="_x0000_s1045" style="position:absolute;left:0;text-align:left;margin-left:191.2pt;margin-top:.85pt;width:64.35pt;height:54.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" strokecolor="#4ea72e" strokeweight="1pt">
                <v:stroke startarrowwidth="narrow" startarrowlength="short" endarrowwidth="narrow" endarrowlength="short"/>
                <v:textbox inset="2.53958mm,1.2694mm,2.53958mm,1.2694mm">
                  <w:txbxContent>
                    <w:p w14:paraId="497EEC71" w14:textId="77777777" w:rsidR="007373F6" w:rsidRPr="00CA3E0F" w:rsidRDefault="00000000">
                      <w:pPr>
                        <w:spacing w:line="258" w:lineRule="auto"/>
                        <w:jc w:val="center"/>
                        <w:textDirection w:val="btLr"/>
                      </w:pPr>
                      <w:r w:rsidRPr="00CA3E0F">
                        <w:rPr>
                          <w:b/>
                          <w:color w:val="000000"/>
                        </w:rPr>
                        <w:t>CEO</w:t>
                      </w:r>
                    </w:p>
                    <w:p w14:paraId="25418903" w14:textId="77777777" w:rsidR="007373F6" w:rsidRPr="00CA3E0F" w:rsidRDefault="00000000">
                      <w:pPr>
                        <w:spacing w:line="258" w:lineRule="auto"/>
                        <w:jc w:val="center"/>
                        <w:textDirection w:val="btLr"/>
                      </w:pPr>
                      <w:r w:rsidRPr="00CA3E0F">
                        <w:rPr>
                          <w:b/>
                          <w:color w:val="000000"/>
                        </w:rPr>
                        <w:t>DUALITY</w:t>
                      </w:r>
                    </w:p>
                    <w:p w14:paraId="5E320963" w14:textId="77777777" w:rsidR="007373F6" w:rsidRPr="00CA3E0F" w:rsidRDefault="007373F6">
                      <w:pPr>
                        <w:spacing w:line="258" w:lineRule="auto"/>
                        <w:jc w:val="center"/>
                        <w:textDirection w:val="btLr"/>
                      </w:pPr>
                    </w:p>
                  </w:txbxContent>
                </v:textbox>
              </v:rect>
            </w:pict>
          </mc:Fallback>
        </mc:AlternateContent>
      </w:r>
    </w:p>
    <w:p w14:paraId="50340671" w14:textId="086B8900" w:rsidR="007373F6" w:rsidRDefault="00F1138D">
      <w:pPr>
        <w:jc w:val="both"/>
        <w:rPr>
          <w:rFonts w:ascii="Times New Roman" w:eastAsia="Times New Roman" w:hAnsi="Times New Roman" w:cs="Times New Roman"/>
          <w:color w:val="000000"/>
          <w:sz w:val="24"/>
          <w:szCs w:val="24"/>
        </w:rPr>
      </w:pPr>
      <w:r>
        <w:rPr>
          <w:noProof/>
        </w:rPr>
        <mc:AlternateContent>
          <mc:Choice Requires="wps">
            <w:drawing>
              <wp:anchor distT="0" distB="0" distL="114300" distR="114300" simplePos="0" relativeHeight="251665408" behindDoc="0" locked="0" layoutInCell="1" hidden="0" allowOverlap="1" wp14:anchorId="40867C27" wp14:editId="73425BA2">
                <wp:simplePos x="0" y="0"/>
                <wp:positionH relativeFrom="column">
                  <wp:posOffset>3445510</wp:posOffset>
                </wp:positionH>
                <wp:positionV relativeFrom="paragraph">
                  <wp:posOffset>924560</wp:posOffset>
                </wp:positionV>
                <wp:extent cx="927100" cy="927100"/>
                <wp:effectExtent l="0" t="0" r="0" b="0"/>
                <wp:wrapNone/>
                <wp:docPr id="1931061975" name="Rectangle 1931061975"/>
                <wp:cNvGraphicFramePr/>
                <a:graphic xmlns:a="http://schemas.openxmlformats.org/drawingml/2006/main">
                  <a:graphicData uri="http://schemas.microsoft.com/office/word/2010/wordprocessingShape">
                    <wps:wsp>
                      <wps:cNvSpPr/>
                      <wps:spPr>
                        <a:xfrm>
                          <a:off x="0" y="0"/>
                          <a:ext cx="927100" cy="927100"/>
                        </a:xfrm>
                        <a:prstGeom prst="rect">
                          <a:avLst/>
                        </a:prstGeom>
                        <a:solidFill>
                          <a:srgbClr val="FFFFFF"/>
                        </a:solidFill>
                        <a:ln w="12700" cap="flat" cmpd="sng">
                          <a:solidFill>
                            <a:srgbClr val="4EA72E"/>
                          </a:solidFill>
                          <a:prstDash val="solid"/>
                          <a:miter lim="800000"/>
                          <a:headEnd type="none" w="sm" len="sm"/>
                          <a:tailEnd type="none" w="sm" len="sm"/>
                        </a:ln>
                      </wps:spPr>
                      <wps:txbx>
                        <w:txbxContent>
                          <w:p w14:paraId="5E0AE521" w14:textId="77777777" w:rsidR="007373F6" w:rsidRPr="00CA3E0F" w:rsidRDefault="00000000">
                            <w:pPr>
                              <w:spacing w:line="258" w:lineRule="auto"/>
                              <w:jc w:val="center"/>
                              <w:textDirection w:val="btLr"/>
                            </w:pPr>
                            <w:r w:rsidRPr="00CA3E0F">
                              <w:rPr>
                                <w:color w:val="000000"/>
                              </w:rPr>
                              <w:t>Yearly stock share value change as of 31.12.2024</w:t>
                            </w:r>
                          </w:p>
                        </w:txbxContent>
                      </wps:txbx>
                      <wps:bodyPr spcFirstLastPara="1" wrap="square" lIns="91425" tIns="45700" rIns="91425" bIns="45700" anchor="ctr" anchorCtr="0">
                        <a:noAutofit/>
                      </wps:bodyPr>
                    </wps:wsp>
                  </a:graphicData>
                </a:graphic>
              </wp:anchor>
            </w:drawing>
          </mc:Choice>
          <mc:Fallback>
            <w:pict>
              <v:rect w14:anchorId="40867C27" id="Rectangle 1931061975" o:spid="_x0000_s1046" style="position:absolute;left:0;text-align:left;margin-left:271.3pt;margin-top:72.8pt;width:73pt;height:73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" strokecolor="#4ea72e" strokeweight="1pt">
                <v:stroke startarrowwidth="narrow" startarrowlength="short" endarrowwidth="narrow" endarrowlength="short"/>
                <v:textbox inset="2.53958mm,1.2694mm,2.53958mm,1.2694mm">
                  <w:txbxContent>
                    <w:p w14:paraId="5E0AE521" w14:textId="77777777" w:rsidR="007373F6" w:rsidRPr="00CA3E0F" w:rsidRDefault="00000000">
                      <w:pPr>
                        <w:spacing w:line="258" w:lineRule="auto"/>
                        <w:jc w:val="center"/>
                        <w:textDirection w:val="btLr"/>
                      </w:pPr>
                      <w:r w:rsidRPr="00CA3E0F">
                        <w:rPr>
                          <w:color w:val="000000"/>
                        </w:rPr>
                        <w:t>Yearly stock share value change as of 31.12.2024</w:t>
                      </w:r>
                    </w:p>
                  </w:txbxContent>
                </v:textbox>
              </v:rect>
            </w:pict>
          </mc:Fallback>
        </mc:AlternateContent>
      </w:r>
      <w:r>
        <w:rPr>
          <w:noProof/>
        </w:rPr>
        <mc:AlternateContent>
          <mc:Choice Requires="wps">
            <w:drawing>
              <wp:anchor distT="0" distB="0" distL="114300" distR="114300" simplePos="0" relativeHeight="251664384" behindDoc="0" locked="0" layoutInCell="1" hidden="0" allowOverlap="1" wp14:anchorId="68494314" wp14:editId="1F394615">
                <wp:simplePos x="0" y="0"/>
                <wp:positionH relativeFrom="column">
                  <wp:posOffset>2469515</wp:posOffset>
                </wp:positionH>
                <wp:positionV relativeFrom="paragraph">
                  <wp:posOffset>934720</wp:posOffset>
                </wp:positionV>
                <wp:extent cx="927100" cy="927100"/>
                <wp:effectExtent l="0" t="0" r="0" b="0"/>
                <wp:wrapNone/>
                <wp:docPr id="1931061966" name="Rectangle 1931061966"/>
                <wp:cNvGraphicFramePr/>
                <a:graphic xmlns:a="http://schemas.openxmlformats.org/drawingml/2006/main">
                  <a:graphicData uri="http://schemas.microsoft.com/office/word/2010/wordprocessingShape">
                    <wps:wsp>
                      <wps:cNvSpPr/>
                      <wps:spPr>
                        <a:xfrm>
                          <a:off x="0" y="0"/>
                          <a:ext cx="927100" cy="927100"/>
                        </a:xfrm>
                        <a:prstGeom prst="rect">
                          <a:avLst/>
                        </a:prstGeom>
                        <a:solidFill>
                          <a:srgbClr val="FFFFFF"/>
                        </a:solidFill>
                        <a:ln w="12700" cap="flat" cmpd="sng">
                          <a:solidFill>
                            <a:srgbClr val="4EA72E"/>
                          </a:solidFill>
                          <a:prstDash val="solid"/>
                          <a:miter lim="800000"/>
                          <a:headEnd type="none" w="sm" len="sm"/>
                          <a:tailEnd type="none" w="sm" len="sm"/>
                        </a:ln>
                      </wps:spPr>
                      <wps:txbx>
                        <w:txbxContent>
                          <w:p w14:paraId="58A3ECC1" w14:textId="77777777" w:rsidR="007373F6" w:rsidRPr="00CA3E0F" w:rsidRDefault="00000000">
                            <w:pPr>
                              <w:spacing w:line="258" w:lineRule="auto"/>
                              <w:jc w:val="center"/>
                              <w:textDirection w:val="btLr"/>
                            </w:pPr>
                            <w:r w:rsidRPr="00CA3E0F">
                              <w:rPr>
                                <w:color w:val="000000"/>
                              </w:rPr>
                              <w:t>Return on Equity (ROE) as of 31.12.2024</w:t>
                            </w:r>
                          </w:p>
                        </w:txbxContent>
                      </wps:txbx>
                      <wps:bodyPr spcFirstLastPara="1" wrap="square" lIns="91425" tIns="45700" rIns="91425" bIns="45700" anchor="ctr" anchorCtr="0">
                        <a:noAutofit/>
                      </wps:bodyPr>
                    </wps:wsp>
                  </a:graphicData>
                </a:graphic>
              </wp:anchor>
            </w:drawing>
          </mc:Choice>
          <mc:Fallback>
            <w:pict>
              <v:rect w14:anchorId="68494314" id="Rectangle 1931061966" o:spid="_x0000_s1047" style="position:absolute;left:0;text-align:left;margin-left:194.45pt;margin-top:73.6pt;width:73pt;height:73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" strokecolor="#4ea72e" strokeweight="1pt">
                <v:stroke startarrowwidth="narrow" startarrowlength="short" endarrowwidth="narrow" endarrowlength="short"/>
                <v:textbox inset="2.53958mm,1.2694mm,2.53958mm,1.2694mm">
                  <w:txbxContent>
                    <w:p w14:paraId="58A3ECC1" w14:textId="77777777" w:rsidR="007373F6" w:rsidRPr="00CA3E0F" w:rsidRDefault="00000000">
                      <w:pPr>
                        <w:spacing w:line="258" w:lineRule="auto"/>
                        <w:jc w:val="center"/>
                        <w:textDirection w:val="btLr"/>
                      </w:pPr>
                      <w:r w:rsidRPr="00CA3E0F">
                        <w:rPr>
                          <w:color w:val="000000"/>
                        </w:rPr>
                        <w:t>Return on Equity (ROE) as of 31.12.2024</w:t>
                      </w:r>
                    </w:p>
                  </w:txbxContent>
                </v:textbox>
              </v:rect>
            </w:pict>
          </mc:Fallback>
        </mc:AlternateContent>
      </w:r>
      <w:r>
        <w:rPr>
          <w:noProof/>
        </w:rPr>
        <mc:AlternateContent>
          <mc:Choice Requires="wps">
            <w:drawing>
              <wp:anchor distT="0" distB="0" distL="114300" distR="114300" simplePos="0" relativeHeight="251662336" behindDoc="0" locked="0" layoutInCell="1" hidden="0" allowOverlap="1" wp14:anchorId="21167B31" wp14:editId="5C50B4E9">
                <wp:simplePos x="0" y="0"/>
                <wp:positionH relativeFrom="column">
                  <wp:posOffset>1946275</wp:posOffset>
                </wp:positionH>
                <wp:positionV relativeFrom="paragraph">
                  <wp:posOffset>260985</wp:posOffset>
                </wp:positionV>
                <wp:extent cx="631825" cy="628015"/>
                <wp:effectExtent l="0" t="0" r="0" b="0"/>
                <wp:wrapNone/>
                <wp:docPr id="1931061976" name="Arrow: Down 1931061976"/>
                <wp:cNvGraphicFramePr/>
                <a:graphic xmlns:a="http://schemas.openxmlformats.org/drawingml/2006/main">
                  <a:graphicData uri="http://schemas.microsoft.com/office/word/2010/wordprocessingShape">
                    <wps:wsp>
                      <wps:cNvSpPr/>
                      <wps:spPr>
                        <a:xfrm rot="2784893" flipH="1">
                          <a:off x="0" y="0"/>
                          <a:ext cx="631825" cy="628015"/>
                        </a:xfrm>
                        <a:prstGeom prst="downArrow">
                          <a:avLst>
                            <a:gd name="adj1" fmla="val 50000"/>
                            <a:gd name="adj2" fmla="val 50000"/>
                          </a:avLst>
                        </a:prstGeom>
                        <a:solidFill>
                          <a:srgbClr val="156082"/>
                        </a:solidFill>
                        <a:ln w="12700" cap="flat" cmpd="sng">
                          <a:solidFill>
                            <a:srgbClr val="082836"/>
                          </a:solidFill>
                          <a:prstDash val="solid"/>
                          <a:miter lim="800000"/>
                          <a:headEnd type="none" w="sm" len="sm"/>
                          <a:tailEnd type="none" w="sm" len="sm"/>
                        </a:ln>
                      </wps:spPr>
                      <wps:txbx>
                        <w:txbxContent>
                          <w:p w14:paraId="36B096E1" w14:textId="77777777" w:rsidR="007373F6" w:rsidRPr="00CA3E0F" w:rsidRDefault="007373F6">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21167B3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931061976" o:spid="_x0000_s1048" type="#_x0000_t67" style="position:absolute;left:0;text-align:left;margin-left:153.25pt;margin-top:20.55pt;width:49.75pt;height:49.45pt;rotation:-3041846fd;flip:x;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" adj="10800" fillcolor="#156082" strokecolor="#082836" strokeweight="1pt">
                <v:stroke startarrowwidth="narrow" startarrowlength="short" endarrowwidth="narrow" endarrowlength="short"/>
                <v:textbox inset="2.53958mm,2.53958mm,2.53958mm,2.53958mm">
                  <w:txbxContent>
                    <w:p w14:paraId="36B096E1" w14:textId="77777777" w:rsidR="007373F6" w:rsidRPr="00CA3E0F" w:rsidRDefault="007373F6">
                      <w:pPr>
                        <w:spacing w:after="0" w:line="240" w:lineRule="auto"/>
                        <w:textDirection w:val="btLr"/>
                      </w:pPr>
                    </w:p>
                  </w:txbxContent>
                </v:textbox>
              </v:shape>
            </w:pict>
          </mc:Fallback>
        </mc:AlternateContent>
      </w:r>
      <w:r>
        <w:rPr>
          <w:noProof/>
        </w:rPr>
        <mc:AlternateContent>
          <mc:Choice Requires="wps">
            <w:drawing>
              <wp:anchor distT="0" distB="0" distL="114300" distR="114300" simplePos="0" relativeHeight="251661312" behindDoc="0" locked="0" layoutInCell="1" hidden="0" allowOverlap="1" wp14:anchorId="4DC12892" wp14:editId="0DA483DB">
                <wp:simplePos x="0" y="0"/>
                <wp:positionH relativeFrom="column">
                  <wp:posOffset>3075834</wp:posOffset>
                </wp:positionH>
                <wp:positionV relativeFrom="paragraph">
                  <wp:posOffset>282575</wp:posOffset>
                </wp:positionV>
                <wp:extent cx="571846" cy="581743"/>
                <wp:effectExtent l="0" t="0" r="0" b="0"/>
                <wp:wrapNone/>
                <wp:docPr id="1931061963" name="Arrow: Down 1931061963"/>
                <wp:cNvGraphicFramePr/>
                <a:graphic xmlns:a="http://schemas.openxmlformats.org/drawingml/2006/main">
                  <a:graphicData uri="http://schemas.microsoft.com/office/word/2010/wordprocessingShape">
                    <wps:wsp>
                      <wps:cNvSpPr/>
                      <wps:spPr>
                        <a:xfrm rot="-2547134">
                          <a:off x="0" y="0"/>
                          <a:ext cx="571846" cy="581743"/>
                        </a:xfrm>
                        <a:prstGeom prst="downArrow">
                          <a:avLst>
                            <a:gd name="adj1" fmla="val 50000"/>
                            <a:gd name="adj2" fmla="val 50000"/>
                          </a:avLst>
                        </a:prstGeom>
                        <a:solidFill>
                          <a:srgbClr val="156082"/>
                        </a:solidFill>
                        <a:ln w="12700" cap="flat" cmpd="sng">
                          <a:solidFill>
                            <a:srgbClr val="082836"/>
                          </a:solidFill>
                          <a:prstDash val="solid"/>
                          <a:miter lim="800000"/>
                          <a:headEnd type="none" w="sm" len="sm"/>
                          <a:tailEnd type="none" w="sm" len="sm"/>
                        </a:ln>
                      </wps:spPr>
                      <wps:txbx>
                        <w:txbxContent>
                          <w:p w14:paraId="3D8BCBF0" w14:textId="77777777" w:rsidR="007373F6" w:rsidRPr="00CA3E0F" w:rsidRDefault="007373F6">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4DC12892" id="Arrow: Down 1931061963" o:spid="_x0000_s1049" type="#_x0000_t67" style="position:absolute;left:0;text-align:left;margin-left:242.2pt;margin-top:22.25pt;width:45.05pt;height:45.8pt;rotation:-2782150fd;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" adj="10984" fillcolor="#156082" strokecolor="#082836" strokeweight="1pt">
                <v:stroke startarrowwidth="narrow" startarrowlength="short" endarrowwidth="narrow" endarrowlength="short"/>
                <v:textbox inset="2.53958mm,2.53958mm,2.53958mm,2.53958mm">
                  <w:txbxContent>
                    <w:p w14:paraId="3D8BCBF0" w14:textId="77777777" w:rsidR="007373F6" w:rsidRPr="00CA3E0F" w:rsidRDefault="007373F6">
                      <w:pPr>
                        <w:spacing w:after="0" w:line="240" w:lineRule="auto"/>
                        <w:textDirection w:val="btLr"/>
                      </w:pPr>
                    </w:p>
                  </w:txbxContent>
                </v:textbox>
              </v:shape>
            </w:pict>
          </mc:Fallback>
        </mc:AlternateContent>
      </w:r>
    </w:p>
    <w:p w14:paraId="76E800DA" w14:textId="67B0F92E" w:rsidR="007373F6" w:rsidRDefault="00000000">
      <w:pPr>
        <w:jc w:val="both"/>
        <w:rPr>
          <w:rFonts w:ascii="Times New Roman" w:eastAsia="Times New Roman" w:hAnsi="Times New Roman" w:cs="Times New Roman"/>
          <w:b/>
          <w:color w:val="000000"/>
          <w:sz w:val="24"/>
          <w:szCs w:val="24"/>
        </w:rPr>
      </w:pPr>
      <w:r>
        <w:rPr>
          <w:noProof/>
        </w:rPr>
        <mc:AlternateContent>
          <mc:Choice Requires="wps">
            <w:drawing>
              <wp:anchor distT="0" distB="0" distL="114300" distR="114300" simplePos="0" relativeHeight="251660288" behindDoc="0" locked="0" layoutInCell="1" hidden="0" allowOverlap="1" wp14:anchorId="61A9305B" wp14:editId="436BA38E">
                <wp:simplePos x="0" y="0"/>
                <wp:positionH relativeFrom="column">
                  <wp:posOffset>2675784</wp:posOffset>
                </wp:positionH>
                <wp:positionV relativeFrom="paragraph">
                  <wp:posOffset>92075</wp:posOffset>
                </wp:positionV>
                <wp:extent cx="331470" cy="517525"/>
                <wp:effectExtent l="0" t="0" r="0" b="0"/>
                <wp:wrapNone/>
                <wp:docPr id="1931061954" name="Arrow: Down 1931061954"/>
                <wp:cNvGraphicFramePr/>
                <a:graphic xmlns:a="http://schemas.openxmlformats.org/drawingml/2006/main">
                  <a:graphicData uri="http://schemas.microsoft.com/office/word/2010/wordprocessingShape">
                    <wps:wsp>
                      <wps:cNvSpPr/>
                      <wps:spPr>
                        <a:xfrm>
                          <a:off x="0" y="0"/>
                          <a:ext cx="331470" cy="517525"/>
                        </a:xfrm>
                        <a:prstGeom prst="downArrow">
                          <a:avLst>
                            <a:gd name="adj1" fmla="val 50000"/>
                            <a:gd name="adj2" fmla="val 50000"/>
                          </a:avLst>
                        </a:prstGeom>
                        <a:solidFill>
                          <a:srgbClr val="156082"/>
                        </a:solidFill>
                        <a:ln w="12700" cap="flat" cmpd="sng">
                          <a:solidFill>
                            <a:srgbClr val="082836"/>
                          </a:solidFill>
                          <a:prstDash val="solid"/>
                          <a:miter lim="800000"/>
                          <a:headEnd type="none" w="sm" len="sm"/>
                          <a:tailEnd type="none" w="sm" len="sm"/>
                        </a:ln>
                      </wps:spPr>
                      <wps:txbx>
                        <w:txbxContent>
                          <w:p w14:paraId="2D982F35" w14:textId="77777777" w:rsidR="007373F6" w:rsidRPr="00CA3E0F" w:rsidRDefault="007373F6">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61A9305B" id="Arrow: Down 1931061954" o:spid="_x0000_s1050" type="#_x0000_t67" style="position:absolute;left:0;text-align:left;margin-left:210.7pt;margin-top:7.25pt;width:26.1pt;height:40.7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" adj="14683" fillcolor="#156082" strokecolor="#082836" strokeweight="1pt">
                <v:stroke startarrowwidth="narrow" startarrowlength="short" endarrowwidth="narrow" endarrowlength="short"/>
                <v:textbox inset="2.53958mm,2.53958mm,2.53958mm,2.53958mm">
                  <w:txbxContent>
                    <w:p w14:paraId="2D982F35" w14:textId="77777777" w:rsidR="007373F6" w:rsidRPr="00CA3E0F" w:rsidRDefault="007373F6">
                      <w:pPr>
                        <w:spacing w:after="0" w:line="240" w:lineRule="auto"/>
                        <w:textDirection w:val="btLr"/>
                      </w:pPr>
                    </w:p>
                  </w:txbxContent>
                </v:textbox>
              </v:shape>
            </w:pict>
          </mc:Fallback>
        </mc:AlternateContent>
      </w:r>
    </w:p>
    <w:p w14:paraId="3D75A94D" w14:textId="77777777" w:rsidR="007373F6" w:rsidRDefault="007373F6">
      <w:pPr>
        <w:jc w:val="both"/>
        <w:rPr>
          <w:rFonts w:ascii="Times New Roman" w:eastAsia="Times New Roman" w:hAnsi="Times New Roman" w:cs="Times New Roman"/>
          <w:b/>
          <w:color w:val="000000"/>
          <w:sz w:val="24"/>
          <w:szCs w:val="24"/>
        </w:rPr>
      </w:pPr>
    </w:p>
    <w:p w14:paraId="65ECBD6C" w14:textId="4668E34F" w:rsidR="007373F6" w:rsidRDefault="00000000">
      <w:pPr>
        <w:jc w:val="both"/>
        <w:rPr>
          <w:rFonts w:ascii="Times New Roman" w:eastAsia="Times New Roman" w:hAnsi="Times New Roman" w:cs="Times New Roman"/>
          <w:b/>
          <w:color w:val="000000"/>
          <w:sz w:val="24"/>
          <w:szCs w:val="24"/>
        </w:rPr>
      </w:pPr>
      <w:r>
        <w:rPr>
          <w:noProof/>
        </w:rPr>
        <mc:AlternateContent>
          <mc:Choice Requires="wps">
            <w:drawing>
              <wp:anchor distT="0" distB="0" distL="114300" distR="114300" simplePos="0" relativeHeight="251663360" behindDoc="0" locked="0" layoutInCell="1" hidden="0" allowOverlap="1" wp14:anchorId="46CCC10E" wp14:editId="1B977025">
                <wp:simplePos x="0" y="0"/>
                <wp:positionH relativeFrom="column">
                  <wp:posOffset>1532784</wp:posOffset>
                </wp:positionH>
                <wp:positionV relativeFrom="paragraph">
                  <wp:posOffset>53340</wp:posOffset>
                </wp:positionV>
                <wp:extent cx="927100" cy="927100"/>
                <wp:effectExtent l="0" t="0" r="0" b="0"/>
                <wp:wrapNone/>
                <wp:docPr id="1931061974" name="Rectangle 1931061974"/>
                <wp:cNvGraphicFramePr/>
                <a:graphic xmlns:a="http://schemas.openxmlformats.org/drawingml/2006/main">
                  <a:graphicData uri="http://schemas.microsoft.com/office/word/2010/wordprocessingShape">
                    <wps:wsp>
                      <wps:cNvSpPr/>
                      <wps:spPr>
                        <a:xfrm>
                          <a:off x="0" y="0"/>
                          <a:ext cx="927100" cy="927100"/>
                        </a:xfrm>
                        <a:prstGeom prst="rect">
                          <a:avLst/>
                        </a:prstGeom>
                        <a:solidFill>
                          <a:srgbClr val="FFFFFF"/>
                        </a:solidFill>
                        <a:ln w="12700" cap="flat" cmpd="sng">
                          <a:solidFill>
                            <a:srgbClr val="4EA72E"/>
                          </a:solidFill>
                          <a:prstDash val="solid"/>
                          <a:miter lim="800000"/>
                          <a:headEnd type="none" w="sm" len="sm"/>
                          <a:tailEnd type="none" w="sm" len="sm"/>
                        </a:ln>
                      </wps:spPr>
                      <wps:txbx>
                        <w:txbxContent>
                          <w:p w14:paraId="1F088627" w14:textId="77777777" w:rsidR="007373F6" w:rsidRPr="00CA3E0F" w:rsidRDefault="00000000">
                            <w:pPr>
                              <w:spacing w:line="258" w:lineRule="auto"/>
                              <w:jc w:val="center"/>
                              <w:textDirection w:val="btLr"/>
                            </w:pPr>
                            <w:r w:rsidRPr="00CA3E0F">
                              <w:rPr>
                                <w:color w:val="000000"/>
                              </w:rPr>
                              <w:t>Gross Profit Margin as of 31.12.2024</w:t>
                            </w:r>
                          </w:p>
                        </w:txbxContent>
                      </wps:txbx>
                      <wps:bodyPr spcFirstLastPara="1" wrap="square" lIns="91425" tIns="45700" rIns="91425" bIns="45700" anchor="ctr" anchorCtr="0">
                        <a:noAutofit/>
                      </wps:bodyPr>
                    </wps:wsp>
                  </a:graphicData>
                </a:graphic>
              </wp:anchor>
            </w:drawing>
          </mc:Choice>
          <mc:Fallback>
            <w:pict>
              <v:rect w14:anchorId="46CCC10E" id="Rectangle 1931061974" o:spid="_x0000_s1051" style="position:absolute;left:0;text-align:left;margin-left:120.7pt;margin-top:4.2pt;width:73pt;height:73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" strokecolor="#4ea72e" strokeweight="1pt">
                <v:stroke startarrowwidth="narrow" startarrowlength="short" endarrowwidth="narrow" endarrowlength="short"/>
                <v:textbox inset="2.53958mm,1.2694mm,2.53958mm,1.2694mm">
                  <w:txbxContent>
                    <w:p w14:paraId="1F088627" w14:textId="77777777" w:rsidR="007373F6" w:rsidRPr="00CA3E0F" w:rsidRDefault="00000000">
                      <w:pPr>
                        <w:spacing w:line="258" w:lineRule="auto"/>
                        <w:jc w:val="center"/>
                        <w:textDirection w:val="btLr"/>
                      </w:pPr>
                      <w:r w:rsidRPr="00CA3E0F">
                        <w:rPr>
                          <w:color w:val="000000"/>
                        </w:rPr>
                        <w:t>Gross Profit Margin as of 31.12.2024</w:t>
                      </w:r>
                    </w:p>
                  </w:txbxContent>
                </v:textbox>
              </v:rect>
            </w:pict>
          </mc:Fallback>
        </mc:AlternateContent>
      </w:r>
    </w:p>
    <w:p w14:paraId="462BB8E4" w14:textId="77777777" w:rsidR="007373F6" w:rsidRDefault="007373F6">
      <w:pPr>
        <w:jc w:val="both"/>
        <w:rPr>
          <w:rFonts w:ascii="Times New Roman" w:eastAsia="Times New Roman" w:hAnsi="Times New Roman" w:cs="Times New Roman"/>
          <w:b/>
          <w:color w:val="000000"/>
          <w:sz w:val="24"/>
          <w:szCs w:val="24"/>
        </w:rPr>
      </w:pPr>
    </w:p>
    <w:p w14:paraId="1660E8CF" w14:textId="77777777" w:rsidR="007373F6" w:rsidRDefault="007373F6">
      <w:pPr>
        <w:jc w:val="both"/>
        <w:rPr>
          <w:rFonts w:ascii="Times New Roman" w:eastAsia="Times New Roman" w:hAnsi="Times New Roman" w:cs="Times New Roman"/>
          <w:b/>
          <w:color w:val="000000"/>
          <w:sz w:val="24"/>
          <w:szCs w:val="24"/>
        </w:rPr>
      </w:pPr>
    </w:p>
    <w:p w14:paraId="1ED008D8" w14:textId="77777777" w:rsidR="007373F6" w:rsidRDefault="007373F6">
      <w:pPr>
        <w:jc w:val="both"/>
        <w:rPr>
          <w:rFonts w:ascii="Times New Roman" w:eastAsia="Times New Roman" w:hAnsi="Times New Roman" w:cs="Times New Roman"/>
          <w:color w:val="000000"/>
          <w:sz w:val="24"/>
          <w:szCs w:val="24"/>
        </w:rPr>
      </w:pPr>
    </w:p>
    <w:p w14:paraId="0ED62E44" w14:textId="77777777" w:rsidR="00F1138D" w:rsidRDefault="00F1138D" w:rsidP="00F1138D">
      <w:pPr>
        <w:ind w:firstLine="426"/>
        <w:jc w:val="both"/>
        <w:rPr>
          <w:rFonts w:ascii="Times New Roman" w:eastAsia="Times New Roman" w:hAnsi="Times New Roman" w:cs="Times New Roman"/>
          <w:color w:val="000000"/>
          <w:sz w:val="24"/>
          <w:szCs w:val="24"/>
        </w:rPr>
      </w:pPr>
    </w:p>
    <w:p w14:paraId="2DF0106D" w14:textId="37E95E5F" w:rsidR="007373F6" w:rsidRDefault="00000000" w:rsidP="00F1138D">
      <w:pPr>
        <w:ind w:firstLine="42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impact of CEO duality on profitability and yearly stock value change are tested by logistic regression since the dependent variable CEO duality is categoric. Independent variables are gross profit and ROE as of 31/12/2024 as profitability ratios and yearly stock value change of the firms. In Table 1 below logistic regression results are listed.</w:t>
      </w:r>
    </w:p>
    <w:p w14:paraId="02D98D16" w14:textId="77777777" w:rsidR="007373F6" w:rsidRDefault="007373F6">
      <w:pPr>
        <w:spacing w:after="0"/>
        <w:jc w:val="both"/>
        <w:rPr>
          <w:rFonts w:ascii="Times New Roman" w:eastAsia="Times New Roman" w:hAnsi="Times New Roman" w:cs="Times New Roman"/>
          <w:color w:val="000000"/>
          <w:sz w:val="24"/>
          <w:szCs w:val="24"/>
        </w:rPr>
      </w:pPr>
    </w:p>
    <w:p w14:paraId="6F062A3B" w14:textId="77777777" w:rsidR="007373F6" w:rsidRDefault="00000000" w:rsidP="00F1138D">
      <w:pPr>
        <w:spacing w:after="0"/>
        <w:jc w:val="center"/>
        <w:rPr>
          <w:rFonts w:ascii="Times New Roman" w:eastAsia="Times New Roman" w:hAnsi="Times New Roman" w:cs="Times New Roman"/>
          <w:color w:val="000000"/>
          <w:sz w:val="24"/>
          <w:szCs w:val="24"/>
        </w:rPr>
      </w:pPr>
      <w:r w:rsidRPr="00F1138D">
        <w:rPr>
          <w:rFonts w:ascii="Times New Roman" w:eastAsia="Times New Roman" w:hAnsi="Times New Roman" w:cs="Times New Roman"/>
          <w:b/>
          <w:bCs/>
          <w:color w:val="000000"/>
          <w:sz w:val="24"/>
          <w:szCs w:val="24"/>
        </w:rPr>
        <w:t>Table 1</w:t>
      </w:r>
      <w:r>
        <w:rPr>
          <w:rFonts w:ascii="Times New Roman" w:eastAsia="Times New Roman" w:hAnsi="Times New Roman" w:cs="Times New Roman"/>
          <w:color w:val="000000"/>
          <w:sz w:val="24"/>
          <w:szCs w:val="24"/>
        </w:rPr>
        <w:t>. Model Coefficients- dependent variable CEO duality</w:t>
      </w:r>
    </w:p>
    <w:tbl>
      <w:tblPr>
        <w:tblStyle w:val="af8"/>
        <w:tblW w:w="9016" w:type="dxa"/>
        <w:tblBorders>
          <w:top w:val="single" w:sz="4" w:space="0" w:color="auto"/>
          <w:insideH w:val="single" w:sz="4" w:space="0" w:color="auto"/>
        </w:tblBorders>
        <w:tblLayout w:type="fixed"/>
        <w:tblLook w:val="0400" w:firstRow="0" w:lastRow="0" w:firstColumn="0" w:lastColumn="0" w:noHBand="0" w:noVBand="1"/>
      </w:tblPr>
      <w:tblGrid>
        <w:gridCol w:w="1973"/>
        <w:gridCol w:w="1553"/>
        <w:gridCol w:w="1409"/>
        <w:gridCol w:w="1408"/>
        <w:gridCol w:w="1172"/>
        <w:gridCol w:w="1501"/>
      </w:tblGrid>
      <w:tr w:rsidR="007373F6" w14:paraId="3A45FF0B" w14:textId="77777777" w:rsidTr="00F1138D">
        <w:tc>
          <w:tcPr>
            <w:tcW w:w="1973" w:type="dxa"/>
          </w:tcPr>
          <w:p w14:paraId="5A8EFDD7"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Predictor</w:t>
            </w:r>
          </w:p>
        </w:tc>
        <w:tc>
          <w:tcPr>
            <w:tcW w:w="1553" w:type="dxa"/>
          </w:tcPr>
          <w:p w14:paraId="3AACFAF2"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Estimate</w:t>
            </w:r>
          </w:p>
        </w:tc>
        <w:tc>
          <w:tcPr>
            <w:tcW w:w="1409" w:type="dxa"/>
          </w:tcPr>
          <w:p w14:paraId="1923E797"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w:t>
            </w:r>
          </w:p>
        </w:tc>
        <w:tc>
          <w:tcPr>
            <w:tcW w:w="1408" w:type="dxa"/>
          </w:tcPr>
          <w:p w14:paraId="11783EE3"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w:t>
            </w:r>
          </w:p>
        </w:tc>
        <w:tc>
          <w:tcPr>
            <w:tcW w:w="1172" w:type="dxa"/>
          </w:tcPr>
          <w:p w14:paraId="4D113254"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w:t>
            </w:r>
          </w:p>
        </w:tc>
        <w:tc>
          <w:tcPr>
            <w:tcW w:w="1501" w:type="dxa"/>
          </w:tcPr>
          <w:p w14:paraId="27C48C45"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Odds ratio</w:t>
            </w:r>
          </w:p>
        </w:tc>
      </w:tr>
      <w:tr w:rsidR="007373F6" w14:paraId="1D56DDAA" w14:textId="77777777" w:rsidTr="00F1138D">
        <w:tc>
          <w:tcPr>
            <w:tcW w:w="1973" w:type="dxa"/>
          </w:tcPr>
          <w:p w14:paraId="2A5629E1"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Intercept</w:t>
            </w:r>
          </w:p>
        </w:tc>
        <w:tc>
          <w:tcPr>
            <w:tcW w:w="1553" w:type="dxa"/>
          </w:tcPr>
          <w:p w14:paraId="46917142"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0.3309</w:t>
            </w:r>
          </w:p>
        </w:tc>
        <w:tc>
          <w:tcPr>
            <w:tcW w:w="1409" w:type="dxa"/>
          </w:tcPr>
          <w:p w14:paraId="54B2C69E"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0.249</w:t>
            </w:r>
          </w:p>
        </w:tc>
        <w:tc>
          <w:tcPr>
            <w:tcW w:w="1408" w:type="dxa"/>
          </w:tcPr>
          <w:p w14:paraId="697A8CD6"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1.331</w:t>
            </w:r>
          </w:p>
        </w:tc>
        <w:tc>
          <w:tcPr>
            <w:tcW w:w="1172" w:type="dxa"/>
          </w:tcPr>
          <w:p w14:paraId="1D79EE19"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0.183</w:t>
            </w:r>
          </w:p>
        </w:tc>
        <w:tc>
          <w:tcPr>
            <w:tcW w:w="1501" w:type="dxa"/>
          </w:tcPr>
          <w:p w14:paraId="69AFEE53"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1.392</w:t>
            </w:r>
          </w:p>
        </w:tc>
      </w:tr>
      <w:tr w:rsidR="007373F6" w14:paraId="3ED336AF" w14:textId="77777777" w:rsidTr="00F1138D">
        <w:tc>
          <w:tcPr>
            <w:tcW w:w="1973" w:type="dxa"/>
          </w:tcPr>
          <w:p w14:paraId="288291BC"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Gross Profit Margin </w:t>
            </w:r>
          </w:p>
        </w:tc>
        <w:tc>
          <w:tcPr>
            <w:tcW w:w="1553" w:type="dxa"/>
          </w:tcPr>
          <w:p w14:paraId="341D9E02"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0.3823</w:t>
            </w:r>
          </w:p>
        </w:tc>
        <w:tc>
          <w:tcPr>
            <w:tcW w:w="1409" w:type="dxa"/>
          </w:tcPr>
          <w:p w14:paraId="6F437BDB"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1.070</w:t>
            </w:r>
          </w:p>
        </w:tc>
        <w:tc>
          <w:tcPr>
            <w:tcW w:w="1408" w:type="dxa"/>
          </w:tcPr>
          <w:p w14:paraId="0AF36531"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0.357</w:t>
            </w:r>
          </w:p>
        </w:tc>
        <w:tc>
          <w:tcPr>
            <w:tcW w:w="1172" w:type="dxa"/>
          </w:tcPr>
          <w:p w14:paraId="367DBA2E"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0.721</w:t>
            </w:r>
          </w:p>
        </w:tc>
        <w:tc>
          <w:tcPr>
            <w:tcW w:w="1501" w:type="dxa"/>
          </w:tcPr>
          <w:p w14:paraId="105C4517"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1.466</w:t>
            </w:r>
          </w:p>
        </w:tc>
      </w:tr>
      <w:tr w:rsidR="007373F6" w14:paraId="20900E1C" w14:textId="77777777" w:rsidTr="00F1138D">
        <w:tc>
          <w:tcPr>
            <w:tcW w:w="1973" w:type="dxa"/>
            <w:tcBorders>
              <w:bottom w:val="single" w:sz="4" w:space="0" w:color="auto"/>
            </w:tcBorders>
          </w:tcPr>
          <w:p w14:paraId="47E59B4F"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Stock share change</w:t>
            </w:r>
          </w:p>
        </w:tc>
        <w:tc>
          <w:tcPr>
            <w:tcW w:w="1553" w:type="dxa"/>
          </w:tcPr>
          <w:p w14:paraId="4E840755"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-0.0474</w:t>
            </w:r>
          </w:p>
        </w:tc>
        <w:tc>
          <w:tcPr>
            <w:tcW w:w="1409" w:type="dxa"/>
          </w:tcPr>
          <w:p w14:paraId="3A1A155B"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0.403</w:t>
            </w:r>
          </w:p>
        </w:tc>
        <w:tc>
          <w:tcPr>
            <w:tcW w:w="1408" w:type="dxa"/>
          </w:tcPr>
          <w:p w14:paraId="15B216DB"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-0.117</w:t>
            </w:r>
          </w:p>
        </w:tc>
        <w:tc>
          <w:tcPr>
            <w:tcW w:w="1172" w:type="dxa"/>
          </w:tcPr>
          <w:p w14:paraId="6C239E61"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0.907</w:t>
            </w:r>
          </w:p>
        </w:tc>
        <w:tc>
          <w:tcPr>
            <w:tcW w:w="1501" w:type="dxa"/>
          </w:tcPr>
          <w:p w14:paraId="2D7FF2BD"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0.954</w:t>
            </w:r>
          </w:p>
        </w:tc>
      </w:tr>
      <w:tr w:rsidR="007373F6" w14:paraId="65D7DE97" w14:textId="77777777" w:rsidTr="00F1138D">
        <w:tc>
          <w:tcPr>
            <w:tcW w:w="1973" w:type="dxa"/>
            <w:tcBorders>
              <w:bottom w:val="single" w:sz="4" w:space="0" w:color="auto"/>
            </w:tcBorders>
          </w:tcPr>
          <w:p w14:paraId="517A0CA8"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Net profit/equity</w:t>
            </w:r>
          </w:p>
        </w:tc>
        <w:tc>
          <w:tcPr>
            <w:tcW w:w="1553" w:type="dxa"/>
          </w:tcPr>
          <w:p w14:paraId="5244639E"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0.7200</w:t>
            </w:r>
          </w:p>
        </w:tc>
        <w:tc>
          <w:tcPr>
            <w:tcW w:w="1409" w:type="dxa"/>
          </w:tcPr>
          <w:p w14:paraId="24AE9564"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0.623</w:t>
            </w:r>
          </w:p>
        </w:tc>
        <w:tc>
          <w:tcPr>
            <w:tcW w:w="1408" w:type="dxa"/>
          </w:tcPr>
          <w:p w14:paraId="58A5F3DE"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1.155</w:t>
            </w:r>
          </w:p>
        </w:tc>
        <w:tc>
          <w:tcPr>
            <w:tcW w:w="1172" w:type="dxa"/>
          </w:tcPr>
          <w:p w14:paraId="718983FB"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0.248</w:t>
            </w:r>
          </w:p>
        </w:tc>
        <w:tc>
          <w:tcPr>
            <w:tcW w:w="1501" w:type="dxa"/>
          </w:tcPr>
          <w:p w14:paraId="43992972"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2.054</w:t>
            </w:r>
          </w:p>
        </w:tc>
      </w:tr>
    </w:tbl>
    <w:p w14:paraId="377245D2" w14:textId="77777777" w:rsidR="007373F6" w:rsidRDefault="00000000">
      <w:pPr>
        <w:jc w:val="both"/>
        <w:rPr>
          <w:rFonts w:ascii="Times New Roman" w:eastAsia="Times New Roman" w:hAnsi="Times New Roman" w:cs="Times New Roman"/>
          <w:color w:val="000000"/>
          <w:sz w:val="20"/>
          <w:szCs w:val="20"/>
        </w:rPr>
      </w:pPr>
      <w:r w:rsidRPr="00F1138D">
        <w:rPr>
          <w:rFonts w:ascii="Times New Roman" w:eastAsia="Times New Roman" w:hAnsi="Times New Roman" w:cs="Times New Roman"/>
          <w:color w:val="000000"/>
          <w:sz w:val="20"/>
          <w:szCs w:val="20"/>
        </w:rPr>
        <w:t xml:space="preserve">The independent variables Gross Profit Margin (β=0.3823, p=0.721), Stock share value change (β=-0.0474, p=0.907) and Net profit/equity (β=0.7200, p=0.248) have p-values are greater than 0.05, meaning they are not statistically significant at the conventional significance level on the dependent variable CEO duality. </w:t>
      </w:r>
    </w:p>
    <w:p w14:paraId="2F411C78" w14:textId="77777777" w:rsidR="00F1138D" w:rsidRPr="00F1138D" w:rsidRDefault="00F1138D">
      <w:pPr>
        <w:jc w:val="both"/>
        <w:rPr>
          <w:rFonts w:ascii="Times New Roman" w:eastAsia="Times New Roman" w:hAnsi="Times New Roman" w:cs="Times New Roman"/>
          <w:color w:val="000000"/>
          <w:sz w:val="20"/>
          <w:szCs w:val="20"/>
        </w:rPr>
      </w:pPr>
    </w:p>
    <w:p w14:paraId="35ED64DA"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2</w:t>
      </w:r>
      <w:r>
        <w:rPr>
          <w:rFonts w:ascii="Times New Roman" w:eastAsia="Times New Roman" w:hAnsi="Times New Roman" w:cs="Times New Roman"/>
          <w:b/>
          <w:color w:val="000000"/>
          <w:sz w:val="24"/>
          <w:szCs w:val="24"/>
          <w:vertAlign w:val="superscript"/>
        </w:rPr>
        <w:t>nd</w:t>
      </w:r>
      <w:r>
        <w:rPr>
          <w:rFonts w:ascii="Times New Roman" w:eastAsia="Times New Roman" w:hAnsi="Times New Roman" w:cs="Times New Roman"/>
          <w:b/>
          <w:color w:val="000000"/>
          <w:sz w:val="24"/>
          <w:szCs w:val="24"/>
        </w:rPr>
        <w:t xml:space="preserve"> Study: </w:t>
      </w:r>
      <w:r>
        <w:rPr>
          <w:rFonts w:ascii="Times New Roman" w:eastAsia="Times New Roman" w:hAnsi="Times New Roman" w:cs="Times New Roman"/>
          <w:color w:val="000000"/>
          <w:sz w:val="24"/>
          <w:szCs w:val="24"/>
        </w:rPr>
        <w:t>Semi-structured interviews are conducted with executives of nine manufacturing listed firms. These firms are chosen from different sectors as listed in Table 2 below.</w:t>
      </w:r>
    </w:p>
    <w:p w14:paraId="16B46847" w14:textId="77777777" w:rsidR="00F1138D" w:rsidRDefault="00F1138D">
      <w:pPr>
        <w:spacing w:after="0"/>
        <w:jc w:val="both"/>
        <w:rPr>
          <w:rFonts w:ascii="Times New Roman" w:eastAsia="Times New Roman" w:hAnsi="Times New Roman" w:cs="Times New Roman"/>
          <w:color w:val="000000"/>
          <w:sz w:val="24"/>
          <w:szCs w:val="24"/>
        </w:rPr>
      </w:pPr>
    </w:p>
    <w:p w14:paraId="661CB436" w14:textId="77777777" w:rsidR="00F1138D" w:rsidRDefault="00F1138D">
      <w:pPr>
        <w:spacing w:after="0"/>
        <w:jc w:val="both"/>
        <w:rPr>
          <w:rFonts w:ascii="Times New Roman" w:eastAsia="Times New Roman" w:hAnsi="Times New Roman" w:cs="Times New Roman"/>
          <w:color w:val="000000"/>
          <w:sz w:val="24"/>
          <w:szCs w:val="24"/>
        </w:rPr>
      </w:pPr>
    </w:p>
    <w:p w14:paraId="6F42D7AF" w14:textId="6FEDF3F1" w:rsidR="007373F6" w:rsidRDefault="00000000" w:rsidP="00F1138D">
      <w:pPr>
        <w:spacing w:after="0"/>
        <w:jc w:val="center"/>
        <w:rPr>
          <w:rFonts w:ascii="Times New Roman" w:eastAsia="Times New Roman" w:hAnsi="Times New Roman" w:cs="Times New Roman"/>
          <w:color w:val="000000"/>
          <w:sz w:val="24"/>
          <w:szCs w:val="24"/>
        </w:rPr>
      </w:pPr>
      <w:r w:rsidRPr="00F1138D">
        <w:rPr>
          <w:rFonts w:ascii="Times New Roman" w:eastAsia="Times New Roman" w:hAnsi="Times New Roman" w:cs="Times New Roman"/>
          <w:b/>
          <w:bCs/>
          <w:color w:val="000000"/>
          <w:sz w:val="24"/>
          <w:szCs w:val="24"/>
        </w:rPr>
        <w:lastRenderedPageBreak/>
        <w:t>Table 2</w:t>
      </w:r>
      <w:r>
        <w:rPr>
          <w:rFonts w:ascii="Times New Roman" w:eastAsia="Times New Roman" w:hAnsi="Times New Roman" w:cs="Times New Roman"/>
          <w:color w:val="000000"/>
          <w:sz w:val="24"/>
          <w:szCs w:val="24"/>
        </w:rPr>
        <w:t>. Listed companies interviewed</w:t>
      </w:r>
    </w:p>
    <w:tbl>
      <w:tblPr>
        <w:tblStyle w:val="af9"/>
        <w:tblW w:w="5000" w:type="pct"/>
        <w:tblBorders>
          <w:top w:val="single" w:sz="4" w:space="0" w:color="auto"/>
          <w:bottom w:val="single" w:sz="4" w:space="0" w:color="auto"/>
          <w:insideH w:val="single" w:sz="4" w:space="0" w:color="auto"/>
        </w:tblBorders>
        <w:tblLook w:val="0400" w:firstRow="0" w:lastRow="0" w:firstColumn="0" w:lastColumn="0" w:noHBand="0" w:noVBand="1"/>
      </w:tblPr>
      <w:tblGrid>
        <w:gridCol w:w="1303"/>
        <w:gridCol w:w="3311"/>
        <w:gridCol w:w="4412"/>
      </w:tblGrid>
      <w:tr w:rsidR="007373F6" w14:paraId="618DD946" w14:textId="77777777" w:rsidTr="00F1138D">
        <w:tc>
          <w:tcPr>
            <w:tcW w:w="721" w:type="pct"/>
          </w:tcPr>
          <w:p w14:paraId="72594244"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Number</w:t>
            </w:r>
          </w:p>
        </w:tc>
        <w:tc>
          <w:tcPr>
            <w:tcW w:w="1834" w:type="pct"/>
          </w:tcPr>
          <w:p w14:paraId="655027E8"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Sector of the firm</w:t>
            </w:r>
          </w:p>
        </w:tc>
        <w:tc>
          <w:tcPr>
            <w:tcW w:w="2444" w:type="pct"/>
          </w:tcPr>
          <w:p w14:paraId="4F17DD33"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Title of the interviewer</w:t>
            </w:r>
          </w:p>
        </w:tc>
      </w:tr>
      <w:tr w:rsidR="007373F6" w14:paraId="6B33F5A1" w14:textId="77777777" w:rsidTr="00F1138D">
        <w:tc>
          <w:tcPr>
            <w:tcW w:w="721" w:type="pct"/>
          </w:tcPr>
          <w:p w14:paraId="19D533EA"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34" w:type="pct"/>
          </w:tcPr>
          <w:p w14:paraId="2335578D"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Metalware</w:t>
            </w:r>
          </w:p>
        </w:tc>
        <w:tc>
          <w:tcPr>
            <w:tcW w:w="2444" w:type="pct"/>
          </w:tcPr>
          <w:p w14:paraId="506C70E6"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Investor relations executive</w:t>
            </w:r>
          </w:p>
        </w:tc>
      </w:tr>
      <w:tr w:rsidR="007373F6" w14:paraId="471B6A1D" w14:textId="77777777" w:rsidTr="00F1138D">
        <w:tc>
          <w:tcPr>
            <w:tcW w:w="721" w:type="pct"/>
          </w:tcPr>
          <w:p w14:paraId="436305AB"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834" w:type="pct"/>
          </w:tcPr>
          <w:p w14:paraId="48DD456A"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Metalware</w:t>
            </w:r>
          </w:p>
        </w:tc>
        <w:tc>
          <w:tcPr>
            <w:tcW w:w="2444" w:type="pct"/>
          </w:tcPr>
          <w:p w14:paraId="6BBCDA9B"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Investor relations executive</w:t>
            </w:r>
          </w:p>
        </w:tc>
      </w:tr>
      <w:tr w:rsidR="007373F6" w14:paraId="7F72160B" w14:textId="77777777" w:rsidTr="00F1138D">
        <w:tc>
          <w:tcPr>
            <w:tcW w:w="721" w:type="pct"/>
          </w:tcPr>
          <w:p w14:paraId="01C2B37B"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834" w:type="pct"/>
          </w:tcPr>
          <w:p w14:paraId="256C1A1A"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Food</w:t>
            </w:r>
          </w:p>
        </w:tc>
        <w:tc>
          <w:tcPr>
            <w:tcW w:w="2444" w:type="pct"/>
          </w:tcPr>
          <w:p w14:paraId="3F321590"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Sales and reporting executive</w:t>
            </w:r>
          </w:p>
        </w:tc>
      </w:tr>
      <w:tr w:rsidR="007373F6" w14:paraId="6F459844" w14:textId="77777777" w:rsidTr="00F1138D">
        <w:tc>
          <w:tcPr>
            <w:tcW w:w="721" w:type="pct"/>
          </w:tcPr>
          <w:p w14:paraId="56C490F1"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834" w:type="pct"/>
          </w:tcPr>
          <w:p w14:paraId="4DF94B96"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Chemistry</w:t>
            </w:r>
          </w:p>
        </w:tc>
        <w:tc>
          <w:tcPr>
            <w:tcW w:w="2444" w:type="pct"/>
          </w:tcPr>
          <w:p w14:paraId="6FD591C1"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Finance Director</w:t>
            </w:r>
          </w:p>
        </w:tc>
      </w:tr>
      <w:tr w:rsidR="007373F6" w14:paraId="783D03C0" w14:textId="77777777" w:rsidTr="00F1138D">
        <w:tc>
          <w:tcPr>
            <w:tcW w:w="721" w:type="pct"/>
          </w:tcPr>
          <w:p w14:paraId="5BEF4BFB"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834" w:type="pct"/>
          </w:tcPr>
          <w:p w14:paraId="0642CFF4"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Textile</w:t>
            </w:r>
          </w:p>
        </w:tc>
        <w:tc>
          <w:tcPr>
            <w:tcW w:w="2444" w:type="pct"/>
          </w:tcPr>
          <w:p w14:paraId="4C30691B"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Investor relations executive</w:t>
            </w:r>
          </w:p>
        </w:tc>
      </w:tr>
      <w:tr w:rsidR="007373F6" w14:paraId="0BF2380F" w14:textId="77777777" w:rsidTr="00F1138D">
        <w:tc>
          <w:tcPr>
            <w:tcW w:w="721" w:type="pct"/>
          </w:tcPr>
          <w:p w14:paraId="57C5DFE0"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834" w:type="pct"/>
          </w:tcPr>
          <w:p w14:paraId="5D2A696B"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Paper industry</w:t>
            </w:r>
          </w:p>
        </w:tc>
        <w:tc>
          <w:tcPr>
            <w:tcW w:w="2444" w:type="pct"/>
          </w:tcPr>
          <w:p w14:paraId="3F1B0DEE"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Finance Director</w:t>
            </w:r>
          </w:p>
        </w:tc>
      </w:tr>
      <w:tr w:rsidR="007373F6" w14:paraId="0FE771BC" w14:textId="77777777" w:rsidTr="00F1138D">
        <w:tc>
          <w:tcPr>
            <w:tcW w:w="721" w:type="pct"/>
          </w:tcPr>
          <w:p w14:paraId="665D4DB2"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1834" w:type="pct"/>
          </w:tcPr>
          <w:p w14:paraId="247A92FD"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Automotive </w:t>
            </w:r>
          </w:p>
        </w:tc>
        <w:tc>
          <w:tcPr>
            <w:tcW w:w="2444" w:type="pct"/>
          </w:tcPr>
          <w:p w14:paraId="0D65A7EA"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Investor relations executive</w:t>
            </w:r>
          </w:p>
        </w:tc>
      </w:tr>
      <w:tr w:rsidR="007373F6" w14:paraId="4E7A7400" w14:textId="77777777" w:rsidTr="00F1138D">
        <w:tc>
          <w:tcPr>
            <w:tcW w:w="721" w:type="pct"/>
          </w:tcPr>
          <w:p w14:paraId="3D02F5D7"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834" w:type="pct"/>
          </w:tcPr>
          <w:p w14:paraId="359E09F4"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Metalware</w:t>
            </w:r>
          </w:p>
        </w:tc>
        <w:tc>
          <w:tcPr>
            <w:tcW w:w="2444" w:type="pct"/>
          </w:tcPr>
          <w:p w14:paraId="0AF0AF1C"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Investor relations executive</w:t>
            </w:r>
          </w:p>
        </w:tc>
      </w:tr>
      <w:tr w:rsidR="007373F6" w14:paraId="55A76F7E" w14:textId="77777777" w:rsidTr="00F1138D">
        <w:tc>
          <w:tcPr>
            <w:tcW w:w="721" w:type="pct"/>
          </w:tcPr>
          <w:p w14:paraId="4AC111FF"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1834" w:type="pct"/>
          </w:tcPr>
          <w:p w14:paraId="6BDC2FFC"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Chemistry</w:t>
            </w:r>
          </w:p>
        </w:tc>
        <w:tc>
          <w:tcPr>
            <w:tcW w:w="2444" w:type="pct"/>
          </w:tcPr>
          <w:p w14:paraId="7929DA45" w14:textId="77777777" w:rsidR="007373F6"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Investor relations executive</w:t>
            </w:r>
          </w:p>
        </w:tc>
      </w:tr>
    </w:tbl>
    <w:p w14:paraId="136D1A4E" w14:textId="77777777" w:rsidR="007373F6" w:rsidRDefault="007373F6">
      <w:pPr>
        <w:jc w:val="both"/>
        <w:rPr>
          <w:rFonts w:ascii="Times New Roman" w:eastAsia="Times New Roman" w:hAnsi="Times New Roman" w:cs="Times New Roman"/>
          <w:color w:val="000000"/>
          <w:sz w:val="24"/>
          <w:szCs w:val="24"/>
        </w:rPr>
      </w:pPr>
    </w:p>
    <w:p w14:paraId="5B96DA88" w14:textId="77777777" w:rsidR="007373F6" w:rsidRDefault="00000000" w:rsidP="00F1138D">
      <w:pPr>
        <w:spacing w:after="0"/>
        <w:ind w:firstLine="42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interviewees are chosen based on the aim of the research. They have at least 10 years of managerial business experience and they have at least one-time CEO duality structure experience in their business life. 3 of them out of nine are currently experiencing CEO duality. 3 executives are women, and six executives are men. Semi structured interview methods are chosen with open-ended questions like how, under what conditions, etc. </w:t>
      </w:r>
    </w:p>
    <w:p w14:paraId="454A7616" w14:textId="77777777" w:rsidR="007373F6" w:rsidRDefault="00000000" w:rsidP="00F1138D">
      <w:pPr>
        <w:ind w:firstLine="42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questions are prepared for the executives which are related to the firm’s management process including reporting, decision making, and reflection of CEO duality. The questions are open ended to evaluate the impact of CEO duality with real-time experience rather than concentrating only on firm profit. The questions are;</w:t>
      </w:r>
    </w:p>
    <w:p w14:paraId="54A10C4C" w14:textId="77777777" w:rsidR="007373F6" w:rsidRDefault="00000000" w:rsidP="00856618">
      <w:pPr>
        <w:numPr>
          <w:ilvl w:val="0"/>
          <w:numId w:val="9"/>
        </w:num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If dual roles are allowed, what reasons can be attributed to a company's decision to combine the roles of CEO and Chairman of the Board (COB)/Board Membership? (Carty and Weiss, 2012)</w:t>
      </w:r>
    </w:p>
    <w:p w14:paraId="4161A570" w14:textId="77777777" w:rsidR="007373F6" w:rsidRDefault="00000000" w:rsidP="00856618">
      <w:pPr>
        <w:numPr>
          <w:ilvl w:val="0"/>
          <w:numId w:val="9"/>
        </w:num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 you think that the auditing processes of companies are affected in different ways in cases of dual CEO roles? If so, how are they affected?" (Carty and Weiss, 2012)</w:t>
      </w:r>
    </w:p>
    <w:p w14:paraId="5A148DC1" w14:textId="77777777" w:rsidR="007373F6" w:rsidRDefault="00000000" w:rsidP="00856618">
      <w:pPr>
        <w:numPr>
          <w:ilvl w:val="0"/>
          <w:numId w:val="9"/>
        </w:num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"Does the company you work for allow dual CEO roles? If so, do you promote dual CEO roles, oppose them, or remain neutral?"  (Naseem et.al., 2022)</w:t>
      </w:r>
    </w:p>
    <w:p w14:paraId="618F1DAC" w14:textId="77777777" w:rsidR="007373F6" w:rsidRDefault="00000000" w:rsidP="00856618">
      <w:pPr>
        <w:numPr>
          <w:ilvl w:val="0"/>
          <w:numId w:val="9"/>
        </w:num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 you think that dual CEO roles have an impact on the profitability of a company? In what way?" (Yu, 2023).</w:t>
      </w:r>
    </w:p>
    <w:p w14:paraId="4A72334A" w14:textId="77777777" w:rsidR="007373F6" w:rsidRDefault="00000000" w:rsidP="00856618">
      <w:pPr>
        <w:numPr>
          <w:ilvl w:val="0"/>
          <w:numId w:val="9"/>
        </w:num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Does CEO duality have an impact on management reporting process? How? (Yu, 2023)</w:t>
      </w:r>
    </w:p>
    <w:p w14:paraId="51FFAF47" w14:textId="77777777" w:rsidR="00F1138D" w:rsidRDefault="00F1138D">
      <w:pPr>
        <w:jc w:val="both"/>
        <w:rPr>
          <w:rFonts w:ascii="Times New Roman" w:eastAsia="Times New Roman" w:hAnsi="Times New Roman" w:cs="Times New Roman"/>
          <w:color w:val="000000"/>
          <w:sz w:val="24"/>
          <w:szCs w:val="24"/>
        </w:rPr>
      </w:pPr>
    </w:p>
    <w:p w14:paraId="1A2675A0" w14:textId="5F3010C1" w:rsidR="007373F6" w:rsidRPr="00F1138D" w:rsidRDefault="00000000" w:rsidP="00477706">
      <w:pPr>
        <w:spacing w:after="0"/>
        <w:jc w:val="both"/>
        <w:rPr>
          <w:rFonts w:ascii="Times New Roman" w:eastAsia="Times New Roman" w:hAnsi="Times New Roman" w:cs="Times New Roman"/>
          <w:b/>
          <w:bCs/>
          <w:color w:val="000000"/>
          <w:sz w:val="24"/>
          <w:szCs w:val="24"/>
        </w:rPr>
      </w:pPr>
      <w:r w:rsidRPr="00F1138D">
        <w:rPr>
          <w:rFonts w:ascii="Times New Roman" w:eastAsia="Times New Roman" w:hAnsi="Times New Roman" w:cs="Times New Roman"/>
          <w:b/>
          <w:bCs/>
          <w:color w:val="000000"/>
          <w:sz w:val="24"/>
          <w:szCs w:val="24"/>
        </w:rPr>
        <w:t>Findings of question 1; The reasons for CEO duality</w:t>
      </w:r>
    </w:p>
    <w:p w14:paraId="507B4980" w14:textId="77777777" w:rsidR="007373F6" w:rsidRDefault="00000000" w:rsidP="00477706">
      <w:pP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 executives agree on the benefit of CEO duality for fast decision-making and cost saving, especially in the crisis period.</w:t>
      </w:r>
    </w:p>
    <w:p w14:paraId="3DD873BA" w14:textId="77777777" w:rsidR="00477706" w:rsidRDefault="00477706" w:rsidP="00477706">
      <w:pPr>
        <w:spacing w:after="0"/>
        <w:jc w:val="both"/>
        <w:rPr>
          <w:rFonts w:ascii="Times New Roman" w:eastAsia="Times New Roman" w:hAnsi="Times New Roman" w:cs="Times New Roman"/>
          <w:color w:val="000000"/>
          <w:sz w:val="24"/>
          <w:szCs w:val="24"/>
        </w:rPr>
      </w:pPr>
    </w:p>
    <w:p w14:paraId="24BF8D31" w14:textId="77777777" w:rsidR="007373F6" w:rsidRPr="00F1138D" w:rsidRDefault="00000000" w:rsidP="00477706">
      <w:pPr>
        <w:spacing w:after="0"/>
        <w:jc w:val="both"/>
        <w:rPr>
          <w:rFonts w:ascii="Times New Roman" w:eastAsia="Times New Roman" w:hAnsi="Times New Roman" w:cs="Times New Roman"/>
          <w:b/>
          <w:bCs/>
          <w:color w:val="000000"/>
          <w:sz w:val="24"/>
          <w:szCs w:val="24"/>
        </w:rPr>
      </w:pPr>
      <w:r w:rsidRPr="00F1138D">
        <w:rPr>
          <w:rFonts w:ascii="Times New Roman" w:eastAsia="Times New Roman" w:hAnsi="Times New Roman" w:cs="Times New Roman"/>
          <w:b/>
          <w:bCs/>
          <w:color w:val="000000"/>
          <w:sz w:val="24"/>
          <w:szCs w:val="24"/>
        </w:rPr>
        <w:t>Findings of question 2; The impact of CEO duality on auditing processes</w:t>
      </w:r>
    </w:p>
    <w:p w14:paraId="63985489" w14:textId="77777777" w:rsidR="007373F6" w:rsidRDefault="00000000" w:rsidP="00477706">
      <w:pP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 executives out of 9 think that CEO duality has a negative effect on the auditing process since the auditing committee is reporting to the Board of the firm. In a firm structure, the firm’s board is expected to control the managerial staff. CEO duality limits the interdependence of the firm board for criticizing the managerial process and 1 executive out of nine has positive approach to CEO duality on auditing processing.</w:t>
      </w:r>
    </w:p>
    <w:p w14:paraId="21E0DDF0" w14:textId="77777777" w:rsidR="00477706" w:rsidRDefault="00477706" w:rsidP="00477706">
      <w:pPr>
        <w:spacing w:after="0"/>
        <w:jc w:val="both"/>
        <w:rPr>
          <w:rFonts w:ascii="Times New Roman" w:eastAsia="Times New Roman" w:hAnsi="Times New Roman" w:cs="Times New Roman"/>
          <w:color w:val="000000"/>
          <w:sz w:val="24"/>
          <w:szCs w:val="24"/>
        </w:rPr>
      </w:pPr>
    </w:p>
    <w:p w14:paraId="389E0BAC" w14:textId="77777777" w:rsidR="00477706" w:rsidRDefault="00477706" w:rsidP="00477706">
      <w:pPr>
        <w:spacing w:after="0"/>
        <w:jc w:val="both"/>
        <w:rPr>
          <w:rFonts w:ascii="Times New Roman" w:eastAsia="Times New Roman" w:hAnsi="Times New Roman" w:cs="Times New Roman"/>
          <w:color w:val="000000"/>
          <w:sz w:val="24"/>
          <w:szCs w:val="24"/>
        </w:rPr>
      </w:pPr>
    </w:p>
    <w:p w14:paraId="0C339806" w14:textId="77777777" w:rsidR="00477706" w:rsidRDefault="00477706" w:rsidP="00477706">
      <w:pPr>
        <w:spacing w:after="0"/>
        <w:jc w:val="both"/>
        <w:rPr>
          <w:rFonts w:ascii="Times New Roman" w:eastAsia="Times New Roman" w:hAnsi="Times New Roman" w:cs="Times New Roman"/>
          <w:color w:val="000000"/>
          <w:sz w:val="24"/>
          <w:szCs w:val="24"/>
        </w:rPr>
      </w:pPr>
    </w:p>
    <w:p w14:paraId="65EFED66" w14:textId="77777777" w:rsidR="007373F6" w:rsidRPr="00F1138D" w:rsidRDefault="00000000" w:rsidP="00477706">
      <w:pPr>
        <w:spacing w:after="0"/>
        <w:jc w:val="both"/>
        <w:rPr>
          <w:rFonts w:ascii="Times New Roman" w:eastAsia="Times New Roman" w:hAnsi="Times New Roman" w:cs="Times New Roman"/>
          <w:b/>
          <w:bCs/>
          <w:color w:val="000000"/>
          <w:sz w:val="24"/>
          <w:szCs w:val="24"/>
        </w:rPr>
      </w:pPr>
      <w:r w:rsidRPr="00F1138D">
        <w:rPr>
          <w:rFonts w:ascii="Times New Roman" w:eastAsia="Times New Roman" w:hAnsi="Times New Roman" w:cs="Times New Roman"/>
          <w:b/>
          <w:bCs/>
          <w:color w:val="000000"/>
          <w:sz w:val="24"/>
          <w:szCs w:val="24"/>
        </w:rPr>
        <w:lastRenderedPageBreak/>
        <w:t>Findings of question 3; CEO duality structure of the interviewed firms</w:t>
      </w:r>
    </w:p>
    <w:p w14:paraId="407355E5" w14:textId="77777777" w:rsidR="007373F6" w:rsidRDefault="00000000" w:rsidP="00477706">
      <w:pP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firms out of 9 have currently CEO duality structure. The executives have a conditional perspective on the functionality of CEO duality. If a person who has a CEO duality has a managerial background, it will not have a negative effect on managerial processing steps like auditing and transparent managerial reporting, etc.</w:t>
      </w:r>
    </w:p>
    <w:p w14:paraId="2B35EBC1" w14:textId="77777777" w:rsidR="00477706" w:rsidRDefault="00477706" w:rsidP="00477706">
      <w:pPr>
        <w:spacing w:after="0"/>
        <w:jc w:val="both"/>
        <w:rPr>
          <w:rFonts w:ascii="Times New Roman" w:eastAsia="Times New Roman" w:hAnsi="Times New Roman" w:cs="Times New Roman"/>
          <w:color w:val="000000"/>
          <w:sz w:val="24"/>
          <w:szCs w:val="24"/>
        </w:rPr>
      </w:pPr>
    </w:p>
    <w:p w14:paraId="23B304FD" w14:textId="77777777" w:rsidR="007373F6" w:rsidRPr="00F1138D" w:rsidRDefault="00000000" w:rsidP="00477706">
      <w:pPr>
        <w:spacing w:after="0"/>
        <w:jc w:val="both"/>
        <w:rPr>
          <w:rFonts w:ascii="Times New Roman" w:eastAsia="Times New Roman" w:hAnsi="Times New Roman" w:cs="Times New Roman"/>
          <w:b/>
          <w:bCs/>
          <w:color w:val="000000"/>
          <w:sz w:val="24"/>
          <w:szCs w:val="24"/>
        </w:rPr>
      </w:pPr>
      <w:r w:rsidRPr="00F1138D">
        <w:rPr>
          <w:rFonts w:ascii="Times New Roman" w:eastAsia="Times New Roman" w:hAnsi="Times New Roman" w:cs="Times New Roman"/>
          <w:b/>
          <w:bCs/>
          <w:color w:val="000000"/>
          <w:sz w:val="24"/>
          <w:szCs w:val="24"/>
        </w:rPr>
        <w:t>Findings of question 4; The impact of CEO duality on firm profit</w:t>
      </w:r>
    </w:p>
    <w:p w14:paraId="25D32CBD" w14:textId="77777777" w:rsidR="007373F6" w:rsidRDefault="00000000" w:rsidP="00477706">
      <w:pP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 executives claim that the impact of CEO duality depends on the firm size, firm culture, leadership style and the background of the CEO and the current economic situation of the country. The 3 executives who have a CEO duality structure in their firms mentioned mostly the positive impact of this structure in terms of fast decision making and easy strategy implementation process.</w:t>
      </w:r>
    </w:p>
    <w:p w14:paraId="38F2AA0B" w14:textId="77777777" w:rsidR="00477706" w:rsidRDefault="00477706" w:rsidP="00477706">
      <w:pPr>
        <w:spacing w:after="0"/>
        <w:jc w:val="both"/>
        <w:rPr>
          <w:rFonts w:ascii="Times New Roman" w:eastAsia="Times New Roman" w:hAnsi="Times New Roman" w:cs="Times New Roman"/>
          <w:color w:val="000000"/>
          <w:sz w:val="24"/>
          <w:szCs w:val="24"/>
        </w:rPr>
      </w:pPr>
    </w:p>
    <w:p w14:paraId="3168056F" w14:textId="77777777" w:rsidR="007373F6" w:rsidRPr="00F1138D" w:rsidRDefault="00000000" w:rsidP="00477706">
      <w:pPr>
        <w:spacing w:after="0"/>
        <w:jc w:val="both"/>
        <w:rPr>
          <w:rFonts w:ascii="Times New Roman" w:eastAsia="Times New Roman" w:hAnsi="Times New Roman" w:cs="Times New Roman"/>
          <w:b/>
          <w:bCs/>
          <w:color w:val="000000"/>
          <w:sz w:val="24"/>
          <w:szCs w:val="24"/>
        </w:rPr>
      </w:pPr>
      <w:r w:rsidRPr="00F1138D">
        <w:rPr>
          <w:rFonts w:ascii="Times New Roman" w:eastAsia="Times New Roman" w:hAnsi="Times New Roman" w:cs="Times New Roman"/>
          <w:b/>
          <w:bCs/>
          <w:color w:val="000000"/>
          <w:sz w:val="24"/>
          <w:szCs w:val="24"/>
        </w:rPr>
        <w:t>Findings of question 5; The impact of CEO duality on management reporting process</w:t>
      </w:r>
    </w:p>
    <w:p w14:paraId="002FADE8" w14:textId="402F419F" w:rsidR="00F1138D" w:rsidRDefault="00000000" w:rsidP="00477706">
      <w:pP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executives have an idea that CEO duality may have a negative impact on the reporting process, and it can cause delays for the transformation of the integrated reporting system. The executives who have CEO duality claim that it has a positive effect on reporting due to the CEO’s close watch over the financial figures.</w:t>
      </w:r>
    </w:p>
    <w:p w14:paraId="731D5533" w14:textId="77777777" w:rsidR="00F1138D" w:rsidRDefault="00F1138D" w:rsidP="00F1138D">
      <w:pPr>
        <w:spacing w:after="0"/>
        <w:jc w:val="both"/>
        <w:rPr>
          <w:rFonts w:ascii="Times New Roman" w:eastAsia="Times New Roman" w:hAnsi="Times New Roman" w:cs="Times New Roman"/>
          <w:color w:val="000000"/>
          <w:sz w:val="24"/>
          <w:szCs w:val="24"/>
        </w:rPr>
      </w:pPr>
    </w:p>
    <w:p w14:paraId="2549448C" w14:textId="58F41799" w:rsidR="007373F6" w:rsidRDefault="00000000" w:rsidP="00F1138D">
      <w:pPr>
        <w:spacing w:after="0"/>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3</w:t>
      </w:r>
      <w:r w:rsidR="00F1138D">
        <w:rPr>
          <w:rFonts w:ascii="Times New Roman" w:eastAsia="Times New Roman" w:hAnsi="Times New Roman" w:cs="Times New Roman"/>
          <w:b/>
          <w:sz w:val="24"/>
          <w:szCs w:val="24"/>
        </w:rPr>
        <w:t>.</w:t>
      </w:r>
      <w:r w:rsidR="00480C0A">
        <w:rPr>
          <w:rFonts w:ascii="Times New Roman" w:eastAsia="Times New Roman" w:hAnsi="Times New Roman" w:cs="Times New Roman"/>
          <w:b/>
          <w:sz w:val="24"/>
          <w:szCs w:val="24"/>
        </w:rPr>
        <w:t xml:space="preserve"> </w:t>
      </w:r>
      <w:r>
        <w:rPr>
          <w:rFonts w:ascii="Times New Roman" w:eastAsia="Times New Roman" w:hAnsi="Times New Roman" w:cs="Times New Roman"/>
          <w:b/>
          <w:color w:val="000000"/>
          <w:sz w:val="24"/>
          <w:szCs w:val="24"/>
        </w:rPr>
        <w:t>CONCLUSION</w:t>
      </w:r>
    </w:p>
    <w:p w14:paraId="741D0775" w14:textId="77777777" w:rsidR="00F1138D" w:rsidRDefault="00F1138D" w:rsidP="00F1138D">
      <w:pPr>
        <w:spacing w:after="0"/>
        <w:jc w:val="both"/>
        <w:rPr>
          <w:rFonts w:ascii="Times New Roman" w:eastAsia="Times New Roman" w:hAnsi="Times New Roman" w:cs="Times New Roman"/>
          <w:color w:val="000000"/>
          <w:sz w:val="24"/>
          <w:szCs w:val="24"/>
        </w:rPr>
      </w:pPr>
    </w:p>
    <w:p w14:paraId="06D76749" w14:textId="475A73E6" w:rsidR="007373F6" w:rsidRDefault="00000000" w:rsidP="00F1138D">
      <w:pPr>
        <w:spacing w:after="0"/>
        <w:ind w:firstLine="42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This study investigates the impact of CEO duality on firm profitability, stock value change and management processing. The theoretical background of the study is “Agency Theory” and “Stewardship Theory”. The data consists of 201 listed manufacturing firms on the Istanbul Stock Exchange. Financial reports as of 31</w:t>
      </w:r>
      <w:r>
        <w:rPr>
          <w:rFonts w:ascii="Times New Roman" w:eastAsia="Times New Roman" w:hAnsi="Times New Roman" w:cs="Times New Roman"/>
          <w:color w:val="000000"/>
          <w:sz w:val="24"/>
          <w:szCs w:val="24"/>
          <w:vertAlign w:val="superscript"/>
        </w:rPr>
        <w:t>st</w:t>
      </w:r>
      <w:r>
        <w:rPr>
          <w:rFonts w:ascii="Times New Roman" w:eastAsia="Times New Roman" w:hAnsi="Times New Roman" w:cs="Times New Roman"/>
          <w:color w:val="000000"/>
          <w:sz w:val="24"/>
          <w:szCs w:val="24"/>
        </w:rPr>
        <w:t xml:space="preserve"> of December 2024 are used for profitability ratios and yearly stock value change is calculated for the period between 1</w:t>
      </w:r>
      <w:r>
        <w:rPr>
          <w:rFonts w:ascii="Times New Roman" w:eastAsia="Times New Roman" w:hAnsi="Times New Roman" w:cs="Times New Roman"/>
          <w:color w:val="000000"/>
          <w:sz w:val="24"/>
          <w:szCs w:val="24"/>
          <w:vertAlign w:val="superscript"/>
        </w:rPr>
        <w:t>st</w:t>
      </w:r>
      <w:r>
        <w:rPr>
          <w:rFonts w:ascii="Times New Roman" w:eastAsia="Times New Roman" w:hAnsi="Times New Roman" w:cs="Times New Roman"/>
          <w:color w:val="000000"/>
          <w:sz w:val="24"/>
          <w:szCs w:val="24"/>
        </w:rPr>
        <w:t xml:space="preserve"> of January 2024 and 31</w:t>
      </w:r>
      <w:r>
        <w:rPr>
          <w:rFonts w:ascii="Times New Roman" w:eastAsia="Times New Roman" w:hAnsi="Times New Roman" w:cs="Times New Roman"/>
          <w:color w:val="000000"/>
          <w:sz w:val="24"/>
          <w:szCs w:val="24"/>
          <w:vertAlign w:val="superscript"/>
        </w:rPr>
        <w:t>st</w:t>
      </w:r>
      <w:r>
        <w:rPr>
          <w:rFonts w:ascii="Times New Roman" w:eastAsia="Times New Roman" w:hAnsi="Times New Roman" w:cs="Times New Roman"/>
          <w:color w:val="000000"/>
          <w:sz w:val="24"/>
          <w:szCs w:val="24"/>
        </w:rPr>
        <w:t xml:space="preserve"> of December 2024. The first question of the research is whether CEO duality has an impact on firm profitability. The result of logistic regression shows that there is no significant relation between profitability which is the dependent variable and the independent variables which are gross profit, ROE (Return on Equity) and yearly stock value change. </w:t>
      </w:r>
    </w:p>
    <w:p w14:paraId="10A20662" w14:textId="77777777" w:rsidR="007373F6" w:rsidRDefault="00000000" w:rsidP="00F1138D">
      <w:pPr>
        <w:ind w:firstLine="42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second question of the research is how CEO duality affects management processing and the performance of the firm. Semi structured interviews are applied to 9 firm executives which are included in the research sample. The questions are related to the impact of CEO duality on profitability, management reporting and auditing processes. The interview results show that the impact of CEO duality on management processing is conditional. It can change based on the country’s economic situation, firm size, firm culture, board size, leadership style and past experiences of the CEO. Especially management experience of CEOs in addition to production experience is the key issue for positive effect of CEO duality which supports Stewardship Theory.  Listed companies benefit from greater access to capital, regulatory compliance, market presence, management stability, diversification opportunities, and shareholder pressure, all of which contribute to their longer operational periods compared to non-listed companies and expected to have experienced CEOs. On the other hand, CEO duality has the risk of preventing transparency, board independence, objective management reporting and auditing which supports Agency Theory. The results do not fully support agency or stewardship theories since the replies of the executives are mostly conditional.</w:t>
      </w:r>
    </w:p>
    <w:p w14:paraId="32DB8D2F" w14:textId="77777777" w:rsidR="007373F6" w:rsidRDefault="007373F6">
      <w:pPr>
        <w:pStyle w:val="Heading2"/>
        <w:jc w:val="both"/>
        <w:rPr>
          <w:color w:val="000000"/>
        </w:rPr>
        <w:sectPr w:rsidR="007373F6">
          <w:pgSz w:w="11906" w:h="16838"/>
          <w:pgMar w:top="1440" w:right="1440" w:bottom="1440" w:left="1440" w:header="708" w:footer="708" w:gutter="0"/>
          <w:cols w:space="720"/>
        </w:sectPr>
      </w:pPr>
    </w:p>
    <w:p w14:paraId="2BC404AA" w14:textId="77777777" w:rsidR="007373F6" w:rsidRDefault="00000000">
      <w:pPr>
        <w:pStyle w:val="Heading1"/>
      </w:pPr>
      <w:bookmarkStart w:id="55" w:name="_Toc211808142"/>
      <w:r>
        <w:lastRenderedPageBreak/>
        <w:t>Paper ID 11</w:t>
      </w:r>
      <w:bookmarkEnd w:id="55"/>
    </w:p>
    <w:p w14:paraId="19F3B744" w14:textId="77777777" w:rsidR="007373F6" w:rsidRDefault="00000000">
      <w:pPr>
        <w:pStyle w:val="Heading2"/>
        <w:spacing w:after="0" w:line="240" w:lineRule="auto"/>
      </w:pPr>
      <w:bookmarkStart w:id="56" w:name="_Toc211808143"/>
      <w:r>
        <w:t>THE EFFECT OF CORPORATE SOCIAL RESPONSIBILITY ON RESPONSIBLE ORGANIZATIONAL CULTURE AND ORGANIZATIONAL CITIZENSHIP BEHAVIOR: MODERATING ROLE OF RESPONSIBLE LEADERSHIP</w:t>
      </w:r>
      <w:bookmarkEnd w:id="56"/>
    </w:p>
    <w:p w14:paraId="35CA6673" w14:textId="77777777" w:rsidR="007373F6" w:rsidRDefault="007373F6">
      <w:pPr>
        <w:spacing w:after="0" w:line="240" w:lineRule="auto"/>
        <w:jc w:val="center"/>
        <w:rPr>
          <w:rFonts w:ascii="Times New Roman" w:eastAsia="Times New Roman" w:hAnsi="Times New Roman" w:cs="Times New Roman"/>
          <w:b/>
          <w:sz w:val="26"/>
          <w:szCs w:val="26"/>
        </w:rPr>
      </w:pPr>
    </w:p>
    <w:p w14:paraId="30C90CD7" w14:textId="77777777" w:rsidR="007373F6" w:rsidRDefault="00000000">
      <w:pPr>
        <w:shd w:val="clear" w:color="auto" w:fill="FFFFFF"/>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Naila Erum*</w:t>
      </w:r>
      <w:r>
        <w:rPr>
          <w:rFonts w:ascii="Times New Roman" w:eastAsia="Times New Roman" w:hAnsi="Times New Roman" w:cs="Times New Roman"/>
          <w:color w:val="222222"/>
          <w:sz w:val="24"/>
          <w:szCs w:val="24"/>
        </w:rPr>
        <w:t>, Faculty of Administrative Science and Policy Studies, Universiti Teknologi MARA (UiTM) Seremban Campus, Negeri Sembilan, Malaysia (naila@uitm.edu.my)</w:t>
      </w:r>
    </w:p>
    <w:p w14:paraId="2BFE5D63" w14:textId="77777777" w:rsidR="007373F6" w:rsidRDefault="00000000">
      <w:pPr>
        <w:spacing w:after="0" w:line="240" w:lineRule="auto"/>
        <w:jc w:val="center"/>
        <w:rPr>
          <w:rFonts w:ascii="Times New Roman" w:eastAsia="Times New Roman" w:hAnsi="Times New Roman" w:cs="Times New Roman"/>
          <w:color w:val="222222"/>
          <w:sz w:val="24"/>
          <w:szCs w:val="24"/>
        </w:rPr>
      </w:pPr>
      <w:r>
        <w:rPr>
          <w:rFonts w:ascii="Times New Roman" w:eastAsia="Times New Roman" w:hAnsi="Times New Roman" w:cs="Times New Roman"/>
          <w:b/>
          <w:sz w:val="24"/>
          <w:szCs w:val="24"/>
        </w:rPr>
        <w:t>Tahir Abid Mehdi</w:t>
      </w:r>
      <w:r>
        <w:rPr>
          <w:rFonts w:ascii="Times New Roman" w:eastAsia="Times New Roman" w:hAnsi="Times New Roman" w:cs="Times New Roman"/>
          <w:color w:val="222222"/>
          <w:sz w:val="24"/>
          <w:szCs w:val="24"/>
        </w:rPr>
        <w:t xml:space="preserve">, Department of Management Sciences, </w:t>
      </w:r>
    </w:p>
    <w:p w14:paraId="58516B2A" w14:textId="77777777" w:rsidR="007373F6" w:rsidRDefault="00000000">
      <w:pPr>
        <w:spacing w:after="0" w:line="240" w:lineRule="auto"/>
        <w:jc w:val="center"/>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COMSATS University Islamabad, Sahiwal Campus Business School, Pakistan (tahirmehdi164@gmail.com)</w:t>
      </w:r>
    </w:p>
    <w:p w14:paraId="4689200C" w14:textId="77777777" w:rsidR="007373F6" w:rsidRDefault="007373F6">
      <w:pPr>
        <w:spacing w:after="0" w:line="240" w:lineRule="auto"/>
        <w:jc w:val="center"/>
        <w:rPr>
          <w:sz w:val="24"/>
          <w:szCs w:val="24"/>
        </w:rPr>
      </w:pPr>
    </w:p>
    <w:p w14:paraId="159F3485" w14:textId="77777777" w:rsidR="007373F6" w:rsidRDefault="00000000">
      <w:pPr>
        <w:spacing w:after="0" w:line="240" w:lineRule="auto"/>
        <w:jc w:val="center"/>
        <w:rPr>
          <w:rFonts w:ascii="Times New Roman" w:eastAsia="Times New Roman" w:hAnsi="Times New Roman" w:cs="Times New Roman"/>
          <w:color w:val="222222"/>
          <w:sz w:val="24"/>
          <w:szCs w:val="24"/>
        </w:rPr>
      </w:pPr>
      <w:r>
        <w:rPr>
          <w:rFonts w:ascii="Times New Roman" w:eastAsia="Times New Roman" w:hAnsi="Times New Roman" w:cs="Times New Roman"/>
          <w:b/>
          <w:sz w:val="24"/>
          <w:szCs w:val="24"/>
        </w:rPr>
        <w:t>Muhammad Mansoor Asghar</w:t>
      </w:r>
      <w:r>
        <w:rPr>
          <w:rFonts w:ascii="Times New Roman" w:eastAsia="Times New Roman" w:hAnsi="Times New Roman" w:cs="Times New Roman"/>
          <w:color w:val="222222"/>
          <w:sz w:val="24"/>
          <w:szCs w:val="24"/>
        </w:rPr>
        <w:t xml:space="preserve">, Department of Management Sciences, </w:t>
      </w:r>
    </w:p>
    <w:p w14:paraId="17AE82B9" w14:textId="77777777" w:rsidR="007373F6" w:rsidRDefault="00000000">
      <w:pPr>
        <w:spacing w:after="0" w:line="240" w:lineRule="auto"/>
        <w:jc w:val="center"/>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University of Jhang, Punjab, Pakistan (mansoorasghar@yahoo.com)</w:t>
      </w:r>
    </w:p>
    <w:p w14:paraId="1CD9B3B9" w14:textId="77777777" w:rsidR="007373F6" w:rsidRDefault="007373F6">
      <w:pPr>
        <w:spacing w:after="0" w:line="240" w:lineRule="auto"/>
        <w:jc w:val="center"/>
        <w:rPr>
          <w:sz w:val="24"/>
          <w:szCs w:val="24"/>
        </w:rPr>
      </w:pPr>
    </w:p>
    <w:p w14:paraId="66D082BE" w14:textId="77777777" w:rsidR="007373F6" w:rsidRDefault="00000000">
      <w:pPr>
        <w:shd w:val="clear" w:color="auto" w:fill="FFFFFF"/>
        <w:jc w:val="cente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b/>
          <w:color w:val="222222"/>
          <w:sz w:val="24"/>
          <w:szCs w:val="24"/>
        </w:rPr>
        <w:t>Zuraidah</w:t>
      </w:r>
      <w:proofErr w:type="spellEnd"/>
      <w:r>
        <w:rPr>
          <w:rFonts w:ascii="Times New Roman" w:eastAsia="Times New Roman" w:hAnsi="Times New Roman" w:cs="Times New Roman"/>
          <w:b/>
          <w:color w:val="222222"/>
          <w:sz w:val="24"/>
          <w:szCs w:val="24"/>
        </w:rPr>
        <w:t xml:space="preserve"> M. Sanusi</w:t>
      </w:r>
      <w:r>
        <w:rPr>
          <w:rFonts w:ascii="Times New Roman" w:eastAsia="Times New Roman" w:hAnsi="Times New Roman" w:cs="Times New Roman"/>
          <w:color w:val="222222"/>
          <w:sz w:val="24"/>
          <w:szCs w:val="24"/>
        </w:rPr>
        <w:t>, Accounting Research Institute, Universiti Teknologi MARA (UiTM), Malaysia (zuraidahms@uitm.edu.my)</w:t>
      </w:r>
    </w:p>
    <w:p w14:paraId="68349840" w14:textId="77777777" w:rsidR="007373F6" w:rsidRDefault="007373F6">
      <w:pPr>
        <w:jc w:val="center"/>
      </w:pPr>
    </w:p>
    <w:p w14:paraId="44C1B84D" w14:textId="77777777" w:rsidR="007373F6"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ABSTRACT</w:t>
      </w:r>
    </w:p>
    <w:p w14:paraId="56C82EC6"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Corporate social responsibility has become an important tool to address multiple issues and attain sustainability in growth for organizations in the competitive market. This research investigates the effect of corporate social responsibility on organizational citizenship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of the employees and the responsible organizational culture of a firm using stakeholder theory. This study also tests the moderating effect of different orientations (strategist and integrator orientation) of responsible leadership on the relationship between corporate social responsibility and responsible organizational culture and employees’ organizational citizenship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using a contingency theory perspective. The population of the study consisted of employees working in the banking sector of Pakistan. Data was collected from 530 bank employees using a questionnaire survey method. This study uses the structural equation </w:t>
      </w:r>
      <w:proofErr w:type="spellStart"/>
      <w:r>
        <w:rPr>
          <w:rFonts w:ascii="Times New Roman" w:eastAsia="Times New Roman" w:hAnsi="Times New Roman" w:cs="Times New Roman"/>
          <w:sz w:val="24"/>
          <w:szCs w:val="24"/>
        </w:rPr>
        <w:t>modeling</w:t>
      </w:r>
      <w:proofErr w:type="spellEnd"/>
      <w:r>
        <w:rPr>
          <w:rFonts w:ascii="Times New Roman" w:eastAsia="Times New Roman" w:hAnsi="Times New Roman" w:cs="Times New Roman"/>
          <w:sz w:val="24"/>
          <w:szCs w:val="24"/>
        </w:rPr>
        <w:t xml:space="preserve"> (SEM) technique for the estimation of results. The findings of the study reveal that corporate social responsibility has a significant effect on the responsible organizational culture of a firm. Further, corporate social responsibility has a significant effect on the organizational citizenship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of employees. In moderating effects, only the strategist orientation of responsible leadership moderates the relationship between corporate social responsibility and organizational citizenship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The results of this research suggest that supervisors should engage in socially responsible activities because these activities will help improve organizational citizenship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and responsible organizational culture.</w:t>
      </w:r>
    </w:p>
    <w:p w14:paraId="58B742BC" w14:textId="77777777" w:rsidR="007373F6" w:rsidRDefault="007373F6">
      <w:pPr>
        <w:spacing w:after="0" w:line="240" w:lineRule="auto"/>
        <w:jc w:val="both"/>
        <w:rPr>
          <w:rFonts w:ascii="Times New Roman" w:eastAsia="Times New Roman" w:hAnsi="Times New Roman" w:cs="Times New Roman"/>
          <w:sz w:val="24"/>
          <w:szCs w:val="24"/>
        </w:rPr>
      </w:pPr>
    </w:p>
    <w:p w14:paraId="09881A37" w14:textId="77777777" w:rsidR="007373F6" w:rsidRDefault="00000000">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Keywords: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Corporate Social Responsibility, Organizational Citizenship </w:t>
      </w:r>
      <w:proofErr w:type="spellStart"/>
      <w:r>
        <w:rPr>
          <w:rFonts w:ascii="Times New Roman" w:eastAsia="Times New Roman" w:hAnsi="Times New Roman" w:cs="Times New Roman"/>
          <w:i/>
          <w:sz w:val="24"/>
          <w:szCs w:val="24"/>
        </w:rPr>
        <w:t>Behavior</w:t>
      </w:r>
      <w:proofErr w:type="spellEnd"/>
      <w:r>
        <w:rPr>
          <w:rFonts w:ascii="Times New Roman" w:eastAsia="Times New Roman" w:hAnsi="Times New Roman" w:cs="Times New Roman"/>
          <w:i/>
          <w:sz w:val="24"/>
          <w:szCs w:val="24"/>
        </w:rPr>
        <w:t xml:space="preserve">, Responsible Organizational Culture, Responsible Leadership Orientations, Confirmatory Factor Analysis  </w:t>
      </w:r>
    </w:p>
    <w:p w14:paraId="45626362" w14:textId="77777777" w:rsidR="007373F6" w:rsidRDefault="007373F6" w:rsidP="00480C0A"/>
    <w:p w14:paraId="6A8B714E" w14:textId="77777777" w:rsidR="007373F6" w:rsidRDefault="00000000">
      <w:pPr>
        <w:spacing w:after="20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r>
      <w:r>
        <w:br w:type="page"/>
      </w:r>
    </w:p>
    <w:p w14:paraId="02869ADA" w14:textId="77777777" w:rsidR="007373F6" w:rsidRDefault="00000000">
      <w:pPr>
        <w:spacing w:after="20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EXECUTIVE SUMMARY</w:t>
      </w:r>
    </w:p>
    <w:p w14:paraId="00EF44B0" w14:textId="77777777" w:rsidR="007373F6" w:rsidRDefault="00000000" w:rsidP="00284585">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manuscript titled “The Effect of Corporate Social Responsibility on Responsible Organizational Culture and Organizational Citizenship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Moderating Role of Responsible Leadership” examines how corporate social responsibility (CSR) influences both responsible organizational culture (ROC) and organizational citizenship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(OCB), while also investigating whether different orientations of responsible leadership (strategist and integrator) moderate these relationships. CSR has become a central concern for organizations across the globe, not only as a philanthropic activity but as an integral part of strategic planning that allows firms to address environmental, social, and ethical challenges while ensuring sustainable growth. CSR is especially significant in the banking sector because it operates in a service-intensive, trust-driven environment where employees’ </w:t>
      </w:r>
      <w:proofErr w:type="spellStart"/>
      <w:r>
        <w:rPr>
          <w:rFonts w:ascii="Times New Roman" w:eastAsia="Times New Roman" w:hAnsi="Times New Roman" w:cs="Times New Roman"/>
          <w:sz w:val="24"/>
          <w:szCs w:val="24"/>
        </w:rPr>
        <w:t>behaviors</w:t>
      </w:r>
      <w:proofErr w:type="spellEnd"/>
      <w:r>
        <w:rPr>
          <w:rFonts w:ascii="Times New Roman" w:eastAsia="Times New Roman" w:hAnsi="Times New Roman" w:cs="Times New Roman"/>
          <w:sz w:val="24"/>
          <w:szCs w:val="24"/>
        </w:rPr>
        <w:t xml:space="preserve"> strongly affect stakeholders’ confidence in Pakistan. The </w:t>
      </w:r>
      <w:proofErr w:type="spellStart"/>
      <w:r>
        <w:rPr>
          <w:rFonts w:ascii="Times New Roman" w:eastAsia="Times New Roman" w:hAnsi="Times New Roman" w:cs="Times New Roman"/>
          <w:sz w:val="24"/>
          <w:szCs w:val="24"/>
        </w:rPr>
        <w:t>researchemphasises</w:t>
      </w:r>
      <w:proofErr w:type="spellEnd"/>
      <w:r>
        <w:rPr>
          <w:rFonts w:ascii="Times New Roman" w:eastAsia="Times New Roman" w:hAnsi="Times New Roman" w:cs="Times New Roman"/>
          <w:sz w:val="24"/>
          <w:szCs w:val="24"/>
        </w:rPr>
        <w:t xml:space="preserve"> therefore addresses an important gap by focusing on how CSR and leadership orientations interact to shape culture and employee </w:t>
      </w:r>
      <w:proofErr w:type="spellStart"/>
      <w:r>
        <w:rPr>
          <w:rFonts w:ascii="Times New Roman" w:eastAsia="Times New Roman" w:hAnsi="Times New Roman" w:cs="Times New Roman"/>
          <w:sz w:val="24"/>
          <w:szCs w:val="24"/>
        </w:rPr>
        <w:t>behaviors</w:t>
      </w:r>
      <w:proofErr w:type="spellEnd"/>
      <w:r>
        <w:rPr>
          <w:rFonts w:ascii="Times New Roman" w:eastAsia="Times New Roman" w:hAnsi="Times New Roman" w:cs="Times New Roman"/>
          <w:sz w:val="24"/>
          <w:szCs w:val="24"/>
        </w:rPr>
        <w:t xml:space="preserve"> in a developing, non-Western context.</w:t>
      </w:r>
    </w:p>
    <w:p w14:paraId="762ABCD9" w14:textId="77777777" w:rsidR="007373F6" w:rsidRDefault="00000000" w:rsidP="00284585">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study is grounded in stakeholder theory, which emphasizes that organizations must create value not only for shareholders but also for employees, customers, suppliers, communities, and regulators. When organizations implement CSR effectively, they build stronger identification among employees, who then reciprocate with trust, loyalty, and voluntary contributions beyond their formal job roles. These voluntary contributions, known as organizational citizenship </w:t>
      </w:r>
      <w:proofErr w:type="spellStart"/>
      <w:r>
        <w:rPr>
          <w:rFonts w:ascii="Times New Roman" w:eastAsia="Times New Roman" w:hAnsi="Times New Roman" w:cs="Times New Roman"/>
          <w:sz w:val="24"/>
          <w:szCs w:val="24"/>
        </w:rPr>
        <w:t>behaviors</w:t>
      </w:r>
      <w:proofErr w:type="spellEnd"/>
      <w:r>
        <w:rPr>
          <w:rFonts w:ascii="Times New Roman" w:eastAsia="Times New Roman" w:hAnsi="Times New Roman" w:cs="Times New Roman"/>
          <w:sz w:val="24"/>
          <w:szCs w:val="24"/>
        </w:rPr>
        <w:t>, include actions such as helping colleagues, engaging in civic virtue, and demonstrating conscientiousness. The study also incorporates contingency theory by examining how the impact of CSR may vary depending on the leadership orientation of managers. Responsible leaders, as argued by Pless and Maak, embody responsibility as a felt obligation toward multiple stakeholders. Within this framework, leaders may adopt a strategist orientation viewing CSR as instrumental and aligned with long-term business goals and competitive advantage or an integrator orientation, which emphasizes fairness and moral obligations to a wide array of stakeholders, even when these do not directly generate profits. This dual perspective allows the study to test whether leadership styles amplify or weaken CSR’s effects on organizational outcomes.</w:t>
      </w:r>
    </w:p>
    <w:p w14:paraId="609BC869" w14:textId="77777777" w:rsidR="007373F6" w:rsidRDefault="00000000" w:rsidP="00284585">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literature review highlights several key areas. </w:t>
      </w:r>
      <w:r>
        <w:rPr>
          <w:rFonts w:ascii="Times New Roman" w:eastAsia="Times New Roman" w:hAnsi="Times New Roman" w:cs="Times New Roman"/>
          <w:i/>
          <w:sz w:val="24"/>
          <w:szCs w:val="24"/>
        </w:rPr>
        <w:t>First</w:t>
      </w:r>
      <w:r>
        <w:rPr>
          <w:rFonts w:ascii="Times New Roman" w:eastAsia="Times New Roman" w:hAnsi="Times New Roman" w:cs="Times New Roman"/>
          <w:sz w:val="24"/>
          <w:szCs w:val="24"/>
        </w:rPr>
        <w:t xml:space="preserve">, prior research suggests that CSR helps to shape organizational culture by embedding ethical norms and fostering shared values that encourage innovation, accountability, and openness. Organizations with a strong CSR focus are better able to adapt to changing environments and build sustainable practices. </w:t>
      </w:r>
      <w:r>
        <w:rPr>
          <w:rFonts w:ascii="Times New Roman" w:eastAsia="Times New Roman" w:hAnsi="Times New Roman" w:cs="Times New Roman"/>
          <w:i/>
          <w:sz w:val="24"/>
          <w:szCs w:val="24"/>
        </w:rPr>
        <w:t>Second,</w:t>
      </w:r>
      <w:r>
        <w:rPr>
          <w:rFonts w:ascii="Times New Roman" w:eastAsia="Times New Roman" w:hAnsi="Times New Roman" w:cs="Times New Roman"/>
          <w:sz w:val="24"/>
          <w:szCs w:val="24"/>
        </w:rPr>
        <w:t xml:space="preserve"> CSR is strongly linked with OCB because employees who perceive their organizations as socially responsible are more likely to feel pride, belonging, and motivation to contribute beyond their job requirements. </w:t>
      </w:r>
      <w:r>
        <w:rPr>
          <w:rFonts w:ascii="Times New Roman" w:eastAsia="Times New Roman" w:hAnsi="Times New Roman" w:cs="Times New Roman"/>
          <w:i/>
          <w:sz w:val="24"/>
          <w:szCs w:val="24"/>
        </w:rPr>
        <w:t>Third,</w:t>
      </w:r>
      <w:r>
        <w:rPr>
          <w:rFonts w:ascii="Times New Roman" w:eastAsia="Times New Roman" w:hAnsi="Times New Roman" w:cs="Times New Roman"/>
          <w:sz w:val="24"/>
          <w:szCs w:val="24"/>
        </w:rPr>
        <w:t xml:space="preserve"> the role of leadership remains underexplored, but theorists suggest that strategist-oriented leaders may enhance CSR’s influence on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by aligning it with strategic goals, while integrator-oriented leaders may strengthen CSR’s impact on culture by reinforcing inclusivity and ethical obligations. From this review, the study develops six hypotheses: that CSR positively influences ROC (H1) and OCB (H2); that strategist orientation strengthens CSR’s relationship with ROC (H3a) and with OCB (H3b); and that integrator orientation strengthens CSR’s relationship with ROC (H3c) and with OCB (H3d).</w:t>
      </w:r>
    </w:p>
    <w:p w14:paraId="53644D6B" w14:textId="77777777" w:rsidR="007373F6" w:rsidRDefault="00000000" w:rsidP="00284585">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test these hypotheses, the study used a quantitative, survey-based methodology. Data were collected from 530 employees in the banking sector in Sahiwal, Punjab, Pakistan, using a time-lagged design to reduce common method bias. At Time 1, respondents answered questions about CSR perceptions and leadership orientations. At Time 2, two weeks later, the same respondents completed questionnaires assessing responsible organizational culture and peer-rated OCB. This design allowed for both self-reported and peer-reported data, enhancing </w:t>
      </w:r>
      <w:r>
        <w:rPr>
          <w:rFonts w:ascii="Times New Roman" w:eastAsia="Times New Roman" w:hAnsi="Times New Roman" w:cs="Times New Roman"/>
          <w:sz w:val="24"/>
          <w:szCs w:val="24"/>
        </w:rPr>
        <w:lastRenderedPageBreak/>
        <w:t xml:space="preserve">reliability. The survey instruments were adapted from validated scales, and constructs were measured on five-point Likert scales. Analysis was conducted using Structural Equation </w:t>
      </w:r>
      <w:proofErr w:type="spellStart"/>
      <w:r>
        <w:rPr>
          <w:rFonts w:ascii="Times New Roman" w:eastAsia="Times New Roman" w:hAnsi="Times New Roman" w:cs="Times New Roman"/>
          <w:sz w:val="24"/>
          <w:szCs w:val="24"/>
        </w:rPr>
        <w:t>Modeling</w:t>
      </w:r>
      <w:proofErr w:type="spellEnd"/>
      <w:r>
        <w:rPr>
          <w:rFonts w:ascii="Times New Roman" w:eastAsia="Times New Roman" w:hAnsi="Times New Roman" w:cs="Times New Roman"/>
          <w:sz w:val="24"/>
          <w:szCs w:val="24"/>
        </w:rPr>
        <w:t xml:space="preserve"> (SEM) with Confirmatory Factor Analysis (CFA) to validate measurement reliability and discriminant validity. Model fit indices (e.g., RMSEA = 0.044, CFI = 0.894) confirmed that the measurement model was robust. The sample profile revealed that most respondents were male (69.6%), aged above 30, and highly educated, with nearly half holding master’s degrees. Respondents came from government, semi-government, and private banks, providing a diverse yet focused view of the sector.</w:t>
      </w:r>
    </w:p>
    <w:p w14:paraId="49FAE394" w14:textId="77777777" w:rsidR="007373F6" w:rsidRDefault="00000000" w:rsidP="00284585">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results revealed strong support for the first two hypotheses. CSR was found to have a significant positive impact on responsible organizational culture (β = 0.48, p &lt; 0.001) and on organizational citizenship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(β = 0.36, p &lt; 0.001). These findings confirm that when banks in Pakistan engage in CSR activities, they not only embed ethical and responsible values into their organizational culture but also inspire employees to go beyond their formal roles and contribute positively to the organization. However, the moderating effects of leadership orientations were more nuanced. The strategist orientation did not significantly moderate the CSR–ROC relationship, meaning that leaders’ strategic framing of CSR did not influence how CSR shaped cultural values. On the other hand, strategist orientation did significantly strengthen the CSR–OCB relationship (β = 0.09, p = 0.019), suggesting that when leaders frame CSR as part of strategic planning and long-term vision, employees are more likely to translate CSR initiatives into voluntary, discretionary </w:t>
      </w:r>
      <w:proofErr w:type="spellStart"/>
      <w:r>
        <w:rPr>
          <w:rFonts w:ascii="Times New Roman" w:eastAsia="Times New Roman" w:hAnsi="Times New Roman" w:cs="Times New Roman"/>
          <w:sz w:val="24"/>
          <w:szCs w:val="24"/>
        </w:rPr>
        <w:t>behaviors</w:t>
      </w:r>
      <w:proofErr w:type="spellEnd"/>
      <w:r>
        <w:rPr>
          <w:rFonts w:ascii="Times New Roman" w:eastAsia="Times New Roman" w:hAnsi="Times New Roman" w:cs="Times New Roman"/>
          <w:sz w:val="24"/>
          <w:szCs w:val="24"/>
        </w:rPr>
        <w:t>. By contrast, the integrator orientation was not a significant moderator in either case. Leaders who emphasized inclusivity and moral obligations did not appear to alter the impact of CSR on culture or OCB. This suggests that CSR initiatives may already encompass integrative values inherently, leaving little room for leadership orientation to make a difference in this context.</w:t>
      </w:r>
    </w:p>
    <w:p w14:paraId="38F97936" w14:textId="77777777" w:rsidR="007373F6" w:rsidRDefault="00000000" w:rsidP="00284585">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discussion emphasizes that CSR is a powerful tool for shaping both culture and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within organizations. Employees respond positively when CSR initiatives demonstrate genuine concern for stakeholders, which enhances loyalty and motivates them to engage in altruistic and cooperative </w:t>
      </w:r>
      <w:proofErr w:type="spellStart"/>
      <w:r>
        <w:rPr>
          <w:rFonts w:ascii="Times New Roman" w:eastAsia="Times New Roman" w:hAnsi="Times New Roman" w:cs="Times New Roman"/>
          <w:sz w:val="24"/>
          <w:szCs w:val="24"/>
        </w:rPr>
        <w:t>behaviors</w:t>
      </w:r>
      <w:proofErr w:type="spellEnd"/>
      <w:r>
        <w:rPr>
          <w:rFonts w:ascii="Times New Roman" w:eastAsia="Times New Roman" w:hAnsi="Times New Roman" w:cs="Times New Roman"/>
          <w:sz w:val="24"/>
          <w:szCs w:val="24"/>
        </w:rPr>
        <w:t xml:space="preserve">. The study’s findings highlight that CSR directly fosters a responsible organizational culture by embedding ethical norms and shared values, which, in turn, strengthen the organization’s ability to adapt and innovate. Additionally, CSR directly influences OCB, as employees feel a stronger connection to organizations that prioritize social and environmental responsibility. Importantly, the study finds that leadership orientations matter, but only in specific ways. Strategist orientation amplifies CSR’s effect on employee </w:t>
      </w:r>
      <w:proofErr w:type="spellStart"/>
      <w:r>
        <w:rPr>
          <w:rFonts w:ascii="Times New Roman" w:eastAsia="Times New Roman" w:hAnsi="Times New Roman" w:cs="Times New Roman"/>
          <w:sz w:val="24"/>
          <w:szCs w:val="24"/>
        </w:rPr>
        <w:t>behaviors</w:t>
      </w:r>
      <w:proofErr w:type="spellEnd"/>
      <w:r>
        <w:rPr>
          <w:rFonts w:ascii="Times New Roman" w:eastAsia="Times New Roman" w:hAnsi="Times New Roman" w:cs="Times New Roman"/>
          <w:sz w:val="24"/>
          <w:szCs w:val="24"/>
        </w:rPr>
        <w:t>, underscoring the importance of framing CSR strategically as part of long-term organizational goals. Integrator orientation, however, was not found to significantly alter outcomes, perhaps because in a highly regulated sector like banking, CSR initiatives are already closely aligned with stakeholder inclusivity and ethical obligations.</w:t>
      </w:r>
    </w:p>
    <w:p w14:paraId="55ABDB4A" w14:textId="77777777" w:rsidR="007373F6" w:rsidRDefault="00000000" w:rsidP="00284585">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conclusion drawn from the study is that CSR has a substantial positive impact on both responsible organizational culture and organizational citizenship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However, the moderating role of responsible leadership is mixed: strategist orientation enhances the </w:t>
      </w: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outcomes of CSR, while integrator orientation shows no significant moderating effect. For managers and practitioners, this suggests that embedding CSR into the strategic fabric of the organization is essential for maximizing its benefits. Leaders should be trained to adopt a strategist orientation when communicating CSR initiatives, emphasizing long-term goals, competitive advantage, and measurable outcomes, as this approach is more likely to encourage employees to engage in extra-role </w:t>
      </w:r>
      <w:proofErr w:type="spellStart"/>
      <w:r>
        <w:rPr>
          <w:rFonts w:ascii="Times New Roman" w:eastAsia="Times New Roman" w:hAnsi="Times New Roman" w:cs="Times New Roman"/>
          <w:sz w:val="24"/>
          <w:szCs w:val="24"/>
        </w:rPr>
        <w:t>behaviors</w:t>
      </w:r>
      <w:proofErr w:type="spellEnd"/>
      <w:r>
        <w:rPr>
          <w:rFonts w:ascii="Times New Roman" w:eastAsia="Times New Roman" w:hAnsi="Times New Roman" w:cs="Times New Roman"/>
          <w:sz w:val="24"/>
          <w:szCs w:val="24"/>
        </w:rPr>
        <w:t>. Human resource policies should also integrate CSR into recruitment, training, and performance management systems to reinforce responsible values. For policymakers, particularly in emerging economies like Pakistan, encouraging CSR in sectors such as banking can help improve service quality, employee satisfaction, and stakeholder trust.</w:t>
      </w:r>
    </w:p>
    <w:p w14:paraId="3D089B72" w14:textId="77777777" w:rsidR="007373F6" w:rsidRDefault="00000000" w:rsidP="00284585">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study also acknowledges several limitations. Although it used a time-lagged design, it remains largely cross-sectional, limiting causal inference. Longitudinal or experimental studies could provide richer insights into how CSR impacts culture and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over time. Additionally, the reliance on purposive sampling within the banking sector restricts generalizability to other industries or countries. The non-significance of some moderation effects also raises questions about whether other variables, such as organizational size, external stakeholder pressures, or different leadership styles, may play a more significant role in shaping outcomes.</w:t>
      </w:r>
    </w:p>
    <w:p w14:paraId="0E403E08" w14:textId="77777777" w:rsidR="007373F6" w:rsidRDefault="00000000" w:rsidP="00284585">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Despite these limitations, the research contributes meaningfully to the literature by extending CSR and organizational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scholarship into a non-Western, developing context. It demonstrates empirically that CSR not only enhances responsible culture and discretionary employee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but also interacts with leadership orientations in nuanced ways. The findings support stakeholder theory’s emphasis on shared values and social exchange theory’s view that CSR fosters reciprocal </w:t>
      </w:r>
      <w:proofErr w:type="spellStart"/>
      <w:r>
        <w:rPr>
          <w:rFonts w:ascii="Times New Roman" w:eastAsia="Times New Roman" w:hAnsi="Times New Roman" w:cs="Times New Roman"/>
          <w:sz w:val="24"/>
          <w:szCs w:val="24"/>
        </w:rPr>
        <w:t>behaviors</w:t>
      </w:r>
      <w:proofErr w:type="spellEnd"/>
      <w:r>
        <w:rPr>
          <w:rFonts w:ascii="Times New Roman" w:eastAsia="Times New Roman" w:hAnsi="Times New Roman" w:cs="Times New Roman"/>
          <w:sz w:val="24"/>
          <w:szCs w:val="24"/>
        </w:rPr>
        <w:t xml:space="preserve"> from employees. By introducing leadership orientations as moderators, the study also adds to contingency theory, showing that the effectiveness of CSR partly depends on how leaders frame and communicate it.</w:t>
      </w:r>
    </w:p>
    <w:p w14:paraId="519875AC" w14:textId="77777777" w:rsidR="007373F6" w:rsidRDefault="00000000" w:rsidP="00284585">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Overall, this study makes both theoretical and practical contributions. Theoretically, it validates CSR as a driver of culture and citizenship </w:t>
      </w:r>
      <w:proofErr w:type="spellStart"/>
      <w:r>
        <w:rPr>
          <w:rFonts w:ascii="Times New Roman" w:eastAsia="Times New Roman" w:hAnsi="Times New Roman" w:cs="Times New Roman"/>
          <w:sz w:val="24"/>
          <w:szCs w:val="24"/>
        </w:rPr>
        <w:t>behaviors</w:t>
      </w:r>
      <w:proofErr w:type="spellEnd"/>
      <w:r>
        <w:rPr>
          <w:rFonts w:ascii="Times New Roman" w:eastAsia="Times New Roman" w:hAnsi="Times New Roman" w:cs="Times New Roman"/>
          <w:sz w:val="24"/>
          <w:szCs w:val="24"/>
        </w:rPr>
        <w:t xml:space="preserve"> in organizations and clarifies inconsistent findings from prior studies by examining leadership orientations as moderators. Practically, it advises managers to embed CSR into strategic planning and to adopt strategist orientations when promoting CSR internally, as this enhances employee engagement and extra-role contributions. It also highlights the importance of linking CSR initiatives to employees’ daily work, ensuring that CSR is perceived not as an add-on but as an integral part of organizational identity. This approach will foster cultural alignment and motivate employees to contribute beyond their formal responsibilities.</w:t>
      </w:r>
    </w:p>
    <w:p w14:paraId="60E72D3C" w14:textId="77777777" w:rsidR="007373F6" w:rsidRDefault="00000000" w:rsidP="00284585">
      <w:pPr>
        <w:spacing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 nutshell, the manuscript provides a comprehensive analysis of how CSR shapes responsible culture and employee citizenship </w:t>
      </w:r>
      <w:proofErr w:type="spellStart"/>
      <w:r>
        <w:rPr>
          <w:rFonts w:ascii="Times New Roman" w:eastAsia="Times New Roman" w:hAnsi="Times New Roman" w:cs="Times New Roman"/>
          <w:sz w:val="24"/>
          <w:szCs w:val="24"/>
        </w:rPr>
        <w:t>behaviors</w:t>
      </w:r>
      <w:proofErr w:type="spellEnd"/>
      <w:r>
        <w:rPr>
          <w:rFonts w:ascii="Times New Roman" w:eastAsia="Times New Roman" w:hAnsi="Times New Roman" w:cs="Times New Roman"/>
          <w:sz w:val="24"/>
          <w:szCs w:val="24"/>
        </w:rPr>
        <w:t xml:space="preserve"> in the banking sector of Pakistan, while clarifying the role of leadership orientations in this process. It concludes that CSR directly and significantly influences both culture and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strategist leadership strengthens CSR’s impact on discretionary </w:t>
      </w:r>
      <w:proofErr w:type="spellStart"/>
      <w:r>
        <w:rPr>
          <w:rFonts w:ascii="Times New Roman" w:eastAsia="Times New Roman" w:hAnsi="Times New Roman" w:cs="Times New Roman"/>
          <w:sz w:val="24"/>
          <w:szCs w:val="24"/>
        </w:rPr>
        <w:t>behaviors</w:t>
      </w:r>
      <w:proofErr w:type="spellEnd"/>
      <w:r>
        <w:rPr>
          <w:rFonts w:ascii="Times New Roman" w:eastAsia="Times New Roman" w:hAnsi="Times New Roman" w:cs="Times New Roman"/>
          <w:sz w:val="24"/>
          <w:szCs w:val="24"/>
        </w:rPr>
        <w:t xml:space="preserve">, and integrator leadership does not significantly alter outcomes. The findings extend global CSR scholarship, provide valuable insights for managerial practice, and highlight new avenues for future research in leadership and organizational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w:t>
      </w:r>
    </w:p>
    <w:p w14:paraId="1FBF4A43" w14:textId="77777777" w:rsidR="007373F6" w:rsidRPr="00CA3E0F" w:rsidRDefault="00000000">
      <w:pPr>
        <w:spacing w:after="200"/>
        <w:jc w:val="center"/>
        <w:rPr>
          <w:rFonts w:ascii="Times New Roman" w:eastAsia="Times New Roman" w:hAnsi="Times New Roman" w:cs="Times New Roman"/>
          <w:color w:val="000000"/>
          <w:sz w:val="24"/>
          <w:szCs w:val="24"/>
          <w:lang w:val="de-DE"/>
        </w:rPr>
      </w:pPr>
      <w:r w:rsidRPr="00CA3E0F">
        <w:rPr>
          <w:rFonts w:ascii="Times New Roman" w:eastAsia="Times New Roman" w:hAnsi="Times New Roman" w:cs="Times New Roman"/>
          <w:b/>
          <w:color w:val="000000"/>
          <w:sz w:val="24"/>
          <w:szCs w:val="24"/>
          <w:lang w:val="de-DE"/>
        </w:rPr>
        <w:t>REFERENCES</w:t>
      </w:r>
    </w:p>
    <w:p w14:paraId="0890C2A9"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lang w:val="de-DE"/>
        </w:rPr>
        <w:t xml:space="preserve">Afsar B, Al‐Ghazali BM, Rehman ZU, Umrani WA. </w:t>
      </w:r>
      <w:r w:rsidRPr="00284585">
        <w:rPr>
          <w:rFonts w:ascii="Times New Roman" w:eastAsia="Times New Roman" w:hAnsi="Times New Roman" w:cs="Times New Roman"/>
          <w:sz w:val="24"/>
          <w:szCs w:val="24"/>
        </w:rPr>
        <w:t xml:space="preserve">(2019) The moderating effects of employee corporate social responsibility motive attributions (substantive and symbolic) between corporate social responsibility perceptions and voluntary pro‐environmental </w:t>
      </w:r>
      <w:proofErr w:type="spellStart"/>
      <w:r w:rsidRPr="00284585">
        <w:rPr>
          <w:rFonts w:ascii="Times New Roman" w:eastAsia="Times New Roman" w:hAnsi="Times New Roman" w:cs="Times New Roman"/>
          <w:sz w:val="24"/>
          <w:szCs w:val="24"/>
        </w:rPr>
        <w:t>behavior</w:t>
      </w:r>
      <w:proofErr w:type="spellEnd"/>
      <w:r w:rsidRPr="00284585">
        <w:rPr>
          <w:rFonts w:ascii="Times New Roman" w:eastAsia="Times New Roman" w:hAnsi="Times New Roman" w:cs="Times New Roman"/>
          <w:sz w:val="24"/>
          <w:szCs w:val="24"/>
        </w:rPr>
        <w:t xml:space="preserve">. </w:t>
      </w:r>
      <w:r w:rsidRPr="00284585">
        <w:rPr>
          <w:rFonts w:ascii="Times New Roman" w:eastAsia="Times New Roman" w:hAnsi="Times New Roman" w:cs="Times New Roman"/>
          <w:i/>
          <w:sz w:val="24"/>
          <w:szCs w:val="24"/>
        </w:rPr>
        <w:t>Corporate Social Responsibility and Environmental Management,</w:t>
      </w:r>
      <w:r w:rsidRPr="00284585">
        <w:rPr>
          <w:rFonts w:ascii="Times New Roman" w:eastAsia="Times New Roman" w:hAnsi="Times New Roman" w:cs="Times New Roman"/>
          <w:sz w:val="24"/>
          <w:szCs w:val="24"/>
        </w:rPr>
        <w:t xml:space="preserve"> 1(17). </w:t>
      </w:r>
      <w:hyperlink r:id="rId81">
        <w:r w:rsidR="007373F6" w:rsidRPr="00284585">
          <w:rPr>
            <w:rFonts w:ascii="Times New Roman" w:eastAsia="Times New Roman" w:hAnsi="Times New Roman" w:cs="Times New Roman"/>
            <w:sz w:val="24"/>
            <w:szCs w:val="24"/>
          </w:rPr>
          <w:t>https://doi.org/10.1002/csr.1843</w:t>
        </w:r>
      </w:hyperlink>
    </w:p>
    <w:p w14:paraId="34888A76"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Afsar, B., Cheema, S., &amp; Javed, F. (2018). Activating employee's pro‐ environmental </w:t>
      </w:r>
      <w:proofErr w:type="spellStart"/>
      <w:r w:rsidRPr="00284585">
        <w:rPr>
          <w:rFonts w:ascii="Times New Roman" w:eastAsia="Times New Roman" w:hAnsi="Times New Roman" w:cs="Times New Roman"/>
          <w:sz w:val="24"/>
          <w:szCs w:val="24"/>
        </w:rPr>
        <w:t>behaviors</w:t>
      </w:r>
      <w:proofErr w:type="spellEnd"/>
      <w:r w:rsidRPr="00284585">
        <w:rPr>
          <w:rFonts w:ascii="Times New Roman" w:eastAsia="Times New Roman" w:hAnsi="Times New Roman" w:cs="Times New Roman"/>
          <w:sz w:val="24"/>
          <w:szCs w:val="24"/>
        </w:rPr>
        <w:t xml:space="preserve">: The role of CSR, organizational identification, and environmentally specific servant leadership. </w:t>
      </w:r>
      <w:r w:rsidRPr="00284585">
        <w:rPr>
          <w:rFonts w:ascii="Times New Roman" w:eastAsia="Times New Roman" w:hAnsi="Times New Roman" w:cs="Times New Roman"/>
          <w:i/>
          <w:sz w:val="24"/>
          <w:szCs w:val="24"/>
        </w:rPr>
        <w:t xml:space="preserve">Corporate Social Responsibility and Environmental Management, </w:t>
      </w:r>
      <w:r w:rsidRPr="00284585">
        <w:rPr>
          <w:rFonts w:ascii="Times New Roman" w:eastAsia="Times New Roman" w:hAnsi="Times New Roman" w:cs="Times New Roman"/>
          <w:sz w:val="24"/>
          <w:szCs w:val="24"/>
        </w:rPr>
        <w:t xml:space="preserve">25(5), 904–911.  </w:t>
      </w:r>
      <w:hyperlink r:id="rId82">
        <w:r w:rsidR="007373F6" w:rsidRPr="00284585">
          <w:rPr>
            <w:rFonts w:ascii="Times New Roman" w:eastAsia="Times New Roman" w:hAnsi="Times New Roman" w:cs="Times New Roman"/>
            <w:sz w:val="24"/>
            <w:szCs w:val="24"/>
          </w:rPr>
          <w:t>https://doi.org/10.1002/csr.1506</w:t>
        </w:r>
      </w:hyperlink>
      <w:r w:rsidRPr="00284585">
        <w:rPr>
          <w:rFonts w:ascii="Times New Roman" w:eastAsia="Times New Roman" w:hAnsi="Times New Roman" w:cs="Times New Roman"/>
          <w:sz w:val="24"/>
          <w:szCs w:val="24"/>
        </w:rPr>
        <w:t>.</w:t>
      </w:r>
    </w:p>
    <w:p w14:paraId="7534AC20"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Aguinis, H., &amp; Glavas, A. (2013). Embedded versus peripheral corporate social responsibility: psychological foundations. </w:t>
      </w:r>
      <w:r w:rsidRPr="00284585">
        <w:rPr>
          <w:rFonts w:ascii="Times New Roman" w:eastAsia="Times New Roman" w:hAnsi="Times New Roman" w:cs="Times New Roman"/>
          <w:i/>
          <w:sz w:val="24"/>
          <w:szCs w:val="24"/>
        </w:rPr>
        <w:t>Industrial and Organizational Psychology: Perspectives on Science and Practice</w:t>
      </w:r>
      <w:r w:rsidRPr="00284585">
        <w:rPr>
          <w:rFonts w:ascii="Times New Roman" w:eastAsia="Times New Roman" w:hAnsi="Times New Roman" w:cs="Times New Roman"/>
          <w:sz w:val="24"/>
          <w:szCs w:val="24"/>
        </w:rPr>
        <w:t xml:space="preserve">, 6(4), 1-40. </w:t>
      </w:r>
      <w:hyperlink r:id="rId83">
        <w:r w:rsidR="007373F6" w:rsidRPr="00284585">
          <w:rPr>
            <w:rFonts w:ascii="Times New Roman" w:eastAsia="Times New Roman" w:hAnsi="Times New Roman" w:cs="Times New Roman"/>
            <w:sz w:val="24"/>
            <w:szCs w:val="24"/>
          </w:rPr>
          <w:t>https://doi.org/10.1111/iops.12059</w:t>
        </w:r>
      </w:hyperlink>
    </w:p>
    <w:p w14:paraId="00BC50F9"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Ahmad, R., Islam, T., &amp; Saleem, S. S. (2017). Employee engagement, organizational commitment and job satisfaction as consequent of perceived CSR: A mediation model. </w:t>
      </w:r>
      <w:r w:rsidRPr="00284585">
        <w:rPr>
          <w:rFonts w:ascii="Times New Roman" w:eastAsia="Times New Roman" w:hAnsi="Times New Roman" w:cs="Times New Roman"/>
          <w:i/>
          <w:sz w:val="24"/>
          <w:szCs w:val="24"/>
        </w:rPr>
        <w:lastRenderedPageBreak/>
        <w:t xml:space="preserve">Journal of Research Society of Pakistan, </w:t>
      </w:r>
      <w:r w:rsidRPr="00284585">
        <w:rPr>
          <w:rFonts w:ascii="Times New Roman" w:eastAsia="Times New Roman" w:hAnsi="Times New Roman" w:cs="Times New Roman"/>
          <w:sz w:val="24"/>
          <w:szCs w:val="24"/>
        </w:rPr>
        <w:t xml:space="preserve">55(2), 153-168. </w:t>
      </w:r>
      <w:hyperlink r:id="rId84">
        <w:r w:rsidR="007373F6" w:rsidRPr="00284585">
          <w:rPr>
            <w:rFonts w:ascii="Times New Roman" w:eastAsia="Times New Roman" w:hAnsi="Times New Roman" w:cs="Times New Roman"/>
            <w:sz w:val="24"/>
            <w:szCs w:val="24"/>
          </w:rPr>
          <w:t>https://pu.edu.pk/images/journal/history/PDF-FILES/12a_54_1_17.pdf</w:t>
        </w:r>
      </w:hyperlink>
    </w:p>
    <w:p w14:paraId="537B11FC"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Ali, W., </w:t>
      </w:r>
      <w:proofErr w:type="spellStart"/>
      <w:r w:rsidRPr="00284585">
        <w:rPr>
          <w:rFonts w:ascii="Times New Roman" w:eastAsia="Times New Roman" w:hAnsi="Times New Roman" w:cs="Times New Roman"/>
          <w:sz w:val="24"/>
          <w:szCs w:val="24"/>
        </w:rPr>
        <w:t>Frynas</w:t>
      </w:r>
      <w:proofErr w:type="spellEnd"/>
      <w:r w:rsidRPr="00284585">
        <w:rPr>
          <w:rFonts w:ascii="Times New Roman" w:eastAsia="Times New Roman" w:hAnsi="Times New Roman" w:cs="Times New Roman"/>
          <w:sz w:val="24"/>
          <w:szCs w:val="24"/>
        </w:rPr>
        <w:t xml:space="preserve">, J. G., &amp; Mahmood, Z. (2017). Determinants of corporate social responsibility (CSR) disclosure in developed and developing countries: A literature review. </w:t>
      </w:r>
      <w:r w:rsidRPr="00284585">
        <w:rPr>
          <w:rFonts w:ascii="Times New Roman" w:eastAsia="Times New Roman" w:hAnsi="Times New Roman" w:cs="Times New Roman"/>
          <w:i/>
          <w:sz w:val="24"/>
          <w:szCs w:val="24"/>
        </w:rPr>
        <w:t>Corporate Social Responsibility and Environmental Management</w:t>
      </w:r>
      <w:r w:rsidRPr="00284585">
        <w:rPr>
          <w:rFonts w:ascii="Times New Roman" w:eastAsia="Times New Roman" w:hAnsi="Times New Roman" w:cs="Times New Roman"/>
          <w:sz w:val="24"/>
          <w:szCs w:val="24"/>
        </w:rPr>
        <w:t xml:space="preserve">, 24(4), 273–294. </w:t>
      </w:r>
      <w:hyperlink r:id="rId85">
        <w:r w:rsidR="007373F6" w:rsidRPr="00284585">
          <w:rPr>
            <w:rFonts w:ascii="Times New Roman" w:eastAsia="Times New Roman" w:hAnsi="Times New Roman" w:cs="Times New Roman"/>
            <w:sz w:val="24"/>
            <w:szCs w:val="24"/>
          </w:rPr>
          <w:t>https://doi.org/10.1002/csr.1410</w:t>
        </w:r>
      </w:hyperlink>
    </w:p>
    <w:p w14:paraId="336DCCDC"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Almeida, M. D. G. M. C., &amp; Coelho, A. F. M. (2019). The antecedents of corporate reputation and image and their impacts on employee commitment and performance: The moderating role of CSR. </w:t>
      </w:r>
      <w:r w:rsidRPr="00284585">
        <w:rPr>
          <w:rFonts w:ascii="Times New Roman" w:eastAsia="Times New Roman" w:hAnsi="Times New Roman" w:cs="Times New Roman"/>
          <w:i/>
          <w:sz w:val="24"/>
          <w:szCs w:val="24"/>
        </w:rPr>
        <w:t>Corporate Reputation Review</w:t>
      </w:r>
      <w:r w:rsidRPr="00284585">
        <w:rPr>
          <w:rFonts w:ascii="Times New Roman" w:eastAsia="Times New Roman" w:hAnsi="Times New Roman" w:cs="Times New Roman"/>
          <w:sz w:val="24"/>
          <w:szCs w:val="24"/>
        </w:rPr>
        <w:t xml:space="preserve">, 22(1), 10-25. </w:t>
      </w:r>
      <w:hyperlink r:id="rId86">
        <w:r w:rsidR="007373F6" w:rsidRPr="00284585">
          <w:rPr>
            <w:rFonts w:ascii="Times New Roman" w:eastAsia="Times New Roman" w:hAnsi="Times New Roman" w:cs="Times New Roman"/>
            <w:sz w:val="24"/>
            <w:szCs w:val="24"/>
          </w:rPr>
          <w:t>https://doi.org/10.1057/s41299-018-0053-8</w:t>
        </w:r>
      </w:hyperlink>
    </w:p>
    <w:p w14:paraId="1658F0D6"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Ardito, L., &amp; Dangelico, R. M. (2018). Firm environmental performance under scrutiny: The role of strategic and organizational orientations. </w:t>
      </w:r>
      <w:r w:rsidRPr="00284585">
        <w:rPr>
          <w:rFonts w:ascii="Times New Roman" w:eastAsia="Times New Roman" w:hAnsi="Times New Roman" w:cs="Times New Roman"/>
          <w:i/>
          <w:sz w:val="24"/>
          <w:szCs w:val="24"/>
        </w:rPr>
        <w:t>Corporate Social Responsibility and Environmental Management.,</w:t>
      </w:r>
      <w:r w:rsidRPr="00284585">
        <w:rPr>
          <w:rFonts w:ascii="Times New Roman" w:eastAsia="Times New Roman" w:hAnsi="Times New Roman" w:cs="Times New Roman"/>
          <w:sz w:val="24"/>
          <w:szCs w:val="24"/>
        </w:rPr>
        <w:t xml:space="preserve"> 25, 426–440. </w:t>
      </w:r>
      <w:hyperlink r:id="rId87">
        <w:r w:rsidR="007373F6" w:rsidRPr="00284585">
          <w:rPr>
            <w:rFonts w:ascii="Times New Roman" w:eastAsia="Times New Roman" w:hAnsi="Times New Roman" w:cs="Times New Roman"/>
            <w:sz w:val="24"/>
            <w:szCs w:val="24"/>
          </w:rPr>
          <w:t>https://doi.org/10.1002/csr.1470</w:t>
        </w:r>
      </w:hyperlink>
    </w:p>
    <w:p w14:paraId="6D1BFE35"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Baumgartner, R. J. (2014). Managing corporate sustainability and CSR: A conceptual framework combining values, strategies and instruments contributing to sustainable development. </w:t>
      </w:r>
      <w:r w:rsidRPr="00284585">
        <w:rPr>
          <w:rFonts w:ascii="Times New Roman" w:eastAsia="Times New Roman" w:hAnsi="Times New Roman" w:cs="Times New Roman"/>
          <w:i/>
          <w:sz w:val="24"/>
          <w:szCs w:val="24"/>
        </w:rPr>
        <w:t>Corporate Social Responsibility and Environmental Management,</w:t>
      </w:r>
      <w:r w:rsidRPr="00284585">
        <w:rPr>
          <w:rFonts w:ascii="Times New Roman" w:eastAsia="Times New Roman" w:hAnsi="Times New Roman" w:cs="Times New Roman"/>
          <w:sz w:val="24"/>
          <w:szCs w:val="24"/>
        </w:rPr>
        <w:t xml:space="preserve"> 21(5), 258-271. </w:t>
      </w:r>
      <w:hyperlink r:id="rId88">
        <w:r w:rsidR="007373F6" w:rsidRPr="00284585">
          <w:rPr>
            <w:rFonts w:ascii="Times New Roman" w:eastAsia="Times New Roman" w:hAnsi="Times New Roman" w:cs="Times New Roman"/>
            <w:sz w:val="24"/>
            <w:szCs w:val="24"/>
          </w:rPr>
          <w:t>https://doi.org/10.1002/csr.1336</w:t>
        </w:r>
      </w:hyperlink>
    </w:p>
    <w:p w14:paraId="65F4277F"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Bolden R, Kars-</w:t>
      </w:r>
      <w:proofErr w:type="spellStart"/>
      <w:r w:rsidRPr="00284585">
        <w:rPr>
          <w:rFonts w:ascii="Times New Roman" w:eastAsia="Times New Roman" w:hAnsi="Times New Roman" w:cs="Times New Roman"/>
          <w:sz w:val="24"/>
          <w:szCs w:val="24"/>
        </w:rPr>
        <w:t>Unluoglu</w:t>
      </w:r>
      <w:proofErr w:type="spellEnd"/>
      <w:r w:rsidRPr="00284585">
        <w:rPr>
          <w:rFonts w:ascii="Times New Roman" w:eastAsia="Times New Roman" w:hAnsi="Times New Roman" w:cs="Times New Roman"/>
          <w:sz w:val="24"/>
          <w:szCs w:val="24"/>
        </w:rPr>
        <w:t xml:space="preserve"> S, Jarvis C, et al. (2023) Paradoxes of multi-level leadership: insights from an integrated care system. </w:t>
      </w:r>
      <w:r w:rsidRPr="00284585">
        <w:rPr>
          <w:rFonts w:ascii="Times New Roman" w:eastAsia="Times New Roman" w:hAnsi="Times New Roman" w:cs="Times New Roman"/>
          <w:i/>
          <w:sz w:val="24"/>
          <w:szCs w:val="24"/>
        </w:rPr>
        <w:t xml:space="preserve">Journal of Change Management </w:t>
      </w:r>
      <w:r w:rsidRPr="00284585">
        <w:rPr>
          <w:rFonts w:ascii="Times New Roman" w:eastAsia="Times New Roman" w:hAnsi="Times New Roman" w:cs="Times New Roman"/>
          <w:sz w:val="24"/>
          <w:szCs w:val="24"/>
        </w:rPr>
        <w:t xml:space="preserve">23(4): 1–21. </w:t>
      </w:r>
      <w:hyperlink r:id="rId89">
        <w:r w:rsidR="007373F6" w:rsidRPr="00284585">
          <w:rPr>
            <w:rFonts w:ascii="Times New Roman" w:eastAsia="Times New Roman" w:hAnsi="Times New Roman" w:cs="Times New Roman"/>
            <w:sz w:val="24"/>
            <w:szCs w:val="24"/>
          </w:rPr>
          <w:t>https://doi.org/10.1080/14697017.2023.2234388</w:t>
        </w:r>
      </w:hyperlink>
    </w:p>
    <w:p w14:paraId="629C10DF"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Boomsma, A. (1983). </w:t>
      </w:r>
      <w:r w:rsidRPr="00284585">
        <w:rPr>
          <w:rFonts w:ascii="Times New Roman" w:eastAsia="Times New Roman" w:hAnsi="Times New Roman" w:cs="Times New Roman"/>
          <w:i/>
          <w:sz w:val="24"/>
          <w:szCs w:val="24"/>
        </w:rPr>
        <w:t>On the robustness of LISREL (maximum likelihood estimation) against small sample size and non-normality</w:t>
      </w:r>
      <w:r w:rsidRPr="00284585">
        <w:rPr>
          <w:rFonts w:ascii="Times New Roman" w:eastAsia="Times New Roman" w:hAnsi="Times New Roman" w:cs="Times New Roman"/>
          <w:sz w:val="24"/>
          <w:szCs w:val="24"/>
        </w:rPr>
        <w:t xml:space="preserve"> (Doctoral dissertation, </w:t>
      </w:r>
      <w:proofErr w:type="spellStart"/>
      <w:r w:rsidRPr="00284585">
        <w:rPr>
          <w:rFonts w:ascii="Times New Roman" w:eastAsia="Times New Roman" w:hAnsi="Times New Roman" w:cs="Times New Roman"/>
          <w:sz w:val="24"/>
          <w:szCs w:val="24"/>
        </w:rPr>
        <w:t>Rijksuniversiteit</w:t>
      </w:r>
      <w:proofErr w:type="spellEnd"/>
      <w:r w:rsidRPr="00284585">
        <w:rPr>
          <w:rFonts w:ascii="Times New Roman" w:eastAsia="Times New Roman" w:hAnsi="Times New Roman" w:cs="Times New Roman"/>
          <w:sz w:val="24"/>
          <w:szCs w:val="24"/>
        </w:rPr>
        <w:t xml:space="preserve"> Groningen). </w:t>
      </w:r>
      <w:hyperlink r:id="rId90">
        <w:r w:rsidR="007373F6" w:rsidRPr="00284585">
          <w:rPr>
            <w:rFonts w:ascii="Times New Roman" w:eastAsia="Times New Roman" w:hAnsi="Times New Roman" w:cs="Times New Roman"/>
            <w:sz w:val="24"/>
            <w:szCs w:val="24"/>
          </w:rPr>
          <w:t>https://pure.rug.nl/ws/portalfiles/portal/14418733/02_c2.pdf</w:t>
        </w:r>
      </w:hyperlink>
    </w:p>
    <w:p w14:paraId="18401DC5"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Bottomley, P., Mostafa, A. M. S., Gould-Williams, J. S., &amp; León-</w:t>
      </w:r>
      <w:proofErr w:type="spellStart"/>
      <w:r w:rsidRPr="00284585">
        <w:rPr>
          <w:rFonts w:ascii="Times New Roman" w:eastAsia="Times New Roman" w:hAnsi="Times New Roman" w:cs="Times New Roman"/>
          <w:sz w:val="24"/>
          <w:szCs w:val="24"/>
        </w:rPr>
        <w:t>Cázares</w:t>
      </w:r>
      <w:proofErr w:type="spellEnd"/>
      <w:r w:rsidRPr="00284585">
        <w:rPr>
          <w:rFonts w:ascii="Times New Roman" w:eastAsia="Times New Roman" w:hAnsi="Times New Roman" w:cs="Times New Roman"/>
          <w:sz w:val="24"/>
          <w:szCs w:val="24"/>
        </w:rPr>
        <w:t xml:space="preserve">, F. (2016). The impact of transformational leadership on organizational citizenship behaviours: The contingent role of public service motivation. </w:t>
      </w:r>
      <w:r w:rsidRPr="00284585">
        <w:rPr>
          <w:rFonts w:ascii="Times New Roman" w:eastAsia="Times New Roman" w:hAnsi="Times New Roman" w:cs="Times New Roman"/>
          <w:i/>
          <w:sz w:val="24"/>
          <w:szCs w:val="24"/>
        </w:rPr>
        <w:t>British Journal of Management,</w:t>
      </w:r>
      <w:r w:rsidRPr="00284585">
        <w:rPr>
          <w:rFonts w:ascii="Times New Roman" w:eastAsia="Times New Roman" w:hAnsi="Times New Roman" w:cs="Times New Roman"/>
          <w:sz w:val="24"/>
          <w:szCs w:val="24"/>
        </w:rPr>
        <w:t xml:space="preserve"> 27(2), 390–405.  </w:t>
      </w:r>
      <w:hyperlink r:id="rId91">
        <w:r w:rsidR="007373F6" w:rsidRPr="00284585">
          <w:rPr>
            <w:rFonts w:ascii="Times New Roman" w:eastAsia="Times New Roman" w:hAnsi="Times New Roman" w:cs="Times New Roman"/>
            <w:sz w:val="24"/>
            <w:szCs w:val="24"/>
          </w:rPr>
          <w:t>https://doi.org/10.1111/1467-8551.12108</w:t>
        </w:r>
      </w:hyperlink>
    </w:p>
    <w:p w14:paraId="6EC2D17A"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Carroll, A. B., (2015). Corporate social responsibility: The </w:t>
      </w:r>
      <w:proofErr w:type="spellStart"/>
      <w:r w:rsidRPr="00284585">
        <w:rPr>
          <w:rFonts w:ascii="Times New Roman" w:eastAsia="Times New Roman" w:hAnsi="Times New Roman" w:cs="Times New Roman"/>
          <w:sz w:val="24"/>
          <w:szCs w:val="24"/>
        </w:rPr>
        <w:t>centerpiece</w:t>
      </w:r>
      <w:proofErr w:type="spellEnd"/>
      <w:r w:rsidRPr="00284585">
        <w:rPr>
          <w:rFonts w:ascii="Times New Roman" w:eastAsia="Times New Roman" w:hAnsi="Times New Roman" w:cs="Times New Roman"/>
          <w:sz w:val="24"/>
          <w:szCs w:val="24"/>
        </w:rPr>
        <w:t xml:space="preserve"> of competing and complementary frameworks. </w:t>
      </w:r>
      <w:r w:rsidRPr="00284585">
        <w:rPr>
          <w:rFonts w:ascii="Times New Roman" w:eastAsia="Times New Roman" w:hAnsi="Times New Roman" w:cs="Times New Roman"/>
          <w:i/>
          <w:sz w:val="24"/>
          <w:szCs w:val="24"/>
        </w:rPr>
        <w:t>Organizational Dynamics</w:t>
      </w:r>
      <w:r w:rsidRPr="00284585">
        <w:rPr>
          <w:rFonts w:ascii="Times New Roman" w:eastAsia="Times New Roman" w:hAnsi="Times New Roman" w:cs="Times New Roman"/>
          <w:sz w:val="24"/>
          <w:szCs w:val="24"/>
        </w:rPr>
        <w:t xml:space="preserve">, 44(2), 87–96. </w:t>
      </w:r>
      <w:hyperlink r:id="rId92">
        <w:r w:rsidR="007373F6" w:rsidRPr="00284585">
          <w:rPr>
            <w:rFonts w:ascii="Times New Roman" w:eastAsia="Times New Roman" w:hAnsi="Times New Roman" w:cs="Times New Roman"/>
            <w:sz w:val="24"/>
            <w:szCs w:val="24"/>
          </w:rPr>
          <w:t>https://doi.org/10.1016/j.orgdyn.2015.02.002</w:t>
        </w:r>
      </w:hyperlink>
    </w:p>
    <w:p w14:paraId="42EB1707"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Cristofoli, D., Douglas, S., Torfing, J., &amp; </w:t>
      </w:r>
      <w:proofErr w:type="spellStart"/>
      <w:r w:rsidRPr="00284585">
        <w:rPr>
          <w:rFonts w:ascii="Times New Roman" w:eastAsia="Times New Roman" w:hAnsi="Times New Roman" w:cs="Times New Roman"/>
          <w:sz w:val="24"/>
          <w:szCs w:val="24"/>
        </w:rPr>
        <w:t>Trivellato</w:t>
      </w:r>
      <w:proofErr w:type="spellEnd"/>
      <w:r w:rsidRPr="00284585">
        <w:rPr>
          <w:rFonts w:ascii="Times New Roman" w:eastAsia="Times New Roman" w:hAnsi="Times New Roman" w:cs="Times New Roman"/>
          <w:sz w:val="24"/>
          <w:szCs w:val="24"/>
        </w:rPr>
        <w:t>, B. (2022). Having it all: can collaborative governance be both legitimate and accountable?. </w:t>
      </w:r>
      <w:r w:rsidRPr="00284585">
        <w:rPr>
          <w:rFonts w:ascii="Times New Roman" w:eastAsia="Times New Roman" w:hAnsi="Times New Roman" w:cs="Times New Roman"/>
          <w:i/>
          <w:sz w:val="24"/>
          <w:szCs w:val="24"/>
        </w:rPr>
        <w:t>Public Management Review</w:t>
      </w:r>
      <w:r w:rsidRPr="00284585">
        <w:rPr>
          <w:rFonts w:ascii="Times New Roman" w:eastAsia="Times New Roman" w:hAnsi="Times New Roman" w:cs="Times New Roman"/>
          <w:sz w:val="24"/>
          <w:szCs w:val="24"/>
        </w:rPr>
        <w:t>, </w:t>
      </w:r>
      <w:r w:rsidRPr="00284585">
        <w:rPr>
          <w:rFonts w:ascii="Times New Roman" w:eastAsia="Times New Roman" w:hAnsi="Times New Roman" w:cs="Times New Roman"/>
          <w:i/>
          <w:sz w:val="24"/>
          <w:szCs w:val="24"/>
        </w:rPr>
        <w:t>24</w:t>
      </w:r>
      <w:r w:rsidRPr="00284585">
        <w:rPr>
          <w:rFonts w:ascii="Times New Roman" w:eastAsia="Times New Roman" w:hAnsi="Times New Roman" w:cs="Times New Roman"/>
          <w:sz w:val="24"/>
          <w:szCs w:val="24"/>
        </w:rPr>
        <w:t xml:space="preserve">(5), 704-728. </w:t>
      </w:r>
      <w:hyperlink r:id="rId93">
        <w:r w:rsidR="007373F6" w:rsidRPr="00284585">
          <w:rPr>
            <w:rFonts w:ascii="Times New Roman" w:eastAsia="Times New Roman" w:hAnsi="Times New Roman" w:cs="Times New Roman"/>
            <w:sz w:val="24"/>
            <w:szCs w:val="24"/>
          </w:rPr>
          <w:t>https://doi.org/10.1080/14719037.2021.1960736</w:t>
        </w:r>
      </w:hyperlink>
    </w:p>
    <w:p w14:paraId="4FDF3BFD"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Davis, K. (1973). The case for and against business assumption of social responsibilities. </w:t>
      </w:r>
      <w:r w:rsidRPr="00284585">
        <w:rPr>
          <w:rFonts w:ascii="Times New Roman" w:eastAsia="Times New Roman" w:hAnsi="Times New Roman" w:cs="Times New Roman"/>
          <w:i/>
          <w:sz w:val="24"/>
          <w:szCs w:val="24"/>
        </w:rPr>
        <w:t>Academy of Management Journal</w:t>
      </w:r>
      <w:r w:rsidRPr="00284585">
        <w:rPr>
          <w:rFonts w:ascii="Times New Roman" w:eastAsia="Times New Roman" w:hAnsi="Times New Roman" w:cs="Times New Roman"/>
          <w:sz w:val="24"/>
          <w:szCs w:val="24"/>
        </w:rPr>
        <w:t xml:space="preserve">, 16(2) 312–322. </w:t>
      </w:r>
      <w:hyperlink r:id="rId94">
        <w:r w:rsidR="007373F6" w:rsidRPr="00284585">
          <w:rPr>
            <w:rFonts w:ascii="Times New Roman" w:eastAsia="Times New Roman" w:hAnsi="Times New Roman" w:cs="Times New Roman"/>
            <w:sz w:val="24"/>
            <w:szCs w:val="24"/>
          </w:rPr>
          <w:t>https://doi.org/10.5465/255331</w:t>
        </w:r>
      </w:hyperlink>
    </w:p>
    <w:p w14:paraId="420D2796"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Domi, S., </w:t>
      </w:r>
      <w:proofErr w:type="spellStart"/>
      <w:r w:rsidRPr="00284585">
        <w:rPr>
          <w:rFonts w:ascii="Times New Roman" w:eastAsia="Times New Roman" w:hAnsi="Times New Roman" w:cs="Times New Roman"/>
          <w:sz w:val="24"/>
          <w:szCs w:val="24"/>
        </w:rPr>
        <w:t>Keco</w:t>
      </w:r>
      <w:proofErr w:type="spellEnd"/>
      <w:r w:rsidRPr="00284585">
        <w:rPr>
          <w:rFonts w:ascii="Times New Roman" w:eastAsia="Times New Roman" w:hAnsi="Times New Roman" w:cs="Times New Roman"/>
          <w:sz w:val="24"/>
          <w:szCs w:val="24"/>
        </w:rPr>
        <w:t xml:space="preserve">, R., </w:t>
      </w:r>
      <w:proofErr w:type="spellStart"/>
      <w:r w:rsidRPr="00284585">
        <w:rPr>
          <w:rFonts w:ascii="Times New Roman" w:eastAsia="Times New Roman" w:hAnsi="Times New Roman" w:cs="Times New Roman"/>
          <w:sz w:val="24"/>
          <w:szCs w:val="24"/>
        </w:rPr>
        <w:t>Capelleras</w:t>
      </w:r>
      <w:proofErr w:type="spellEnd"/>
      <w:r w:rsidRPr="00284585">
        <w:rPr>
          <w:rFonts w:ascii="Times New Roman" w:eastAsia="Times New Roman" w:hAnsi="Times New Roman" w:cs="Times New Roman"/>
          <w:sz w:val="24"/>
          <w:szCs w:val="24"/>
        </w:rPr>
        <w:t xml:space="preserve">, J. L., &amp; Mehmeti, G. (2019). Effects of innovativeness and innovation </w:t>
      </w:r>
      <w:proofErr w:type="spellStart"/>
      <w:r w:rsidRPr="00284585">
        <w:rPr>
          <w:rFonts w:ascii="Times New Roman" w:eastAsia="Times New Roman" w:hAnsi="Times New Roman" w:cs="Times New Roman"/>
          <w:sz w:val="24"/>
          <w:szCs w:val="24"/>
        </w:rPr>
        <w:t>behavior</w:t>
      </w:r>
      <w:proofErr w:type="spellEnd"/>
      <w:r w:rsidRPr="00284585">
        <w:rPr>
          <w:rFonts w:ascii="Times New Roman" w:eastAsia="Times New Roman" w:hAnsi="Times New Roman" w:cs="Times New Roman"/>
          <w:sz w:val="24"/>
          <w:szCs w:val="24"/>
        </w:rPr>
        <w:t xml:space="preserve"> on tourism SMEs performance: The case of Albania. </w:t>
      </w:r>
      <w:r w:rsidRPr="00284585">
        <w:rPr>
          <w:rFonts w:ascii="Times New Roman" w:eastAsia="Times New Roman" w:hAnsi="Times New Roman" w:cs="Times New Roman"/>
          <w:i/>
          <w:sz w:val="24"/>
          <w:szCs w:val="24"/>
        </w:rPr>
        <w:t>Economics &amp; Sociology</w:t>
      </w:r>
      <w:r w:rsidRPr="00284585">
        <w:rPr>
          <w:rFonts w:ascii="Times New Roman" w:eastAsia="Times New Roman" w:hAnsi="Times New Roman" w:cs="Times New Roman"/>
          <w:sz w:val="24"/>
          <w:szCs w:val="24"/>
        </w:rPr>
        <w:t xml:space="preserve">, 12(3), 67-85. </w:t>
      </w:r>
      <w:hyperlink r:id="rId95">
        <w:r w:rsidR="007373F6" w:rsidRPr="00284585">
          <w:rPr>
            <w:rFonts w:ascii="Times New Roman" w:eastAsia="Times New Roman" w:hAnsi="Times New Roman" w:cs="Times New Roman"/>
            <w:sz w:val="24"/>
            <w:szCs w:val="24"/>
          </w:rPr>
          <w:t>https://doi.org/10.14254/2071-789X.2019/12-3/5</w:t>
        </w:r>
      </w:hyperlink>
    </w:p>
    <w:p w14:paraId="0DB474B2"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Donaldson, T. and Preston, L.E. (1995). The stakeholder theory of the corporation: concepts, evidence, and implications. </w:t>
      </w:r>
      <w:r w:rsidRPr="00284585">
        <w:rPr>
          <w:rFonts w:ascii="Times New Roman" w:eastAsia="Times New Roman" w:hAnsi="Times New Roman" w:cs="Times New Roman"/>
          <w:i/>
          <w:sz w:val="24"/>
          <w:szCs w:val="24"/>
        </w:rPr>
        <w:t>Academy of Management Review</w:t>
      </w:r>
      <w:r w:rsidRPr="00284585">
        <w:rPr>
          <w:rFonts w:ascii="Times New Roman" w:eastAsia="Times New Roman" w:hAnsi="Times New Roman" w:cs="Times New Roman"/>
          <w:sz w:val="24"/>
          <w:szCs w:val="24"/>
        </w:rPr>
        <w:t xml:space="preserve">, 20(1), 65–91. </w:t>
      </w:r>
      <w:hyperlink r:id="rId96">
        <w:r w:rsidR="007373F6" w:rsidRPr="00284585">
          <w:rPr>
            <w:rFonts w:ascii="Times New Roman" w:eastAsia="Times New Roman" w:hAnsi="Times New Roman" w:cs="Times New Roman"/>
            <w:sz w:val="24"/>
            <w:szCs w:val="24"/>
          </w:rPr>
          <w:t>https://doi.org/10.5465/amr.1995.9503271992</w:t>
        </w:r>
      </w:hyperlink>
    </w:p>
    <w:p w14:paraId="5EED83EA"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Donia, M. B., Ronen, S., </w:t>
      </w:r>
      <w:proofErr w:type="spellStart"/>
      <w:r w:rsidRPr="00284585">
        <w:rPr>
          <w:rFonts w:ascii="Times New Roman" w:eastAsia="Times New Roman" w:hAnsi="Times New Roman" w:cs="Times New Roman"/>
          <w:sz w:val="24"/>
          <w:szCs w:val="24"/>
        </w:rPr>
        <w:t>Sirsly</w:t>
      </w:r>
      <w:proofErr w:type="spellEnd"/>
      <w:r w:rsidRPr="00284585">
        <w:rPr>
          <w:rFonts w:ascii="Times New Roman" w:eastAsia="Times New Roman" w:hAnsi="Times New Roman" w:cs="Times New Roman"/>
          <w:sz w:val="24"/>
          <w:szCs w:val="24"/>
        </w:rPr>
        <w:t xml:space="preserve">, C. A. T., &amp; </w:t>
      </w:r>
      <w:proofErr w:type="spellStart"/>
      <w:r w:rsidRPr="00284585">
        <w:rPr>
          <w:rFonts w:ascii="Times New Roman" w:eastAsia="Times New Roman" w:hAnsi="Times New Roman" w:cs="Times New Roman"/>
          <w:sz w:val="24"/>
          <w:szCs w:val="24"/>
        </w:rPr>
        <w:t>Bonaccio</w:t>
      </w:r>
      <w:proofErr w:type="spellEnd"/>
      <w:r w:rsidRPr="00284585">
        <w:rPr>
          <w:rFonts w:ascii="Times New Roman" w:eastAsia="Times New Roman" w:hAnsi="Times New Roman" w:cs="Times New Roman"/>
          <w:sz w:val="24"/>
          <w:szCs w:val="24"/>
        </w:rPr>
        <w:t xml:space="preserve">, S. (2017). CSR by any other name? The differential impact of substantive and symbolic CSR attributions on employee outcomes. </w:t>
      </w:r>
      <w:r w:rsidRPr="00284585">
        <w:rPr>
          <w:rFonts w:ascii="Times New Roman" w:eastAsia="Times New Roman" w:hAnsi="Times New Roman" w:cs="Times New Roman"/>
          <w:i/>
          <w:sz w:val="24"/>
          <w:szCs w:val="24"/>
        </w:rPr>
        <w:t>Journal of Business Ethics,</w:t>
      </w:r>
      <w:r w:rsidRPr="00284585">
        <w:rPr>
          <w:rFonts w:ascii="Times New Roman" w:eastAsia="Times New Roman" w:hAnsi="Times New Roman" w:cs="Times New Roman"/>
          <w:sz w:val="24"/>
          <w:szCs w:val="24"/>
        </w:rPr>
        <w:t xml:space="preserve"> 157(2), 1–21. </w:t>
      </w:r>
      <w:hyperlink r:id="rId97">
        <w:r w:rsidR="007373F6" w:rsidRPr="00284585">
          <w:rPr>
            <w:rFonts w:ascii="Times New Roman" w:eastAsia="Times New Roman" w:hAnsi="Times New Roman" w:cs="Times New Roman"/>
            <w:sz w:val="24"/>
            <w:szCs w:val="24"/>
          </w:rPr>
          <w:t>https://doi.org/10.1007/s10551-017-3673-5</w:t>
        </w:r>
      </w:hyperlink>
    </w:p>
    <w:p w14:paraId="58EA8B23"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Dutton, J. E., </w:t>
      </w:r>
      <w:proofErr w:type="spellStart"/>
      <w:r w:rsidRPr="00284585">
        <w:rPr>
          <w:rFonts w:ascii="Times New Roman" w:eastAsia="Times New Roman" w:hAnsi="Times New Roman" w:cs="Times New Roman"/>
          <w:sz w:val="24"/>
          <w:szCs w:val="24"/>
        </w:rPr>
        <w:t>Dukerich</w:t>
      </w:r>
      <w:proofErr w:type="spellEnd"/>
      <w:r w:rsidRPr="00284585">
        <w:rPr>
          <w:rFonts w:ascii="Times New Roman" w:eastAsia="Times New Roman" w:hAnsi="Times New Roman" w:cs="Times New Roman"/>
          <w:sz w:val="24"/>
          <w:szCs w:val="24"/>
        </w:rPr>
        <w:t xml:space="preserve">, J. M., &amp; </w:t>
      </w:r>
      <w:proofErr w:type="spellStart"/>
      <w:r w:rsidRPr="00284585">
        <w:rPr>
          <w:rFonts w:ascii="Times New Roman" w:eastAsia="Times New Roman" w:hAnsi="Times New Roman" w:cs="Times New Roman"/>
          <w:sz w:val="24"/>
          <w:szCs w:val="24"/>
        </w:rPr>
        <w:t>Harquail</w:t>
      </w:r>
      <w:proofErr w:type="spellEnd"/>
      <w:r w:rsidRPr="00284585">
        <w:rPr>
          <w:rFonts w:ascii="Times New Roman" w:eastAsia="Times New Roman" w:hAnsi="Times New Roman" w:cs="Times New Roman"/>
          <w:sz w:val="24"/>
          <w:szCs w:val="24"/>
        </w:rPr>
        <w:t xml:space="preserve">, C. V. (1994). Organizational images and member identification. </w:t>
      </w:r>
      <w:r w:rsidRPr="00284585">
        <w:rPr>
          <w:rFonts w:ascii="Times New Roman" w:eastAsia="Times New Roman" w:hAnsi="Times New Roman" w:cs="Times New Roman"/>
          <w:i/>
          <w:sz w:val="24"/>
          <w:szCs w:val="24"/>
        </w:rPr>
        <w:t>Administrative science quarterly</w:t>
      </w:r>
      <w:r w:rsidRPr="00284585">
        <w:rPr>
          <w:rFonts w:ascii="Times New Roman" w:eastAsia="Times New Roman" w:hAnsi="Times New Roman" w:cs="Times New Roman"/>
          <w:sz w:val="24"/>
          <w:szCs w:val="24"/>
        </w:rPr>
        <w:t xml:space="preserve">, 239-263. </w:t>
      </w:r>
      <w:hyperlink r:id="rId98">
        <w:r w:rsidR="007373F6" w:rsidRPr="00284585">
          <w:rPr>
            <w:rFonts w:ascii="Times New Roman" w:eastAsia="Times New Roman" w:hAnsi="Times New Roman" w:cs="Times New Roman"/>
            <w:sz w:val="24"/>
            <w:szCs w:val="24"/>
          </w:rPr>
          <w:t>https://doi.org/10.2307/2393235</w:t>
        </w:r>
      </w:hyperlink>
    </w:p>
    <w:p w14:paraId="38E8A378"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lastRenderedPageBreak/>
        <w:t xml:space="preserve">Evans, W. R., &amp; Davis, W. D. (2011). An examination of perceived corporate citizenship, job applicant attraction, and CSR work role definition. </w:t>
      </w:r>
      <w:r w:rsidRPr="00284585">
        <w:rPr>
          <w:rFonts w:ascii="Times New Roman" w:eastAsia="Times New Roman" w:hAnsi="Times New Roman" w:cs="Times New Roman"/>
          <w:i/>
          <w:sz w:val="24"/>
          <w:szCs w:val="24"/>
        </w:rPr>
        <w:t>Business &amp; Society,</w:t>
      </w:r>
      <w:r w:rsidRPr="00284585">
        <w:rPr>
          <w:rFonts w:ascii="Times New Roman" w:eastAsia="Times New Roman" w:hAnsi="Times New Roman" w:cs="Times New Roman"/>
          <w:sz w:val="24"/>
          <w:szCs w:val="24"/>
        </w:rPr>
        <w:t xml:space="preserve"> 50(3), 456–480. https://doi.org/ 10.1177/0007650308323517</w:t>
      </w:r>
    </w:p>
    <w:p w14:paraId="4FD3FFB2"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Fabisch, A., </w:t>
      </w:r>
      <w:proofErr w:type="spellStart"/>
      <w:r w:rsidRPr="00284585">
        <w:rPr>
          <w:rFonts w:ascii="Times New Roman" w:eastAsia="Times New Roman" w:hAnsi="Times New Roman" w:cs="Times New Roman"/>
          <w:sz w:val="24"/>
          <w:szCs w:val="24"/>
        </w:rPr>
        <w:t>Kjellström</w:t>
      </w:r>
      <w:proofErr w:type="spellEnd"/>
      <w:r w:rsidRPr="00284585">
        <w:rPr>
          <w:rFonts w:ascii="Times New Roman" w:eastAsia="Times New Roman" w:hAnsi="Times New Roman" w:cs="Times New Roman"/>
          <w:sz w:val="24"/>
          <w:szCs w:val="24"/>
        </w:rPr>
        <w:t xml:space="preserve">, S., Ockander, M., &amp; </w:t>
      </w:r>
      <w:proofErr w:type="spellStart"/>
      <w:r w:rsidRPr="00284585">
        <w:rPr>
          <w:rFonts w:ascii="Times New Roman" w:eastAsia="Times New Roman" w:hAnsi="Times New Roman" w:cs="Times New Roman"/>
          <w:sz w:val="24"/>
          <w:szCs w:val="24"/>
        </w:rPr>
        <w:t>Avby</w:t>
      </w:r>
      <w:proofErr w:type="spellEnd"/>
      <w:r w:rsidRPr="00284585">
        <w:rPr>
          <w:rFonts w:ascii="Times New Roman" w:eastAsia="Times New Roman" w:hAnsi="Times New Roman" w:cs="Times New Roman"/>
          <w:sz w:val="24"/>
          <w:szCs w:val="24"/>
        </w:rPr>
        <w:t>, G. (2024). Transformations towards an integrated leadership development system—A longitudinal study in a high-performing public organization. </w:t>
      </w:r>
      <w:r w:rsidRPr="00284585">
        <w:rPr>
          <w:rFonts w:ascii="Times New Roman" w:eastAsia="Times New Roman" w:hAnsi="Times New Roman" w:cs="Times New Roman"/>
          <w:i/>
          <w:sz w:val="24"/>
          <w:szCs w:val="24"/>
        </w:rPr>
        <w:t>Leadership</w:t>
      </w:r>
      <w:r w:rsidRPr="00284585">
        <w:rPr>
          <w:rFonts w:ascii="Times New Roman" w:eastAsia="Times New Roman" w:hAnsi="Times New Roman" w:cs="Times New Roman"/>
          <w:sz w:val="24"/>
          <w:szCs w:val="24"/>
        </w:rPr>
        <w:t xml:space="preserve">, </w:t>
      </w:r>
      <w:hyperlink r:id="rId99">
        <w:r w:rsidR="007373F6" w:rsidRPr="00284585">
          <w:rPr>
            <w:rFonts w:ascii="Times New Roman" w:eastAsia="Times New Roman" w:hAnsi="Times New Roman" w:cs="Times New Roman"/>
            <w:sz w:val="24"/>
            <w:szCs w:val="24"/>
          </w:rPr>
          <w:t>https://doi.org/10.1177/17427150241232164</w:t>
        </w:r>
      </w:hyperlink>
      <w:r w:rsidRPr="00284585">
        <w:rPr>
          <w:rFonts w:ascii="Times New Roman" w:eastAsia="Times New Roman" w:hAnsi="Times New Roman" w:cs="Times New Roman"/>
          <w:sz w:val="24"/>
          <w:szCs w:val="24"/>
        </w:rPr>
        <w:t>.</w:t>
      </w:r>
    </w:p>
    <w:p w14:paraId="130525FC"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Farooq, N., Bilal, H., &amp; Khalil, S. H. (2020). Pay Discrepancy and the Mediating Role of Job Satisfaction between Pay Satisfaction and Organizational Citizenship </w:t>
      </w:r>
      <w:proofErr w:type="spellStart"/>
      <w:r w:rsidRPr="00284585">
        <w:rPr>
          <w:rFonts w:ascii="Times New Roman" w:eastAsia="Times New Roman" w:hAnsi="Times New Roman" w:cs="Times New Roman"/>
          <w:sz w:val="24"/>
          <w:szCs w:val="24"/>
        </w:rPr>
        <w:t>Behavior</w:t>
      </w:r>
      <w:proofErr w:type="spellEnd"/>
      <w:r w:rsidRPr="00284585">
        <w:rPr>
          <w:rFonts w:ascii="Times New Roman" w:eastAsia="Times New Roman" w:hAnsi="Times New Roman" w:cs="Times New Roman"/>
          <w:sz w:val="24"/>
          <w:szCs w:val="24"/>
        </w:rPr>
        <w:t xml:space="preserve">: A Case of the Federal Government of Pakistan. </w:t>
      </w:r>
      <w:r w:rsidRPr="00284585">
        <w:rPr>
          <w:rFonts w:ascii="Times New Roman" w:eastAsia="Times New Roman" w:hAnsi="Times New Roman" w:cs="Times New Roman"/>
          <w:i/>
          <w:sz w:val="24"/>
          <w:szCs w:val="24"/>
        </w:rPr>
        <w:t>Journal of the Research Society of Pakistan,</w:t>
      </w:r>
      <w:r w:rsidRPr="00284585">
        <w:rPr>
          <w:rFonts w:ascii="Times New Roman" w:eastAsia="Times New Roman" w:hAnsi="Times New Roman" w:cs="Times New Roman"/>
          <w:sz w:val="24"/>
          <w:szCs w:val="24"/>
        </w:rPr>
        <w:t xml:space="preserve"> 57(1), 219. </w:t>
      </w:r>
      <w:hyperlink r:id="rId100">
        <w:r w:rsidR="007373F6" w:rsidRPr="00284585">
          <w:rPr>
            <w:rFonts w:ascii="Times New Roman" w:eastAsia="Times New Roman" w:hAnsi="Times New Roman" w:cs="Times New Roman"/>
            <w:sz w:val="24"/>
            <w:szCs w:val="24"/>
          </w:rPr>
          <w:t>https://pu.edu.pk/images/journal/history/PDF-FILES/16_57_1_20.pdf</w:t>
        </w:r>
      </w:hyperlink>
    </w:p>
    <w:p w14:paraId="478EF19D"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Freeman, R.E. (1984). Strategic management: a stakeholder approach. </w:t>
      </w:r>
      <w:r w:rsidRPr="00284585">
        <w:rPr>
          <w:rFonts w:ascii="Times New Roman" w:eastAsia="Times New Roman" w:hAnsi="Times New Roman" w:cs="Times New Roman"/>
          <w:i/>
          <w:sz w:val="24"/>
          <w:szCs w:val="24"/>
        </w:rPr>
        <w:t>Journal of Management Studies,</w:t>
      </w:r>
      <w:r w:rsidRPr="00284585">
        <w:rPr>
          <w:rFonts w:ascii="Times New Roman" w:eastAsia="Times New Roman" w:hAnsi="Times New Roman" w:cs="Times New Roman"/>
          <w:sz w:val="24"/>
          <w:szCs w:val="24"/>
        </w:rPr>
        <w:t xml:space="preserve"> 29 (2), 131–154. </w:t>
      </w:r>
      <w:hyperlink r:id="rId101">
        <w:r w:rsidR="007373F6" w:rsidRPr="00284585">
          <w:rPr>
            <w:rFonts w:ascii="Times New Roman" w:eastAsia="Times New Roman" w:hAnsi="Times New Roman" w:cs="Times New Roman"/>
            <w:sz w:val="24"/>
            <w:szCs w:val="24"/>
          </w:rPr>
          <w:t>www.cambridge.org/9780521151740</w:t>
        </w:r>
      </w:hyperlink>
    </w:p>
    <w:p w14:paraId="51D7EF4C"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Gilani P, Bolden R and Pye A (2022) Evaluating shifting perceptions and configurations of social capital in leadership development. </w:t>
      </w:r>
      <w:r w:rsidRPr="00284585">
        <w:rPr>
          <w:rFonts w:ascii="Times New Roman" w:eastAsia="Times New Roman" w:hAnsi="Times New Roman" w:cs="Times New Roman"/>
          <w:i/>
          <w:sz w:val="24"/>
          <w:szCs w:val="24"/>
        </w:rPr>
        <w:t>Leadership</w:t>
      </w:r>
      <w:r w:rsidRPr="00284585">
        <w:rPr>
          <w:rFonts w:ascii="Times New Roman" w:eastAsia="Times New Roman" w:hAnsi="Times New Roman" w:cs="Times New Roman"/>
          <w:sz w:val="24"/>
          <w:szCs w:val="24"/>
        </w:rPr>
        <w:t xml:space="preserve"> 19(1): 63–84. </w:t>
      </w:r>
      <w:hyperlink r:id="rId102">
        <w:r w:rsidR="007373F6" w:rsidRPr="00284585">
          <w:rPr>
            <w:rFonts w:ascii="Times New Roman" w:eastAsia="Times New Roman" w:hAnsi="Times New Roman" w:cs="Times New Roman"/>
            <w:sz w:val="24"/>
            <w:szCs w:val="24"/>
          </w:rPr>
          <w:t>https://doi.org/10.1177/17427150221133888</w:t>
        </w:r>
      </w:hyperlink>
    </w:p>
    <w:p w14:paraId="64041996"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Hair, J. F. Jr., Hult, G. T. M., Ringle, C., &amp; Sarstedt, M. (2016). </w:t>
      </w:r>
      <w:r w:rsidRPr="00284585">
        <w:rPr>
          <w:rFonts w:ascii="Times New Roman" w:eastAsia="Times New Roman" w:hAnsi="Times New Roman" w:cs="Times New Roman"/>
          <w:i/>
          <w:sz w:val="24"/>
          <w:szCs w:val="24"/>
        </w:rPr>
        <w:t xml:space="preserve">A primer on partial least squares structural equation </w:t>
      </w:r>
      <w:proofErr w:type="spellStart"/>
      <w:r w:rsidRPr="00284585">
        <w:rPr>
          <w:rFonts w:ascii="Times New Roman" w:eastAsia="Times New Roman" w:hAnsi="Times New Roman" w:cs="Times New Roman"/>
          <w:i/>
          <w:sz w:val="24"/>
          <w:szCs w:val="24"/>
        </w:rPr>
        <w:t>modeling</w:t>
      </w:r>
      <w:proofErr w:type="spellEnd"/>
      <w:r w:rsidRPr="00284585">
        <w:rPr>
          <w:rFonts w:ascii="Times New Roman" w:eastAsia="Times New Roman" w:hAnsi="Times New Roman" w:cs="Times New Roman"/>
          <w:i/>
          <w:sz w:val="24"/>
          <w:szCs w:val="24"/>
        </w:rPr>
        <w:t xml:space="preserve"> (PLS‐SEM).</w:t>
      </w:r>
      <w:r w:rsidRPr="00284585">
        <w:rPr>
          <w:rFonts w:ascii="Times New Roman" w:eastAsia="Times New Roman" w:hAnsi="Times New Roman" w:cs="Times New Roman"/>
          <w:sz w:val="24"/>
          <w:szCs w:val="24"/>
        </w:rPr>
        <w:t xml:space="preserve"> Thousand Oaks, CA: Sage publications. </w:t>
      </w:r>
      <w:hyperlink r:id="rId103">
        <w:r w:rsidR="007373F6" w:rsidRPr="00284585">
          <w:rPr>
            <w:rFonts w:ascii="Times New Roman" w:eastAsia="Times New Roman" w:hAnsi="Times New Roman" w:cs="Times New Roman"/>
            <w:sz w:val="24"/>
            <w:szCs w:val="24"/>
          </w:rPr>
          <w:t>https://doi.org/10.1007/978-3-319-57413-4_15</w:t>
        </w:r>
      </w:hyperlink>
    </w:p>
    <w:p w14:paraId="0C568DAD"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Heslin, P. A., &amp; Keating, L. A. (2017). In learning mode? The role of mindsets in derailing and enabling experiential leadership development. </w:t>
      </w:r>
      <w:r w:rsidRPr="00284585">
        <w:rPr>
          <w:rFonts w:ascii="Times New Roman" w:eastAsia="Times New Roman" w:hAnsi="Times New Roman" w:cs="Times New Roman"/>
          <w:i/>
          <w:sz w:val="24"/>
          <w:szCs w:val="24"/>
        </w:rPr>
        <w:t xml:space="preserve">Leadership Quarterly, </w:t>
      </w:r>
      <w:r w:rsidRPr="00284585">
        <w:rPr>
          <w:rFonts w:ascii="Times New Roman" w:eastAsia="Times New Roman" w:hAnsi="Times New Roman" w:cs="Times New Roman"/>
          <w:sz w:val="24"/>
          <w:szCs w:val="24"/>
        </w:rPr>
        <w:t xml:space="preserve">28, 367-384. </w:t>
      </w:r>
      <w:hyperlink r:id="rId104">
        <w:r w:rsidR="007373F6" w:rsidRPr="00284585">
          <w:rPr>
            <w:rFonts w:ascii="Times New Roman" w:eastAsia="Times New Roman" w:hAnsi="Times New Roman" w:cs="Times New Roman"/>
            <w:sz w:val="24"/>
            <w:szCs w:val="24"/>
          </w:rPr>
          <w:t>https://doi.org/10.1016/j.leaqua.2016.10.010</w:t>
        </w:r>
      </w:hyperlink>
    </w:p>
    <w:p w14:paraId="6F85D4D3"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Hwang, S. J. (2012). Creative leadership: Does it clash across cultures. </w:t>
      </w:r>
      <w:r w:rsidRPr="00284585">
        <w:rPr>
          <w:rFonts w:ascii="Times New Roman" w:eastAsia="Times New Roman" w:hAnsi="Times New Roman" w:cs="Times New Roman"/>
          <w:i/>
          <w:sz w:val="24"/>
          <w:szCs w:val="24"/>
        </w:rPr>
        <w:t xml:space="preserve">Learning and Performance Quarterly, </w:t>
      </w:r>
      <w:r w:rsidRPr="00284585">
        <w:rPr>
          <w:rFonts w:ascii="Times New Roman" w:eastAsia="Times New Roman" w:hAnsi="Times New Roman" w:cs="Times New Roman"/>
          <w:sz w:val="24"/>
          <w:szCs w:val="24"/>
        </w:rPr>
        <w:t xml:space="preserve">1(2), 63-82. </w:t>
      </w:r>
      <w:hyperlink r:id="rId105">
        <w:r w:rsidR="007373F6" w:rsidRPr="00284585">
          <w:rPr>
            <w:rFonts w:ascii="Times New Roman" w:eastAsia="Times New Roman" w:hAnsi="Times New Roman" w:cs="Times New Roman"/>
            <w:sz w:val="24"/>
            <w:szCs w:val="24"/>
          </w:rPr>
          <w:t>https://sageprofessor.com/wp-content/uploads/2017/10/creative-leadership-does-it-clash-across-cultures.pdf</w:t>
        </w:r>
      </w:hyperlink>
    </w:p>
    <w:p w14:paraId="7C429E95"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Jones, T. M., Felps, W., &amp; Bigley, G. A. (2007). Ethical theory and stakeholder-related decisions: The role of stakeholder culture. </w:t>
      </w:r>
      <w:r w:rsidRPr="00284585">
        <w:rPr>
          <w:rFonts w:ascii="Times New Roman" w:eastAsia="Times New Roman" w:hAnsi="Times New Roman" w:cs="Times New Roman"/>
          <w:i/>
          <w:sz w:val="24"/>
          <w:szCs w:val="24"/>
        </w:rPr>
        <w:t xml:space="preserve">Academy of Management Review, </w:t>
      </w:r>
      <w:r w:rsidRPr="00284585">
        <w:rPr>
          <w:rFonts w:ascii="Times New Roman" w:eastAsia="Times New Roman" w:hAnsi="Times New Roman" w:cs="Times New Roman"/>
          <w:sz w:val="24"/>
          <w:szCs w:val="24"/>
        </w:rPr>
        <w:t xml:space="preserve">32(1), 137-155. </w:t>
      </w:r>
      <w:hyperlink r:id="rId106">
        <w:r w:rsidR="007373F6" w:rsidRPr="00284585">
          <w:rPr>
            <w:rFonts w:ascii="Times New Roman" w:eastAsia="Times New Roman" w:hAnsi="Times New Roman" w:cs="Times New Roman"/>
            <w:sz w:val="24"/>
            <w:szCs w:val="24"/>
          </w:rPr>
          <w:t>https://doi.org/10.5465/amr.2007.23463924</w:t>
        </w:r>
      </w:hyperlink>
    </w:p>
    <w:p w14:paraId="22CAA4C1"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Khan, M. A., Ismail, F. B., Hussain, A., &amp; Alghazali, B. (2020). The interplay of leadership styles, innovative work </w:t>
      </w:r>
      <w:proofErr w:type="spellStart"/>
      <w:r w:rsidRPr="00284585">
        <w:rPr>
          <w:rFonts w:ascii="Times New Roman" w:eastAsia="Times New Roman" w:hAnsi="Times New Roman" w:cs="Times New Roman"/>
          <w:sz w:val="24"/>
          <w:szCs w:val="24"/>
        </w:rPr>
        <w:t>behavior</w:t>
      </w:r>
      <w:proofErr w:type="spellEnd"/>
      <w:r w:rsidRPr="00284585">
        <w:rPr>
          <w:rFonts w:ascii="Times New Roman" w:eastAsia="Times New Roman" w:hAnsi="Times New Roman" w:cs="Times New Roman"/>
          <w:sz w:val="24"/>
          <w:szCs w:val="24"/>
        </w:rPr>
        <w:t xml:space="preserve">, organizational culture, and organizational citizenship </w:t>
      </w:r>
      <w:proofErr w:type="spellStart"/>
      <w:r w:rsidRPr="00284585">
        <w:rPr>
          <w:rFonts w:ascii="Times New Roman" w:eastAsia="Times New Roman" w:hAnsi="Times New Roman" w:cs="Times New Roman"/>
          <w:sz w:val="24"/>
          <w:szCs w:val="24"/>
        </w:rPr>
        <w:t>behavior</w:t>
      </w:r>
      <w:proofErr w:type="spellEnd"/>
      <w:r w:rsidRPr="00284585">
        <w:rPr>
          <w:rFonts w:ascii="Times New Roman" w:eastAsia="Times New Roman" w:hAnsi="Times New Roman" w:cs="Times New Roman"/>
          <w:sz w:val="24"/>
          <w:szCs w:val="24"/>
        </w:rPr>
        <w:t xml:space="preserve">. </w:t>
      </w:r>
      <w:r w:rsidRPr="00284585">
        <w:rPr>
          <w:rFonts w:ascii="Times New Roman" w:eastAsia="Times New Roman" w:hAnsi="Times New Roman" w:cs="Times New Roman"/>
          <w:i/>
          <w:sz w:val="24"/>
          <w:szCs w:val="24"/>
        </w:rPr>
        <w:t>SAGE Open</w:t>
      </w:r>
      <w:r w:rsidRPr="00284585">
        <w:rPr>
          <w:rFonts w:ascii="Times New Roman" w:eastAsia="Times New Roman" w:hAnsi="Times New Roman" w:cs="Times New Roman"/>
          <w:sz w:val="24"/>
          <w:szCs w:val="24"/>
        </w:rPr>
        <w:t xml:space="preserve">, 10(1). </w:t>
      </w:r>
      <w:hyperlink r:id="rId107">
        <w:r w:rsidR="007373F6" w:rsidRPr="00284585">
          <w:rPr>
            <w:rFonts w:ascii="Times New Roman" w:eastAsia="Times New Roman" w:hAnsi="Times New Roman" w:cs="Times New Roman"/>
            <w:sz w:val="24"/>
            <w:szCs w:val="24"/>
          </w:rPr>
          <w:t>https://doi.org/10.1177/2158244019898264</w:t>
        </w:r>
      </w:hyperlink>
    </w:p>
    <w:p w14:paraId="531F45DF"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Kim, H. L., Rhou, Y., Uysal, M., &amp; Kwon, N. (2017b), An examination of the links between corporate social responsibility (CSR) and its internal consequences. </w:t>
      </w:r>
      <w:r w:rsidRPr="00284585">
        <w:rPr>
          <w:rFonts w:ascii="Times New Roman" w:eastAsia="Times New Roman" w:hAnsi="Times New Roman" w:cs="Times New Roman"/>
          <w:i/>
          <w:sz w:val="24"/>
          <w:szCs w:val="24"/>
        </w:rPr>
        <w:t xml:space="preserve">International Journal of Hospitality Management, </w:t>
      </w:r>
      <w:r w:rsidRPr="00284585">
        <w:rPr>
          <w:rFonts w:ascii="Times New Roman" w:eastAsia="Times New Roman" w:hAnsi="Times New Roman" w:cs="Times New Roman"/>
          <w:sz w:val="24"/>
          <w:szCs w:val="24"/>
        </w:rPr>
        <w:t xml:space="preserve">61, 26-34. </w:t>
      </w:r>
      <w:hyperlink r:id="rId108">
        <w:r w:rsidR="007373F6" w:rsidRPr="00284585">
          <w:rPr>
            <w:rFonts w:ascii="Times New Roman" w:eastAsia="Times New Roman" w:hAnsi="Times New Roman" w:cs="Times New Roman"/>
            <w:sz w:val="24"/>
            <w:szCs w:val="24"/>
          </w:rPr>
          <w:t>https://doi.org/10.1016/j.ijhm.2016.10.011</w:t>
        </w:r>
      </w:hyperlink>
    </w:p>
    <w:p w14:paraId="71C859F8"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Kuo, L., Yeh, C. C., &amp; Yu, H. C. (2012). Disclosure of corporate social responsibility and environmental management: Evidence from China. </w:t>
      </w:r>
      <w:r w:rsidRPr="00284585">
        <w:rPr>
          <w:rFonts w:ascii="Times New Roman" w:eastAsia="Times New Roman" w:hAnsi="Times New Roman" w:cs="Times New Roman"/>
          <w:i/>
          <w:sz w:val="24"/>
          <w:szCs w:val="24"/>
        </w:rPr>
        <w:t>Corporate Social Responsibility and Environmental Management,</w:t>
      </w:r>
      <w:r w:rsidRPr="00284585">
        <w:rPr>
          <w:rFonts w:ascii="Times New Roman" w:eastAsia="Times New Roman" w:hAnsi="Times New Roman" w:cs="Times New Roman"/>
          <w:sz w:val="24"/>
          <w:szCs w:val="24"/>
        </w:rPr>
        <w:t xml:space="preserve"> 19(5), 273–287. </w:t>
      </w:r>
      <w:hyperlink r:id="rId109">
        <w:r w:rsidR="007373F6" w:rsidRPr="00284585">
          <w:rPr>
            <w:rFonts w:ascii="Times New Roman" w:eastAsia="Times New Roman" w:hAnsi="Times New Roman" w:cs="Times New Roman"/>
            <w:sz w:val="24"/>
            <w:szCs w:val="24"/>
          </w:rPr>
          <w:t>https://doi.org/10.1002/csr.274</w:t>
        </w:r>
      </w:hyperlink>
    </w:p>
    <w:p w14:paraId="2E3076C1"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Kurucz, E., Colbert, B. and Wheeler, D. (2008). </w:t>
      </w:r>
      <w:r w:rsidRPr="00284585">
        <w:rPr>
          <w:rFonts w:ascii="Times New Roman" w:eastAsia="Times New Roman" w:hAnsi="Times New Roman" w:cs="Times New Roman"/>
          <w:i/>
          <w:sz w:val="24"/>
          <w:szCs w:val="24"/>
        </w:rPr>
        <w:t>The business case for corporate social responsibility</w:t>
      </w:r>
      <w:r w:rsidRPr="00284585">
        <w:rPr>
          <w:rFonts w:ascii="Times New Roman" w:eastAsia="Times New Roman" w:hAnsi="Times New Roman" w:cs="Times New Roman"/>
          <w:sz w:val="24"/>
          <w:szCs w:val="24"/>
        </w:rPr>
        <w:t xml:space="preserve"> . The Oxford handbook of corporate social responsibility, 83-112. </w:t>
      </w:r>
      <w:hyperlink r:id="rId110">
        <w:r w:rsidR="007373F6" w:rsidRPr="00284585">
          <w:rPr>
            <w:rFonts w:ascii="Times New Roman" w:eastAsia="Times New Roman" w:hAnsi="Times New Roman" w:cs="Times New Roman"/>
            <w:sz w:val="24"/>
            <w:szCs w:val="24"/>
          </w:rPr>
          <w:t>https://doi.org/10.1093/oxfordhb/9780199211593.003.0004</w:t>
        </w:r>
      </w:hyperlink>
    </w:p>
    <w:p w14:paraId="1448A71A"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Lange, D., &amp; Washburn, N. T. (2012). Understanding attributions of corporate social irresponsibility. </w:t>
      </w:r>
      <w:r w:rsidRPr="00284585">
        <w:rPr>
          <w:rFonts w:ascii="Times New Roman" w:eastAsia="Times New Roman" w:hAnsi="Times New Roman" w:cs="Times New Roman"/>
          <w:i/>
          <w:sz w:val="24"/>
          <w:szCs w:val="24"/>
        </w:rPr>
        <w:t>Academy of Management Review</w:t>
      </w:r>
      <w:r w:rsidRPr="00284585">
        <w:rPr>
          <w:rFonts w:ascii="Times New Roman" w:eastAsia="Times New Roman" w:hAnsi="Times New Roman" w:cs="Times New Roman"/>
          <w:sz w:val="24"/>
          <w:szCs w:val="24"/>
        </w:rPr>
        <w:t xml:space="preserve">, 37(2), 300–326. </w:t>
      </w:r>
      <w:hyperlink r:id="rId111">
        <w:r w:rsidR="007373F6" w:rsidRPr="00284585">
          <w:rPr>
            <w:rFonts w:ascii="Times New Roman" w:eastAsia="Times New Roman" w:hAnsi="Times New Roman" w:cs="Times New Roman"/>
            <w:sz w:val="24"/>
            <w:szCs w:val="24"/>
          </w:rPr>
          <w:t>https://doi.org/10.5465/amr.2010.0522</w:t>
        </w:r>
      </w:hyperlink>
    </w:p>
    <w:p w14:paraId="423F53E2"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Lee, S. Y., &amp; Seo, Y. (2017). Corporate social responsibility motive attribution by service employees in the parcel logistics industry as a moderator between CSR perception and organizational effectiveness. </w:t>
      </w:r>
      <w:r w:rsidRPr="00284585">
        <w:rPr>
          <w:rFonts w:ascii="Times New Roman" w:eastAsia="Times New Roman" w:hAnsi="Times New Roman" w:cs="Times New Roman"/>
          <w:i/>
          <w:sz w:val="24"/>
          <w:szCs w:val="24"/>
        </w:rPr>
        <w:t>Sustainability</w:t>
      </w:r>
      <w:r w:rsidRPr="00284585">
        <w:rPr>
          <w:rFonts w:ascii="Times New Roman" w:eastAsia="Times New Roman" w:hAnsi="Times New Roman" w:cs="Times New Roman"/>
          <w:sz w:val="24"/>
          <w:szCs w:val="24"/>
        </w:rPr>
        <w:t xml:space="preserve">, 9(3), 355–366.  </w:t>
      </w:r>
      <w:hyperlink r:id="rId112">
        <w:r w:rsidR="007373F6" w:rsidRPr="00284585">
          <w:rPr>
            <w:rFonts w:ascii="Times New Roman" w:eastAsia="Times New Roman" w:hAnsi="Times New Roman" w:cs="Times New Roman"/>
            <w:sz w:val="24"/>
            <w:szCs w:val="24"/>
          </w:rPr>
          <w:t>https://doi.org/10.3390/su9030355</w:t>
        </w:r>
      </w:hyperlink>
    </w:p>
    <w:p w14:paraId="1281CADD"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Lee, U. H., Kim, H. K., &amp; Kim, Y. H. (2013). Determinants of organizational citizenship </w:t>
      </w:r>
      <w:proofErr w:type="spellStart"/>
      <w:r w:rsidRPr="00284585">
        <w:rPr>
          <w:rFonts w:ascii="Times New Roman" w:eastAsia="Times New Roman" w:hAnsi="Times New Roman" w:cs="Times New Roman"/>
          <w:sz w:val="24"/>
          <w:szCs w:val="24"/>
        </w:rPr>
        <w:t>behavior</w:t>
      </w:r>
      <w:proofErr w:type="spellEnd"/>
      <w:r w:rsidRPr="00284585">
        <w:rPr>
          <w:rFonts w:ascii="Times New Roman" w:eastAsia="Times New Roman" w:hAnsi="Times New Roman" w:cs="Times New Roman"/>
          <w:sz w:val="24"/>
          <w:szCs w:val="24"/>
        </w:rPr>
        <w:t xml:space="preserve"> and its outcomes. </w:t>
      </w:r>
      <w:r w:rsidRPr="00284585">
        <w:rPr>
          <w:rFonts w:ascii="Times New Roman" w:eastAsia="Times New Roman" w:hAnsi="Times New Roman" w:cs="Times New Roman"/>
          <w:i/>
          <w:sz w:val="24"/>
          <w:szCs w:val="24"/>
        </w:rPr>
        <w:t>Global Business and Management Research</w:t>
      </w:r>
      <w:r w:rsidRPr="00284585">
        <w:rPr>
          <w:rFonts w:ascii="Times New Roman" w:eastAsia="Times New Roman" w:hAnsi="Times New Roman" w:cs="Times New Roman"/>
          <w:sz w:val="24"/>
          <w:szCs w:val="24"/>
        </w:rPr>
        <w:t xml:space="preserve">, 5(1), 54–65. </w:t>
      </w:r>
      <w:hyperlink r:id="rId113">
        <w:r w:rsidR="007373F6" w:rsidRPr="00284585">
          <w:rPr>
            <w:rFonts w:ascii="Times New Roman" w:eastAsia="Times New Roman" w:hAnsi="Times New Roman" w:cs="Times New Roman"/>
            <w:sz w:val="24"/>
            <w:szCs w:val="24"/>
          </w:rPr>
          <w:t>http://gbmrjournal.com/pdf/vol.%205%20no.%201/5-Lee%20et%20al.,%202013.pdf</w:t>
        </w:r>
      </w:hyperlink>
    </w:p>
    <w:p w14:paraId="185037E2"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lastRenderedPageBreak/>
        <w:t xml:space="preserve">Lin, L.-F. (2013). Effects of psychological empowerment on organizational citizenship </w:t>
      </w:r>
      <w:proofErr w:type="spellStart"/>
      <w:r w:rsidRPr="00284585">
        <w:rPr>
          <w:rFonts w:ascii="Times New Roman" w:eastAsia="Times New Roman" w:hAnsi="Times New Roman" w:cs="Times New Roman"/>
          <w:sz w:val="24"/>
          <w:szCs w:val="24"/>
        </w:rPr>
        <w:t>behavior</w:t>
      </w:r>
      <w:proofErr w:type="spellEnd"/>
      <w:r w:rsidRPr="00284585">
        <w:rPr>
          <w:rFonts w:ascii="Times New Roman" w:eastAsia="Times New Roman" w:hAnsi="Times New Roman" w:cs="Times New Roman"/>
          <w:sz w:val="24"/>
          <w:szCs w:val="24"/>
        </w:rPr>
        <w:t xml:space="preserve"> in life insurance industry. </w:t>
      </w:r>
      <w:r w:rsidRPr="00284585">
        <w:rPr>
          <w:rFonts w:ascii="Times New Roman" w:eastAsia="Times New Roman" w:hAnsi="Times New Roman" w:cs="Times New Roman"/>
          <w:i/>
          <w:sz w:val="24"/>
          <w:szCs w:val="24"/>
        </w:rPr>
        <w:t>The International Journal of Organizational Innovation</w:t>
      </w:r>
      <w:r w:rsidRPr="00284585">
        <w:rPr>
          <w:rFonts w:ascii="Times New Roman" w:eastAsia="Times New Roman" w:hAnsi="Times New Roman" w:cs="Times New Roman"/>
          <w:sz w:val="24"/>
          <w:szCs w:val="24"/>
        </w:rPr>
        <w:t xml:space="preserve">, 6(1), 119–127. </w:t>
      </w:r>
      <w:hyperlink r:id="rId114" w:anchor="page=93">
        <w:r w:rsidR="007373F6" w:rsidRPr="00284585">
          <w:rPr>
            <w:rFonts w:ascii="Times New Roman" w:eastAsia="Times New Roman" w:hAnsi="Times New Roman" w:cs="Times New Roman"/>
            <w:sz w:val="24"/>
            <w:szCs w:val="24"/>
          </w:rPr>
          <w:t>https://ijoi-online.org/attachments/article/36/Vol6No1revised.pdf#page=93</w:t>
        </w:r>
      </w:hyperlink>
    </w:p>
    <w:p w14:paraId="587CAA66"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Luu, T. T. (2017). CSR and organizational citizenship </w:t>
      </w:r>
      <w:proofErr w:type="spellStart"/>
      <w:r w:rsidRPr="00284585">
        <w:rPr>
          <w:rFonts w:ascii="Times New Roman" w:eastAsia="Times New Roman" w:hAnsi="Times New Roman" w:cs="Times New Roman"/>
          <w:sz w:val="24"/>
          <w:szCs w:val="24"/>
        </w:rPr>
        <w:t>behavior</w:t>
      </w:r>
      <w:proofErr w:type="spellEnd"/>
      <w:r w:rsidRPr="00284585">
        <w:rPr>
          <w:rFonts w:ascii="Times New Roman" w:eastAsia="Times New Roman" w:hAnsi="Times New Roman" w:cs="Times New Roman"/>
          <w:sz w:val="24"/>
          <w:szCs w:val="24"/>
        </w:rPr>
        <w:t xml:space="preserve"> for the environment in hotel industry: The moderating roles of corporate entrepreneurship and employee attachment style. </w:t>
      </w:r>
      <w:r w:rsidRPr="00284585">
        <w:rPr>
          <w:rFonts w:ascii="Times New Roman" w:eastAsia="Times New Roman" w:hAnsi="Times New Roman" w:cs="Times New Roman"/>
          <w:i/>
          <w:sz w:val="24"/>
          <w:szCs w:val="24"/>
        </w:rPr>
        <w:t>International Journal of Contemporary Hospitality Management</w:t>
      </w:r>
      <w:r w:rsidRPr="00284585">
        <w:rPr>
          <w:rFonts w:ascii="Times New Roman" w:eastAsia="Times New Roman" w:hAnsi="Times New Roman" w:cs="Times New Roman"/>
          <w:sz w:val="24"/>
          <w:szCs w:val="24"/>
        </w:rPr>
        <w:t>, 29(11), 2867–2900. https:// doi.org/10.1108/IJCHM‐02‐2016‐0080</w:t>
      </w:r>
    </w:p>
    <w:p w14:paraId="41A1E7F7"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Malik, S. Y., Hayat Mughal, Y., Azam, T., Cao, Y., Wan, Z., Zhu, H., &amp; Thurasamy, R. (2021). Corporate social responsibility, green human resources management, and sustainable performance: is organizational citizenship </w:t>
      </w:r>
      <w:proofErr w:type="spellStart"/>
      <w:r w:rsidRPr="00284585">
        <w:rPr>
          <w:rFonts w:ascii="Times New Roman" w:eastAsia="Times New Roman" w:hAnsi="Times New Roman" w:cs="Times New Roman"/>
          <w:sz w:val="24"/>
          <w:szCs w:val="24"/>
        </w:rPr>
        <w:t>behavior</w:t>
      </w:r>
      <w:proofErr w:type="spellEnd"/>
      <w:r w:rsidRPr="00284585">
        <w:rPr>
          <w:rFonts w:ascii="Times New Roman" w:eastAsia="Times New Roman" w:hAnsi="Times New Roman" w:cs="Times New Roman"/>
          <w:sz w:val="24"/>
          <w:szCs w:val="24"/>
        </w:rPr>
        <w:t xml:space="preserve"> towards environment the missing link?. </w:t>
      </w:r>
      <w:r w:rsidRPr="00284585">
        <w:rPr>
          <w:rFonts w:ascii="Times New Roman" w:eastAsia="Times New Roman" w:hAnsi="Times New Roman" w:cs="Times New Roman"/>
          <w:i/>
          <w:sz w:val="24"/>
          <w:szCs w:val="24"/>
        </w:rPr>
        <w:t>Sustainability</w:t>
      </w:r>
      <w:r w:rsidRPr="00284585">
        <w:rPr>
          <w:rFonts w:ascii="Times New Roman" w:eastAsia="Times New Roman" w:hAnsi="Times New Roman" w:cs="Times New Roman"/>
          <w:sz w:val="24"/>
          <w:szCs w:val="24"/>
        </w:rPr>
        <w:t>, </w:t>
      </w:r>
      <w:r w:rsidRPr="00284585">
        <w:rPr>
          <w:rFonts w:ascii="Times New Roman" w:eastAsia="Times New Roman" w:hAnsi="Times New Roman" w:cs="Times New Roman"/>
          <w:i/>
          <w:sz w:val="24"/>
          <w:szCs w:val="24"/>
        </w:rPr>
        <w:t>13</w:t>
      </w:r>
      <w:r w:rsidRPr="00284585">
        <w:rPr>
          <w:rFonts w:ascii="Times New Roman" w:eastAsia="Times New Roman" w:hAnsi="Times New Roman" w:cs="Times New Roman"/>
          <w:sz w:val="24"/>
          <w:szCs w:val="24"/>
        </w:rPr>
        <w:t xml:space="preserve">(3), 1044. </w:t>
      </w:r>
      <w:hyperlink r:id="rId115">
        <w:r w:rsidR="007373F6" w:rsidRPr="00284585">
          <w:rPr>
            <w:rFonts w:ascii="Times New Roman" w:eastAsia="Times New Roman" w:hAnsi="Times New Roman" w:cs="Times New Roman"/>
            <w:sz w:val="24"/>
            <w:szCs w:val="24"/>
          </w:rPr>
          <w:t>https://doi.org/10.3390/su13031044</w:t>
        </w:r>
      </w:hyperlink>
    </w:p>
    <w:p w14:paraId="7B4CD18F"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McWilliams, A., &amp; Siegel, D. (2001). Corporate social responsibility: a theory of the firm perspective. </w:t>
      </w:r>
      <w:r w:rsidRPr="00284585">
        <w:rPr>
          <w:rFonts w:ascii="Times New Roman" w:eastAsia="Times New Roman" w:hAnsi="Times New Roman" w:cs="Times New Roman"/>
          <w:i/>
          <w:sz w:val="24"/>
          <w:szCs w:val="24"/>
        </w:rPr>
        <w:t>Academy of Management Review</w:t>
      </w:r>
      <w:r w:rsidRPr="00284585">
        <w:rPr>
          <w:rFonts w:ascii="Times New Roman" w:eastAsia="Times New Roman" w:hAnsi="Times New Roman" w:cs="Times New Roman"/>
          <w:sz w:val="24"/>
          <w:szCs w:val="24"/>
        </w:rPr>
        <w:t xml:space="preserve">, 26(1), 117–127. </w:t>
      </w:r>
      <w:hyperlink r:id="rId116">
        <w:r w:rsidR="007373F6" w:rsidRPr="00284585">
          <w:rPr>
            <w:rFonts w:ascii="Times New Roman" w:eastAsia="Times New Roman" w:hAnsi="Times New Roman" w:cs="Times New Roman"/>
            <w:sz w:val="24"/>
            <w:szCs w:val="24"/>
          </w:rPr>
          <w:t>https://doi.org/10.5465/amr.2001.4011987</w:t>
        </w:r>
      </w:hyperlink>
    </w:p>
    <w:p w14:paraId="4D104B31"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Michel, J. W., &amp; Tews, M. J. (2016). Does leader–member exchange accentuate the relationship between leader </w:t>
      </w:r>
      <w:proofErr w:type="spellStart"/>
      <w:r w:rsidRPr="00284585">
        <w:rPr>
          <w:rFonts w:ascii="Times New Roman" w:eastAsia="Times New Roman" w:hAnsi="Times New Roman" w:cs="Times New Roman"/>
          <w:sz w:val="24"/>
          <w:szCs w:val="24"/>
        </w:rPr>
        <w:t>behaviors</w:t>
      </w:r>
      <w:proofErr w:type="spellEnd"/>
      <w:r w:rsidRPr="00284585">
        <w:rPr>
          <w:rFonts w:ascii="Times New Roman" w:eastAsia="Times New Roman" w:hAnsi="Times New Roman" w:cs="Times New Roman"/>
          <w:sz w:val="24"/>
          <w:szCs w:val="24"/>
        </w:rPr>
        <w:t xml:space="preserve"> and organizational citizenship </w:t>
      </w:r>
      <w:proofErr w:type="spellStart"/>
      <w:r w:rsidRPr="00284585">
        <w:rPr>
          <w:rFonts w:ascii="Times New Roman" w:eastAsia="Times New Roman" w:hAnsi="Times New Roman" w:cs="Times New Roman"/>
          <w:sz w:val="24"/>
          <w:szCs w:val="24"/>
        </w:rPr>
        <w:t>behaviors</w:t>
      </w:r>
      <w:proofErr w:type="spellEnd"/>
      <w:r w:rsidRPr="00284585">
        <w:rPr>
          <w:rFonts w:ascii="Times New Roman" w:eastAsia="Times New Roman" w:hAnsi="Times New Roman" w:cs="Times New Roman"/>
          <w:sz w:val="24"/>
          <w:szCs w:val="24"/>
        </w:rPr>
        <w:t xml:space="preserve">?. </w:t>
      </w:r>
      <w:r w:rsidRPr="00284585">
        <w:rPr>
          <w:rFonts w:ascii="Times New Roman" w:eastAsia="Times New Roman" w:hAnsi="Times New Roman" w:cs="Times New Roman"/>
          <w:i/>
          <w:sz w:val="24"/>
          <w:szCs w:val="24"/>
        </w:rPr>
        <w:t>Journal of Leadership &amp; Organizational Studies</w:t>
      </w:r>
      <w:r w:rsidRPr="00284585">
        <w:rPr>
          <w:rFonts w:ascii="Times New Roman" w:eastAsia="Times New Roman" w:hAnsi="Times New Roman" w:cs="Times New Roman"/>
          <w:sz w:val="24"/>
          <w:szCs w:val="24"/>
        </w:rPr>
        <w:t xml:space="preserve">, 23(1), 13-26. </w:t>
      </w:r>
      <w:hyperlink r:id="rId117">
        <w:r w:rsidR="007373F6" w:rsidRPr="00284585">
          <w:rPr>
            <w:rFonts w:ascii="Times New Roman" w:eastAsia="Times New Roman" w:hAnsi="Times New Roman" w:cs="Times New Roman"/>
            <w:sz w:val="24"/>
            <w:szCs w:val="24"/>
          </w:rPr>
          <w:t>https://doi.org/10.1177/1548051815606429</w:t>
        </w:r>
      </w:hyperlink>
    </w:p>
    <w:p w14:paraId="0521748A"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Naqshbandi, M. M., </w:t>
      </w:r>
      <w:proofErr w:type="spellStart"/>
      <w:r w:rsidRPr="00284585">
        <w:rPr>
          <w:rFonts w:ascii="Times New Roman" w:eastAsia="Times New Roman" w:hAnsi="Times New Roman" w:cs="Times New Roman"/>
          <w:sz w:val="24"/>
          <w:szCs w:val="24"/>
        </w:rPr>
        <w:t>Tabche</w:t>
      </w:r>
      <w:proofErr w:type="spellEnd"/>
      <w:r w:rsidRPr="00284585">
        <w:rPr>
          <w:rFonts w:ascii="Times New Roman" w:eastAsia="Times New Roman" w:hAnsi="Times New Roman" w:cs="Times New Roman"/>
          <w:sz w:val="24"/>
          <w:szCs w:val="24"/>
        </w:rPr>
        <w:t xml:space="preserve">, I., &amp; Choudhary, N. (2019). Managing open innovation: The roles of empowering leadership and employee involvement climate. </w:t>
      </w:r>
      <w:r w:rsidRPr="00284585">
        <w:rPr>
          <w:rFonts w:ascii="Times New Roman" w:eastAsia="Times New Roman" w:hAnsi="Times New Roman" w:cs="Times New Roman"/>
          <w:i/>
          <w:sz w:val="24"/>
          <w:szCs w:val="24"/>
        </w:rPr>
        <w:t>Management Decision</w:t>
      </w:r>
      <w:r w:rsidRPr="00284585">
        <w:rPr>
          <w:rFonts w:ascii="Times New Roman" w:eastAsia="Times New Roman" w:hAnsi="Times New Roman" w:cs="Times New Roman"/>
          <w:sz w:val="24"/>
          <w:szCs w:val="24"/>
        </w:rPr>
        <w:t xml:space="preserve">, 57(3), 703–723. </w:t>
      </w:r>
      <w:hyperlink r:id="rId118">
        <w:r w:rsidR="007373F6" w:rsidRPr="00284585">
          <w:rPr>
            <w:rFonts w:ascii="Times New Roman" w:eastAsia="Times New Roman" w:hAnsi="Times New Roman" w:cs="Times New Roman"/>
            <w:sz w:val="24"/>
            <w:szCs w:val="24"/>
          </w:rPr>
          <w:t>https://doi.org/10.1108/MD-07-2017-0660</w:t>
        </w:r>
      </w:hyperlink>
    </w:p>
    <w:p w14:paraId="6F808E86"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Ocampo, L. A., Tan, T. A. G., &amp; Sia, L. A. (2018). “Using fuzzy DEMATEL in </w:t>
      </w:r>
      <w:proofErr w:type="spellStart"/>
      <w:r w:rsidRPr="00284585">
        <w:rPr>
          <w:rFonts w:ascii="Times New Roman" w:eastAsia="Times New Roman" w:hAnsi="Times New Roman" w:cs="Times New Roman"/>
          <w:sz w:val="24"/>
          <w:szCs w:val="24"/>
        </w:rPr>
        <w:t>modeling</w:t>
      </w:r>
      <w:proofErr w:type="spellEnd"/>
      <w:r w:rsidRPr="00284585">
        <w:rPr>
          <w:rFonts w:ascii="Times New Roman" w:eastAsia="Times New Roman" w:hAnsi="Times New Roman" w:cs="Times New Roman"/>
          <w:sz w:val="24"/>
          <w:szCs w:val="24"/>
        </w:rPr>
        <w:t xml:space="preserve"> the causal relationships of the antecedents of organizational citizenship </w:t>
      </w:r>
      <w:proofErr w:type="spellStart"/>
      <w:r w:rsidRPr="00284585">
        <w:rPr>
          <w:rFonts w:ascii="Times New Roman" w:eastAsia="Times New Roman" w:hAnsi="Times New Roman" w:cs="Times New Roman"/>
          <w:sz w:val="24"/>
          <w:szCs w:val="24"/>
        </w:rPr>
        <w:t>behavior</w:t>
      </w:r>
      <w:proofErr w:type="spellEnd"/>
      <w:r w:rsidRPr="00284585">
        <w:rPr>
          <w:rFonts w:ascii="Times New Roman" w:eastAsia="Times New Roman" w:hAnsi="Times New Roman" w:cs="Times New Roman"/>
          <w:sz w:val="24"/>
          <w:szCs w:val="24"/>
        </w:rPr>
        <w:t xml:space="preserve"> (OCB) in the hospitality industry: a case study in the Philippines”, </w:t>
      </w:r>
      <w:r w:rsidRPr="00284585">
        <w:rPr>
          <w:rFonts w:ascii="Times New Roman" w:eastAsia="Times New Roman" w:hAnsi="Times New Roman" w:cs="Times New Roman"/>
          <w:i/>
          <w:sz w:val="24"/>
          <w:szCs w:val="24"/>
        </w:rPr>
        <w:t>Journal of Hospitality and Tourism Management</w:t>
      </w:r>
      <w:r w:rsidRPr="00284585">
        <w:rPr>
          <w:rFonts w:ascii="Times New Roman" w:eastAsia="Times New Roman" w:hAnsi="Times New Roman" w:cs="Times New Roman"/>
          <w:sz w:val="24"/>
          <w:szCs w:val="24"/>
        </w:rPr>
        <w:t xml:space="preserve">, 34, 11-29. </w:t>
      </w:r>
      <w:hyperlink r:id="rId119">
        <w:r w:rsidR="007373F6" w:rsidRPr="00284585">
          <w:rPr>
            <w:rFonts w:ascii="Times New Roman" w:eastAsia="Times New Roman" w:hAnsi="Times New Roman" w:cs="Times New Roman"/>
            <w:sz w:val="24"/>
            <w:szCs w:val="24"/>
          </w:rPr>
          <w:t>https://doi.org/10.1016/j.jhtm.2017.11.002</w:t>
        </w:r>
      </w:hyperlink>
    </w:p>
    <w:p w14:paraId="31E893F5"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proofErr w:type="spellStart"/>
      <w:r w:rsidRPr="00284585">
        <w:rPr>
          <w:rFonts w:ascii="Times New Roman" w:eastAsia="Times New Roman" w:hAnsi="Times New Roman" w:cs="Times New Roman"/>
          <w:sz w:val="24"/>
          <w:szCs w:val="24"/>
        </w:rPr>
        <w:t>Parcha</w:t>
      </w:r>
      <w:proofErr w:type="spellEnd"/>
      <w:r w:rsidRPr="00284585">
        <w:rPr>
          <w:rFonts w:ascii="Times New Roman" w:eastAsia="Times New Roman" w:hAnsi="Times New Roman" w:cs="Times New Roman"/>
          <w:sz w:val="24"/>
          <w:szCs w:val="24"/>
        </w:rPr>
        <w:t xml:space="preserve">, J. M. (2017). How much should a corporation communicate about corporate social responsibility? Reputation and amount of information effects on stakeholders' CSR‐induced attributions. </w:t>
      </w:r>
      <w:r w:rsidRPr="00284585">
        <w:rPr>
          <w:rFonts w:ascii="Times New Roman" w:eastAsia="Times New Roman" w:hAnsi="Times New Roman" w:cs="Times New Roman"/>
          <w:i/>
          <w:sz w:val="24"/>
          <w:szCs w:val="24"/>
        </w:rPr>
        <w:t>Communication Research Reports</w:t>
      </w:r>
      <w:r w:rsidRPr="00284585">
        <w:rPr>
          <w:rFonts w:ascii="Times New Roman" w:eastAsia="Times New Roman" w:hAnsi="Times New Roman" w:cs="Times New Roman"/>
          <w:sz w:val="24"/>
          <w:szCs w:val="24"/>
        </w:rPr>
        <w:t>, 34(3), 275–285. https://doi.org/10.1080/ 08824096.2017.1334639</w:t>
      </w:r>
    </w:p>
    <w:p w14:paraId="4280D96C"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Pless, N. M., Maak, T., &amp; Waldman, D. A. (2012). Different approaches toward doing the right thing: Mapping the responsibility orientations of leaders. </w:t>
      </w:r>
      <w:r w:rsidRPr="00284585">
        <w:rPr>
          <w:rFonts w:ascii="Times New Roman" w:eastAsia="Times New Roman" w:hAnsi="Times New Roman" w:cs="Times New Roman"/>
          <w:i/>
          <w:sz w:val="24"/>
          <w:szCs w:val="24"/>
        </w:rPr>
        <w:t>Academy of Management Perspectives</w:t>
      </w:r>
      <w:r w:rsidRPr="00284585">
        <w:rPr>
          <w:rFonts w:ascii="Times New Roman" w:eastAsia="Times New Roman" w:hAnsi="Times New Roman" w:cs="Times New Roman"/>
          <w:sz w:val="24"/>
          <w:szCs w:val="24"/>
        </w:rPr>
        <w:t xml:space="preserve">, 26(4), 51–65. </w:t>
      </w:r>
      <w:hyperlink r:id="rId120">
        <w:r w:rsidR="007373F6" w:rsidRPr="00284585">
          <w:rPr>
            <w:rFonts w:ascii="Times New Roman" w:eastAsia="Times New Roman" w:hAnsi="Times New Roman" w:cs="Times New Roman"/>
            <w:sz w:val="24"/>
            <w:szCs w:val="24"/>
          </w:rPr>
          <w:t>https://doi.org/10.5465/amp.2012.0028</w:t>
        </w:r>
      </w:hyperlink>
      <w:r w:rsidRPr="00284585">
        <w:rPr>
          <w:rFonts w:ascii="Times New Roman" w:eastAsia="Times New Roman" w:hAnsi="Times New Roman" w:cs="Times New Roman"/>
          <w:sz w:val="24"/>
          <w:szCs w:val="24"/>
        </w:rPr>
        <w:t>.</w:t>
      </w:r>
    </w:p>
    <w:p w14:paraId="6421DFA5"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Preacher, K. J., &amp; Hayes, A. F. (2004). SPSS and SAS procedures for estimating indirect effects in simple mediation models. </w:t>
      </w:r>
      <w:proofErr w:type="spellStart"/>
      <w:r w:rsidRPr="00284585">
        <w:rPr>
          <w:rFonts w:ascii="Times New Roman" w:eastAsia="Times New Roman" w:hAnsi="Times New Roman" w:cs="Times New Roman"/>
          <w:i/>
          <w:sz w:val="24"/>
          <w:szCs w:val="24"/>
        </w:rPr>
        <w:t>Behavior</w:t>
      </w:r>
      <w:proofErr w:type="spellEnd"/>
      <w:r w:rsidRPr="00284585">
        <w:rPr>
          <w:rFonts w:ascii="Times New Roman" w:eastAsia="Times New Roman" w:hAnsi="Times New Roman" w:cs="Times New Roman"/>
          <w:i/>
          <w:sz w:val="24"/>
          <w:szCs w:val="24"/>
        </w:rPr>
        <w:t xml:space="preserve"> research methods, instruments, &amp; computers</w:t>
      </w:r>
      <w:r w:rsidRPr="00284585">
        <w:rPr>
          <w:rFonts w:ascii="Times New Roman" w:eastAsia="Times New Roman" w:hAnsi="Times New Roman" w:cs="Times New Roman"/>
          <w:sz w:val="24"/>
          <w:szCs w:val="24"/>
        </w:rPr>
        <w:t xml:space="preserve">, 36(4), 717-731. </w:t>
      </w:r>
      <w:hyperlink r:id="rId121">
        <w:r w:rsidR="007373F6" w:rsidRPr="00284585">
          <w:rPr>
            <w:rFonts w:ascii="Times New Roman" w:eastAsia="Times New Roman" w:hAnsi="Times New Roman" w:cs="Times New Roman"/>
            <w:sz w:val="24"/>
            <w:szCs w:val="24"/>
          </w:rPr>
          <w:t>https://doi.org/10.3758/BF03206553</w:t>
        </w:r>
      </w:hyperlink>
    </w:p>
    <w:p w14:paraId="028DADDD"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Steurer, R. (2006). Mapping stakeholder theory anew: from the ‘stakeholder theory of the firm’ to three perspectives on business–society relations. </w:t>
      </w:r>
      <w:r w:rsidRPr="00284585">
        <w:rPr>
          <w:rFonts w:ascii="Times New Roman" w:eastAsia="Times New Roman" w:hAnsi="Times New Roman" w:cs="Times New Roman"/>
          <w:i/>
          <w:sz w:val="24"/>
          <w:szCs w:val="24"/>
        </w:rPr>
        <w:t>Business Strategy &amp; the Environment,</w:t>
      </w:r>
      <w:r w:rsidRPr="00284585">
        <w:rPr>
          <w:rFonts w:ascii="Times New Roman" w:eastAsia="Times New Roman" w:hAnsi="Times New Roman" w:cs="Times New Roman"/>
          <w:sz w:val="24"/>
          <w:szCs w:val="24"/>
        </w:rPr>
        <w:t xml:space="preserve"> 15(1), 55–69.  </w:t>
      </w:r>
      <w:hyperlink r:id="rId122">
        <w:r w:rsidR="007373F6" w:rsidRPr="00284585">
          <w:rPr>
            <w:rFonts w:ascii="Times New Roman" w:eastAsia="Times New Roman" w:hAnsi="Times New Roman" w:cs="Times New Roman"/>
            <w:sz w:val="24"/>
            <w:szCs w:val="24"/>
          </w:rPr>
          <w:t>https://doi.org/10.1002/bse.467</w:t>
        </w:r>
      </w:hyperlink>
    </w:p>
    <w:p w14:paraId="1053A080"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Story, J., &amp; Neves, P. (2015). When corporate social responsibility (CSR) increases performance: Exploring the role of intrinsic and extrinsic CSR attribution. </w:t>
      </w:r>
      <w:r w:rsidRPr="00284585">
        <w:rPr>
          <w:rFonts w:ascii="Times New Roman" w:eastAsia="Times New Roman" w:hAnsi="Times New Roman" w:cs="Times New Roman"/>
          <w:i/>
          <w:sz w:val="24"/>
          <w:szCs w:val="24"/>
        </w:rPr>
        <w:t>Business Ethics: A European Review</w:t>
      </w:r>
      <w:r w:rsidRPr="00284585">
        <w:rPr>
          <w:rFonts w:ascii="Times New Roman" w:eastAsia="Times New Roman" w:hAnsi="Times New Roman" w:cs="Times New Roman"/>
          <w:sz w:val="24"/>
          <w:szCs w:val="24"/>
        </w:rPr>
        <w:t>, 24(2), 111–124. https://doi.org/10.1111/beer.12084</w:t>
      </w:r>
    </w:p>
    <w:p w14:paraId="7340FE3B"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Tian, Z., Wang, R., &amp; Yang, W. (2011). Consumer responses to corporate social responsibility (CSR) in China. </w:t>
      </w:r>
      <w:r w:rsidRPr="00284585">
        <w:rPr>
          <w:rFonts w:ascii="Times New Roman" w:eastAsia="Times New Roman" w:hAnsi="Times New Roman" w:cs="Times New Roman"/>
          <w:i/>
          <w:sz w:val="24"/>
          <w:szCs w:val="24"/>
        </w:rPr>
        <w:t>Journal of business ethics</w:t>
      </w:r>
      <w:r w:rsidRPr="00284585">
        <w:rPr>
          <w:rFonts w:ascii="Times New Roman" w:eastAsia="Times New Roman" w:hAnsi="Times New Roman" w:cs="Times New Roman"/>
          <w:sz w:val="24"/>
          <w:szCs w:val="24"/>
        </w:rPr>
        <w:t xml:space="preserve">, 101(2), 197-212. </w:t>
      </w:r>
      <w:hyperlink r:id="rId123">
        <w:r w:rsidR="007373F6" w:rsidRPr="00284585">
          <w:rPr>
            <w:rFonts w:ascii="Times New Roman" w:eastAsia="Times New Roman" w:hAnsi="Times New Roman" w:cs="Times New Roman"/>
            <w:sz w:val="24"/>
            <w:szCs w:val="24"/>
          </w:rPr>
          <w:t>https://doi.org/10.1007/s10551-010-0716-6</w:t>
        </w:r>
      </w:hyperlink>
    </w:p>
    <w:p w14:paraId="1F6602F7"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Van den Steen, E. (2010). On the origin of shared beliefs (and corporate culture). </w:t>
      </w:r>
      <w:r w:rsidRPr="00284585">
        <w:rPr>
          <w:rFonts w:ascii="Times New Roman" w:eastAsia="Times New Roman" w:hAnsi="Times New Roman" w:cs="Times New Roman"/>
          <w:i/>
          <w:sz w:val="24"/>
          <w:szCs w:val="24"/>
        </w:rPr>
        <w:t>RAND Journal of Economics</w:t>
      </w:r>
      <w:r w:rsidRPr="00284585">
        <w:rPr>
          <w:rFonts w:ascii="Times New Roman" w:eastAsia="Times New Roman" w:hAnsi="Times New Roman" w:cs="Times New Roman"/>
          <w:sz w:val="24"/>
          <w:szCs w:val="24"/>
        </w:rPr>
        <w:t xml:space="preserve">, 41(4), 617–648.  </w:t>
      </w:r>
      <w:hyperlink r:id="rId124">
        <w:r w:rsidR="007373F6" w:rsidRPr="00284585">
          <w:rPr>
            <w:rFonts w:ascii="Times New Roman" w:eastAsia="Times New Roman" w:hAnsi="Times New Roman" w:cs="Times New Roman"/>
            <w:sz w:val="24"/>
            <w:szCs w:val="24"/>
          </w:rPr>
          <w:t>https://doi.org/10.1111/j.1756-2171.2010.00114.x</w:t>
        </w:r>
      </w:hyperlink>
    </w:p>
    <w:p w14:paraId="278C7601"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lastRenderedPageBreak/>
        <w:t xml:space="preserve">Voegtlin, C., Patzer, M., &amp; Scherer, A. G. (2012). Responsible leadership in global business: A new approach to leadership and its multi-level outcomes. </w:t>
      </w:r>
      <w:r w:rsidRPr="00284585">
        <w:rPr>
          <w:rFonts w:ascii="Times New Roman" w:eastAsia="Times New Roman" w:hAnsi="Times New Roman" w:cs="Times New Roman"/>
          <w:i/>
          <w:sz w:val="24"/>
          <w:szCs w:val="24"/>
        </w:rPr>
        <w:t>Journal of Business Ethics</w:t>
      </w:r>
      <w:r w:rsidRPr="00284585">
        <w:rPr>
          <w:rFonts w:ascii="Times New Roman" w:eastAsia="Times New Roman" w:hAnsi="Times New Roman" w:cs="Times New Roman"/>
          <w:sz w:val="24"/>
          <w:szCs w:val="24"/>
        </w:rPr>
        <w:t xml:space="preserve">, 105(1), 1–16. </w:t>
      </w:r>
      <w:hyperlink r:id="rId125">
        <w:r w:rsidR="007373F6" w:rsidRPr="00284585">
          <w:rPr>
            <w:rFonts w:ascii="Times New Roman" w:eastAsia="Times New Roman" w:hAnsi="Times New Roman" w:cs="Times New Roman"/>
            <w:sz w:val="24"/>
            <w:szCs w:val="24"/>
          </w:rPr>
          <w:t>https://doi.org/10.1007/s10551-011-0952-4</w:t>
        </w:r>
      </w:hyperlink>
    </w:p>
    <w:p w14:paraId="5297C7A6"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Waldman, D. A., Siegel, D. S., &amp; Stahl, G. K. (2019). Defining the socially responsible leader: Revisiting issues in responsible leadership. </w:t>
      </w:r>
      <w:r w:rsidRPr="00284585">
        <w:rPr>
          <w:rFonts w:ascii="Times New Roman" w:eastAsia="Times New Roman" w:hAnsi="Times New Roman" w:cs="Times New Roman"/>
          <w:i/>
          <w:sz w:val="24"/>
          <w:szCs w:val="24"/>
        </w:rPr>
        <w:t>Journal of Leadership &amp; Organizational Studies</w:t>
      </w:r>
      <w:r w:rsidRPr="00284585">
        <w:rPr>
          <w:rFonts w:ascii="Times New Roman" w:eastAsia="Times New Roman" w:hAnsi="Times New Roman" w:cs="Times New Roman"/>
          <w:sz w:val="24"/>
          <w:szCs w:val="24"/>
        </w:rPr>
        <w:t xml:space="preserve">, 27(1), 5–20. </w:t>
      </w:r>
      <w:hyperlink r:id="rId126">
        <w:r w:rsidR="007373F6" w:rsidRPr="00284585">
          <w:rPr>
            <w:rFonts w:ascii="Times New Roman" w:eastAsia="Times New Roman" w:hAnsi="Times New Roman" w:cs="Times New Roman"/>
            <w:sz w:val="24"/>
            <w:szCs w:val="24"/>
          </w:rPr>
          <w:t>https://doi.org/10.1177/1548051819872201</w:t>
        </w:r>
      </w:hyperlink>
    </w:p>
    <w:p w14:paraId="23D3097E" w14:textId="77777777" w:rsidR="007373F6" w:rsidRPr="00284585" w:rsidRDefault="00000000">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Zhang, H., Liu, Z., &amp; Wang, Y. (2019). How transformational leadership positively impacts organizational citizenship </w:t>
      </w:r>
      <w:proofErr w:type="spellStart"/>
      <w:r w:rsidRPr="00284585">
        <w:rPr>
          <w:rFonts w:ascii="Times New Roman" w:eastAsia="Times New Roman" w:hAnsi="Times New Roman" w:cs="Times New Roman"/>
          <w:sz w:val="24"/>
          <w:szCs w:val="24"/>
        </w:rPr>
        <w:t>behavior</w:t>
      </w:r>
      <w:proofErr w:type="spellEnd"/>
      <w:r w:rsidRPr="00284585">
        <w:rPr>
          <w:rFonts w:ascii="Times New Roman" w:eastAsia="Times New Roman" w:hAnsi="Times New Roman" w:cs="Times New Roman"/>
          <w:sz w:val="24"/>
          <w:szCs w:val="24"/>
        </w:rPr>
        <w:t xml:space="preserve"> in successful Chinese social work service organizations. </w:t>
      </w:r>
      <w:r w:rsidRPr="00284585">
        <w:rPr>
          <w:rFonts w:ascii="Times New Roman" w:eastAsia="Times New Roman" w:hAnsi="Times New Roman" w:cs="Times New Roman"/>
          <w:i/>
          <w:sz w:val="24"/>
          <w:szCs w:val="24"/>
        </w:rPr>
        <w:t>Nonprofit Management and Leadership</w:t>
      </w:r>
      <w:r w:rsidRPr="00284585">
        <w:rPr>
          <w:rFonts w:ascii="Times New Roman" w:eastAsia="Times New Roman" w:hAnsi="Times New Roman" w:cs="Times New Roman"/>
          <w:sz w:val="24"/>
          <w:szCs w:val="24"/>
        </w:rPr>
        <w:t xml:space="preserve">, 30(3), 467-485. </w:t>
      </w:r>
      <w:hyperlink r:id="rId127">
        <w:r w:rsidR="007373F6" w:rsidRPr="00284585">
          <w:rPr>
            <w:rFonts w:ascii="Times New Roman" w:eastAsia="Times New Roman" w:hAnsi="Times New Roman" w:cs="Times New Roman"/>
            <w:sz w:val="24"/>
            <w:szCs w:val="24"/>
          </w:rPr>
          <w:t>https://doi.org/10.1002/nml.21391</w:t>
        </w:r>
      </w:hyperlink>
    </w:p>
    <w:p w14:paraId="721FE69C" w14:textId="77777777" w:rsidR="007373F6" w:rsidRDefault="007373F6">
      <w:pPr>
        <w:jc w:val="both"/>
      </w:pPr>
    </w:p>
    <w:p w14:paraId="4CDEE595" w14:textId="77777777" w:rsidR="007373F6" w:rsidRDefault="007373F6">
      <w:pPr>
        <w:jc w:val="both"/>
      </w:pPr>
    </w:p>
    <w:p w14:paraId="1E1A6929" w14:textId="77777777" w:rsidR="007373F6" w:rsidRDefault="00000000">
      <w:pPr>
        <w:pStyle w:val="Heading2"/>
        <w:jc w:val="both"/>
        <w:rPr>
          <w:color w:val="000000"/>
        </w:rPr>
      </w:pPr>
      <w:r>
        <w:lastRenderedPageBreak/>
        <w:br w:type="page"/>
      </w:r>
    </w:p>
    <w:p w14:paraId="7641102D" w14:textId="77777777" w:rsidR="007373F6" w:rsidRDefault="00000000">
      <w:pPr>
        <w:pStyle w:val="Heading1"/>
      </w:pPr>
      <w:bookmarkStart w:id="57" w:name="_Toc211808144"/>
      <w:r>
        <w:lastRenderedPageBreak/>
        <w:t>Paper ID 12</w:t>
      </w:r>
      <w:bookmarkEnd w:id="57"/>
    </w:p>
    <w:p w14:paraId="391676B9" w14:textId="77777777" w:rsidR="007373F6" w:rsidRDefault="00000000">
      <w:pPr>
        <w:pStyle w:val="Heading2"/>
        <w:spacing w:after="0" w:line="240" w:lineRule="auto"/>
      </w:pPr>
      <w:bookmarkStart w:id="58" w:name="_Toc211808145"/>
      <w:r>
        <w:t>INVESTIGATING FACTORS AFFECTING THE TAX PLANNING OF VIETNAMESE LISTED COMPANIES</w:t>
      </w:r>
      <w:bookmarkEnd w:id="58"/>
    </w:p>
    <w:p w14:paraId="2DD57219" w14:textId="77777777" w:rsidR="007373F6" w:rsidRDefault="007373F6">
      <w:pPr>
        <w:spacing w:after="0" w:line="240" w:lineRule="auto"/>
        <w:jc w:val="center"/>
        <w:rPr>
          <w:rFonts w:ascii="Times New Roman" w:eastAsia="Times New Roman" w:hAnsi="Times New Roman" w:cs="Times New Roman"/>
          <w:b/>
          <w:sz w:val="26"/>
          <w:szCs w:val="26"/>
        </w:rPr>
      </w:pPr>
    </w:p>
    <w:p w14:paraId="7086E938" w14:textId="77777777" w:rsidR="007373F6" w:rsidRDefault="00000000">
      <w:pPr>
        <w:shd w:val="clear" w:color="auto" w:fill="FFFFFF"/>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Vu Thi Thanh Binh*</w:t>
      </w:r>
      <w:r>
        <w:rPr>
          <w:rFonts w:ascii="Times New Roman" w:eastAsia="Times New Roman" w:hAnsi="Times New Roman" w:cs="Times New Roman"/>
          <w:color w:val="222222"/>
          <w:sz w:val="24"/>
          <w:szCs w:val="24"/>
        </w:rPr>
        <w:t>, VNU University of Economics and Business, Hanoi, Vietnam (vttbinh@vnu.edu.vn)</w:t>
      </w:r>
    </w:p>
    <w:p w14:paraId="02ADF5C5" w14:textId="77777777" w:rsidR="007373F6" w:rsidRDefault="00000000">
      <w:pPr>
        <w:shd w:val="clear" w:color="auto" w:fill="FFFFFF"/>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Nguyen Thi Hong Thuy</w:t>
      </w:r>
      <w:r>
        <w:rPr>
          <w:rFonts w:ascii="Times New Roman" w:eastAsia="Times New Roman" w:hAnsi="Times New Roman" w:cs="Times New Roman"/>
          <w:color w:val="222222"/>
          <w:sz w:val="24"/>
          <w:szCs w:val="24"/>
        </w:rPr>
        <w:t>, VNU University of Economics and Business, Hanoi, Vietnam (nththuy@vnu.edu.vn)</w:t>
      </w:r>
    </w:p>
    <w:p w14:paraId="66BA33BF" w14:textId="77777777" w:rsidR="007373F6" w:rsidRDefault="00000000">
      <w:pPr>
        <w:shd w:val="clear" w:color="auto" w:fill="FFFFFF"/>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Nguyen Thi Hong</w:t>
      </w:r>
      <w:r>
        <w:rPr>
          <w:rFonts w:ascii="Times New Roman" w:eastAsia="Times New Roman" w:hAnsi="Times New Roman" w:cs="Times New Roman"/>
          <w:color w:val="222222"/>
          <w:sz w:val="24"/>
          <w:szCs w:val="24"/>
        </w:rPr>
        <w:t>, VNU University of Economics and Business, Hanoi, Vietnam (nguyenthihong15022000@gmail.com)</w:t>
      </w:r>
    </w:p>
    <w:p w14:paraId="10601489" w14:textId="77777777" w:rsidR="007373F6" w:rsidRDefault="00000000">
      <w:pPr>
        <w:shd w:val="clear" w:color="auto" w:fill="FFFFFF"/>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Tran Phuong Thao</w:t>
      </w:r>
      <w:r>
        <w:rPr>
          <w:rFonts w:ascii="Times New Roman" w:eastAsia="Times New Roman" w:hAnsi="Times New Roman" w:cs="Times New Roman"/>
          <w:color w:val="222222"/>
          <w:sz w:val="24"/>
          <w:szCs w:val="24"/>
        </w:rPr>
        <w:t>, VNU University of Economics and Business, Hanoi, Vietnam (phuongthaoowin@gmail.com)</w:t>
      </w:r>
    </w:p>
    <w:p w14:paraId="510096B2" w14:textId="77777777" w:rsidR="007373F6" w:rsidRDefault="00000000">
      <w:pPr>
        <w:shd w:val="clear" w:color="auto" w:fill="FFFFFF"/>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Nguyen Thi Minh</w:t>
      </w:r>
      <w:r>
        <w:rPr>
          <w:rFonts w:ascii="Times New Roman" w:eastAsia="Times New Roman" w:hAnsi="Times New Roman" w:cs="Times New Roman"/>
          <w:color w:val="222222"/>
          <w:sz w:val="24"/>
          <w:szCs w:val="24"/>
        </w:rPr>
        <w:t>, VNU University of Economics and Business, Hanoi, Vietnam (nguyenminh21011991@gmail.com)</w:t>
      </w:r>
    </w:p>
    <w:p w14:paraId="1EA21D15" w14:textId="77777777" w:rsidR="007373F6" w:rsidRDefault="007373F6">
      <w:pPr>
        <w:jc w:val="center"/>
      </w:pPr>
    </w:p>
    <w:p w14:paraId="4C42701E" w14:textId="77777777" w:rsidR="007373F6"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ABSTRACT</w:t>
      </w:r>
    </w:p>
    <w:p w14:paraId="2BD3FF4C"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study examines the factors influencing corporate tax planning in the context of an emerging market, where regulatory reforms and international integration have created increasing pressure for tax transparency and efficiency. Using panel data from 298 non-financial listed companies on the Ho Chi Minh City Stock Exchange over the period 2019-2022, the study employs descriptive statistics, correlation analysis, and panel regression techniques. The Fixed Effects Model is selected as the most appropriate based on diagnostic testing, and Feasible Generalized Least Squares is applied to correct for heteroskedasticity. The findings indicate that financial leverage, capital intensity, and inventory intensity significantly influence the effective tax planning via the effective tax rate proxy. While leverage and capital intensity are associated with lower effective tax planning, inventory intensity has a positive impact. Return on assets and return on equity yield mixed effects on the corporate tax planning. Both return on assets and return on equity exhibit negative effects on the effective tax rate; however, only the impact of return on equity is statistically significant, while the effect of return on assets is not. These results provide empirical insights for policymakers and corporate managers aiming to promote responsible tax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and optimize firm performance in Vietnam.</w:t>
      </w:r>
    </w:p>
    <w:p w14:paraId="7EF5DCA0" w14:textId="77777777" w:rsidR="007373F6" w:rsidRDefault="007373F6">
      <w:pPr>
        <w:spacing w:after="0" w:line="240" w:lineRule="auto"/>
        <w:jc w:val="both"/>
        <w:rPr>
          <w:rFonts w:ascii="Times New Roman" w:eastAsia="Times New Roman" w:hAnsi="Times New Roman" w:cs="Times New Roman"/>
          <w:sz w:val="24"/>
          <w:szCs w:val="24"/>
        </w:rPr>
      </w:pPr>
    </w:p>
    <w:p w14:paraId="391DD40C" w14:textId="02E2E712" w:rsidR="007373F6" w:rsidRDefault="00000000">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Keywords: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Financial </w:t>
      </w:r>
      <w:r w:rsidR="00284585">
        <w:rPr>
          <w:rFonts w:ascii="Times New Roman" w:eastAsia="Times New Roman" w:hAnsi="Times New Roman" w:cs="Times New Roman"/>
          <w:i/>
          <w:sz w:val="24"/>
          <w:szCs w:val="24"/>
        </w:rPr>
        <w:t xml:space="preserve">Performance, </w:t>
      </w:r>
      <w:r>
        <w:rPr>
          <w:rFonts w:ascii="Times New Roman" w:eastAsia="Times New Roman" w:hAnsi="Times New Roman" w:cs="Times New Roman"/>
          <w:i/>
          <w:sz w:val="24"/>
          <w:szCs w:val="24"/>
        </w:rPr>
        <w:t xml:space="preserve">Effective </w:t>
      </w:r>
      <w:r w:rsidR="00284585">
        <w:rPr>
          <w:rFonts w:ascii="Times New Roman" w:eastAsia="Times New Roman" w:hAnsi="Times New Roman" w:cs="Times New Roman"/>
          <w:i/>
          <w:sz w:val="24"/>
          <w:szCs w:val="24"/>
        </w:rPr>
        <w:t xml:space="preserve">Tax Rate, </w:t>
      </w:r>
      <w:r>
        <w:rPr>
          <w:rFonts w:ascii="Times New Roman" w:eastAsia="Times New Roman" w:hAnsi="Times New Roman" w:cs="Times New Roman"/>
          <w:i/>
          <w:sz w:val="24"/>
          <w:szCs w:val="24"/>
        </w:rPr>
        <w:t xml:space="preserve">Emerging </w:t>
      </w:r>
      <w:r w:rsidR="00284585">
        <w:rPr>
          <w:rFonts w:ascii="Times New Roman" w:eastAsia="Times New Roman" w:hAnsi="Times New Roman" w:cs="Times New Roman"/>
          <w:i/>
          <w:sz w:val="24"/>
          <w:szCs w:val="24"/>
        </w:rPr>
        <w:t xml:space="preserve">Economy, </w:t>
      </w:r>
      <w:r>
        <w:rPr>
          <w:rFonts w:ascii="Times New Roman" w:eastAsia="Times New Roman" w:hAnsi="Times New Roman" w:cs="Times New Roman"/>
          <w:i/>
          <w:sz w:val="24"/>
          <w:szCs w:val="24"/>
        </w:rPr>
        <w:t xml:space="preserve">Tax </w:t>
      </w:r>
      <w:r w:rsidR="00284585">
        <w:rPr>
          <w:rFonts w:ascii="Times New Roman" w:eastAsia="Times New Roman" w:hAnsi="Times New Roman" w:cs="Times New Roman"/>
          <w:i/>
          <w:sz w:val="24"/>
          <w:szCs w:val="24"/>
        </w:rPr>
        <w:t xml:space="preserve">Planning, </w:t>
      </w:r>
      <w:r>
        <w:rPr>
          <w:rFonts w:ascii="Times New Roman" w:eastAsia="Times New Roman" w:hAnsi="Times New Roman" w:cs="Times New Roman"/>
          <w:i/>
          <w:sz w:val="24"/>
          <w:szCs w:val="24"/>
        </w:rPr>
        <w:t xml:space="preserve">Vietnam </w:t>
      </w:r>
    </w:p>
    <w:p w14:paraId="485C95D1" w14:textId="77777777" w:rsidR="007373F6" w:rsidRDefault="007373F6" w:rsidP="00207215"/>
    <w:p w14:paraId="22EC5B61" w14:textId="77777777" w:rsidR="007373F6" w:rsidRDefault="00000000">
      <w:pPr>
        <w:spacing w:after="200" w:line="240" w:lineRule="auto"/>
        <w:ind w:right="-36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 INTRODUCTION</w:t>
      </w:r>
    </w:p>
    <w:p w14:paraId="607A53A8" w14:textId="77777777" w:rsidR="007373F6" w:rsidRDefault="00000000" w:rsidP="00284585">
      <w:pPr>
        <w:spacing w:after="0" w:line="240" w:lineRule="auto"/>
        <w:ind w:right="-36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recent years, Vietnam has undertaken significant tax reforms, introducing and amending regulations. These changes, aligned with the country’s efforts toward global economic integration and transparency have created a more complex environment for businesses and taxpayers. In this context, effective corporate tax planning has become increasingly important. Beyond reducing tax burdens and enhancing after-tax income, tax planning helps firms allocate resources more efficiently, manage risks, and sustain competitiveness. For Vietnamese firms navigating evolving </w:t>
      </w:r>
      <w:r>
        <w:rPr>
          <w:rFonts w:ascii="Times New Roman" w:eastAsia="Times New Roman" w:hAnsi="Times New Roman" w:cs="Times New Roman"/>
          <w:sz w:val="24"/>
          <w:szCs w:val="24"/>
        </w:rPr>
        <w:lastRenderedPageBreak/>
        <w:t>financial reporting standards and investor expectations, balancing compliance, efficiency, and transparency through sound tax planning is both a necessity and a strategic advantage.</w:t>
      </w:r>
    </w:p>
    <w:p w14:paraId="4FE82F71" w14:textId="77777777" w:rsidR="007373F6" w:rsidRDefault="00000000" w:rsidP="00284585">
      <w:pPr>
        <w:spacing w:after="0" w:line="240" w:lineRule="auto"/>
        <w:ind w:right="-36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Although corporate tax planning has been widely studied, existing evidence remains fragmented and highly context-dependent. Prior research has examined determinants such as firm size, leverage, profitability, capital intensity, and governance mechanisms, while others highlight the role of managerial incentives (Dyreng, Hanlon, &amp; Maydew, 2008), ownership structures (Chen, Chen, Cheng, &amp; Shevlin, 2010), and links to CSR and ESG practices (Abid &amp; </w:t>
      </w:r>
      <w:proofErr w:type="spellStart"/>
      <w:r>
        <w:rPr>
          <w:rFonts w:ascii="Times New Roman" w:eastAsia="Times New Roman" w:hAnsi="Times New Roman" w:cs="Times New Roman"/>
          <w:sz w:val="24"/>
          <w:szCs w:val="24"/>
        </w:rPr>
        <w:t>Dammak</w:t>
      </w:r>
      <w:proofErr w:type="spellEnd"/>
      <w:r>
        <w:rPr>
          <w:rFonts w:ascii="Times New Roman" w:eastAsia="Times New Roman" w:hAnsi="Times New Roman" w:cs="Times New Roman"/>
          <w:sz w:val="24"/>
          <w:szCs w:val="24"/>
        </w:rPr>
        <w:t>, 2022; Lanis &amp; Richardson, 2013). However, most findings are drawn from developed economies with mature institutions, leaving limited insights into emerging markets such as Vietnam. Existing Vietnamese studies mainly address tax compliance and policy implementation (Binh &amp; Hue, 2023; Le, Tuyet, Hanh, &amp; Do, 2020; Pham, Van Nguyen, &amp; Nguyen, 2024) but rarely explore how firm-specific and governance factors shape tax planning. Moreover, the interaction between tax planning and CSR/ESG in Vietnamese firms remains largely unexamined. These gaps underscore the need for localized empirical research to inform both corporate managers and policymakers.</w:t>
      </w:r>
    </w:p>
    <w:p w14:paraId="1970F2F8" w14:textId="77777777" w:rsidR="007373F6" w:rsidRDefault="00000000" w:rsidP="00284585">
      <w:pPr>
        <w:spacing w:after="0" w:line="240" w:lineRule="auto"/>
        <w:ind w:right="-36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study aims to examine the determinants of tax planning among non-financial listed firms in Vietnam, thereby enriching the literature on tax management in emerging markets. By identifying how firm-specific characteristics and governance mechanisms influence tax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the research provides practical insights for managers to align tax strategies with good governance and sustainability, while offering policymakers evidence to design fair and effective regulations.</w:t>
      </w:r>
    </w:p>
    <w:p w14:paraId="1D25E3AC" w14:textId="77777777" w:rsidR="007373F6" w:rsidRDefault="007373F6">
      <w:pPr>
        <w:spacing w:after="0" w:line="240" w:lineRule="auto"/>
        <w:ind w:right="-360"/>
        <w:jc w:val="both"/>
        <w:rPr>
          <w:rFonts w:ascii="Times New Roman" w:eastAsia="Times New Roman" w:hAnsi="Times New Roman" w:cs="Times New Roman"/>
          <w:b/>
          <w:sz w:val="24"/>
          <w:szCs w:val="24"/>
        </w:rPr>
      </w:pPr>
    </w:p>
    <w:p w14:paraId="519BED37" w14:textId="77777777" w:rsidR="007373F6" w:rsidRDefault="00000000">
      <w:pPr>
        <w:spacing w:after="200" w:line="240" w:lineRule="auto"/>
        <w:ind w:right="-36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 LITERATURE REVIEW</w:t>
      </w:r>
    </w:p>
    <w:p w14:paraId="65E82581" w14:textId="77777777" w:rsidR="007373F6" w:rsidRDefault="00000000">
      <w:pPr>
        <w:spacing w:after="0" w:line="240" w:lineRule="auto"/>
        <w:ind w:right="-36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Review of Tax Planning</w:t>
      </w:r>
    </w:p>
    <w:p w14:paraId="15F3AD7E" w14:textId="77777777" w:rsidR="007373F6" w:rsidRDefault="00000000">
      <w:pPr>
        <w:spacing w:after="0" w:line="240" w:lineRule="auto"/>
        <w:ind w:righ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Tax planning is a central component of corporate financial strategy, broadly defined as arranging a firm’s affairs to minimize tax liabilities within legal boundaries. The literature distinguishes between tax avoidance, considered legal, and tax evasion, deemed illegal (Armstrong, Blouin, </w:t>
      </w:r>
      <w:proofErr w:type="spellStart"/>
      <w:r>
        <w:rPr>
          <w:rFonts w:ascii="Times New Roman" w:eastAsia="Times New Roman" w:hAnsi="Times New Roman" w:cs="Times New Roman"/>
          <w:sz w:val="24"/>
          <w:szCs w:val="24"/>
        </w:rPr>
        <w:t>Jagolinzer</w:t>
      </w:r>
      <w:proofErr w:type="spellEnd"/>
      <w:r>
        <w:rPr>
          <w:rFonts w:ascii="Times New Roman" w:eastAsia="Times New Roman" w:hAnsi="Times New Roman" w:cs="Times New Roman"/>
          <w:sz w:val="24"/>
          <w:szCs w:val="24"/>
        </w:rPr>
        <w:t xml:space="preserve">, &amp; Larcker, 2015; Frank, Lynch, &amp; Rego, 2009). Effective tax planning enhances after-tax cash flows and firm value, while aggressive strategies may create reputational and regulatory risks (Hanlon &amp; </w:t>
      </w:r>
      <w:proofErr w:type="spellStart"/>
      <w:r>
        <w:rPr>
          <w:rFonts w:ascii="Times New Roman" w:eastAsia="Times New Roman" w:hAnsi="Times New Roman" w:cs="Times New Roman"/>
          <w:sz w:val="24"/>
          <w:szCs w:val="24"/>
        </w:rPr>
        <w:t>Slemrod</w:t>
      </w:r>
      <w:proofErr w:type="spellEnd"/>
      <w:r>
        <w:rPr>
          <w:rFonts w:ascii="Times New Roman" w:eastAsia="Times New Roman" w:hAnsi="Times New Roman" w:cs="Times New Roman"/>
          <w:sz w:val="24"/>
          <w:szCs w:val="24"/>
        </w:rPr>
        <w:t>, 2009). Recent studies emphasize tax planning’s role within corporate governance, CSR, and ESG, highlighting stakeholder expectations of transparency and ethical conduct (Lanis &amp; Richardson, 2013; Nasir, Yaacob, Kamarudin, Rashid, &amp; Othman, 2024). Measuring tax planning remains challenging; proxies include book-tax differences, discretionary permanent differences, and tax shelter indicators. Among these, the effective tax rate (ETR) is most widely applied, reflecting the ratio of tax expense to pre-tax income (Chen et al., 2010). A lower ETR signals efficient tax planning but, if excessively low, may raise concerns about aggressive avoidance and governance quality (Hanlon &amp; Heitzman, 2010).</w:t>
      </w:r>
    </w:p>
    <w:p w14:paraId="40537644" w14:textId="77777777" w:rsidR="007373F6" w:rsidRDefault="007373F6">
      <w:pPr>
        <w:spacing w:after="0" w:line="240" w:lineRule="auto"/>
        <w:ind w:right="-360"/>
        <w:jc w:val="both"/>
        <w:rPr>
          <w:rFonts w:ascii="Times New Roman" w:eastAsia="Times New Roman" w:hAnsi="Times New Roman" w:cs="Times New Roman"/>
          <w:sz w:val="24"/>
          <w:szCs w:val="24"/>
        </w:rPr>
      </w:pPr>
    </w:p>
    <w:p w14:paraId="5CECF115" w14:textId="77777777" w:rsidR="007373F6" w:rsidRDefault="00000000">
      <w:pPr>
        <w:spacing w:after="0" w:line="240" w:lineRule="auto"/>
        <w:ind w:right="-36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Hypotheses development</w:t>
      </w:r>
    </w:p>
    <w:p w14:paraId="08E99F6E" w14:textId="77777777" w:rsidR="007373F6" w:rsidRDefault="00000000" w:rsidP="00284585">
      <w:pPr>
        <w:spacing w:after="0" w:line="240" w:lineRule="auto"/>
        <w:ind w:right="-36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Firms with higher leverage benefit from the tax deductibility of interest expenses, which lowers taxable income and reduces the effective tax rate (ETR), whereas equity financing lacks this advantage since dividends are not deductible. Accordingly, capital structure plays a critical role, with greater debt use expected to decrease ETR. Prior studies support this negative relationship between leverage and ETR (Gupta &amp; Newberry, 1997; Lazăr, 2014; Liu &amp; Cao, 2007).</w:t>
      </w:r>
    </w:p>
    <w:p w14:paraId="0595E88D" w14:textId="226C9741" w:rsidR="007373F6" w:rsidRPr="00284585" w:rsidRDefault="00000000">
      <w:pPr>
        <w:spacing w:after="0" w:line="240" w:lineRule="auto"/>
        <w:ind w:right="-360" w:firstLine="540"/>
        <w:jc w:val="both"/>
        <w:rPr>
          <w:rFonts w:ascii="Times New Roman" w:eastAsia="Times New Roman" w:hAnsi="Times New Roman" w:cs="Times New Roman"/>
          <w:iCs/>
          <w:sz w:val="24"/>
          <w:szCs w:val="24"/>
        </w:rPr>
      </w:pPr>
      <w:r w:rsidRPr="00284585">
        <w:rPr>
          <w:rFonts w:ascii="Times New Roman" w:eastAsia="Times New Roman" w:hAnsi="Times New Roman" w:cs="Times New Roman"/>
          <w:b/>
          <w:bCs/>
          <w:iCs/>
          <w:sz w:val="24"/>
          <w:szCs w:val="24"/>
        </w:rPr>
        <w:t>H</w:t>
      </w:r>
      <w:r w:rsidRPr="00284585">
        <w:rPr>
          <w:rFonts w:ascii="Times New Roman" w:eastAsia="Times New Roman" w:hAnsi="Times New Roman" w:cs="Times New Roman"/>
          <w:b/>
          <w:bCs/>
          <w:iCs/>
          <w:sz w:val="24"/>
          <w:szCs w:val="24"/>
          <w:vertAlign w:val="subscript"/>
        </w:rPr>
        <w:t>1</w:t>
      </w:r>
      <w:r w:rsidRPr="00284585">
        <w:rPr>
          <w:rFonts w:ascii="Times New Roman" w:eastAsia="Times New Roman" w:hAnsi="Times New Roman" w:cs="Times New Roman"/>
          <w:iCs/>
          <w:sz w:val="24"/>
          <w:szCs w:val="24"/>
        </w:rPr>
        <w:t>: Financial leverage has a negative impact on the ETR.</w:t>
      </w:r>
    </w:p>
    <w:p w14:paraId="23367A78" w14:textId="77777777" w:rsidR="00284585" w:rsidRDefault="00284585">
      <w:pPr>
        <w:spacing w:after="0" w:line="240" w:lineRule="auto"/>
        <w:ind w:right="-360" w:firstLine="540"/>
        <w:jc w:val="both"/>
        <w:rPr>
          <w:rFonts w:ascii="Times New Roman" w:eastAsia="Times New Roman" w:hAnsi="Times New Roman" w:cs="Times New Roman"/>
          <w:sz w:val="24"/>
          <w:szCs w:val="24"/>
        </w:rPr>
      </w:pPr>
    </w:p>
    <w:p w14:paraId="6307156E" w14:textId="3AF34F50" w:rsidR="007373F6" w:rsidRDefault="00000000">
      <w:pPr>
        <w:spacing w:after="0" w:line="240" w:lineRule="auto"/>
        <w:ind w:right="-360"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Firms with higher capital intensity can claim larger depreciation deductions, thereby reducing taxable income and lowering the effective tax rate (ETR). Prior studies confirm this negative relationship between fixed asset intensity and ETR (Gupta &amp; Newberry, 1997; Rahmawati &amp; </w:t>
      </w:r>
      <w:proofErr w:type="spellStart"/>
      <w:r>
        <w:rPr>
          <w:rFonts w:ascii="Times New Roman" w:eastAsia="Times New Roman" w:hAnsi="Times New Roman" w:cs="Times New Roman"/>
          <w:sz w:val="24"/>
          <w:szCs w:val="24"/>
        </w:rPr>
        <w:t>Sudaryono</w:t>
      </w:r>
      <w:proofErr w:type="spellEnd"/>
      <w:r>
        <w:rPr>
          <w:rFonts w:ascii="Times New Roman" w:eastAsia="Times New Roman" w:hAnsi="Times New Roman" w:cs="Times New Roman"/>
          <w:sz w:val="24"/>
          <w:szCs w:val="24"/>
        </w:rPr>
        <w:t>, 2022).</w:t>
      </w:r>
    </w:p>
    <w:p w14:paraId="21CDFD3F" w14:textId="7C050F3A" w:rsidR="007373F6" w:rsidRPr="00284585" w:rsidRDefault="00000000">
      <w:pPr>
        <w:spacing w:after="0" w:line="240" w:lineRule="auto"/>
        <w:ind w:right="-360" w:firstLine="540"/>
        <w:jc w:val="both"/>
        <w:rPr>
          <w:rFonts w:ascii="Times New Roman" w:eastAsia="Times New Roman" w:hAnsi="Times New Roman" w:cs="Times New Roman"/>
          <w:b/>
          <w:iCs/>
          <w:sz w:val="24"/>
          <w:szCs w:val="24"/>
        </w:rPr>
      </w:pPr>
      <w:r w:rsidRPr="00284585">
        <w:rPr>
          <w:rFonts w:ascii="Times New Roman" w:eastAsia="Times New Roman" w:hAnsi="Times New Roman" w:cs="Times New Roman"/>
          <w:b/>
          <w:bCs/>
          <w:iCs/>
          <w:sz w:val="24"/>
          <w:szCs w:val="24"/>
        </w:rPr>
        <w:t>H</w:t>
      </w:r>
      <w:r w:rsidRPr="00284585">
        <w:rPr>
          <w:rFonts w:ascii="Times New Roman" w:eastAsia="Times New Roman" w:hAnsi="Times New Roman" w:cs="Times New Roman"/>
          <w:b/>
          <w:bCs/>
          <w:iCs/>
          <w:sz w:val="24"/>
          <w:szCs w:val="24"/>
          <w:vertAlign w:val="subscript"/>
        </w:rPr>
        <w:t>2</w:t>
      </w:r>
      <w:r w:rsidRPr="00284585">
        <w:rPr>
          <w:rFonts w:ascii="Times New Roman" w:eastAsia="Times New Roman" w:hAnsi="Times New Roman" w:cs="Times New Roman"/>
          <w:iCs/>
          <w:sz w:val="24"/>
          <w:szCs w:val="24"/>
        </w:rPr>
        <w:t>: Fixed assets intensity has a negative impact on the ETR</w:t>
      </w:r>
    </w:p>
    <w:p w14:paraId="76791D05" w14:textId="77777777" w:rsidR="007373F6" w:rsidRDefault="00000000">
      <w:pPr>
        <w:spacing w:after="0" w:line="240" w:lineRule="auto"/>
        <w:ind w:right="-360"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Inventory intensity can influence taxable income through accounting methods and cost structures, but prior studies report mixed evidence. While some find higher inventory intensity reduces ETR via deductible expenses (Gupta &amp; Newberry, 1997; Richardson &amp; Lanis, 2007), others note excessive inventory may raise costs and increase ETR (Rahayu &amp; </w:t>
      </w:r>
      <w:proofErr w:type="spellStart"/>
      <w:r>
        <w:rPr>
          <w:rFonts w:ascii="Times New Roman" w:eastAsia="Times New Roman" w:hAnsi="Times New Roman" w:cs="Times New Roman"/>
          <w:sz w:val="24"/>
          <w:szCs w:val="24"/>
        </w:rPr>
        <w:t>Suryarini</w:t>
      </w:r>
      <w:proofErr w:type="spellEnd"/>
      <w:r>
        <w:rPr>
          <w:rFonts w:ascii="Times New Roman" w:eastAsia="Times New Roman" w:hAnsi="Times New Roman" w:cs="Times New Roman"/>
          <w:sz w:val="24"/>
          <w:szCs w:val="24"/>
        </w:rPr>
        <w:t>, 2021).</w:t>
      </w:r>
    </w:p>
    <w:p w14:paraId="1F5B3F6E" w14:textId="544C6725" w:rsidR="007373F6" w:rsidRPr="00284585" w:rsidRDefault="00000000">
      <w:pPr>
        <w:spacing w:after="0" w:line="240" w:lineRule="auto"/>
        <w:ind w:right="-360" w:firstLine="540"/>
        <w:jc w:val="both"/>
        <w:rPr>
          <w:rFonts w:ascii="Times New Roman" w:eastAsia="Times New Roman" w:hAnsi="Times New Roman" w:cs="Times New Roman"/>
          <w:iCs/>
          <w:sz w:val="24"/>
          <w:szCs w:val="24"/>
        </w:rPr>
      </w:pPr>
      <w:r w:rsidRPr="00284585">
        <w:rPr>
          <w:rFonts w:ascii="Times New Roman" w:eastAsia="Times New Roman" w:hAnsi="Times New Roman" w:cs="Times New Roman"/>
          <w:iCs/>
          <w:sz w:val="24"/>
          <w:szCs w:val="24"/>
        </w:rPr>
        <w:t>H</w:t>
      </w:r>
      <w:r w:rsidRPr="00284585">
        <w:rPr>
          <w:rFonts w:ascii="Times New Roman" w:eastAsia="Times New Roman" w:hAnsi="Times New Roman" w:cs="Times New Roman"/>
          <w:iCs/>
          <w:sz w:val="24"/>
          <w:szCs w:val="24"/>
          <w:vertAlign w:val="subscript"/>
        </w:rPr>
        <w:t>3</w:t>
      </w:r>
      <w:r w:rsidRPr="00284585">
        <w:rPr>
          <w:rFonts w:ascii="Times New Roman" w:eastAsia="Times New Roman" w:hAnsi="Times New Roman" w:cs="Times New Roman"/>
          <w:iCs/>
          <w:sz w:val="24"/>
          <w:szCs w:val="24"/>
        </w:rPr>
        <w:t>: Inventory intensity has a positive impact on the ETR.</w:t>
      </w:r>
    </w:p>
    <w:p w14:paraId="77F6DB6A" w14:textId="77777777" w:rsidR="00284585" w:rsidRDefault="00284585">
      <w:pPr>
        <w:spacing w:after="0" w:line="240" w:lineRule="auto"/>
        <w:ind w:right="-360" w:firstLine="540"/>
        <w:jc w:val="both"/>
        <w:rPr>
          <w:rFonts w:ascii="Times New Roman" w:eastAsia="Times New Roman" w:hAnsi="Times New Roman" w:cs="Times New Roman"/>
          <w:i/>
          <w:sz w:val="24"/>
          <w:szCs w:val="24"/>
        </w:rPr>
      </w:pPr>
    </w:p>
    <w:p w14:paraId="0A9D271F" w14:textId="77777777" w:rsidR="007373F6" w:rsidRDefault="00000000">
      <w:pPr>
        <w:spacing w:after="0" w:line="240" w:lineRule="auto"/>
        <w:ind w:right="-360"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Profitability is often expected to have a positive effect on ETR since more profitable firms generate higher taxable income. However, more profitable firms may also have more resources to engage in sophisticated tax planning, resulting in a lower ETR (Hanlon &amp; Heitzman, 2010). Profitability in this study includes return on assets (ROA) and return on equity (ROE).</w:t>
      </w:r>
    </w:p>
    <w:p w14:paraId="49F280AA" w14:textId="121DD72D" w:rsidR="007373F6" w:rsidRPr="00284585" w:rsidRDefault="00000000">
      <w:pPr>
        <w:spacing w:after="0" w:line="240" w:lineRule="auto"/>
        <w:ind w:right="-360" w:firstLine="450"/>
        <w:jc w:val="both"/>
        <w:rPr>
          <w:rFonts w:ascii="Times New Roman" w:eastAsia="Times New Roman" w:hAnsi="Times New Roman" w:cs="Times New Roman"/>
          <w:iCs/>
          <w:sz w:val="24"/>
          <w:szCs w:val="24"/>
        </w:rPr>
      </w:pPr>
      <w:r w:rsidRPr="00284585">
        <w:rPr>
          <w:rFonts w:ascii="Times New Roman" w:eastAsia="Times New Roman" w:hAnsi="Times New Roman" w:cs="Times New Roman"/>
          <w:b/>
          <w:bCs/>
          <w:iCs/>
          <w:sz w:val="24"/>
          <w:szCs w:val="24"/>
        </w:rPr>
        <w:t>H</w:t>
      </w:r>
      <w:r w:rsidRPr="00284585">
        <w:rPr>
          <w:rFonts w:ascii="Times New Roman" w:eastAsia="Times New Roman" w:hAnsi="Times New Roman" w:cs="Times New Roman"/>
          <w:b/>
          <w:bCs/>
          <w:iCs/>
          <w:sz w:val="24"/>
          <w:szCs w:val="24"/>
          <w:vertAlign w:val="subscript"/>
        </w:rPr>
        <w:t>4</w:t>
      </w:r>
      <w:r w:rsidRPr="00284585">
        <w:rPr>
          <w:rFonts w:ascii="Times New Roman" w:eastAsia="Times New Roman" w:hAnsi="Times New Roman" w:cs="Times New Roman"/>
          <w:iCs/>
          <w:sz w:val="24"/>
          <w:szCs w:val="24"/>
        </w:rPr>
        <w:t>:</w:t>
      </w:r>
      <w:r w:rsidRPr="00284585">
        <w:rPr>
          <w:rFonts w:ascii="Times New Roman" w:eastAsia="Times New Roman" w:hAnsi="Times New Roman" w:cs="Times New Roman"/>
          <w:b/>
          <w:iCs/>
          <w:sz w:val="24"/>
          <w:szCs w:val="24"/>
        </w:rPr>
        <w:t xml:space="preserve"> </w:t>
      </w:r>
      <w:r w:rsidRPr="00284585">
        <w:rPr>
          <w:rFonts w:ascii="Times New Roman" w:eastAsia="Times New Roman" w:hAnsi="Times New Roman" w:cs="Times New Roman"/>
          <w:iCs/>
          <w:sz w:val="24"/>
          <w:szCs w:val="24"/>
        </w:rPr>
        <w:t>Return on assets has a positive impact on the effective tax rate.</w:t>
      </w:r>
    </w:p>
    <w:p w14:paraId="773EE0A2" w14:textId="1DD49FEF" w:rsidR="007373F6" w:rsidRPr="00284585" w:rsidRDefault="00000000">
      <w:pPr>
        <w:spacing w:after="0" w:line="240" w:lineRule="auto"/>
        <w:ind w:right="-360" w:firstLine="450"/>
        <w:jc w:val="both"/>
        <w:rPr>
          <w:rFonts w:ascii="Times New Roman" w:eastAsia="Times New Roman" w:hAnsi="Times New Roman" w:cs="Times New Roman"/>
          <w:iCs/>
          <w:sz w:val="24"/>
          <w:szCs w:val="24"/>
        </w:rPr>
      </w:pPr>
      <w:r w:rsidRPr="00284585">
        <w:rPr>
          <w:rFonts w:ascii="Times New Roman" w:eastAsia="Times New Roman" w:hAnsi="Times New Roman" w:cs="Times New Roman"/>
          <w:b/>
          <w:bCs/>
          <w:iCs/>
          <w:sz w:val="24"/>
          <w:szCs w:val="24"/>
        </w:rPr>
        <w:t>H</w:t>
      </w:r>
      <w:r w:rsidRPr="00284585">
        <w:rPr>
          <w:rFonts w:ascii="Times New Roman" w:eastAsia="Times New Roman" w:hAnsi="Times New Roman" w:cs="Times New Roman"/>
          <w:b/>
          <w:bCs/>
          <w:iCs/>
          <w:sz w:val="24"/>
          <w:szCs w:val="24"/>
          <w:vertAlign w:val="subscript"/>
        </w:rPr>
        <w:t>5</w:t>
      </w:r>
      <w:r w:rsidRPr="00284585">
        <w:rPr>
          <w:rFonts w:ascii="Times New Roman" w:eastAsia="Times New Roman" w:hAnsi="Times New Roman" w:cs="Times New Roman"/>
          <w:iCs/>
          <w:sz w:val="24"/>
          <w:szCs w:val="24"/>
        </w:rPr>
        <w:t>: Return on equity has a positive impact on the effective tax rate.</w:t>
      </w:r>
    </w:p>
    <w:p w14:paraId="264B29F0" w14:textId="77777777" w:rsidR="00284585" w:rsidRPr="00284585" w:rsidRDefault="00000000" w:rsidP="00284585">
      <w:pPr>
        <w:spacing w:after="0" w:line="240" w:lineRule="auto"/>
        <w:ind w:right="-360" w:firstLine="450"/>
        <w:jc w:val="both"/>
        <w:rPr>
          <w:rFonts w:ascii="Times New Roman" w:eastAsia="Times New Roman" w:hAnsi="Times New Roman" w:cs="Times New Roman"/>
          <w:iCs/>
          <w:sz w:val="24"/>
          <w:szCs w:val="24"/>
        </w:rPr>
      </w:pPr>
      <w:r w:rsidRPr="00284585">
        <w:rPr>
          <w:rFonts w:ascii="Times New Roman" w:eastAsia="Times New Roman" w:hAnsi="Times New Roman" w:cs="Times New Roman"/>
          <w:iCs/>
          <w:sz w:val="24"/>
          <w:szCs w:val="24"/>
        </w:rPr>
        <w:t>Control variable:</w:t>
      </w:r>
      <w:r w:rsidRPr="00284585">
        <w:rPr>
          <w:rFonts w:ascii="Times New Roman" w:eastAsia="Times New Roman" w:hAnsi="Times New Roman" w:cs="Times New Roman"/>
          <w:b/>
          <w:iCs/>
          <w:sz w:val="24"/>
          <w:szCs w:val="24"/>
        </w:rPr>
        <w:t xml:space="preserve"> </w:t>
      </w:r>
      <w:r w:rsidRPr="00284585">
        <w:rPr>
          <w:rFonts w:ascii="Times New Roman" w:eastAsia="Times New Roman" w:hAnsi="Times New Roman" w:cs="Times New Roman"/>
          <w:iCs/>
          <w:sz w:val="24"/>
          <w:szCs w:val="24"/>
        </w:rPr>
        <w:t>Firm size is control variable.</w:t>
      </w:r>
    </w:p>
    <w:p w14:paraId="423C8FC0" w14:textId="3374E392" w:rsidR="007373F6" w:rsidRDefault="00000000" w:rsidP="00284585">
      <w:pPr>
        <w:spacing w:after="0" w:line="240" w:lineRule="auto"/>
        <w:ind w:right="-360" w:firstLine="4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8639DFB" w14:textId="77777777" w:rsidR="007373F6" w:rsidRDefault="00000000" w:rsidP="00284585">
      <w:pPr>
        <w:spacing w:after="0" w:line="240" w:lineRule="auto"/>
        <w:ind w:right="-36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3. METHODOLOGY</w:t>
      </w:r>
    </w:p>
    <w:p w14:paraId="0FD15F84" w14:textId="77777777" w:rsidR="00284585" w:rsidRDefault="00284585" w:rsidP="00284585">
      <w:pPr>
        <w:spacing w:after="0" w:line="240" w:lineRule="auto"/>
        <w:ind w:right="-360"/>
        <w:jc w:val="center"/>
        <w:rPr>
          <w:rFonts w:ascii="Times New Roman" w:eastAsia="Times New Roman" w:hAnsi="Times New Roman" w:cs="Times New Roman"/>
          <w:b/>
          <w:sz w:val="24"/>
          <w:szCs w:val="24"/>
        </w:rPr>
      </w:pPr>
    </w:p>
    <w:p w14:paraId="10B068DF" w14:textId="2AD06147" w:rsidR="007373F6" w:rsidRDefault="00284585">
      <w:pPr>
        <w:spacing w:after="0" w:line="240" w:lineRule="auto"/>
        <w:ind w:right="-36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3.1 Measuring variables</w:t>
      </w:r>
    </w:p>
    <w:p w14:paraId="5AB3FFD0" w14:textId="77777777" w:rsidR="007373F6" w:rsidRDefault="00000000">
      <w:pPr>
        <w:spacing w:after="0" w:line="240" w:lineRule="auto"/>
        <w:ind w:righ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variables measurement is summarized in Table 1.</w:t>
      </w:r>
    </w:p>
    <w:p w14:paraId="40FF26D9" w14:textId="77777777" w:rsidR="00284585" w:rsidRDefault="00284585">
      <w:pPr>
        <w:spacing w:after="0" w:line="240" w:lineRule="auto"/>
        <w:ind w:right="-360"/>
        <w:jc w:val="both"/>
        <w:rPr>
          <w:rFonts w:ascii="Times New Roman" w:eastAsia="Times New Roman" w:hAnsi="Times New Roman" w:cs="Times New Roman"/>
          <w:sz w:val="24"/>
          <w:szCs w:val="24"/>
        </w:rPr>
      </w:pPr>
    </w:p>
    <w:p w14:paraId="4669AF5F" w14:textId="77777777" w:rsidR="007373F6" w:rsidRDefault="00000000" w:rsidP="00284585">
      <w:pPr>
        <w:spacing w:after="0" w:line="240" w:lineRule="auto"/>
        <w:ind w:right="-360"/>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Table 1</w:t>
      </w:r>
      <w:r>
        <w:rPr>
          <w:rFonts w:ascii="Times New Roman" w:eastAsia="Times New Roman" w:hAnsi="Times New Roman" w:cs="Times New Roman"/>
          <w:sz w:val="24"/>
          <w:szCs w:val="24"/>
        </w:rPr>
        <w:t>. Variable measurement</w:t>
      </w:r>
    </w:p>
    <w:sdt>
      <w:sdtPr>
        <w:tag w:val="goog_rdk_141"/>
        <w:id w:val="-2003993090"/>
        <w:lock w:val="contentLocked"/>
      </w:sdtPr>
      <w:sdtContent>
        <w:tbl>
          <w:tblPr>
            <w:tblStyle w:val="afa"/>
            <w:tblW w:w="8211" w:type="dxa"/>
            <w:jc w:val="center"/>
            <w:tblLayout w:type="fixed"/>
            <w:tblLook w:val="0400" w:firstRow="0" w:lastRow="0" w:firstColumn="0" w:lastColumn="0" w:noHBand="0" w:noVBand="1"/>
          </w:tblPr>
          <w:tblGrid>
            <w:gridCol w:w="2610"/>
            <w:gridCol w:w="1260"/>
            <w:gridCol w:w="4341"/>
          </w:tblGrid>
          <w:tr w:rsidR="007373F6" w14:paraId="7026791A" w14:textId="77777777">
            <w:trPr>
              <w:trHeight w:val="300"/>
              <w:jc w:val="center"/>
            </w:trPr>
            <w:tc>
              <w:tcPr>
                <w:tcW w:w="2610" w:type="dxa"/>
                <w:tcBorders>
                  <w:top w:val="single" w:sz="4" w:space="0" w:color="000000"/>
                  <w:left w:val="nil"/>
                  <w:bottom w:val="single" w:sz="4" w:space="0" w:color="000000"/>
                  <w:right w:val="nil"/>
                </w:tcBorders>
                <w:vAlign w:val="center"/>
              </w:tcPr>
              <w:p w14:paraId="5F799D10" w14:textId="77777777" w:rsidR="007373F6" w:rsidRDefault="00000000">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Variables</w:t>
                </w:r>
              </w:p>
            </w:tc>
            <w:tc>
              <w:tcPr>
                <w:tcW w:w="1260" w:type="dxa"/>
                <w:tcBorders>
                  <w:top w:val="single" w:sz="4" w:space="0" w:color="000000"/>
                  <w:left w:val="nil"/>
                  <w:bottom w:val="single" w:sz="4" w:space="0" w:color="000000"/>
                  <w:right w:val="nil"/>
                </w:tcBorders>
                <w:vAlign w:val="center"/>
              </w:tcPr>
              <w:p w14:paraId="578B4893" w14:textId="77777777" w:rsidR="007373F6" w:rsidRDefault="00000000">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Code</w:t>
                </w:r>
              </w:p>
            </w:tc>
            <w:tc>
              <w:tcPr>
                <w:tcW w:w="4341" w:type="dxa"/>
                <w:tcBorders>
                  <w:top w:val="single" w:sz="4" w:space="0" w:color="000000"/>
                  <w:left w:val="nil"/>
                  <w:bottom w:val="single" w:sz="4" w:space="0" w:color="000000"/>
                  <w:right w:val="nil"/>
                </w:tcBorders>
              </w:tcPr>
              <w:p w14:paraId="156C2079" w14:textId="77777777" w:rsidR="007373F6" w:rsidRDefault="00000000">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Caculation</w:t>
                </w:r>
              </w:p>
            </w:tc>
          </w:tr>
          <w:tr w:rsidR="007373F6" w14:paraId="29697A4B" w14:textId="77777777">
            <w:trPr>
              <w:trHeight w:val="290"/>
              <w:jc w:val="center"/>
            </w:trPr>
            <w:tc>
              <w:tcPr>
                <w:tcW w:w="2610" w:type="dxa"/>
                <w:tcBorders>
                  <w:top w:val="nil"/>
                  <w:left w:val="nil"/>
                  <w:bottom w:val="nil"/>
                  <w:right w:val="nil"/>
                </w:tcBorders>
                <w:vAlign w:val="center"/>
              </w:tcPr>
              <w:p w14:paraId="0F00CEAA"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Effective tax rate</w:t>
                </w:r>
              </w:p>
            </w:tc>
            <w:tc>
              <w:tcPr>
                <w:tcW w:w="1260" w:type="dxa"/>
                <w:tcBorders>
                  <w:top w:val="nil"/>
                  <w:left w:val="nil"/>
                  <w:bottom w:val="nil"/>
                  <w:right w:val="nil"/>
                </w:tcBorders>
                <w:vAlign w:val="center"/>
              </w:tcPr>
              <w:p w14:paraId="2D04F8BF"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ETR</w:t>
                </w:r>
              </w:p>
            </w:tc>
            <w:tc>
              <w:tcPr>
                <w:tcW w:w="4341" w:type="dxa"/>
                <w:tcBorders>
                  <w:top w:val="nil"/>
                  <w:left w:val="nil"/>
                  <w:bottom w:val="nil"/>
                  <w:right w:val="nil"/>
                </w:tcBorders>
                <w:vAlign w:val="center"/>
              </w:tcPr>
              <w:p w14:paraId="32C77893"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Tax expense/Pre-tax income</w:t>
                </w:r>
              </w:p>
            </w:tc>
          </w:tr>
          <w:tr w:rsidR="007373F6" w14:paraId="52C403A1" w14:textId="77777777">
            <w:trPr>
              <w:trHeight w:val="290"/>
              <w:jc w:val="center"/>
            </w:trPr>
            <w:tc>
              <w:tcPr>
                <w:tcW w:w="2610" w:type="dxa"/>
                <w:tcBorders>
                  <w:top w:val="nil"/>
                  <w:left w:val="nil"/>
                  <w:bottom w:val="nil"/>
                  <w:right w:val="nil"/>
                </w:tcBorders>
                <w:vAlign w:val="center"/>
              </w:tcPr>
              <w:p w14:paraId="4E854F62"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Financial Leverage</w:t>
                </w:r>
              </w:p>
            </w:tc>
            <w:tc>
              <w:tcPr>
                <w:tcW w:w="1260" w:type="dxa"/>
                <w:tcBorders>
                  <w:top w:val="nil"/>
                  <w:left w:val="nil"/>
                  <w:bottom w:val="nil"/>
                  <w:right w:val="nil"/>
                </w:tcBorders>
                <w:vAlign w:val="center"/>
              </w:tcPr>
              <w:p w14:paraId="6B434F05"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LEV</w:t>
                </w:r>
              </w:p>
            </w:tc>
            <w:tc>
              <w:tcPr>
                <w:tcW w:w="4341" w:type="dxa"/>
                <w:tcBorders>
                  <w:top w:val="nil"/>
                  <w:left w:val="nil"/>
                  <w:bottom w:val="nil"/>
                  <w:right w:val="nil"/>
                </w:tcBorders>
                <w:vAlign w:val="center"/>
              </w:tcPr>
              <w:p w14:paraId="103B6CA7"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Liabilities/Equity</w:t>
                </w:r>
              </w:p>
            </w:tc>
          </w:tr>
          <w:tr w:rsidR="007373F6" w14:paraId="02909454" w14:textId="77777777">
            <w:trPr>
              <w:trHeight w:val="290"/>
              <w:jc w:val="center"/>
            </w:trPr>
            <w:tc>
              <w:tcPr>
                <w:tcW w:w="2610" w:type="dxa"/>
                <w:tcBorders>
                  <w:top w:val="nil"/>
                  <w:left w:val="nil"/>
                  <w:bottom w:val="nil"/>
                  <w:right w:val="nil"/>
                </w:tcBorders>
                <w:vAlign w:val="center"/>
              </w:tcPr>
              <w:p w14:paraId="44CC23D6"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Capital Intensive</w:t>
                </w:r>
              </w:p>
            </w:tc>
            <w:tc>
              <w:tcPr>
                <w:tcW w:w="1260" w:type="dxa"/>
                <w:tcBorders>
                  <w:top w:val="nil"/>
                  <w:left w:val="nil"/>
                  <w:bottom w:val="nil"/>
                  <w:right w:val="nil"/>
                </w:tcBorders>
                <w:vAlign w:val="center"/>
              </w:tcPr>
              <w:p w14:paraId="6687953E"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CAPINT</w:t>
                </w:r>
              </w:p>
            </w:tc>
            <w:tc>
              <w:tcPr>
                <w:tcW w:w="4341" w:type="dxa"/>
                <w:tcBorders>
                  <w:top w:val="nil"/>
                  <w:left w:val="nil"/>
                  <w:bottom w:val="nil"/>
                  <w:right w:val="nil"/>
                </w:tcBorders>
                <w:vAlign w:val="center"/>
              </w:tcPr>
              <w:p w14:paraId="7A7556D1"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Fixed Assets/Total assets</w:t>
                </w:r>
              </w:p>
            </w:tc>
          </w:tr>
          <w:tr w:rsidR="007373F6" w14:paraId="08E805AD" w14:textId="77777777">
            <w:trPr>
              <w:trHeight w:val="290"/>
              <w:jc w:val="center"/>
            </w:trPr>
            <w:tc>
              <w:tcPr>
                <w:tcW w:w="2610" w:type="dxa"/>
                <w:tcBorders>
                  <w:top w:val="nil"/>
                  <w:left w:val="nil"/>
                  <w:bottom w:val="nil"/>
                  <w:right w:val="nil"/>
                </w:tcBorders>
                <w:vAlign w:val="center"/>
              </w:tcPr>
              <w:p w14:paraId="7F970C7D"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Inventory Intensity</w:t>
                </w:r>
              </w:p>
            </w:tc>
            <w:tc>
              <w:tcPr>
                <w:tcW w:w="1260" w:type="dxa"/>
                <w:tcBorders>
                  <w:top w:val="nil"/>
                  <w:left w:val="nil"/>
                  <w:bottom w:val="nil"/>
                  <w:right w:val="nil"/>
                </w:tcBorders>
                <w:vAlign w:val="center"/>
              </w:tcPr>
              <w:p w14:paraId="60C71D88"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INVINT</w:t>
                </w:r>
              </w:p>
            </w:tc>
            <w:tc>
              <w:tcPr>
                <w:tcW w:w="4341" w:type="dxa"/>
                <w:tcBorders>
                  <w:top w:val="nil"/>
                  <w:left w:val="nil"/>
                  <w:bottom w:val="nil"/>
                  <w:right w:val="nil"/>
                </w:tcBorders>
                <w:vAlign w:val="center"/>
              </w:tcPr>
              <w:p w14:paraId="51C4E091"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Inventories/Total assets</w:t>
                </w:r>
              </w:p>
            </w:tc>
          </w:tr>
          <w:tr w:rsidR="007373F6" w14:paraId="5974B1F6" w14:textId="77777777">
            <w:trPr>
              <w:trHeight w:val="290"/>
              <w:jc w:val="center"/>
            </w:trPr>
            <w:tc>
              <w:tcPr>
                <w:tcW w:w="2610" w:type="dxa"/>
                <w:tcBorders>
                  <w:top w:val="nil"/>
                  <w:left w:val="nil"/>
                  <w:bottom w:val="nil"/>
                  <w:right w:val="nil"/>
                </w:tcBorders>
              </w:tcPr>
              <w:p w14:paraId="482E8002"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Return on assets</w:t>
                </w:r>
              </w:p>
            </w:tc>
            <w:tc>
              <w:tcPr>
                <w:tcW w:w="1260" w:type="dxa"/>
                <w:tcBorders>
                  <w:top w:val="nil"/>
                  <w:left w:val="nil"/>
                  <w:bottom w:val="nil"/>
                  <w:right w:val="nil"/>
                </w:tcBorders>
              </w:tcPr>
              <w:p w14:paraId="3AF1B57A"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ROA</w:t>
                </w:r>
              </w:p>
            </w:tc>
            <w:tc>
              <w:tcPr>
                <w:tcW w:w="4341" w:type="dxa"/>
                <w:tcBorders>
                  <w:top w:val="nil"/>
                  <w:left w:val="nil"/>
                  <w:bottom w:val="nil"/>
                  <w:right w:val="nil"/>
                </w:tcBorders>
              </w:tcPr>
              <w:p w14:paraId="65CBE09C"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Net income/Total assets</w:t>
                </w:r>
              </w:p>
            </w:tc>
          </w:tr>
          <w:tr w:rsidR="007373F6" w14:paraId="073E3AE3" w14:textId="77777777">
            <w:trPr>
              <w:trHeight w:val="290"/>
              <w:jc w:val="center"/>
            </w:trPr>
            <w:tc>
              <w:tcPr>
                <w:tcW w:w="2610" w:type="dxa"/>
                <w:tcBorders>
                  <w:top w:val="nil"/>
                  <w:left w:val="nil"/>
                  <w:bottom w:val="nil"/>
                  <w:right w:val="nil"/>
                </w:tcBorders>
              </w:tcPr>
              <w:p w14:paraId="6CDC1CC8"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Return on equity</w:t>
                </w:r>
              </w:p>
            </w:tc>
            <w:tc>
              <w:tcPr>
                <w:tcW w:w="1260" w:type="dxa"/>
                <w:tcBorders>
                  <w:top w:val="nil"/>
                  <w:left w:val="nil"/>
                  <w:bottom w:val="nil"/>
                  <w:right w:val="nil"/>
                </w:tcBorders>
              </w:tcPr>
              <w:p w14:paraId="53490C82"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ROE</w:t>
                </w:r>
              </w:p>
            </w:tc>
            <w:tc>
              <w:tcPr>
                <w:tcW w:w="4341" w:type="dxa"/>
                <w:tcBorders>
                  <w:top w:val="nil"/>
                  <w:left w:val="nil"/>
                  <w:bottom w:val="nil"/>
                  <w:right w:val="nil"/>
                </w:tcBorders>
              </w:tcPr>
              <w:p w14:paraId="3471A7C7"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Net income/Equity</w:t>
                </w:r>
              </w:p>
            </w:tc>
          </w:tr>
          <w:tr w:rsidR="007373F6" w14:paraId="01AAF559" w14:textId="77777777">
            <w:trPr>
              <w:trHeight w:val="290"/>
              <w:jc w:val="center"/>
            </w:trPr>
            <w:tc>
              <w:tcPr>
                <w:tcW w:w="2610" w:type="dxa"/>
                <w:tcBorders>
                  <w:top w:val="nil"/>
                  <w:left w:val="nil"/>
                  <w:bottom w:val="single" w:sz="4" w:space="0" w:color="000000"/>
                  <w:right w:val="nil"/>
                </w:tcBorders>
              </w:tcPr>
              <w:p w14:paraId="7965D5C7"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Firm Size</w:t>
                </w:r>
              </w:p>
            </w:tc>
            <w:tc>
              <w:tcPr>
                <w:tcW w:w="1260" w:type="dxa"/>
                <w:tcBorders>
                  <w:top w:val="nil"/>
                  <w:left w:val="nil"/>
                  <w:bottom w:val="single" w:sz="4" w:space="0" w:color="000000"/>
                  <w:right w:val="nil"/>
                </w:tcBorders>
              </w:tcPr>
              <w:p w14:paraId="52C71FCA"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SIZE</w:t>
                </w:r>
              </w:p>
            </w:tc>
            <w:tc>
              <w:tcPr>
                <w:tcW w:w="4341" w:type="dxa"/>
                <w:tcBorders>
                  <w:top w:val="nil"/>
                  <w:left w:val="nil"/>
                  <w:bottom w:val="single" w:sz="4" w:space="0" w:color="000000"/>
                  <w:right w:val="nil"/>
                </w:tcBorders>
              </w:tcPr>
              <w:p w14:paraId="3C1B62D2"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Ln(Net sales)</w:t>
                </w:r>
              </w:p>
            </w:tc>
          </w:tr>
        </w:tbl>
      </w:sdtContent>
    </w:sdt>
    <w:p w14:paraId="16930FC2" w14:textId="77777777" w:rsidR="007373F6" w:rsidRDefault="007373F6">
      <w:pPr>
        <w:spacing w:after="0" w:line="240" w:lineRule="auto"/>
        <w:ind w:right="-360"/>
        <w:jc w:val="both"/>
        <w:rPr>
          <w:rFonts w:ascii="Times New Roman" w:eastAsia="Times New Roman" w:hAnsi="Times New Roman" w:cs="Times New Roman"/>
          <w:sz w:val="24"/>
          <w:szCs w:val="24"/>
        </w:rPr>
      </w:pPr>
    </w:p>
    <w:p w14:paraId="22D03057" w14:textId="2B287879" w:rsidR="007373F6" w:rsidRDefault="00284585">
      <w:pPr>
        <w:spacing w:after="0" w:line="240" w:lineRule="auto"/>
        <w:ind w:right="-36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3.2 Collecting and </w:t>
      </w:r>
      <w:proofErr w:type="spellStart"/>
      <w:r>
        <w:rPr>
          <w:rFonts w:ascii="Times New Roman" w:eastAsia="Times New Roman" w:hAnsi="Times New Roman" w:cs="Times New Roman"/>
          <w:b/>
          <w:sz w:val="24"/>
          <w:szCs w:val="24"/>
        </w:rPr>
        <w:t>analyzing</w:t>
      </w:r>
      <w:proofErr w:type="spellEnd"/>
      <w:r>
        <w:rPr>
          <w:rFonts w:ascii="Times New Roman" w:eastAsia="Times New Roman" w:hAnsi="Times New Roman" w:cs="Times New Roman"/>
          <w:b/>
          <w:sz w:val="24"/>
          <w:szCs w:val="24"/>
        </w:rPr>
        <w:t xml:space="preserve"> data</w:t>
      </w:r>
    </w:p>
    <w:p w14:paraId="27DB4031" w14:textId="77777777" w:rsidR="007373F6" w:rsidRDefault="00000000" w:rsidP="00284585">
      <w:pPr>
        <w:spacing w:after="0" w:line="240" w:lineRule="auto"/>
        <w:ind w:right="-360" w:firstLine="426"/>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The dataset focused exclusively on non-financial firms for the period 2019 to 2022. The sample was a balanced panel dataset comprising 298 non-financial listed firms over the four years from 2019 to 2022 with 1192 observations. Data were collected and compiled in Microsoft Excel and subsequently </w:t>
      </w:r>
      <w:proofErr w:type="spellStart"/>
      <w:r>
        <w:rPr>
          <w:rFonts w:ascii="Times New Roman" w:eastAsia="Times New Roman" w:hAnsi="Times New Roman" w:cs="Times New Roman"/>
          <w:sz w:val="24"/>
          <w:szCs w:val="24"/>
        </w:rPr>
        <w:t>analyzed</w:t>
      </w:r>
      <w:proofErr w:type="spellEnd"/>
      <w:r>
        <w:rPr>
          <w:rFonts w:ascii="Times New Roman" w:eastAsia="Times New Roman" w:hAnsi="Times New Roman" w:cs="Times New Roman"/>
          <w:sz w:val="24"/>
          <w:szCs w:val="24"/>
        </w:rPr>
        <w:t xml:space="preserve"> using STATA version 17. The study employs panel data analysis to investigate the factors affecting tax planning.</w:t>
      </w:r>
    </w:p>
    <w:p w14:paraId="213A4F53" w14:textId="77777777" w:rsidR="007373F6" w:rsidRDefault="007373F6">
      <w:pPr>
        <w:spacing w:after="0" w:line="240" w:lineRule="auto"/>
        <w:ind w:right="-360"/>
        <w:jc w:val="both"/>
        <w:rPr>
          <w:rFonts w:ascii="Times New Roman" w:eastAsia="Times New Roman" w:hAnsi="Times New Roman" w:cs="Times New Roman"/>
          <w:b/>
          <w:sz w:val="24"/>
          <w:szCs w:val="24"/>
        </w:rPr>
      </w:pPr>
    </w:p>
    <w:p w14:paraId="5501ED7B" w14:textId="77777777" w:rsidR="007373F6" w:rsidRDefault="00000000">
      <w:pPr>
        <w:spacing w:after="0" w:line="240" w:lineRule="auto"/>
        <w:ind w:right="-36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4. RESULTS AND DISCUSSION</w:t>
      </w:r>
    </w:p>
    <w:p w14:paraId="05F83D10" w14:textId="77777777" w:rsidR="00284585" w:rsidRDefault="00284585">
      <w:pPr>
        <w:spacing w:after="0" w:line="240" w:lineRule="auto"/>
        <w:ind w:right="-360"/>
        <w:jc w:val="center"/>
        <w:rPr>
          <w:rFonts w:ascii="Times New Roman" w:eastAsia="Times New Roman" w:hAnsi="Times New Roman" w:cs="Times New Roman"/>
          <w:b/>
          <w:sz w:val="24"/>
          <w:szCs w:val="24"/>
        </w:rPr>
      </w:pPr>
    </w:p>
    <w:p w14:paraId="460068B7" w14:textId="77777777" w:rsidR="007373F6" w:rsidRDefault="00000000" w:rsidP="00284585">
      <w:pPr>
        <w:spacing w:after="0" w:line="240" w:lineRule="auto"/>
        <w:ind w:right="-493"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descriptive statistics The mean of ETR is 19.21%, with a standard deviation of 13.91%. The mean of SIZE is approximately 6.08, while the mean LEV is 46.45%. CAPINT has a mean value of 0.2067, while INVINT averages 0.1935. Average ROA and ROE values of 6.42% and 11.92%, respectively. The Pearson correlation coefficients between the dependent and independent variables, assessing potential multicollinearity and understanding preliminary relationships between variables. The correlation matrix indicate that LEV and INVINT are positively associated with the ETR, while CAPINT and ROE exhibit negative correlations. Overall, there is no absence of multicollinearity concerns supports.</w:t>
      </w:r>
    </w:p>
    <w:p w14:paraId="18BE16F0" w14:textId="77777777" w:rsidR="007373F6" w:rsidRDefault="00000000" w:rsidP="00284585">
      <w:pPr>
        <w:spacing w:after="0" w:line="240" w:lineRule="auto"/>
        <w:ind w:right="-493"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study estimated the balanced panel data by applying the Pooled OLS, FEM, and REM estimators. Then, three tests were employed to select the best fit estimation among Pooled OLS, FEM, and REM. The Hausman tests indicate that the FEM is the most appropriate estimation. The study examines the defects of the research model, including heteroskedasticity, autocorrelation, and </w:t>
      </w:r>
      <w:r>
        <w:rPr>
          <w:rFonts w:ascii="Times New Roman" w:eastAsia="Times New Roman" w:hAnsi="Times New Roman" w:cs="Times New Roman"/>
          <w:sz w:val="24"/>
          <w:szCs w:val="24"/>
        </w:rPr>
        <w:lastRenderedPageBreak/>
        <w:t xml:space="preserve">multicollinearity. The Wald test with p = 0.000 &lt; 5% indicates that there is an existence of  heteroskedasticity. There are no </w:t>
      </w:r>
      <w:proofErr w:type="spellStart"/>
      <w:r>
        <w:rPr>
          <w:rFonts w:ascii="Times New Roman" w:eastAsia="Times New Roman" w:hAnsi="Times New Roman" w:cs="Times New Roman"/>
          <w:sz w:val="24"/>
          <w:szCs w:val="24"/>
        </w:rPr>
        <w:t>prensence</w:t>
      </w:r>
      <w:proofErr w:type="spellEnd"/>
      <w:r>
        <w:rPr>
          <w:rFonts w:ascii="Times New Roman" w:eastAsia="Times New Roman" w:hAnsi="Times New Roman" w:cs="Times New Roman"/>
          <w:sz w:val="24"/>
          <w:szCs w:val="24"/>
        </w:rPr>
        <w:t xml:space="preserve"> of autocorrelation, and multicollinearity. Thus, the FGLS was applied to address heteroskedasticity.</w:t>
      </w:r>
    </w:p>
    <w:p w14:paraId="4F82C296" w14:textId="77777777" w:rsidR="007373F6" w:rsidRDefault="00000000" w:rsidP="00284585">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results shows that LEV has a significant negative impact on ETR, CAPINT negatively impact ETR. INVINT shows a significant positive effect on ETR. ROA does not have a statistically significant on ETR. ROE shows a significant negative effect on ETR. These results confirm that the CAPINT and INVINT play significant roles in tax planning in Vietnam.</w:t>
      </w:r>
    </w:p>
    <w:p w14:paraId="666FE6AE" w14:textId="77777777" w:rsidR="007373F6" w:rsidRDefault="007373F6">
      <w:pPr>
        <w:spacing w:after="0" w:line="240" w:lineRule="auto"/>
        <w:ind w:right="-360"/>
        <w:jc w:val="both"/>
        <w:rPr>
          <w:rFonts w:ascii="Times New Roman" w:eastAsia="Times New Roman" w:hAnsi="Times New Roman" w:cs="Times New Roman"/>
          <w:sz w:val="24"/>
          <w:szCs w:val="24"/>
        </w:rPr>
      </w:pPr>
    </w:p>
    <w:p w14:paraId="6DF19A84" w14:textId="1694BFD6" w:rsidR="007373F6" w:rsidRPr="00284585" w:rsidRDefault="00000000" w:rsidP="00856618">
      <w:pPr>
        <w:pStyle w:val="ListParagraph"/>
        <w:numPr>
          <w:ilvl w:val="0"/>
          <w:numId w:val="16"/>
        </w:numPr>
        <w:spacing w:after="0" w:line="240" w:lineRule="auto"/>
        <w:ind w:right="-360"/>
        <w:jc w:val="center"/>
        <w:rPr>
          <w:rFonts w:ascii="Times New Roman" w:eastAsia="Times New Roman" w:hAnsi="Times New Roman" w:cs="Times New Roman"/>
          <w:b/>
          <w:sz w:val="24"/>
          <w:szCs w:val="24"/>
        </w:rPr>
      </w:pPr>
      <w:r w:rsidRPr="00284585">
        <w:rPr>
          <w:rFonts w:ascii="Times New Roman" w:eastAsia="Times New Roman" w:hAnsi="Times New Roman" w:cs="Times New Roman"/>
          <w:b/>
          <w:sz w:val="24"/>
          <w:szCs w:val="24"/>
        </w:rPr>
        <w:t>CONCLUSION</w:t>
      </w:r>
    </w:p>
    <w:p w14:paraId="290742A7" w14:textId="77777777" w:rsidR="00284585" w:rsidRPr="00284585" w:rsidRDefault="00284585" w:rsidP="00284585">
      <w:pPr>
        <w:spacing w:after="0" w:line="240" w:lineRule="auto"/>
        <w:ind w:right="-360"/>
        <w:rPr>
          <w:rFonts w:ascii="Times New Roman" w:eastAsia="Times New Roman" w:hAnsi="Times New Roman" w:cs="Times New Roman"/>
          <w:b/>
          <w:sz w:val="24"/>
          <w:szCs w:val="24"/>
        </w:rPr>
      </w:pPr>
    </w:p>
    <w:p w14:paraId="68C1BD13" w14:textId="77777777" w:rsidR="007373F6" w:rsidRDefault="00000000" w:rsidP="00284585">
      <w:pPr>
        <w:spacing w:after="12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paper investigates the factors affecting tax planning among listed companies in Vietnam. The results confirm that ROE, LEV, CAPINT, INVINT, and firm size are statistically significant factors affecting the ETR - proxy of tax planning. These findings contribute to the tax literature in emerging markets and provide policy implications for managers and policymakers. Future research should explore broader datasets to widen the knowledge of tax planning practices.</w:t>
      </w:r>
    </w:p>
    <w:p w14:paraId="6A8156AE" w14:textId="77777777" w:rsidR="00284585" w:rsidRDefault="00284585" w:rsidP="00284585">
      <w:pPr>
        <w:spacing w:after="120" w:line="240" w:lineRule="auto"/>
        <w:ind w:firstLine="426"/>
        <w:jc w:val="both"/>
        <w:rPr>
          <w:rFonts w:ascii="Times New Roman" w:eastAsia="Times New Roman" w:hAnsi="Times New Roman" w:cs="Times New Roman"/>
          <w:sz w:val="24"/>
          <w:szCs w:val="24"/>
        </w:rPr>
      </w:pPr>
    </w:p>
    <w:p w14:paraId="6B7F7D4F" w14:textId="77777777" w:rsidR="007373F6" w:rsidRDefault="00000000">
      <w:pPr>
        <w:spacing w:after="200" w:line="240" w:lineRule="auto"/>
        <w:ind w:right="-360"/>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REFERENCES</w:t>
      </w:r>
    </w:p>
    <w:p w14:paraId="78E9B8EA" w14:textId="77777777" w:rsidR="00284585" w:rsidRPr="00284585" w:rsidRDefault="00284585" w:rsidP="00480C0A">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Abid, S., &amp; </w:t>
      </w:r>
      <w:proofErr w:type="spellStart"/>
      <w:r w:rsidRPr="00284585">
        <w:rPr>
          <w:rFonts w:ascii="Times New Roman" w:eastAsia="Times New Roman" w:hAnsi="Times New Roman" w:cs="Times New Roman"/>
          <w:sz w:val="24"/>
          <w:szCs w:val="24"/>
        </w:rPr>
        <w:t>Dammak</w:t>
      </w:r>
      <w:proofErr w:type="spellEnd"/>
      <w:r w:rsidRPr="00284585">
        <w:rPr>
          <w:rFonts w:ascii="Times New Roman" w:eastAsia="Times New Roman" w:hAnsi="Times New Roman" w:cs="Times New Roman"/>
          <w:sz w:val="24"/>
          <w:szCs w:val="24"/>
        </w:rPr>
        <w:t xml:space="preserve">, S. (2022). Corporate social responsibility and tax avoidance: the case of French companies. </w:t>
      </w:r>
      <w:r w:rsidRPr="00284585">
        <w:rPr>
          <w:rFonts w:ascii="Times New Roman" w:eastAsia="Times New Roman" w:hAnsi="Times New Roman" w:cs="Times New Roman"/>
          <w:i/>
          <w:sz w:val="24"/>
          <w:szCs w:val="24"/>
        </w:rPr>
        <w:t>Journal of Financial Reporting and Accounting, 20</w:t>
      </w:r>
      <w:r w:rsidRPr="00284585">
        <w:rPr>
          <w:rFonts w:ascii="Times New Roman" w:eastAsia="Times New Roman" w:hAnsi="Times New Roman" w:cs="Times New Roman"/>
          <w:sz w:val="24"/>
          <w:szCs w:val="24"/>
        </w:rPr>
        <w:t xml:space="preserve">(3/4), 618-638. </w:t>
      </w:r>
      <w:proofErr w:type="spellStart"/>
      <w:r w:rsidRPr="00284585">
        <w:rPr>
          <w:rFonts w:ascii="Times New Roman" w:eastAsia="Times New Roman" w:hAnsi="Times New Roman" w:cs="Times New Roman"/>
          <w:sz w:val="24"/>
          <w:szCs w:val="24"/>
        </w:rPr>
        <w:t>doi:</w:t>
      </w:r>
      <w:hyperlink r:id="rId128">
        <w:r w:rsidRPr="00284585">
          <w:rPr>
            <w:rFonts w:ascii="Times New Roman" w:eastAsia="Times New Roman" w:hAnsi="Times New Roman" w:cs="Times New Roman"/>
            <w:sz w:val="24"/>
            <w:szCs w:val="24"/>
          </w:rPr>
          <w:t>https</w:t>
        </w:r>
        <w:proofErr w:type="spellEnd"/>
        <w:r w:rsidRPr="00284585">
          <w:rPr>
            <w:rFonts w:ascii="Times New Roman" w:eastAsia="Times New Roman" w:hAnsi="Times New Roman" w:cs="Times New Roman"/>
            <w:sz w:val="24"/>
            <w:szCs w:val="24"/>
          </w:rPr>
          <w:t>://doi.org/10.1108/JFRA-04-2020-0119</w:t>
        </w:r>
      </w:hyperlink>
    </w:p>
    <w:p w14:paraId="3967EC35" w14:textId="77777777" w:rsidR="00284585" w:rsidRPr="00284585" w:rsidRDefault="00284585" w:rsidP="00207215">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Armstrong, C. S., Blouin, J. L., </w:t>
      </w:r>
      <w:proofErr w:type="spellStart"/>
      <w:r w:rsidRPr="00284585">
        <w:rPr>
          <w:rFonts w:ascii="Times New Roman" w:eastAsia="Times New Roman" w:hAnsi="Times New Roman" w:cs="Times New Roman"/>
          <w:sz w:val="24"/>
          <w:szCs w:val="24"/>
        </w:rPr>
        <w:t>Jagolinzer</w:t>
      </w:r>
      <w:proofErr w:type="spellEnd"/>
      <w:r w:rsidRPr="00284585">
        <w:rPr>
          <w:rFonts w:ascii="Times New Roman" w:eastAsia="Times New Roman" w:hAnsi="Times New Roman" w:cs="Times New Roman"/>
          <w:sz w:val="24"/>
          <w:szCs w:val="24"/>
        </w:rPr>
        <w:t xml:space="preserve">, A. D., &amp; Larcker, D. F. (2015). Corporate governance, incentives, and tax avoidance. </w:t>
      </w:r>
      <w:r w:rsidRPr="00284585">
        <w:rPr>
          <w:rFonts w:ascii="Times New Roman" w:eastAsia="Times New Roman" w:hAnsi="Times New Roman" w:cs="Times New Roman"/>
          <w:i/>
          <w:sz w:val="24"/>
          <w:szCs w:val="24"/>
        </w:rPr>
        <w:t>Journal of Accounting and Economics, 60</w:t>
      </w:r>
      <w:r w:rsidRPr="00284585">
        <w:rPr>
          <w:rFonts w:ascii="Times New Roman" w:eastAsia="Times New Roman" w:hAnsi="Times New Roman" w:cs="Times New Roman"/>
          <w:sz w:val="24"/>
          <w:szCs w:val="24"/>
        </w:rPr>
        <w:t xml:space="preserve">(1), 1-17. </w:t>
      </w:r>
      <w:proofErr w:type="spellStart"/>
      <w:r w:rsidRPr="00284585">
        <w:rPr>
          <w:rFonts w:ascii="Times New Roman" w:eastAsia="Times New Roman" w:hAnsi="Times New Roman" w:cs="Times New Roman"/>
          <w:sz w:val="24"/>
          <w:szCs w:val="24"/>
        </w:rPr>
        <w:t>doi:</w:t>
      </w:r>
      <w:hyperlink r:id="rId129">
        <w:r w:rsidRPr="00284585">
          <w:rPr>
            <w:rFonts w:ascii="Times New Roman" w:eastAsia="Times New Roman" w:hAnsi="Times New Roman" w:cs="Times New Roman"/>
            <w:sz w:val="24"/>
            <w:szCs w:val="24"/>
          </w:rPr>
          <w:t>https</w:t>
        </w:r>
        <w:proofErr w:type="spellEnd"/>
        <w:r w:rsidRPr="00284585">
          <w:rPr>
            <w:rFonts w:ascii="Times New Roman" w:eastAsia="Times New Roman" w:hAnsi="Times New Roman" w:cs="Times New Roman"/>
            <w:sz w:val="24"/>
            <w:szCs w:val="24"/>
          </w:rPr>
          <w:t>://doi.org/10.1016/j.jacceco.2015.02.003</w:t>
        </w:r>
      </w:hyperlink>
    </w:p>
    <w:p w14:paraId="62DD8930" w14:textId="77777777" w:rsidR="00284585" w:rsidRPr="00284585" w:rsidRDefault="00284585" w:rsidP="00207215">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lang w:val="de-DE"/>
        </w:rPr>
        <w:t xml:space="preserve">Binh, V. T. T., &amp; Hue, P. M. (2023). </w:t>
      </w:r>
      <w:r w:rsidRPr="00284585">
        <w:rPr>
          <w:rFonts w:ascii="Times New Roman" w:eastAsia="Times New Roman" w:hAnsi="Times New Roman" w:cs="Times New Roman"/>
          <w:i/>
          <w:sz w:val="24"/>
          <w:szCs w:val="24"/>
        </w:rPr>
        <w:t>The Effects of Tax Avoidance on Firm Performance: Evidence from Vietnamese Listed Companies.</w:t>
      </w:r>
      <w:r w:rsidRPr="00284585">
        <w:rPr>
          <w:rFonts w:ascii="Times New Roman" w:eastAsia="Times New Roman" w:hAnsi="Times New Roman" w:cs="Times New Roman"/>
          <w:sz w:val="24"/>
          <w:szCs w:val="24"/>
        </w:rPr>
        <w:t xml:space="preserve"> Paper presented at the </w:t>
      </w:r>
      <w:proofErr w:type="spellStart"/>
      <w:r w:rsidRPr="00284585">
        <w:rPr>
          <w:rFonts w:ascii="Times New Roman" w:eastAsia="Times New Roman" w:hAnsi="Times New Roman" w:cs="Times New Roman"/>
          <w:sz w:val="24"/>
          <w:szCs w:val="24"/>
        </w:rPr>
        <w:t>The</w:t>
      </w:r>
      <w:proofErr w:type="spellEnd"/>
      <w:r w:rsidRPr="00284585">
        <w:rPr>
          <w:rFonts w:ascii="Times New Roman" w:eastAsia="Times New Roman" w:hAnsi="Times New Roman" w:cs="Times New Roman"/>
          <w:sz w:val="24"/>
          <w:szCs w:val="24"/>
        </w:rPr>
        <w:t xml:space="preserve"> 6th International Conference on Finance, Accounting, and Auditing - ICFAA 2023, National Economics University, Hanoi.</w:t>
      </w:r>
    </w:p>
    <w:p w14:paraId="67E4F1C4" w14:textId="77777777" w:rsidR="00284585" w:rsidRPr="00284585" w:rsidRDefault="00284585" w:rsidP="00207215">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lang w:val="de-DE"/>
        </w:rPr>
        <w:t xml:space="preserve">Chen, S., Chen, X., Cheng, Q., &amp; Shevlin, T. (2010). </w:t>
      </w:r>
      <w:r w:rsidRPr="00284585">
        <w:rPr>
          <w:rFonts w:ascii="Times New Roman" w:eastAsia="Times New Roman" w:hAnsi="Times New Roman" w:cs="Times New Roman"/>
          <w:sz w:val="24"/>
          <w:szCs w:val="24"/>
        </w:rPr>
        <w:t xml:space="preserve">Are family firms more tax aggressive than non-family firms? </w:t>
      </w:r>
      <w:r w:rsidRPr="00284585">
        <w:rPr>
          <w:rFonts w:ascii="Times New Roman" w:eastAsia="Times New Roman" w:hAnsi="Times New Roman" w:cs="Times New Roman"/>
          <w:i/>
          <w:sz w:val="24"/>
          <w:szCs w:val="24"/>
        </w:rPr>
        <w:t>Journal of Financial Economics, 95</w:t>
      </w:r>
      <w:r w:rsidRPr="00284585">
        <w:rPr>
          <w:rFonts w:ascii="Times New Roman" w:eastAsia="Times New Roman" w:hAnsi="Times New Roman" w:cs="Times New Roman"/>
          <w:sz w:val="24"/>
          <w:szCs w:val="24"/>
        </w:rPr>
        <w:t xml:space="preserve">(1), 41-61. </w:t>
      </w:r>
      <w:proofErr w:type="spellStart"/>
      <w:r w:rsidRPr="00284585">
        <w:rPr>
          <w:rFonts w:ascii="Times New Roman" w:eastAsia="Times New Roman" w:hAnsi="Times New Roman" w:cs="Times New Roman"/>
          <w:sz w:val="24"/>
          <w:szCs w:val="24"/>
        </w:rPr>
        <w:t>doi:</w:t>
      </w:r>
      <w:hyperlink r:id="rId130">
        <w:r w:rsidRPr="00284585">
          <w:rPr>
            <w:rFonts w:ascii="Times New Roman" w:eastAsia="Times New Roman" w:hAnsi="Times New Roman" w:cs="Times New Roman"/>
            <w:sz w:val="24"/>
            <w:szCs w:val="24"/>
          </w:rPr>
          <w:t>https</w:t>
        </w:r>
        <w:proofErr w:type="spellEnd"/>
        <w:r w:rsidRPr="00284585">
          <w:rPr>
            <w:rFonts w:ascii="Times New Roman" w:eastAsia="Times New Roman" w:hAnsi="Times New Roman" w:cs="Times New Roman"/>
            <w:sz w:val="24"/>
            <w:szCs w:val="24"/>
          </w:rPr>
          <w:t>://doi.org/10.1016/j.jfineco.2009.02.003</w:t>
        </w:r>
      </w:hyperlink>
    </w:p>
    <w:p w14:paraId="551BEBA8" w14:textId="77777777" w:rsidR="00284585" w:rsidRPr="00284585" w:rsidRDefault="00284585" w:rsidP="00207215">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Dyreng, S. D., Hanlon, M., &amp; Maydew, E. L. (2008). Long‐run corporate tax avoidance. </w:t>
      </w:r>
      <w:r w:rsidRPr="00284585">
        <w:rPr>
          <w:rFonts w:ascii="Times New Roman" w:eastAsia="Times New Roman" w:hAnsi="Times New Roman" w:cs="Times New Roman"/>
          <w:i/>
          <w:sz w:val="24"/>
          <w:szCs w:val="24"/>
        </w:rPr>
        <w:t>The Accounting Review, 83</w:t>
      </w:r>
      <w:r w:rsidRPr="00284585">
        <w:rPr>
          <w:rFonts w:ascii="Times New Roman" w:eastAsia="Times New Roman" w:hAnsi="Times New Roman" w:cs="Times New Roman"/>
          <w:sz w:val="24"/>
          <w:szCs w:val="24"/>
        </w:rPr>
        <w:t xml:space="preserve">(1), 61-82. </w:t>
      </w:r>
      <w:proofErr w:type="spellStart"/>
      <w:r w:rsidRPr="00284585">
        <w:rPr>
          <w:rFonts w:ascii="Times New Roman" w:eastAsia="Times New Roman" w:hAnsi="Times New Roman" w:cs="Times New Roman"/>
          <w:sz w:val="24"/>
          <w:szCs w:val="24"/>
        </w:rPr>
        <w:t>doi:</w:t>
      </w:r>
      <w:hyperlink r:id="rId131">
        <w:r w:rsidRPr="00284585">
          <w:rPr>
            <w:rFonts w:ascii="Times New Roman" w:eastAsia="Times New Roman" w:hAnsi="Times New Roman" w:cs="Times New Roman"/>
            <w:sz w:val="24"/>
            <w:szCs w:val="24"/>
          </w:rPr>
          <w:t>https</w:t>
        </w:r>
        <w:proofErr w:type="spellEnd"/>
        <w:r w:rsidRPr="00284585">
          <w:rPr>
            <w:rFonts w:ascii="Times New Roman" w:eastAsia="Times New Roman" w:hAnsi="Times New Roman" w:cs="Times New Roman"/>
            <w:sz w:val="24"/>
            <w:szCs w:val="24"/>
          </w:rPr>
          <w:t>://doi.org/10.2308/accr.2008.83.1.61</w:t>
        </w:r>
      </w:hyperlink>
    </w:p>
    <w:p w14:paraId="2B2C64BF" w14:textId="77777777" w:rsidR="00284585" w:rsidRPr="00284585" w:rsidRDefault="00284585" w:rsidP="00207215">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Frank, M. M., Lynch, L. J., &amp; Rego, S. O. (2009). Tax reporting aggressiveness and its relation to aggressive financial reporting. </w:t>
      </w:r>
      <w:r w:rsidRPr="00284585">
        <w:rPr>
          <w:rFonts w:ascii="Times New Roman" w:eastAsia="Times New Roman" w:hAnsi="Times New Roman" w:cs="Times New Roman"/>
          <w:i/>
          <w:sz w:val="24"/>
          <w:szCs w:val="24"/>
        </w:rPr>
        <w:t>The Accounting Review, 84</w:t>
      </w:r>
      <w:r w:rsidRPr="00284585">
        <w:rPr>
          <w:rFonts w:ascii="Times New Roman" w:eastAsia="Times New Roman" w:hAnsi="Times New Roman" w:cs="Times New Roman"/>
          <w:sz w:val="24"/>
          <w:szCs w:val="24"/>
        </w:rPr>
        <w:t xml:space="preserve">(2), 467-496. </w:t>
      </w:r>
      <w:proofErr w:type="spellStart"/>
      <w:r w:rsidRPr="00284585">
        <w:rPr>
          <w:rFonts w:ascii="Times New Roman" w:eastAsia="Times New Roman" w:hAnsi="Times New Roman" w:cs="Times New Roman"/>
          <w:sz w:val="24"/>
          <w:szCs w:val="24"/>
        </w:rPr>
        <w:t>doi:</w:t>
      </w:r>
      <w:hyperlink r:id="rId132">
        <w:r w:rsidRPr="00284585">
          <w:rPr>
            <w:rFonts w:ascii="Times New Roman" w:eastAsia="Times New Roman" w:hAnsi="Times New Roman" w:cs="Times New Roman"/>
            <w:sz w:val="24"/>
            <w:szCs w:val="24"/>
          </w:rPr>
          <w:t>https</w:t>
        </w:r>
        <w:proofErr w:type="spellEnd"/>
        <w:r w:rsidRPr="00284585">
          <w:rPr>
            <w:rFonts w:ascii="Times New Roman" w:eastAsia="Times New Roman" w:hAnsi="Times New Roman" w:cs="Times New Roman"/>
            <w:sz w:val="24"/>
            <w:szCs w:val="24"/>
          </w:rPr>
          <w:t>://doi.org/10.2308/accr.2009.84.2.467</w:t>
        </w:r>
      </w:hyperlink>
    </w:p>
    <w:p w14:paraId="6121CF9F" w14:textId="77777777" w:rsidR="00284585" w:rsidRPr="00284585" w:rsidRDefault="00284585" w:rsidP="00207215">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Gupta, S., &amp; Newberry, K. (1997). Determinants of the variability in corporate effective tax rates: Evidence from longitudinal data. </w:t>
      </w:r>
      <w:r w:rsidRPr="00284585">
        <w:rPr>
          <w:rFonts w:ascii="Times New Roman" w:eastAsia="Times New Roman" w:hAnsi="Times New Roman" w:cs="Times New Roman"/>
          <w:i/>
          <w:sz w:val="24"/>
          <w:szCs w:val="24"/>
        </w:rPr>
        <w:t>Journal of Accounting and Public Policy, 16</w:t>
      </w:r>
      <w:r w:rsidRPr="00284585">
        <w:rPr>
          <w:rFonts w:ascii="Times New Roman" w:eastAsia="Times New Roman" w:hAnsi="Times New Roman" w:cs="Times New Roman"/>
          <w:sz w:val="24"/>
          <w:szCs w:val="24"/>
        </w:rPr>
        <w:t xml:space="preserve">(1), 1-34. </w:t>
      </w:r>
      <w:proofErr w:type="spellStart"/>
      <w:r w:rsidRPr="00284585">
        <w:rPr>
          <w:rFonts w:ascii="Times New Roman" w:eastAsia="Times New Roman" w:hAnsi="Times New Roman" w:cs="Times New Roman"/>
          <w:sz w:val="24"/>
          <w:szCs w:val="24"/>
        </w:rPr>
        <w:t>doi:</w:t>
      </w:r>
      <w:hyperlink r:id="rId133">
        <w:r w:rsidRPr="00284585">
          <w:rPr>
            <w:rFonts w:ascii="Times New Roman" w:eastAsia="Times New Roman" w:hAnsi="Times New Roman" w:cs="Times New Roman"/>
            <w:sz w:val="24"/>
            <w:szCs w:val="24"/>
          </w:rPr>
          <w:t>https</w:t>
        </w:r>
        <w:proofErr w:type="spellEnd"/>
        <w:r w:rsidRPr="00284585">
          <w:rPr>
            <w:rFonts w:ascii="Times New Roman" w:eastAsia="Times New Roman" w:hAnsi="Times New Roman" w:cs="Times New Roman"/>
            <w:sz w:val="24"/>
            <w:szCs w:val="24"/>
          </w:rPr>
          <w:t>://doi.org/10.1016/S0278-4254(96)00055-5</w:t>
        </w:r>
      </w:hyperlink>
    </w:p>
    <w:p w14:paraId="6926F79A" w14:textId="77777777" w:rsidR="00284585" w:rsidRPr="00284585" w:rsidRDefault="00284585" w:rsidP="00207215">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Hanlon, M., &amp; Heitzman, S. (2010). A review of tax research. </w:t>
      </w:r>
      <w:r w:rsidRPr="00284585">
        <w:rPr>
          <w:rFonts w:ascii="Times New Roman" w:eastAsia="Times New Roman" w:hAnsi="Times New Roman" w:cs="Times New Roman"/>
          <w:i/>
          <w:sz w:val="24"/>
          <w:szCs w:val="24"/>
        </w:rPr>
        <w:t>Journal of Accounting and Economics, 50</w:t>
      </w:r>
      <w:r w:rsidRPr="00284585">
        <w:rPr>
          <w:rFonts w:ascii="Times New Roman" w:eastAsia="Times New Roman" w:hAnsi="Times New Roman" w:cs="Times New Roman"/>
          <w:sz w:val="24"/>
          <w:szCs w:val="24"/>
        </w:rPr>
        <w:t xml:space="preserve">(2-3), 127-178. </w:t>
      </w:r>
      <w:proofErr w:type="spellStart"/>
      <w:r w:rsidRPr="00284585">
        <w:rPr>
          <w:rFonts w:ascii="Times New Roman" w:eastAsia="Times New Roman" w:hAnsi="Times New Roman" w:cs="Times New Roman"/>
          <w:sz w:val="24"/>
          <w:szCs w:val="24"/>
        </w:rPr>
        <w:t>doi:</w:t>
      </w:r>
      <w:hyperlink r:id="rId134">
        <w:r w:rsidRPr="00284585">
          <w:rPr>
            <w:rFonts w:ascii="Times New Roman" w:eastAsia="Times New Roman" w:hAnsi="Times New Roman" w:cs="Times New Roman"/>
            <w:sz w:val="24"/>
            <w:szCs w:val="24"/>
          </w:rPr>
          <w:t>https</w:t>
        </w:r>
        <w:proofErr w:type="spellEnd"/>
        <w:r w:rsidRPr="00284585">
          <w:rPr>
            <w:rFonts w:ascii="Times New Roman" w:eastAsia="Times New Roman" w:hAnsi="Times New Roman" w:cs="Times New Roman"/>
            <w:sz w:val="24"/>
            <w:szCs w:val="24"/>
          </w:rPr>
          <w:t>://doi.org/10.1016/j.jacceco.2010.09.002</w:t>
        </w:r>
      </w:hyperlink>
    </w:p>
    <w:p w14:paraId="16F5BDEB" w14:textId="77777777" w:rsidR="00284585" w:rsidRPr="00284585" w:rsidRDefault="00284585" w:rsidP="00207215">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Hanlon, M., &amp; </w:t>
      </w:r>
      <w:proofErr w:type="spellStart"/>
      <w:r w:rsidRPr="00284585">
        <w:rPr>
          <w:rFonts w:ascii="Times New Roman" w:eastAsia="Times New Roman" w:hAnsi="Times New Roman" w:cs="Times New Roman"/>
          <w:sz w:val="24"/>
          <w:szCs w:val="24"/>
        </w:rPr>
        <w:t>Slemrod</w:t>
      </w:r>
      <w:proofErr w:type="spellEnd"/>
      <w:r w:rsidRPr="00284585">
        <w:rPr>
          <w:rFonts w:ascii="Times New Roman" w:eastAsia="Times New Roman" w:hAnsi="Times New Roman" w:cs="Times New Roman"/>
          <w:sz w:val="24"/>
          <w:szCs w:val="24"/>
        </w:rPr>
        <w:t xml:space="preserve">, J. (2009). What does tax aggressiveness signal? Evidence from stock price reactions to news about tax shelter involvement. </w:t>
      </w:r>
      <w:r w:rsidRPr="00284585">
        <w:rPr>
          <w:rFonts w:ascii="Times New Roman" w:eastAsia="Times New Roman" w:hAnsi="Times New Roman" w:cs="Times New Roman"/>
          <w:i/>
          <w:sz w:val="24"/>
          <w:szCs w:val="24"/>
        </w:rPr>
        <w:t>Journal of Public Economics, 93</w:t>
      </w:r>
      <w:r w:rsidRPr="00284585">
        <w:rPr>
          <w:rFonts w:ascii="Times New Roman" w:eastAsia="Times New Roman" w:hAnsi="Times New Roman" w:cs="Times New Roman"/>
          <w:sz w:val="24"/>
          <w:szCs w:val="24"/>
        </w:rPr>
        <w:t xml:space="preserve">(1-2), 126-141. </w:t>
      </w:r>
      <w:proofErr w:type="spellStart"/>
      <w:r w:rsidRPr="00284585">
        <w:rPr>
          <w:rFonts w:ascii="Times New Roman" w:eastAsia="Times New Roman" w:hAnsi="Times New Roman" w:cs="Times New Roman"/>
          <w:sz w:val="24"/>
          <w:szCs w:val="24"/>
        </w:rPr>
        <w:t>doi:</w:t>
      </w:r>
      <w:hyperlink r:id="rId135">
        <w:r w:rsidRPr="00284585">
          <w:rPr>
            <w:rFonts w:ascii="Times New Roman" w:eastAsia="Times New Roman" w:hAnsi="Times New Roman" w:cs="Times New Roman"/>
            <w:sz w:val="24"/>
            <w:szCs w:val="24"/>
          </w:rPr>
          <w:t>https</w:t>
        </w:r>
        <w:proofErr w:type="spellEnd"/>
        <w:r w:rsidRPr="00284585">
          <w:rPr>
            <w:rFonts w:ascii="Times New Roman" w:eastAsia="Times New Roman" w:hAnsi="Times New Roman" w:cs="Times New Roman"/>
            <w:sz w:val="24"/>
            <w:szCs w:val="24"/>
          </w:rPr>
          <w:t>://doi.org/10.1016/j.jpubeco.2008.09.004</w:t>
        </w:r>
      </w:hyperlink>
    </w:p>
    <w:p w14:paraId="6C839438" w14:textId="77777777" w:rsidR="00284585" w:rsidRPr="00284585" w:rsidRDefault="00284585" w:rsidP="00207215">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Lanis, R., &amp; Richardson, G. (2013). Corporate social responsibility and tax aggressiveness: a test of legitimacy theory. </w:t>
      </w:r>
      <w:r w:rsidRPr="00284585">
        <w:rPr>
          <w:rFonts w:ascii="Times New Roman" w:eastAsia="Times New Roman" w:hAnsi="Times New Roman" w:cs="Times New Roman"/>
          <w:i/>
          <w:sz w:val="24"/>
          <w:szCs w:val="24"/>
        </w:rPr>
        <w:t>Accounting, Auditing &amp; Accountability Journal, 26</w:t>
      </w:r>
      <w:r w:rsidRPr="00284585">
        <w:rPr>
          <w:rFonts w:ascii="Times New Roman" w:eastAsia="Times New Roman" w:hAnsi="Times New Roman" w:cs="Times New Roman"/>
          <w:sz w:val="24"/>
          <w:szCs w:val="24"/>
        </w:rPr>
        <w:t xml:space="preserve">(1), 75-100. </w:t>
      </w:r>
      <w:proofErr w:type="spellStart"/>
      <w:r w:rsidRPr="00284585">
        <w:rPr>
          <w:rFonts w:ascii="Times New Roman" w:eastAsia="Times New Roman" w:hAnsi="Times New Roman" w:cs="Times New Roman"/>
          <w:sz w:val="24"/>
          <w:szCs w:val="24"/>
        </w:rPr>
        <w:t>doi:</w:t>
      </w:r>
      <w:hyperlink r:id="rId136">
        <w:r w:rsidRPr="00284585">
          <w:rPr>
            <w:rFonts w:ascii="Times New Roman" w:eastAsia="Times New Roman" w:hAnsi="Times New Roman" w:cs="Times New Roman"/>
            <w:sz w:val="24"/>
            <w:szCs w:val="24"/>
          </w:rPr>
          <w:t>https</w:t>
        </w:r>
        <w:proofErr w:type="spellEnd"/>
        <w:r w:rsidRPr="00284585">
          <w:rPr>
            <w:rFonts w:ascii="Times New Roman" w:eastAsia="Times New Roman" w:hAnsi="Times New Roman" w:cs="Times New Roman"/>
            <w:sz w:val="24"/>
            <w:szCs w:val="24"/>
          </w:rPr>
          <w:t>://doi.org/10.1108/09513571311285621</w:t>
        </w:r>
      </w:hyperlink>
    </w:p>
    <w:p w14:paraId="0EDA1CDC" w14:textId="77777777" w:rsidR="00284585" w:rsidRPr="00284585" w:rsidRDefault="00284585" w:rsidP="00207215">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lastRenderedPageBreak/>
        <w:t xml:space="preserve">Lazăr, S. (2014). Determinants of the variability of corporate effective tax rates: Evidence from Romanian listed companies. </w:t>
      </w:r>
      <w:r w:rsidRPr="00284585">
        <w:rPr>
          <w:rFonts w:ascii="Times New Roman" w:eastAsia="Times New Roman" w:hAnsi="Times New Roman" w:cs="Times New Roman"/>
          <w:i/>
          <w:sz w:val="24"/>
          <w:szCs w:val="24"/>
        </w:rPr>
        <w:t>Emerging Markets Finance and Trade, 50</w:t>
      </w:r>
      <w:r w:rsidRPr="00284585">
        <w:rPr>
          <w:rFonts w:ascii="Times New Roman" w:eastAsia="Times New Roman" w:hAnsi="Times New Roman" w:cs="Times New Roman"/>
          <w:sz w:val="24"/>
          <w:szCs w:val="24"/>
        </w:rPr>
        <w:t xml:space="preserve">(sup4), 113-131. </w:t>
      </w:r>
      <w:proofErr w:type="spellStart"/>
      <w:r w:rsidRPr="00284585">
        <w:rPr>
          <w:rFonts w:ascii="Times New Roman" w:eastAsia="Times New Roman" w:hAnsi="Times New Roman" w:cs="Times New Roman"/>
          <w:sz w:val="24"/>
          <w:szCs w:val="24"/>
        </w:rPr>
        <w:t>doi:</w:t>
      </w:r>
      <w:hyperlink r:id="rId137">
        <w:r w:rsidRPr="00284585">
          <w:rPr>
            <w:rFonts w:ascii="Times New Roman" w:eastAsia="Times New Roman" w:hAnsi="Times New Roman" w:cs="Times New Roman"/>
            <w:sz w:val="24"/>
            <w:szCs w:val="24"/>
          </w:rPr>
          <w:t>https</w:t>
        </w:r>
        <w:proofErr w:type="spellEnd"/>
        <w:r w:rsidRPr="00284585">
          <w:rPr>
            <w:rFonts w:ascii="Times New Roman" w:eastAsia="Times New Roman" w:hAnsi="Times New Roman" w:cs="Times New Roman"/>
            <w:sz w:val="24"/>
            <w:szCs w:val="24"/>
          </w:rPr>
          <w:t>://doi.org/10.2753/REE1540-496X5004S4007</w:t>
        </w:r>
      </w:hyperlink>
    </w:p>
    <w:p w14:paraId="6091E8C8" w14:textId="77777777" w:rsidR="00284585" w:rsidRPr="00284585" w:rsidRDefault="00284585" w:rsidP="00207215">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Le, H. T. H., Tuyet, V. T. B., Hanh, C. T. B., &amp; Do, Q. H. (2020). Factors affecting tax compliance among small-and medium-sized enterprises: Evidence from </w:t>
      </w:r>
      <w:proofErr w:type="spellStart"/>
      <w:r w:rsidRPr="00284585">
        <w:rPr>
          <w:rFonts w:ascii="Times New Roman" w:eastAsia="Times New Roman" w:hAnsi="Times New Roman" w:cs="Times New Roman"/>
          <w:sz w:val="24"/>
          <w:szCs w:val="24"/>
        </w:rPr>
        <w:t>vietnam</w:t>
      </w:r>
      <w:proofErr w:type="spellEnd"/>
      <w:r w:rsidRPr="00284585">
        <w:rPr>
          <w:rFonts w:ascii="Times New Roman" w:eastAsia="Times New Roman" w:hAnsi="Times New Roman" w:cs="Times New Roman"/>
          <w:sz w:val="24"/>
          <w:szCs w:val="24"/>
        </w:rPr>
        <w:t xml:space="preserve">. </w:t>
      </w:r>
      <w:r w:rsidRPr="00284585">
        <w:rPr>
          <w:rFonts w:ascii="Times New Roman" w:eastAsia="Times New Roman" w:hAnsi="Times New Roman" w:cs="Times New Roman"/>
          <w:i/>
          <w:sz w:val="24"/>
          <w:szCs w:val="24"/>
        </w:rPr>
        <w:t>The Journal of Asian Finance, Economics and Business, 7</w:t>
      </w:r>
      <w:r w:rsidRPr="00284585">
        <w:rPr>
          <w:rFonts w:ascii="Times New Roman" w:eastAsia="Times New Roman" w:hAnsi="Times New Roman" w:cs="Times New Roman"/>
          <w:sz w:val="24"/>
          <w:szCs w:val="24"/>
        </w:rPr>
        <w:t xml:space="preserve">(7), 209-217. </w:t>
      </w:r>
      <w:proofErr w:type="spellStart"/>
      <w:r w:rsidRPr="00284585">
        <w:rPr>
          <w:rFonts w:ascii="Times New Roman" w:eastAsia="Times New Roman" w:hAnsi="Times New Roman" w:cs="Times New Roman"/>
          <w:sz w:val="24"/>
          <w:szCs w:val="24"/>
        </w:rPr>
        <w:t>doi:</w:t>
      </w:r>
      <w:hyperlink r:id="rId138">
        <w:r w:rsidRPr="00284585">
          <w:rPr>
            <w:rFonts w:ascii="Times New Roman" w:eastAsia="Times New Roman" w:hAnsi="Times New Roman" w:cs="Times New Roman"/>
            <w:sz w:val="24"/>
            <w:szCs w:val="24"/>
          </w:rPr>
          <w:t>https</w:t>
        </w:r>
        <w:proofErr w:type="spellEnd"/>
        <w:r w:rsidRPr="00284585">
          <w:rPr>
            <w:rFonts w:ascii="Times New Roman" w:eastAsia="Times New Roman" w:hAnsi="Times New Roman" w:cs="Times New Roman"/>
            <w:sz w:val="24"/>
            <w:szCs w:val="24"/>
          </w:rPr>
          <w:t>://doi.org/10.13106/jafeb.2020.vol7.no7.209</w:t>
        </w:r>
      </w:hyperlink>
    </w:p>
    <w:p w14:paraId="589C17B9" w14:textId="77777777" w:rsidR="00284585" w:rsidRPr="00284585" w:rsidRDefault="00284585" w:rsidP="00207215">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Liu, X., &amp; Cao, S. (2007). Determinants of corporate effective tax rates: evidence from listed companies in China. </w:t>
      </w:r>
      <w:r w:rsidRPr="00284585">
        <w:rPr>
          <w:rFonts w:ascii="Times New Roman" w:eastAsia="Times New Roman" w:hAnsi="Times New Roman" w:cs="Times New Roman"/>
          <w:i/>
          <w:sz w:val="24"/>
          <w:szCs w:val="24"/>
        </w:rPr>
        <w:t>Chinese Economy, 40</w:t>
      </w:r>
      <w:r w:rsidRPr="00284585">
        <w:rPr>
          <w:rFonts w:ascii="Times New Roman" w:eastAsia="Times New Roman" w:hAnsi="Times New Roman" w:cs="Times New Roman"/>
          <w:sz w:val="24"/>
          <w:szCs w:val="24"/>
        </w:rPr>
        <w:t xml:space="preserve">(6), 49-67. </w:t>
      </w:r>
      <w:proofErr w:type="spellStart"/>
      <w:r w:rsidRPr="00284585">
        <w:rPr>
          <w:rFonts w:ascii="Times New Roman" w:eastAsia="Times New Roman" w:hAnsi="Times New Roman" w:cs="Times New Roman"/>
          <w:sz w:val="24"/>
          <w:szCs w:val="24"/>
        </w:rPr>
        <w:t>doi:</w:t>
      </w:r>
      <w:hyperlink r:id="rId139">
        <w:r w:rsidRPr="00284585">
          <w:rPr>
            <w:rFonts w:ascii="Times New Roman" w:eastAsia="Times New Roman" w:hAnsi="Times New Roman" w:cs="Times New Roman"/>
            <w:sz w:val="24"/>
            <w:szCs w:val="24"/>
          </w:rPr>
          <w:t>https</w:t>
        </w:r>
        <w:proofErr w:type="spellEnd"/>
        <w:r w:rsidRPr="00284585">
          <w:rPr>
            <w:rFonts w:ascii="Times New Roman" w:eastAsia="Times New Roman" w:hAnsi="Times New Roman" w:cs="Times New Roman"/>
            <w:sz w:val="24"/>
            <w:szCs w:val="24"/>
          </w:rPr>
          <w:t>://doi.org/10.2753/CES1097-1475400603</w:t>
        </w:r>
      </w:hyperlink>
    </w:p>
    <w:p w14:paraId="7746F097" w14:textId="77777777" w:rsidR="00284585" w:rsidRPr="00284585" w:rsidRDefault="00284585" w:rsidP="00207215">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Nasir, N. E. M., Yaacob, N. M., Kamarudin, S. N., Rashid, N., &amp; Othman, N. N. J. N. (2024). Navigating the Intersection of Corporate Governance and Corporate Tax Planning: A Scoping Review. </w:t>
      </w:r>
      <w:r w:rsidRPr="00284585">
        <w:rPr>
          <w:rFonts w:ascii="Times New Roman" w:eastAsia="Times New Roman" w:hAnsi="Times New Roman" w:cs="Times New Roman"/>
          <w:i/>
          <w:sz w:val="24"/>
          <w:szCs w:val="24"/>
        </w:rPr>
        <w:t>Advances in Social Sciences Research Journal, 11</w:t>
      </w:r>
      <w:r w:rsidRPr="00284585">
        <w:rPr>
          <w:rFonts w:ascii="Times New Roman" w:eastAsia="Times New Roman" w:hAnsi="Times New Roman" w:cs="Times New Roman"/>
          <w:sz w:val="24"/>
          <w:szCs w:val="24"/>
        </w:rPr>
        <w:t>(9.2). doi:10.14738/assrj.119.2.17403</w:t>
      </w:r>
    </w:p>
    <w:p w14:paraId="7788CFA2" w14:textId="77777777" w:rsidR="00284585" w:rsidRPr="00284585" w:rsidRDefault="00284585" w:rsidP="00207215">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Pham, M. T., Van Nguyen, L., &amp; Nguyen, T. T. M. (2024). The Effect of Corporate Governance on Tax Avoidance: Evidence from Listed Firms in Vietnam. </w:t>
      </w:r>
      <w:r w:rsidRPr="00284585">
        <w:rPr>
          <w:rFonts w:ascii="Times New Roman" w:eastAsia="Times New Roman" w:hAnsi="Times New Roman" w:cs="Times New Roman"/>
          <w:i/>
          <w:sz w:val="24"/>
          <w:szCs w:val="24"/>
        </w:rPr>
        <w:t>Economic Insights-Trends &amp; Challenges, 13</w:t>
      </w:r>
      <w:r w:rsidRPr="00284585">
        <w:rPr>
          <w:rFonts w:ascii="Times New Roman" w:eastAsia="Times New Roman" w:hAnsi="Times New Roman" w:cs="Times New Roman"/>
          <w:sz w:val="24"/>
          <w:szCs w:val="24"/>
        </w:rPr>
        <w:t xml:space="preserve">(2), 1-15. </w:t>
      </w:r>
      <w:proofErr w:type="spellStart"/>
      <w:r w:rsidRPr="00284585">
        <w:rPr>
          <w:rFonts w:ascii="Times New Roman" w:eastAsia="Times New Roman" w:hAnsi="Times New Roman" w:cs="Times New Roman"/>
          <w:sz w:val="24"/>
          <w:szCs w:val="24"/>
        </w:rPr>
        <w:t>doi:</w:t>
      </w:r>
      <w:hyperlink r:id="rId140">
        <w:r w:rsidRPr="00284585">
          <w:rPr>
            <w:rFonts w:ascii="Times New Roman" w:eastAsia="Times New Roman" w:hAnsi="Times New Roman" w:cs="Times New Roman"/>
            <w:sz w:val="24"/>
            <w:szCs w:val="24"/>
          </w:rPr>
          <w:t>https</w:t>
        </w:r>
        <w:proofErr w:type="spellEnd"/>
        <w:r w:rsidRPr="00284585">
          <w:rPr>
            <w:rFonts w:ascii="Times New Roman" w:eastAsia="Times New Roman" w:hAnsi="Times New Roman" w:cs="Times New Roman"/>
            <w:sz w:val="24"/>
            <w:szCs w:val="24"/>
          </w:rPr>
          <w:t>://doi.org/10.51865/EITC.2024.02.01</w:t>
        </w:r>
      </w:hyperlink>
    </w:p>
    <w:p w14:paraId="56926094" w14:textId="77777777" w:rsidR="00284585" w:rsidRPr="00284585" w:rsidRDefault="00284585" w:rsidP="00207215">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Rahayu, S., &amp; </w:t>
      </w:r>
      <w:proofErr w:type="spellStart"/>
      <w:r w:rsidRPr="00284585">
        <w:rPr>
          <w:rFonts w:ascii="Times New Roman" w:eastAsia="Times New Roman" w:hAnsi="Times New Roman" w:cs="Times New Roman"/>
          <w:sz w:val="24"/>
          <w:szCs w:val="24"/>
        </w:rPr>
        <w:t>Suryarini</w:t>
      </w:r>
      <w:proofErr w:type="spellEnd"/>
      <w:r w:rsidRPr="00284585">
        <w:rPr>
          <w:rFonts w:ascii="Times New Roman" w:eastAsia="Times New Roman" w:hAnsi="Times New Roman" w:cs="Times New Roman"/>
          <w:sz w:val="24"/>
          <w:szCs w:val="24"/>
        </w:rPr>
        <w:t xml:space="preserve">, T. (2021). The Effect of CSR Disclosure, Firm Size, Capital Intensity, and Inventory Intensity on Tax Aggressiveness. </w:t>
      </w:r>
      <w:r w:rsidRPr="00284585">
        <w:rPr>
          <w:rFonts w:ascii="Times New Roman" w:eastAsia="Times New Roman" w:hAnsi="Times New Roman" w:cs="Times New Roman"/>
          <w:i/>
          <w:sz w:val="24"/>
          <w:szCs w:val="24"/>
        </w:rPr>
        <w:t>Accounting Analysis Journal, 10</w:t>
      </w:r>
      <w:r w:rsidRPr="00284585">
        <w:rPr>
          <w:rFonts w:ascii="Times New Roman" w:eastAsia="Times New Roman" w:hAnsi="Times New Roman" w:cs="Times New Roman"/>
          <w:sz w:val="24"/>
          <w:szCs w:val="24"/>
        </w:rPr>
        <w:t xml:space="preserve">(3), 191-197. </w:t>
      </w:r>
      <w:proofErr w:type="spellStart"/>
      <w:r w:rsidRPr="00284585">
        <w:rPr>
          <w:rFonts w:ascii="Times New Roman" w:eastAsia="Times New Roman" w:hAnsi="Times New Roman" w:cs="Times New Roman"/>
          <w:sz w:val="24"/>
          <w:szCs w:val="24"/>
        </w:rPr>
        <w:t>doi:</w:t>
      </w:r>
      <w:hyperlink r:id="rId141">
        <w:r w:rsidRPr="00284585">
          <w:rPr>
            <w:rFonts w:ascii="Times New Roman" w:eastAsia="Times New Roman" w:hAnsi="Times New Roman" w:cs="Times New Roman"/>
            <w:sz w:val="24"/>
            <w:szCs w:val="24"/>
          </w:rPr>
          <w:t>https</w:t>
        </w:r>
        <w:proofErr w:type="spellEnd"/>
        <w:r w:rsidRPr="00284585">
          <w:rPr>
            <w:rFonts w:ascii="Times New Roman" w:eastAsia="Times New Roman" w:hAnsi="Times New Roman" w:cs="Times New Roman"/>
            <w:sz w:val="24"/>
            <w:szCs w:val="24"/>
          </w:rPr>
          <w:t>://doi.org/10.15294/aaj.v10i3.51446</w:t>
        </w:r>
      </w:hyperlink>
    </w:p>
    <w:p w14:paraId="488FE8CE" w14:textId="77777777" w:rsidR="00284585" w:rsidRPr="00284585" w:rsidRDefault="00284585" w:rsidP="00207215">
      <w:pPr>
        <w:spacing w:after="0" w:line="240" w:lineRule="auto"/>
        <w:ind w:left="720" w:hanging="720"/>
        <w:jc w:val="both"/>
        <w:rPr>
          <w:rFonts w:ascii="Times New Roman" w:eastAsia="Times New Roman" w:hAnsi="Times New Roman" w:cs="Times New Roman"/>
          <w:sz w:val="24"/>
          <w:szCs w:val="24"/>
        </w:rPr>
      </w:pPr>
      <w:r w:rsidRPr="00284585">
        <w:rPr>
          <w:rFonts w:ascii="Times New Roman" w:eastAsia="Times New Roman" w:hAnsi="Times New Roman" w:cs="Times New Roman"/>
          <w:sz w:val="24"/>
          <w:szCs w:val="24"/>
        </w:rPr>
        <w:t xml:space="preserve">Rahmawati, A. N., &amp; </w:t>
      </w:r>
      <w:proofErr w:type="spellStart"/>
      <w:r w:rsidRPr="00284585">
        <w:rPr>
          <w:rFonts w:ascii="Times New Roman" w:eastAsia="Times New Roman" w:hAnsi="Times New Roman" w:cs="Times New Roman"/>
          <w:sz w:val="24"/>
          <w:szCs w:val="24"/>
        </w:rPr>
        <w:t>Sudaryono</w:t>
      </w:r>
      <w:proofErr w:type="spellEnd"/>
      <w:r w:rsidRPr="00284585">
        <w:rPr>
          <w:rFonts w:ascii="Times New Roman" w:eastAsia="Times New Roman" w:hAnsi="Times New Roman" w:cs="Times New Roman"/>
          <w:sz w:val="24"/>
          <w:szCs w:val="24"/>
        </w:rPr>
        <w:t xml:space="preserve">, E. A. (2022). the Effect of Return on Assets, Fixed Assets Intensity, and Transfer Pricing on Tax Management With Leverage As Moderating Variable. </w:t>
      </w:r>
      <w:r w:rsidRPr="00284585">
        <w:rPr>
          <w:rFonts w:ascii="Times New Roman" w:eastAsia="Times New Roman" w:hAnsi="Times New Roman" w:cs="Times New Roman"/>
          <w:i/>
          <w:sz w:val="24"/>
          <w:szCs w:val="24"/>
        </w:rPr>
        <w:t>International Journal of Business, Economics and Law, 26</w:t>
      </w:r>
      <w:r w:rsidRPr="00284585">
        <w:rPr>
          <w:rFonts w:ascii="Times New Roman" w:eastAsia="Times New Roman" w:hAnsi="Times New Roman" w:cs="Times New Roman"/>
          <w:sz w:val="24"/>
          <w:szCs w:val="24"/>
        </w:rPr>
        <w:t xml:space="preserve">(1), 333-342. </w:t>
      </w:r>
    </w:p>
    <w:p w14:paraId="53E2F4E9" w14:textId="77777777" w:rsidR="00284585" w:rsidRPr="00284585" w:rsidRDefault="00284585" w:rsidP="00207215">
      <w:pPr>
        <w:spacing w:after="0" w:line="240" w:lineRule="auto"/>
        <w:ind w:left="720" w:hanging="720"/>
        <w:jc w:val="both"/>
        <w:rPr>
          <w:rFonts w:ascii="Times New Roman" w:eastAsia="Times New Roman" w:hAnsi="Times New Roman" w:cs="Times New Roman"/>
          <w:b/>
          <w:color w:val="000000"/>
        </w:rPr>
      </w:pPr>
      <w:r w:rsidRPr="00284585">
        <w:rPr>
          <w:rFonts w:ascii="Times New Roman" w:eastAsia="Times New Roman" w:hAnsi="Times New Roman" w:cs="Times New Roman"/>
          <w:sz w:val="24"/>
          <w:szCs w:val="24"/>
        </w:rPr>
        <w:t xml:space="preserve">Richardson, G., &amp; Lanis, R. (2007). Determinants of the variability in corporate effective tax rates and tax reform: Evidence from Australia. </w:t>
      </w:r>
      <w:r w:rsidRPr="00284585">
        <w:rPr>
          <w:rFonts w:ascii="Times New Roman" w:eastAsia="Times New Roman" w:hAnsi="Times New Roman" w:cs="Times New Roman"/>
          <w:i/>
          <w:sz w:val="24"/>
          <w:szCs w:val="24"/>
        </w:rPr>
        <w:t>Journal of Accounting and Public Policy, 26</w:t>
      </w:r>
      <w:r w:rsidRPr="00284585">
        <w:rPr>
          <w:rFonts w:ascii="Times New Roman" w:eastAsia="Times New Roman" w:hAnsi="Times New Roman" w:cs="Times New Roman"/>
          <w:sz w:val="24"/>
          <w:szCs w:val="24"/>
        </w:rPr>
        <w:t xml:space="preserve">(6), 689-704. </w:t>
      </w:r>
      <w:proofErr w:type="spellStart"/>
      <w:r w:rsidRPr="00284585">
        <w:rPr>
          <w:rFonts w:ascii="Times New Roman" w:eastAsia="Times New Roman" w:hAnsi="Times New Roman" w:cs="Times New Roman"/>
          <w:sz w:val="24"/>
          <w:szCs w:val="24"/>
        </w:rPr>
        <w:t>doi:</w:t>
      </w:r>
      <w:hyperlink r:id="rId142">
        <w:r w:rsidRPr="00284585">
          <w:rPr>
            <w:rFonts w:ascii="Times New Roman" w:eastAsia="Times New Roman" w:hAnsi="Times New Roman" w:cs="Times New Roman"/>
            <w:sz w:val="24"/>
            <w:szCs w:val="24"/>
          </w:rPr>
          <w:t>https</w:t>
        </w:r>
        <w:proofErr w:type="spellEnd"/>
        <w:r w:rsidRPr="00284585">
          <w:rPr>
            <w:rFonts w:ascii="Times New Roman" w:eastAsia="Times New Roman" w:hAnsi="Times New Roman" w:cs="Times New Roman"/>
            <w:sz w:val="24"/>
            <w:szCs w:val="24"/>
          </w:rPr>
          <w:t>://doi.org/10.1016/j.jaccpubpol.2007.10.003</w:t>
        </w:r>
      </w:hyperlink>
    </w:p>
    <w:p w14:paraId="499F993B" w14:textId="77777777" w:rsidR="007373F6" w:rsidRDefault="007373F6" w:rsidP="00207215"/>
    <w:p w14:paraId="0AC6447A" w14:textId="77777777" w:rsidR="007373F6" w:rsidRDefault="007373F6" w:rsidP="00207215"/>
    <w:p w14:paraId="733DC034" w14:textId="77777777" w:rsidR="007373F6" w:rsidRDefault="007373F6">
      <w:pPr>
        <w:jc w:val="both"/>
      </w:pPr>
    </w:p>
    <w:p w14:paraId="23037A76" w14:textId="77777777" w:rsidR="007373F6" w:rsidRDefault="00000000">
      <w:pPr>
        <w:pStyle w:val="Heading2"/>
        <w:jc w:val="both"/>
        <w:rPr>
          <w:color w:val="000000"/>
        </w:rPr>
      </w:pPr>
      <w:r>
        <w:lastRenderedPageBreak/>
        <w:br w:type="page"/>
      </w:r>
    </w:p>
    <w:p w14:paraId="577DC62D" w14:textId="77777777" w:rsidR="007373F6" w:rsidRDefault="00000000">
      <w:pPr>
        <w:pStyle w:val="Heading1"/>
      </w:pPr>
      <w:bookmarkStart w:id="59" w:name="_Toc211808146"/>
      <w:r>
        <w:lastRenderedPageBreak/>
        <w:t>Paper ID 13</w:t>
      </w:r>
      <w:bookmarkEnd w:id="59"/>
    </w:p>
    <w:p w14:paraId="0F2886DD" w14:textId="77777777" w:rsidR="007373F6" w:rsidRDefault="00000000">
      <w:pPr>
        <w:pStyle w:val="Heading2"/>
        <w:spacing w:after="0" w:line="240" w:lineRule="auto"/>
      </w:pPr>
      <w:bookmarkStart w:id="60" w:name="_Toc211808147"/>
      <w:r>
        <w:t>ETHICAL CHALLENGES AND DILEMMAS IN PUBLIC SECTOR BUDGET EXECUTION: EVIDENCE FROM INDONESIA</w:t>
      </w:r>
      <w:bookmarkEnd w:id="60"/>
    </w:p>
    <w:p w14:paraId="20CA8FF3" w14:textId="77777777" w:rsidR="007373F6" w:rsidRDefault="007373F6">
      <w:pPr>
        <w:spacing w:after="0" w:line="240" w:lineRule="auto"/>
        <w:jc w:val="center"/>
        <w:rPr>
          <w:rFonts w:ascii="Times New Roman" w:eastAsia="Times New Roman" w:hAnsi="Times New Roman" w:cs="Times New Roman"/>
          <w:b/>
          <w:sz w:val="26"/>
          <w:szCs w:val="26"/>
        </w:rPr>
      </w:pPr>
    </w:p>
    <w:p w14:paraId="16011195" w14:textId="77777777" w:rsidR="007373F6" w:rsidRDefault="00000000">
      <w:pPr>
        <w:shd w:val="clear" w:color="auto" w:fill="FFFFFF"/>
        <w:jc w:val="cente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b/>
          <w:color w:val="222222"/>
          <w:sz w:val="24"/>
          <w:szCs w:val="24"/>
        </w:rPr>
        <w:t>Djuni</w:t>
      </w:r>
      <w:proofErr w:type="spellEnd"/>
      <w:r>
        <w:rPr>
          <w:rFonts w:ascii="Times New Roman" w:eastAsia="Times New Roman" w:hAnsi="Times New Roman" w:cs="Times New Roman"/>
          <w:b/>
          <w:color w:val="222222"/>
          <w:sz w:val="24"/>
          <w:szCs w:val="24"/>
        </w:rPr>
        <w:t xml:space="preserve"> Farhan*</w:t>
      </w:r>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Gajayana</w:t>
      </w:r>
      <w:proofErr w:type="spellEnd"/>
      <w:r>
        <w:rPr>
          <w:rFonts w:ascii="Times New Roman" w:eastAsia="Times New Roman" w:hAnsi="Times New Roman" w:cs="Times New Roman"/>
          <w:color w:val="222222"/>
          <w:sz w:val="24"/>
          <w:szCs w:val="24"/>
        </w:rPr>
        <w:t xml:space="preserve"> University</w:t>
      </w:r>
      <w:r>
        <w:rPr>
          <w:rFonts w:ascii="Times New Roman" w:eastAsia="Times New Roman" w:hAnsi="Times New Roman" w:cs="Times New Roman"/>
          <w:sz w:val="24"/>
          <w:szCs w:val="24"/>
        </w:rPr>
        <w:t>, Indonesia</w:t>
      </w:r>
      <w:r>
        <w:rPr>
          <w:rFonts w:ascii="Times New Roman" w:eastAsia="Times New Roman" w:hAnsi="Times New Roman" w:cs="Times New Roman"/>
          <w:color w:val="222222"/>
          <w:sz w:val="24"/>
          <w:szCs w:val="24"/>
        </w:rPr>
        <w:t xml:space="preserve"> (djuni.farhan@unigamalang.ac.id)</w:t>
      </w:r>
    </w:p>
    <w:p w14:paraId="420C2C5D" w14:textId="77777777" w:rsidR="007373F6" w:rsidRDefault="00000000">
      <w:pPr>
        <w:shd w:val="clear" w:color="auto" w:fill="FFFFFF"/>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Oyong Lisa</w:t>
      </w:r>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Gajayana</w:t>
      </w:r>
      <w:proofErr w:type="spellEnd"/>
      <w:r>
        <w:rPr>
          <w:rFonts w:ascii="Times New Roman" w:eastAsia="Times New Roman" w:hAnsi="Times New Roman" w:cs="Times New Roman"/>
          <w:color w:val="222222"/>
          <w:sz w:val="24"/>
          <w:szCs w:val="24"/>
        </w:rPr>
        <w:t xml:space="preserve"> University</w:t>
      </w:r>
      <w:r>
        <w:rPr>
          <w:rFonts w:ascii="Times New Roman" w:eastAsia="Times New Roman" w:hAnsi="Times New Roman" w:cs="Times New Roman"/>
          <w:sz w:val="24"/>
          <w:szCs w:val="24"/>
        </w:rPr>
        <w:t>, Indonesia</w:t>
      </w:r>
      <w:r>
        <w:rPr>
          <w:rFonts w:ascii="Times New Roman" w:eastAsia="Times New Roman" w:hAnsi="Times New Roman" w:cs="Times New Roman"/>
          <w:color w:val="222222"/>
          <w:sz w:val="24"/>
          <w:szCs w:val="24"/>
        </w:rPr>
        <w:t xml:space="preserve"> (oyong.lisa68@gmail.com)</w:t>
      </w:r>
    </w:p>
    <w:p w14:paraId="680EBE34" w14:textId="77777777" w:rsidR="007373F6" w:rsidRDefault="00000000">
      <w:pPr>
        <w:shd w:val="clear" w:color="auto" w:fill="FFFFFF"/>
        <w:jc w:val="cente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b/>
          <w:color w:val="222222"/>
          <w:sz w:val="24"/>
          <w:szCs w:val="24"/>
        </w:rPr>
        <w:t>Yosar</w:t>
      </w:r>
      <w:proofErr w:type="spellEnd"/>
      <w:r>
        <w:rPr>
          <w:rFonts w:ascii="Times New Roman" w:eastAsia="Times New Roman" w:hAnsi="Times New Roman" w:cs="Times New Roman"/>
          <w:b/>
          <w:color w:val="222222"/>
          <w:sz w:val="24"/>
          <w:szCs w:val="24"/>
        </w:rPr>
        <w:t xml:space="preserve"> Haritsar</w:t>
      </w:r>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Gajayana</w:t>
      </w:r>
      <w:proofErr w:type="spellEnd"/>
      <w:r>
        <w:rPr>
          <w:rFonts w:ascii="Times New Roman" w:eastAsia="Times New Roman" w:hAnsi="Times New Roman" w:cs="Times New Roman"/>
          <w:color w:val="222222"/>
          <w:sz w:val="24"/>
          <w:szCs w:val="24"/>
        </w:rPr>
        <w:t xml:space="preserve"> University</w:t>
      </w:r>
      <w:r>
        <w:rPr>
          <w:rFonts w:ascii="Times New Roman" w:eastAsia="Times New Roman" w:hAnsi="Times New Roman" w:cs="Times New Roman"/>
          <w:sz w:val="24"/>
          <w:szCs w:val="24"/>
        </w:rPr>
        <w:t>, Indonesia</w:t>
      </w:r>
      <w:r>
        <w:rPr>
          <w:rFonts w:ascii="Times New Roman" w:eastAsia="Times New Roman" w:hAnsi="Times New Roman" w:cs="Times New Roman"/>
          <w:color w:val="222222"/>
          <w:sz w:val="24"/>
          <w:szCs w:val="24"/>
        </w:rPr>
        <w:t xml:space="preserve"> (yosarharitsar2017@unigamalang.ac.id)</w:t>
      </w:r>
    </w:p>
    <w:p w14:paraId="18A3C99A" w14:textId="77777777" w:rsidR="007373F6" w:rsidRDefault="00000000">
      <w:pPr>
        <w:shd w:val="clear" w:color="auto" w:fill="FFFFFF"/>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Bambang Hermanto</w:t>
      </w:r>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Politeknik</w:t>
      </w:r>
      <w:proofErr w:type="spellEnd"/>
      <w:r>
        <w:rPr>
          <w:rFonts w:ascii="Times New Roman" w:eastAsia="Times New Roman" w:hAnsi="Times New Roman" w:cs="Times New Roman"/>
          <w:color w:val="222222"/>
          <w:sz w:val="24"/>
          <w:szCs w:val="24"/>
        </w:rPr>
        <w:t xml:space="preserve"> LP3i</w:t>
      </w:r>
      <w:r>
        <w:rPr>
          <w:rFonts w:ascii="Times New Roman" w:eastAsia="Times New Roman" w:hAnsi="Times New Roman" w:cs="Times New Roman"/>
          <w:sz w:val="24"/>
          <w:szCs w:val="24"/>
        </w:rPr>
        <w:t>, Indonesia</w:t>
      </w:r>
      <w:r>
        <w:rPr>
          <w:rFonts w:ascii="Times New Roman" w:eastAsia="Times New Roman" w:hAnsi="Times New Roman" w:cs="Times New Roman"/>
          <w:color w:val="222222"/>
          <w:sz w:val="24"/>
          <w:szCs w:val="24"/>
        </w:rPr>
        <w:t xml:space="preserve"> (bbher53@gmail.com)</w:t>
      </w:r>
    </w:p>
    <w:p w14:paraId="5E79E452" w14:textId="77777777" w:rsidR="007373F6" w:rsidRDefault="007373F6">
      <w:pPr>
        <w:shd w:val="clear" w:color="auto" w:fill="FFFFFF"/>
        <w:jc w:val="center"/>
        <w:rPr>
          <w:rFonts w:ascii="Times New Roman" w:eastAsia="Times New Roman" w:hAnsi="Times New Roman" w:cs="Times New Roman"/>
          <w:color w:val="222222"/>
          <w:sz w:val="24"/>
          <w:szCs w:val="24"/>
          <w:highlight w:val="yellow"/>
        </w:rPr>
      </w:pPr>
    </w:p>
    <w:p w14:paraId="053913A8" w14:textId="77777777" w:rsidR="007373F6"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ABSTRACT</w:t>
      </w:r>
    </w:p>
    <w:p w14:paraId="79B3BCCA"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study explores the ethical conflicts faced by public sector accountants during budget execution, emphasizing their implications for governance, accountability, and public trust. The research investigates how professional and organizational pressures influence accountants' ethical decision-making and the extent to which these challenges undermine integrity in public financial management. Utilizing qualitative methods, including semi-structured interviews, focus groups, and document analysis, the study captures the lived experiences and moral dilemmas encountered by public sector accountants across various </w:t>
      </w:r>
      <w:proofErr w:type="spellStart"/>
      <w:r>
        <w:rPr>
          <w:rFonts w:ascii="Times New Roman" w:eastAsia="Times New Roman" w:hAnsi="Times New Roman" w:cs="Times New Roman"/>
          <w:sz w:val="24"/>
          <w:szCs w:val="24"/>
        </w:rPr>
        <w:t>institutions.The</w:t>
      </w:r>
      <w:proofErr w:type="spellEnd"/>
      <w:r>
        <w:rPr>
          <w:rFonts w:ascii="Times New Roman" w:eastAsia="Times New Roman" w:hAnsi="Times New Roman" w:cs="Times New Roman"/>
          <w:sz w:val="24"/>
          <w:szCs w:val="24"/>
        </w:rPr>
        <w:t xml:space="preserve"> findings identify three primary ethical challenges: conflicts of interest, pressure to meet financial targets, and a lack of transparency in budget allocation. These issues are intensified by political interference, weak ethical cultures, and inadequate regulatory oversight. Respondents indicated that in environments prioritizing performance outcomes over ethical standards, accountants often face pressure to compromise their professional integrity. Such dynamics can result in misreporting, misuse of public resources, and a decline in public confidence in government </w:t>
      </w:r>
      <w:proofErr w:type="spellStart"/>
      <w:r>
        <w:rPr>
          <w:rFonts w:ascii="Times New Roman" w:eastAsia="Times New Roman" w:hAnsi="Times New Roman" w:cs="Times New Roman"/>
          <w:sz w:val="24"/>
          <w:szCs w:val="24"/>
        </w:rPr>
        <w:t>institutions.The</w:t>
      </w:r>
      <w:proofErr w:type="spellEnd"/>
      <w:r>
        <w:rPr>
          <w:rFonts w:ascii="Times New Roman" w:eastAsia="Times New Roman" w:hAnsi="Times New Roman" w:cs="Times New Roman"/>
          <w:sz w:val="24"/>
          <w:szCs w:val="24"/>
        </w:rPr>
        <w:t xml:space="preserve"> study employs Rest’s Four-Component Model to </w:t>
      </w:r>
      <w:proofErr w:type="spellStart"/>
      <w:r>
        <w:rPr>
          <w:rFonts w:ascii="Times New Roman" w:eastAsia="Times New Roman" w:hAnsi="Times New Roman" w:cs="Times New Roman"/>
          <w:sz w:val="24"/>
          <w:szCs w:val="24"/>
        </w:rPr>
        <w:t>analyze</w:t>
      </w:r>
      <w:proofErr w:type="spellEnd"/>
      <w:r>
        <w:rPr>
          <w:rFonts w:ascii="Times New Roman" w:eastAsia="Times New Roman" w:hAnsi="Times New Roman" w:cs="Times New Roman"/>
          <w:sz w:val="24"/>
          <w:szCs w:val="24"/>
        </w:rPr>
        <w:t xml:space="preserve"> how accountants perceive, judge, and respond to ethical dilemmas, highlighting the significant role of organizational culture in shaping moral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Recommendations include the implementation of robust codes of conduct, enhancement of ethics education, and strengthening oversight mechanisms to foster ethical resilience. In conclusion, ethical conflicts in budget execution significantly undermine the credibility of public sector accounting. Addressing these challenges necessitates a commitment to integrity through ethics training, transparent practices, and supportive leadership, ultimately enhancing trust in public financial systems and ensuring ethical governance in the long term.</w:t>
      </w:r>
    </w:p>
    <w:p w14:paraId="7F5E8A63" w14:textId="77777777" w:rsidR="007373F6" w:rsidRDefault="007373F6">
      <w:pPr>
        <w:spacing w:after="0" w:line="240" w:lineRule="auto"/>
        <w:jc w:val="both"/>
        <w:rPr>
          <w:rFonts w:ascii="Times New Roman" w:eastAsia="Times New Roman" w:hAnsi="Times New Roman" w:cs="Times New Roman"/>
          <w:sz w:val="24"/>
          <w:szCs w:val="24"/>
        </w:rPr>
      </w:pPr>
    </w:p>
    <w:p w14:paraId="68F005A7" w14:textId="77777777" w:rsidR="007373F6" w:rsidRDefault="00000000">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Keywords: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Ethical Conflicts, Public Sector Accountants, Budget Execution, Accountability, Transparency </w:t>
      </w:r>
    </w:p>
    <w:p w14:paraId="5B15C416" w14:textId="77777777" w:rsidR="007373F6" w:rsidRDefault="007373F6" w:rsidP="00207215"/>
    <w:p w14:paraId="18F37CA6" w14:textId="342E8FA5" w:rsidR="00A05A0A" w:rsidRPr="00A05A0A" w:rsidRDefault="00A05A0A" w:rsidP="00856618">
      <w:pPr>
        <w:pStyle w:val="ListParagraph"/>
        <w:numPr>
          <w:ilvl w:val="3"/>
          <w:numId w:val="9"/>
        </w:numPr>
        <w:spacing w:line="240" w:lineRule="auto"/>
        <w:rPr>
          <w:rFonts w:asciiTheme="majorBidi" w:hAnsiTheme="majorBidi" w:cstheme="majorBidi"/>
          <w:sz w:val="24"/>
          <w:szCs w:val="24"/>
        </w:rPr>
      </w:pPr>
      <w:r w:rsidRPr="00A05A0A">
        <w:rPr>
          <w:rFonts w:asciiTheme="majorBidi" w:hAnsiTheme="majorBidi" w:cstheme="majorBidi"/>
          <w:b/>
          <w:bCs/>
          <w:sz w:val="24"/>
          <w:szCs w:val="24"/>
        </w:rPr>
        <w:t>B</w:t>
      </w:r>
      <w:r>
        <w:rPr>
          <w:rFonts w:asciiTheme="majorBidi" w:hAnsiTheme="majorBidi" w:cstheme="majorBidi"/>
          <w:b/>
          <w:bCs/>
          <w:sz w:val="24"/>
          <w:szCs w:val="24"/>
        </w:rPr>
        <w:t>ACKGROUND OF STUDY</w:t>
      </w:r>
    </w:p>
    <w:p w14:paraId="5001AB9E" w14:textId="77777777" w:rsidR="00A05A0A" w:rsidRPr="007B76E2" w:rsidRDefault="00A05A0A" w:rsidP="00284585">
      <w:pPr>
        <w:spacing w:after="0" w:line="240" w:lineRule="auto"/>
        <w:ind w:firstLine="426"/>
        <w:jc w:val="both"/>
        <w:rPr>
          <w:rFonts w:asciiTheme="majorBidi" w:hAnsiTheme="majorBidi" w:cstheme="majorBidi"/>
          <w:sz w:val="24"/>
          <w:szCs w:val="24"/>
        </w:rPr>
      </w:pPr>
      <w:r w:rsidRPr="007B76E2">
        <w:rPr>
          <w:rFonts w:asciiTheme="majorBidi" w:hAnsiTheme="majorBidi" w:cstheme="majorBidi"/>
          <w:sz w:val="24"/>
          <w:szCs w:val="24"/>
        </w:rPr>
        <w:t>Public financial management is one of the most important pillars of governance, designed to ensure that scarce resources are allocated efficiently, transparently, and in alignment with development priorities. In many countries, however, the execution of budgets often presents challenges that extend beyond technical or administrative issues. At the core of these challenges are ethical dilemmas faced by public sector accountants and managers who must navigate pressures from political interests, organizational demands, and public accountability.</w:t>
      </w:r>
    </w:p>
    <w:p w14:paraId="6B21B8E4" w14:textId="77777777" w:rsidR="00A05A0A" w:rsidRPr="00A05A0A" w:rsidRDefault="00A05A0A" w:rsidP="00284585">
      <w:pPr>
        <w:spacing w:after="0" w:line="240" w:lineRule="auto"/>
        <w:ind w:firstLine="426"/>
        <w:jc w:val="both"/>
        <w:rPr>
          <w:rFonts w:asciiTheme="majorBidi" w:hAnsiTheme="majorBidi" w:cstheme="majorBidi"/>
          <w:sz w:val="24"/>
          <w:szCs w:val="24"/>
        </w:rPr>
      </w:pPr>
      <w:r w:rsidRPr="00A05A0A">
        <w:rPr>
          <w:rFonts w:asciiTheme="majorBidi" w:hAnsiTheme="majorBidi" w:cstheme="majorBidi"/>
          <w:sz w:val="24"/>
          <w:szCs w:val="24"/>
        </w:rPr>
        <w:lastRenderedPageBreak/>
        <w:t>In Indonesia, reforms in public sector financial management over the last two decades—particularly through the adoption of accrual-based accounting, performance budgeting, and decentralization—have improved the regulatory framework but have not eliminated ethical conflicts. Instead, these reforms have highlighted tensions between accountability mechanisms and the realities of political and organizational life.</w:t>
      </w:r>
    </w:p>
    <w:p w14:paraId="07BF03A2" w14:textId="77777777" w:rsidR="00A05A0A" w:rsidRPr="00A05A0A" w:rsidRDefault="00A05A0A" w:rsidP="00284585">
      <w:pPr>
        <w:spacing w:after="0" w:line="240" w:lineRule="auto"/>
        <w:ind w:firstLine="426"/>
        <w:jc w:val="both"/>
        <w:rPr>
          <w:rFonts w:asciiTheme="majorBidi" w:hAnsiTheme="majorBidi" w:cstheme="majorBidi"/>
          <w:sz w:val="24"/>
          <w:szCs w:val="24"/>
        </w:rPr>
      </w:pPr>
      <w:r w:rsidRPr="00A05A0A">
        <w:rPr>
          <w:rFonts w:asciiTheme="majorBidi" w:hAnsiTheme="majorBidi" w:cstheme="majorBidi"/>
          <w:sz w:val="24"/>
          <w:szCs w:val="24"/>
        </w:rPr>
        <w:t>Ethical dilemmas in budget execution occur when accountants must make difficult decisions that pit personal integrity and professional standards against political expediency, institutional culture, or external pressures. For example, they may be asked to manipulate expenditure reports, understate deficits, or accelerate disbursements to satisfy short-term interests. While such actions may temporarily solve organizational or political problems, they undermine financial integrity, damage trust in government institutions, and weaken the principles of transparency and accountability.</w:t>
      </w:r>
    </w:p>
    <w:p w14:paraId="45FB1A9E" w14:textId="77777777" w:rsidR="00A05A0A" w:rsidRPr="00A05A0A" w:rsidRDefault="00A05A0A" w:rsidP="00284585">
      <w:pPr>
        <w:spacing w:after="0" w:line="240" w:lineRule="auto"/>
        <w:ind w:firstLine="426"/>
        <w:jc w:val="both"/>
        <w:rPr>
          <w:rFonts w:asciiTheme="majorBidi" w:hAnsiTheme="majorBidi" w:cstheme="majorBidi"/>
          <w:sz w:val="24"/>
          <w:szCs w:val="24"/>
        </w:rPr>
      </w:pPr>
      <w:r w:rsidRPr="00A05A0A">
        <w:rPr>
          <w:rFonts w:asciiTheme="majorBidi" w:hAnsiTheme="majorBidi" w:cstheme="majorBidi"/>
          <w:sz w:val="24"/>
          <w:szCs w:val="24"/>
        </w:rPr>
        <w:t>This study builds on international and local debates about ethical governance, seeking to reveal how Indonesian public sector accountants experience and respond to ethical dilemmas in budget execution. It also emphasizes that strengthening ethics in financial management is not only a matter of compliance with laws but also of embedding professional values and ethical reasoning in daily practice.</w:t>
      </w:r>
    </w:p>
    <w:p w14:paraId="4D390527" w14:textId="77777777" w:rsidR="00A05A0A" w:rsidRPr="00A05A0A" w:rsidRDefault="00A05A0A" w:rsidP="00A05A0A"/>
    <w:p w14:paraId="2AD10B63" w14:textId="67BFEC05" w:rsidR="00A05A0A" w:rsidRPr="00A05A0A" w:rsidRDefault="00A05A0A" w:rsidP="00856618">
      <w:pPr>
        <w:pStyle w:val="ListParagraph"/>
        <w:numPr>
          <w:ilvl w:val="3"/>
          <w:numId w:val="9"/>
        </w:numPr>
        <w:ind w:left="426"/>
        <w:jc w:val="center"/>
        <w:rPr>
          <w:rFonts w:asciiTheme="majorBidi" w:hAnsiTheme="majorBidi" w:cstheme="majorBidi"/>
          <w:sz w:val="24"/>
          <w:szCs w:val="24"/>
        </w:rPr>
      </w:pPr>
      <w:r w:rsidRPr="00A05A0A">
        <w:rPr>
          <w:rFonts w:asciiTheme="majorBidi" w:hAnsiTheme="majorBidi" w:cstheme="majorBidi"/>
          <w:b/>
          <w:bCs/>
          <w:sz w:val="24"/>
          <w:szCs w:val="24"/>
        </w:rPr>
        <w:t>R</w:t>
      </w:r>
      <w:r>
        <w:rPr>
          <w:rFonts w:asciiTheme="majorBidi" w:hAnsiTheme="majorBidi" w:cstheme="majorBidi"/>
          <w:b/>
          <w:bCs/>
          <w:sz w:val="24"/>
          <w:szCs w:val="24"/>
        </w:rPr>
        <w:t>ESEARCH OBJECTIVES</w:t>
      </w:r>
    </w:p>
    <w:p w14:paraId="30AE9208" w14:textId="77777777" w:rsidR="00A05A0A" w:rsidRPr="00A05A0A" w:rsidRDefault="00A05A0A" w:rsidP="00A05A0A">
      <w:pPr>
        <w:spacing w:line="240" w:lineRule="auto"/>
        <w:rPr>
          <w:rFonts w:asciiTheme="majorBidi" w:hAnsiTheme="majorBidi" w:cstheme="majorBidi"/>
          <w:sz w:val="24"/>
          <w:szCs w:val="24"/>
        </w:rPr>
      </w:pPr>
      <w:r w:rsidRPr="00A05A0A">
        <w:rPr>
          <w:rFonts w:asciiTheme="majorBidi" w:hAnsiTheme="majorBidi" w:cstheme="majorBidi"/>
          <w:sz w:val="24"/>
          <w:szCs w:val="24"/>
        </w:rPr>
        <w:t>The study pursues the following objectives:</w:t>
      </w:r>
    </w:p>
    <w:p w14:paraId="3425182C" w14:textId="77777777" w:rsidR="00A05A0A" w:rsidRPr="00A05A0A" w:rsidRDefault="00A05A0A" w:rsidP="00856618">
      <w:pPr>
        <w:numPr>
          <w:ilvl w:val="0"/>
          <w:numId w:val="27"/>
        </w:numPr>
        <w:tabs>
          <w:tab w:val="clear" w:pos="720"/>
          <w:tab w:val="num" w:pos="1276"/>
        </w:tabs>
        <w:spacing w:line="240" w:lineRule="auto"/>
        <w:ind w:left="851" w:hanging="425"/>
        <w:jc w:val="both"/>
        <w:rPr>
          <w:rFonts w:asciiTheme="majorBidi" w:hAnsiTheme="majorBidi" w:cstheme="majorBidi"/>
          <w:sz w:val="24"/>
          <w:szCs w:val="24"/>
        </w:rPr>
      </w:pPr>
      <w:r w:rsidRPr="00A05A0A">
        <w:rPr>
          <w:rFonts w:asciiTheme="majorBidi" w:hAnsiTheme="majorBidi" w:cstheme="majorBidi"/>
          <w:sz w:val="24"/>
          <w:szCs w:val="24"/>
        </w:rPr>
        <w:t>To identify and classify the types of ethical dilemmas encountered in budget execution within Indonesian public institutions.</w:t>
      </w:r>
    </w:p>
    <w:p w14:paraId="0E1D0C9B" w14:textId="77777777" w:rsidR="00A05A0A" w:rsidRPr="00A05A0A" w:rsidRDefault="00A05A0A" w:rsidP="00856618">
      <w:pPr>
        <w:numPr>
          <w:ilvl w:val="0"/>
          <w:numId w:val="27"/>
        </w:numPr>
        <w:tabs>
          <w:tab w:val="clear" w:pos="720"/>
          <w:tab w:val="num" w:pos="1276"/>
        </w:tabs>
        <w:spacing w:line="240" w:lineRule="auto"/>
        <w:ind w:left="851" w:hanging="425"/>
        <w:jc w:val="both"/>
        <w:rPr>
          <w:rFonts w:asciiTheme="majorBidi" w:hAnsiTheme="majorBidi" w:cstheme="majorBidi"/>
          <w:sz w:val="24"/>
          <w:szCs w:val="24"/>
        </w:rPr>
      </w:pPr>
      <w:r w:rsidRPr="00A05A0A">
        <w:rPr>
          <w:rFonts w:asciiTheme="majorBidi" w:hAnsiTheme="majorBidi" w:cstheme="majorBidi"/>
          <w:sz w:val="24"/>
          <w:szCs w:val="24"/>
        </w:rPr>
        <w:t>To examine the underlying drivers of these dilemmas, including political pressures, institutional weaknesses, and organizational culture.</w:t>
      </w:r>
    </w:p>
    <w:p w14:paraId="0B7947C4" w14:textId="77777777" w:rsidR="00A05A0A" w:rsidRPr="00A05A0A" w:rsidRDefault="00A05A0A" w:rsidP="00856618">
      <w:pPr>
        <w:numPr>
          <w:ilvl w:val="0"/>
          <w:numId w:val="27"/>
        </w:numPr>
        <w:tabs>
          <w:tab w:val="clear" w:pos="720"/>
          <w:tab w:val="num" w:pos="1276"/>
        </w:tabs>
        <w:spacing w:line="240" w:lineRule="auto"/>
        <w:ind w:left="851" w:hanging="425"/>
        <w:jc w:val="both"/>
        <w:rPr>
          <w:rFonts w:asciiTheme="majorBidi" w:hAnsiTheme="majorBidi" w:cstheme="majorBidi"/>
          <w:sz w:val="24"/>
          <w:szCs w:val="24"/>
        </w:rPr>
      </w:pPr>
      <w:r w:rsidRPr="00A05A0A">
        <w:rPr>
          <w:rFonts w:asciiTheme="majorBidi" w:hAnsiTheme="majorBidi" w:cstheme="majorBidi"/>
          <w:sz w:val="24"/>
          <w:szCs w:val="24"/>
        </w:rPr>
        <w:t xml:space="preserve">To apply Rest’s Four-Component Model of Ethical Decision-Making as a theoretical lens to </w:t>
      </w:r>
      <w:proofErr w:type="spellStart"/>
      <w:r w:rsidRPr="00A05A0A">
        <w:rPr>
          <w:rFonts w:asciiTheme="majorBidi" w:hAnsiTheme="majorBidi" w:cstheme="majorBidi"/>
          <w:sz w:val="24"/>
          <w:szCs w:val="24"/>
        </w:rPr>
        <w:t>analyze</w:t>
      </w:r>
      <w:proofErr w:type="spellEnd"/>
      <w:r w:rsidRPr="00A05A0A">
        <w:rPr>
          <w:rFonts w:asciiTheme="majorBidi" w:hAnsiTheme="majorBidi" w:cstheme="majorBidi"/>
          <w:sz w:val="24"/>
          <w:szCs w:val="24"/>
        </w:rPr>
        <w:t xml:space="preserve"> how accountants perceive, evaluate, and respond to ethical conflicts.</w:t>
      </w:r>
    </w:p>
    <w:p w14:paraId="46C2D92F" w14:textId="77777777" w:rsidR="00A05A0A" w:rsidRPr="00A05A0A" w:rsidRDefault="00A05A0A" w:rsidP="00856618">
      <w:pPr>
        <w:numPr>
          <w:ilvl w:val="0"/>
          <w:numId w:val="27"/>
        </w:numPr>
        <w:tabs>
          <w:tab w:val="clear" w:pos="720"/>
          <w:tab w:val="num" w:pos="1276"/>
        </w:tabs>
        <w:spacing w:line="240" w:lineRule="auto"/>
        <w:ind w:left="851" w:hanging="425"/>
        <w:jc w:val="both"/>
        <w:rPr>
          <w:rFonts w:asciiTheme="majorBidi" w:hAnsiTheme="majorBidi" w:cstheme="majorBidi"/>
          <w:sz w:val="24"/>
          <w:szCs w:val="24"/>
        </w:rPr>
      </w:pPr>
      <w:r w:rsidRPr="00A05A0A">
        <w:rPr>
          <w:rFonts w:asciiTheme="majorBidi" w:hAnsiTheme="majorBidi" w:cstheme="majorBidi"/>
          <w:sz w:val="24"/>
          <w:szCs w:val="24"/>
        </w:rPr>
        <w:t>To assess the implications of ethical conflicts for financial accountability, transparency, and public trust in governance.</w:t>
      </w:r>
    </w:p>
    <w:p w14:paraId="3C12B5A5" w14:textId="77777777" w:rsidR="00A05A0A" w:rsidRPr="00A05A0A" w:rsidRDefault="00A05A0A" w:rsidP="00856618">
      <w:pPr>
        <w:numPr>
          <w:ilvl w:val="0"/>
          <w:numId w:val="27"/>
        </w:numPr>
        <w:tabs>
          <w:tab w:val="clear" w:pos="720"/>
          <w:tab w:val="num" w:pos="1276"/>
        </w:tabs>
        <w:spacing w:line="240" w:lineRule="auto"/>
        <w:ind w:left="851" w:hanging="425"/>
        <w:jc w:val="both"/>
        <w:rPr>
          <w:rFonts w:asciiTheme="majorBidi" w:hAnsiTheme="majorBidi" w:cstheme="majorBidi"/>
          <w:sz w:val="24"/>
          <w:szCs w:val="24"/>
        </w:rPr>
      </w:pPr>
      <w:r w:rsidRPr="00A05A0A">
        <w:rPr>
          <w:rFonts w:asciiTheme="majorBidi" w:hAnsiTheme="majorBidi" w:cstheme="majorBidi"/>
          <w:sz w:val="24"/>
          <w:szCs w:val="24"/>
        </w:rPr>
        <w:t>To develop recommendations and strategies for strengthening ethical resilience and accountability in Indonesia’s public sector.</w:t>
      </w:r>
    </w:p>
    <w:p w14:paraId="34CF3F0D" w14:textId="77777777" w:rsidR="00A05A0A" w:rsidRPr="00A05A0A" w:rsidRDefault="00A05A0A" w:rsidP="00A05A0A"/>
    <w:p w14:paraId="1BA9D19E" w14:textId="66D4E354" w:rsidR="00A05A0A" w:rsidRPr="00A05A0A" w:rsidRDefault="00A05A0A" w:rsidP="00856618">
      <w:pPr>
        <w:pStyle w:val="ListParagraph"/>
        <w:numPr>
          <w:ilvl w:val="3"/>
          <w:numId w:val="9"/>
        </w:numPr>
        <w:ind w:left="426"/>
        <w:jc w:val="center"/>
        <w:rPr>
          <w:rFonts w:asciiTheme="majorBidi" w:hAnsiTheme="majorBidi" w:cstheme="majorBidi"/>
          <w:sz w:val="24"/>
          <w:szCs w:val="24"/>
        </w:rPr>
      </w:pPr>
      <w:r w:rsidRPr="00A05A0A">
        <w:rPr>
          <w:rFonts w:asciiTheme="majorBidi" w:hAnsiTheme="majorBidi" w:cstheme="majorBidi"/>
          <w:b/>
          <w:bCs/>
          <w:sz w:val="24"/>
          <w:szCs w:val="24"/>
        </w:rPr>
        <w:t>R</w:t>
      </w:r>
      <w:r>
        <w:rPr>
          <w:rFonts w:asciiTheme="majorBidi" w:hAnsiTheme="majorBidi" w:cstheme="majorBidi"/>
          <w:b/>
          <w:bCs/>
          <w:sz w:val="24"/>
          <w:szCs w:val="24"/>
        </w:rPr>
        <w:t>ESEARCH METHODOLOGY</w:t>
      </w:r>
    </w:p>
    <w:p w14:paraId="5CDB48B4" w14:textId="64453C83" w:rsidR="00A05A0A" w:rsidRPr="00A05A0A" w:rsidRDefault="00284585" w:rsidP="0072106A">
      <w:pPr>
        <w:spacing w:after="0" w:line="240" w:lineRule="auto"/>
        <w:rPr>
          <w:rFonts w:asciiTheme="majorBidi" w:hAnsiTheme="majorBidi" w:cstheme="majorBidi"/>
          <w:sz w:val="24"/>
          <w:szCs w:val="24"/>
        </w:rPr>
      </w:pPr>
      <w:r>
        <w:rPr>
          <w:rFonts w:asciiTheme="majorBidi" w:hAnsiTheme="majorBidi" w:cstheme="majorBidi"/>
          <w:b/>
          <w:bCs/>
          <w:sz w:val="24"/>
          <w:szCs w:val="24"/>
        </w:rPr>
        <w:t xml:space="preserve">3.1 </w:t>
      </w:r>
      <w:r w:rsidR="00A05A0A" w:rsidRPr="00A05A0A">
        <w:rPr>
          <w:rFonts w:asciiTheme="majorBidi" w:hAnsiTheme="majorBidi" w:cstheme="majorBidi"/>
          <w:b/>
          <w:bCs/>
          <w:sz w:val="24"/>
          <w:szCs w:val="24"/>
        </w:rPr>
        <w:t>Approach</w:t>
      </w:r>
    </w:p>
    <w:p w14:paraId="638104F8" w14:textId="77777777" w:rsidR="00A05A0A" w:rsidRPr="007B76E2" w:rsidRDefault="00A05A0A" w:rsidP="00284585">
      <w:pPr>
        <w:spacing w:line="240" w:lineRule="auto"/>
        <w:ind w:firstLine="426"/>
        <w:jc w:val="both"/>
        <w:rPr>
          <w:rFonts w:asciiTheme="majorBidi" w:hAnsiTheme="majorBidi" w:cstheme="majorBidi"/>
          <w:sz w:val="24"/>
          <w:szCs w:val="24"/>
        </w:rPr>
      </w:pPr>
      <w:r w:rsidRPr="007B76E2">
        <w:rPr>
          <w:rFonts w:asciiTheme="majorBidi" w:hAnsiTheme="majorBidi" w:cstheme="majorBidi"/>
          <w:sz w:val="24"/>
          <w:szCs w:val="24"/>
        </w:rPr>
        <w:t>The research adopts a qualitative, case study approach, which is appropriate for exploring complex ethical issues that are context-dependent and deeply embedded in individual experiences. Unlike quantitative approaches that emphasize generalizability, the qualitative design emphasizes depth, meaning, and interpretation.</w:t>
      </w:r>
    </w:p>
    <w:p w14:paraId="67A8874A" w14:textId="51BFBDDE" w:rsidR="00A05A0A" w:rsidRDefault="00A05A0A" w:rsidP="00A05A0A">
      <w:pPr>
        <w:spacing w:line="240" w:lineRule="auto"/>
        <w:rPr>
          <w:rFonts w:asciiTheme="majorBidi" w:hAnsiTheme="majorBidi" w:cstheme="majorBidi"/>
          <w:sz w:val="24"/>
          <w:szCs w:val="24"/>
        </w:rPr>
      </w:pPr>
    </w:p>
    <w:p w14:paraId="173D377F" w14:textId="77777777" w:rsidR="00284585" w:rsidRDefault="00284585" w:rsidP="00A05A0A">
      <w:pPr>
        <w:spacing w:line="240" w:lineRule="auto"/>
        <w:rPr>
          <w:rFonts w:asciiTheme="majorBidi" w:hAnsiTheme="majorBidi" w:cstheme="majorBidi"/>
          <w:sz w:val="24"/>
          <w:szCs w:val="24"/>
        </w:rPr>
      </w:pPr>
    </w:p>
    <w:p w14:paraId="249FBC24" w14:textId="77777777" w:rsidR="00284585" w:rsidRDefault="00284585" w:rsidP="00A05A0A">
      <w:pPr>
        <w:spacing w:line="240" w:lineRule="auto"/>
        <w:rPr>
          <w:rFonts w:asciiTheme="majorBidi" w:hAnsiTheme="majorBidi" w:cstheme="majorBidi"/>
          <w:sz w:val="24"/>
          <w:szCs w:val="24"/>
        </w:rPr>
      </w:pPr>
    </w:p>
    <w:p w14:paraId="165B4C27" w14:textId="77777777" w:rsidR="00284585" w:rsidRPr="00A05A0A" w:rsidRDefault="00284585" w:rsidP="00A05A0A">
      <w:pPr>
        <w:spacing w:line="240" w:lineRule="auto"/>
        <w:rPr>
          <w:rFonts w:asciiTheme="majorBidi" w:hAnsiTheme="majorBidi" w:cstheme="majorBidi"/>
          <w:sz w:val="24"/>
          <w:szCs w:val="24"/>
        </w:rPr>
      </w:pPr>
    </w:p>
    <w:p w14:paraId="475B22FC" w14:textId="343597DC" w:rsidR="00A05A0A" w:rsidRPr="00A05A0A" w:rsidRDefault="00284585" w:rsidP="00A05A0A">
      <w:pPr>
        <w:spacing w:line="240" w:lineRule="auto"/>
        <w:rPr>
          <w:rFonts w:asciiTheme="majorBidi" w:hAnsiTheme="majorBidi" w:cstheme="majorBidi"/>
          <w:sz w:val="24"/>
          <w:szCs w:val="24"/>
        </w:rPr>
      </w:pPr>
      <w:r>
        <w:rPr>
          <w:rFonts w:asciiTheme="majorBidi" w:hAnsiTheme="majorBidi" w:cstheme="majorBidi"/>
          <w:b/>
          <w:bCs/>
          <w:sz w:val="24"/>
          <w:szCs w:val="24"/>
        </w:rPr>
        <w:lastRenderedPageBreak/>
        <w:t xml:space="preserve">3.2 </w:t>
      </w:r>
      <w:r w:rsidR="00A05A0A" w:rsidRPr="00A05A0A">
        <w:rPr>
          <w:rFonts w:asciiTheme="majorBidi" w:hAnsiTheme="majorBidi" w:cstheme="majorBidi"/>
          <w:b/>
          <w:bCs/>
          <w:sz w:val="24"/>
          <w:szCs w:val="24"/>
        </w:rPr>
        <w:t>Methods of Data Collection</w:t>
      </w:r>
    </w:p>
    <w:p w14:paraId="0E59F61E" w14:textId="77777777" w:rsidR="00A05A0A" w:rsidRPr="00A05A0A" w:rsidRDefault="00A05A0A" w:rsidP="00856618">
      <w:pPr>
        <w:numPr>
          <w:ilvl w:val="0"/>
          <w:numId w:val="55"/>
        </w:numPr>
        <w:spacing w:line="240" w:lineRule="auto"/>
        <w:jc w:val="both"/>
        <w:rPr>
          <w:rFonts w:asciiTheme="majorBidi" w:hAnsiTheme="majorBidi" w:cstheme="majorBidi"/>
          <w:sz w:val="24"/>
          <w:szCs w:val="24"/>
        </w:rPr>
      </w:pPr>
      <w:r w:rsidRPr="00A05A0A">
        <w:rPr>
          <w:rFonts w:asciiTheme="majorBidi" w:hAnsiTheme="majorBidi" w:cstheme="majorBidi"/>
          <w:b/>
          <w:bCs/>
          <w:sz w:val="24"/>
          <w:szCs w:val="24"/>
        </w:rPr>
        <w:t>Semi-Structured Interviews</w:t>
      </w:r>
      <w:r w:rsidRPr="00A05A0A">
        <w:rPr>
          <w:rFonts w:asciiTheme="majorBidi" w:hAnsiTheme="majorBidi" w:cstheme="majorBidi"/>
          <w:sz w:val="24"/>
          <w:szCs w:val="24"/>
        </w:rPr>
        <w:t>: Conducted with accountants, auditors, and managers in various Indonesian public institutions. These interviews allowed participants to share narratives of personal experiences dealing with ethical pressures in budget execution.</w:t>
      </w:r>
    </w:p>
    <w:p w14:paraId="2C4384D6" w14:textId="77777777" w:rsidR="00A05A0A" w:rsidRPr="00A05A0A" w:rsidRDefault="00A05A0A" w:rsidP="00856618">
      <w:pPr>
        <w:numPr>
          <w:ilvl w:val="0"/>
          <w:numId w:val="55"/>
        </w:numPr>
        <w:spacing w:line="240" w:lineRule="auto"/>
        <w:jc w:val="both"/>
        <w:rPr>
          <w:rFonts w:asciiTheme="majorBidi" w:hAnsiTheme="majorBidi" w:cstheme="majorBidi"/>
          <w:sz w:val="24"/>
          <w:szCs w:val="24"/>
        </w:rPr>
      </w:pPr>
      <w:r w:rsidRPr="00A05A0A">
        <w:rPr>
          <w:rFonts w:asciiTheme="majorBidi" w:hAnsiTheme="majorBidi" w:cstheme="majorBidi"/>
          <w:b/>
          <w:bCs/>
          <w:sz w:val="24"/>
          <w:szCs w:val="24"/>
        </w:rPr>
        <w:t>Focus Group Discussions (FGDs)</w:t>
      </w:r>
      <w:r w:rsidRPr="00A05A0A">
        <w:rPr>
          <w:rFonts w:asciiTheme="majorBidi" w:hAnsiTheme="majorBidi" w:cstheme="majorBidi"/>
          <w:sz w:val="24"/>
          <w:szCs w:val="24"/>
        </w:rPr>
        <w:t>: Provided collective insights into shared challenges and allowed researchers to observe how ethical issues are perceived within organizational culture.</w:t>
      </w:r>
    </w:p>
    <w:p w14:paraId="354BD877" w14:textId="77777777" w:rsidR="00A05A0A" w:rsidRPr="00A05A0A" w:rsidRDefault="00A05A0A" w:rsidP="00856618">
      <w:pPr>
        <w:numPr>
          <w:ilvl w:val="0"/>
          <w:numId w:val="55"/>
        </w:numPr>
        <w:spacing w:line="240" w:lineRule="auto"/>
        <w:jc w:val="both"/>
        <w:rPr>
          <w:rFonts w:asciiTheme="majorBidi" w:hAnsiTheme="majorBidi" w:cstheme="majorBidi"/>
          <w:sz w:val="24"/>
          <w:szCs w:val="24"/>
        </w:rPr>
      </w:pPr>
      <w:r w:rsidRPr="00A05A0A">
        <w:rPr>
          <w:rFonts w:asciiTheme="majorBidi" w:hAnsiTheme="majorBidi" w:cstheme="majorBidi"/>
          <w:b/>
          <w:bCs/>
          <w:sz w:val="24"/>
          <w:szCs w:val="24"/>
        </w:rPr>
        <w:t>Document Analysis</w:t>
      </w:r>
      <w:r w:rsidRPr="00A05A0A">
        <w:rPr>
          <w:rFonts w:asciiTheme="majorBidi" w:hAnsiTheme="majorBidi" w:cstheme="majorBidi"/>
          <w:sz w:val="24"/>
          <w:szCs w:val="24"/>
        </w:rPr>
        <w:t>: Included financial statements, audit reports, and relevant government regulations. This helped triangulate findings and confirm the consistency of participants’ claims.</w:t>
      </w:r>
    </w:p>
    <w:p w14:paraId="39BC1516" w14:textId="77777777" w:rsidR="00A05A0A" w:rsidRPr="00A05A0A" w:rsidRDefault="00A05A0A" w:rsidP="007B76E2">
      <w:pPr>
        <w:jc w:val="both"/>
      </w:pPr>
    </w:p>
    <w:p w14:paraId="31D23E40" w14:textId="212DD29D" w:rsidR="00A05A0A" w:rsidRPr="00A05A0A" w:rsidRDefault="00A05A0A" w:rsidP="00856618">
      <w:pPr>
        <w:pStyle w:val="ListParagraph"/>
        <w:numPr>
          <w:ilvl w:val="3"/>
          <w:numId w:val="9"/>
        </w:numPr>
        <w:ind w:left="284" w:hanging="284"/>
        <w:jc w:val="center"/>
        <w:rPr>
          <w:rFonts w:asciiTheme="majorBidi" w:hAnsiTheme="majorBidi" w:cstheme="majorBidi"/>
          <w:sz w:val="24"/>
          <w:szCs w:val="24"/>
        </w:rPr>
      </w:pPr>
      <w:r w:rsidRPr="00A05A0A">
        <w:rPr>
          <w:rFonts w:asciiTheme="majorBidi" w:hAnsiTheme="majorBidi" w:cstheme="majorBidi"/>
          <w:b/>
          <w:bCs/>
          <w:sz w:val="24"/>
          <w:szCs w:val="24"/>
        </w:rPr>
        <w:t>E</w:t>
      </w:r>
      <w:r>
        <w:rPr>
          <w:rFonts w:asciiTheme="majorBidi" w:hAnsiTheme="majorBidi" w:cstheme="majorBidi"/>
          <w:b/>
          <w:bCs/>
          <w:sz w:val="24"/>
          <w:szCs w:val="24"/>
        </w:rPr>
        <w:t>THICAL CONSIDERATIONS</w:t>
      </w:r>
    </w:p>
    <w:p w14:paraId="69AADE5C" w14:textId="77777777" w:rsidR="00A05A0A" w:rsidRPr="00A05A0A" w:rsidRDefault="00A05A0A" w:rsidP="007B76E2">
      <w:pPr>
        <w:spacing w:line="240" w:lineRule="auto"/>
        <w:jc w:val="both"/>
      </w:pPr>
      <w:r w:rsidRPr="00A05A0A">
        <w:rPr>
          <w:rFonts w:asciiTheme="majorBidi" w:hAnsiTheme="majorBidi" w:cstheme="majorBidi"/>
          <w:sz w:val="24"/>
          <w:szCs w:val="24"/>
        </w:rPr>
        <w:t>Respondents were granted anonymity and confidentiality to avoid professional or political risks. Informed consent was obtained, and participants were free to withdraw at any stage. Reflexivity was practiced to ensure researchers’ values did not bias interpretations. This methodological triangulation ensured validity and reliability while offering nuanced insights into how ethical dilemmas unfold in practice</w:t>
      </w:r>
      <w:r w:rsidRPr="00A05A0A">
        <w:t>.</w:t>
      </w:r>
    </w:p>
    <w:p w14:paraId="5B2169B4" w14:textId="77777777" w:rsidR="00A05A0A" w:rsidRPr="00A05A0A" w:rsidRDefault="00A05A0A" w:rsidP="007B76E2">
      <w:pPr>
        <w:jc w:val="both"/>
      </w:pPr>
    </w:p>
    <w:p w14:paraId="7323A422" w14:textId="3E95A2B6" w:rsidR="00A05A0A" w:rsidRPr="00A05A0A" w:rsidRDefault="00A05A0A" w:rsidP="00856618">
      <w:pPr>
        <w:pStyle w:val="ListParagraph"/>
        <w:numPr>
          <w:ilvl w:val="3"/>
          <w:numId w:val="9"/>
        </w:numPr>
        <w:ind w:left="426" w:hanging="426"/>
        <w:jc w:val="center"/>
        <w:rPr>
          <w:rFonts w:asciiTheme="majorBidi" w:hAnsiTheme="majorBidi" w:cstheme="majorBidi"/>
          <w:sz w:val="24"/>
          <w:szCs w:val="24"/>
        </w:rPr>
      </w:pPr>
      <w:r w:rsidRPr="00A05A0A">
        <w:rPr>
          <w:rFonts w:asciiTheme="majorBidi" w:hAnsiTheme="majorBidi" w:cstheme="majorBidi"/>
          <w:b/>
          <w:bCs/>
          <w:sz w:val="24"/>
          <w:szCs w:val="24"/>
        </w:rPr>
        <w:t>F</w:t>
      </w:r>
      <w:r>
        <w:rPr>
          <w:rFonts w:asciiTheme="majorBidi" w:hAnsiTheme="majorBidi" w:cstheme="majorBidi"/>
          <w:b/>
          <w:bCs/>
          <w:sz w:val="24"/>
          <w:szCs w:val="24"/>
        </w:rPr>
        <w:t>INDINGS</w:t>
      </w:r>
    </w:p>
    <w:p w14:paraId="395CA9B5" w14:textId="77777777" w:rsidR="00A05A0A" w:rsidRPr="00A05A0A" w:rsidRDefault="00A05A0A" w:rsidP="007B76E2">
      <w:pPr>
        <w:spacing w:line="240" w:lineRule="auto"/>
        <w:jc w:val="both"/>
        <w:rPr>
          <w:rFonts w:asciiTheme="majorBidi" w:hAnsiTheme="majorBidi" w:cstheme="majorBidi"/>
          <w:sz w:val="24"/>
          <w:szCs w:val="24"/>
        </w:rPr>
      </w:pPr>
      <w:r w:rsidRPr="00A05A0A">
        <w:rPr>
          <w:rFonts w:asciiTheme="majorBidi" w:hAnsiTheme="majorBidi" w:cstheme="majorBidi"/>
          <w:sz w:val="24"/>
          <w:szCs w:val="24"/>
        </w:rPr>
        <w:t>The study identifies several critical dimensions of ethical dilemmas in budget execution:</w:t>
      </w:r>
    </w:p>
    <w:p w14:paraId="32E75A40" w14:textId="0C590453" w:rsidR="00A05A0A" w:rsidRPr="00A05A0A" w:rsidRDefault="007B76E2" w:rsidP="0072106A">
      <w:pPr>
        <w:spacing w:after="0" w:line="240" w:lineRule="auto"/>
        <w:jc w:val="both"/>
        <w:rPr>
          <w:rFonts w:asciiTheme="majorBidi" w:hAnsiTheme="majorBidi" w:cstheme="majorBidi"/>
          <w:sz w:val="24"/>
          <w:szCs w:val="24"/>
        </w:rPr>
      </w:pPr>
      <w:r>
        <w:rPr>
          <w:rFonts w:asciiTheme="majorBidi" w:hAnsiTheme="majorBidi" w:cstheme="majorBidi"/>
          <w:b/>
          <w:bCs/>
          <w:sz w:val="24"/>
          <w:szCs w:val="24"/>
        </w:rPr>
        <w:t>5.</w:t>
      </w:r>
      <w:r w:rsidR="00A05A0A" w:rsidRPr="00A05A0A">
        <w:rPr>
          <w:rFonts w:asciiTheme="majorBidi" w:hAnsiTheme="majorBidi" w:cstheme="majorBidi"/>
          <w:b/>
          <w:bCs/>
          <w:sz w:val="24"/>
          <w:szCs w:val="24"/>
        </w:rPr>
        <w:t>1 Conflicts of Interest</w:t>
      </w:r>
    </w:p>
    <w:p w14:paraId="707E0664" w14:textId="77777777" w:rsidR="00A05A0A" w:rsidRDefault="00A05A0A" w:rsidP="0072106A">
      <w:pPr>
        <w:spacing w:after="0" w:line="240" w:lineRule="auto"/>
        <w:ind w:firstLine="426"/>
        <w:jc w:val="both"/>
        <w:rPr>
          <w:rFonts w:asciiTheme="majorBidi" w:hAnsiTheme="majorBidi" w:cstheme="majorBidi"/>
          <w:sz w:val="24"/>
          <w:szCs w:val="24"/>
        </w:rPr>
      </w:pPr>
      <w:r w:rsidRPr="00A05A0A">
        <w:rPr>
          <w:rFonts w:asciiTheme="majorBidi" w:hAnsiTheme="majorBidi" w:cstheme="majorBidi"/>
          <w:sz w:val="24"/>
          <w:szCs w:val="24"/>
        </w:rPr>
        <w:t xml:space="preserve">Accountants frequently face conflicts where personal, institutional, or political interests override professional judgment. For instance, budget allocations may </w:t>
      </w:r>
      <w:proofErr w:type="spellStart"/>
      <w:r w:rsidRPr="00A05A0A">
        <w:rPr>
          <w:rFonts w:asciiTheme="majorBidi" w:hAnsiTheme="majorBidi" w:cstheme="majorBidi"/>
          <w:sz w:val="24"/>
          <w:szCs w:val="24"/>
        </w:rPr>
        <w:t>favor</w:t>
      </w:r>
      <w:proofErr w:type="spellEnd"/>
      <w:r w:rsidRPr="00A05A0A">
        <w:rPr>
          <w:rFonts w:asciiTheme="majorBidi" w:hAnsiTheme="majorBidi" w:cstheme="majorBidi"/>
          <w:sz w:val="24"/>
          <w:szCs w:val="24"/>
        </w:rPr>
        <w:t xml:space="preserve"> politically connected groups rather than follow objective planning priorities. Weak systems for disclosure exacerbate these risks, as conflicts are rarely monitored or reported.</w:t>
      </w:r>
    </w:p>
    <w:p w14:paraId="50FF491A" w14:textId="77777777" w:rsidR="0072106A" w:rsidRPr="00A05A0A" w:rsidRDefault="0072106A" w:rsidP="0072106A">
      <w:pPr>
        <w:spacing w:after="0" w:line="240" w:lineRule="auto"/>
        <w:ind w:firstLine="426"/>
        <w:jc w:val="both"/>
        <w:rPr>
          <w:rFonts w:asciiTheme="majorBidi" w:hAnsiTheme="majorBidi" w:cstheme="majorBidi"/>
          <w:sz w:val="24"/>
          <w:szCs w:val="24"/>
        </w:rPr>
      </w:pPr>
    </w:p>
    <w:p w14:paraId="2DC80C90" w14:textId="4E079827" w:rsidR="00A05A0A" w:rsidRPr="00A05A0A" w:rsidRDefault="007B76E2" w:rsidP="0072106A">
      <w:pPr>
        <w:spacing w:after="0" w:line="240" w:lineRule="auto"/>
        <w:jc w:val="both"/>
        <w:rPr>
          <w:rFonts w:asciiTheme="majorBidi" w:hAnsiTheme="majorBidi" w:cstheme="majorBidi"/>
          <w:sz w:val="24"/>
          <w:szCs w:val="24"/>
        </w:rPr>
      </w:pPr>
      <w:r>
        <w:rPr>
          <w:rFonts w:asciiTheme="majorBidi" w:hAnsiTheme="majorBidi" w:cstheme="majorBidi"/>
          <w:b/>
          <w:bCs/>
          <w:sz w:val="24"/>
          <w:szCs w:val="24"/>
        </w:rPr>
        <w:t>5.</w:t>
      </w:r>
      <w:r w:rsidR="00A05A0A" w:rsidRPr="00A05A0A">
        <w:rPr>
          <w:rFonts w:asciiTheme="majorBidi" w:hAnsiTheme="majorBidi" w:cstheme="majorBidi"/>
          <w:b/>
          <w:bCs/>
          <w:sz w:val="24"/>
          <w:szCs w:val="24"/>
        </w:rPr>
        <w:t>2 Political and Organizational Pressures</w:t>
      </w:r>
    </w:p>
    <w:p w14:paraId="6E96A8E1" w14:textId="77777777" w:rsidR="00A05A0A" w:rsidRDefault="00A05A0A" w:rsidP="0072106A">
      <w:pPr>
        <w:spacing w:after="0" w:line="240" w:lineRule="auto"/>
        <w:ind w:firstLine="426"/>
        <w:jc w:val="both"/>
        <w:rPr>
          <w:rFonts w:asciiTheme="majorBidi" w:hAnsiTheme="majorBidi" w:cstheme="majorBidi"/>
          <w:sz w:val="24"/>
          <w:szCs w:val="24"/>
        </w:rPr>
      </w:pPr>
      <w:r w:rsidRPr="00A05A0A">
        <w:rPr>
          <w:rFonts w:asciiTheme="majorBidi" w:hAnsiTheme="majorBidi" w:cstheme="majorBidi"/>
          <w:sz w:val="24"/>
          <w:szCs w:val="24"/>
        </w:rPr>
        <w:t>Budget execution is often politicized, particularly in decentralized government structures. Respondents reported cases where politicians pressured them to accelerate spending before elections or to allocate resources to specific constituencies regardless of actual needs. Hierarchical pressure within organizations also created ethical conflicts, as resisting directives from superiors could harm career prospects.</w:t>
      </w:r>
    </w:p>
    <w:p w14:paraId="75F91706" w14:textId="77777777" w:rsidR="0072106A" w:rsidRPr="00A05A0A" w:rsidRDefault="0072106A" w:rsidP="0072106A">
      <w:pPr>
        <w:spacing w:after="0" w:line="240" w:lineRule="auto"/>
        <w:ind w:firstLine="426"/>
        <w:jc w:val="both"/>
        <w:rPr>
          <w:rFonts w:asciiTheme="majorBidi" w:hAnsiTheme="majorBidi" w:cstheme="majorBidi"/>
          <w:sz w:val="24"/>
          <w:szCs w:val="24"/>
        </w:rPr>
      </w:pPr>
    </w:p>
    <w:p w14:paraId="24D9C543" w14:textId="03C555B2" w:rsidR="00A05A0A" w:rsidRPr="00A05A0A" w:rsidRDefault="007B76E2" w:rsidP="0072106A">
      <w:pPr>
        <w:spacing w:after="0" w:line="240" w:lineRule="auto"/>
        <w:jc w:val="both"/>
        <w:rPr>
          <w:rFonts w:asciiTheme="majorBidi" w:hAnsiTheme="majorBidi" w:cstheme="majorBidi"/>
          <w:sz w:val="24"/>
          <w:szCs w:val="24"/>
        </w:rPr>
      </w:pPr>
      <w:r>
        <w:rPr>
          <w:rFonts w:asciiTheme="majorBidi" w:hAnsiTheme="majorBidi" w:cstheme="majorBidi"/>
          <w:b/>
          <w:bCs/>
          <w:sz w:val="24"/>
          <w:szCs w:val="24"/>
        </w:rPr>
        <w:t>5.</w:t>
      </w:r>
      <w:r w:rsidR="00A05A0A" w:rsidRPr="00A05A0A">
        <w:rPr>
          <w:rFonts w:asciiTheme="majorBidi" w:hAnsiTheme="majorBidi" w:cstheme="majorBidi"/>
          <w:b/>
          <w:bCs/>
          <w:sz w:val="24"/>
          <w:szCs w:val="24"/>
        </w:rPr>
        <w:t>3 Manipulation of Financial Reports</w:t>
      </w:r>
    </w:p>
    <w:p w14:paraId="51716931" w14:textId="77777777" w:rsidR="00A05A0A" w:rsidRDefault="00A05A0A" w:rsidP="0072106A">
      <w:pPr>
        <w:spacing w:after="0" w:line="240" w:lineRule="auto"/>
        <w:ind w:firstLine="426"/>
        <w:jc w:val="both"/>
        <w:rPr>
          <w:rFonts w:asciiTheme="majorBidi" w:hAnsiTheme="majorBidi" w:cstheme="majorBidi"/>
          <w:sz w:val="24"/>
          <w:szCs w:val="24"/>
        </w:rPr>
      </w:pPr>
      <w:r w:rsidRPr="00A05A0A">
        <w:rPr>
          <w:rFonts w:asciiTheme="majorBidi" w:hAnsiTheme="majorBidi" w:cstheme="majorBidi"/>
          <w:sz w:val="24"/>
          <w:szCs w:val="24"/>
        </w:rPr>
        <w:t>To present the appearance of effective budget absorption, accountants are often asked to manipulate reports. Common practices include inflating revenues, underreporting expenditures, or shifting expenses across categories. These manipulations undermine accountability and distort decision-making.</w:t>
      </w:r>
    </w:p>
    <w:p w14:paraId="2B7BC526" w14:textId="77777777" w:rsidR="0072106A" w:rsidRPr="00A05A0A" w:rsidRDefault="0072106A" w:rsidP="0072106A">
      <w:pPr>
        <w:spacing w:after="0" w:line="240" w:lineRule="auto"/>
        <w:ind w:firstLine="426"/>
        <w:jc w:val="both"/>
        <w:rPr>
          <w:rFonts w:asciiTheme="majorBidi" w:hAnsiTheme="majorBidi" w:cstheme="majorBidi"/>
          <w:sz w:val="24"/>
          <w:szCs w:val="24"/>
        </w:rPr>
      </w:pPr>
    </w:p>
    <w:p w14:paraId="06DD4C14" w14:textId="10277389" w:rsidR="00A05A0A" w:rsidRPr="00A05A0A" w:rsidRDefault="007B76E2" w:rsidP="0072106A">
      <w:pPr>
        <w:spacing w:after="0" w:line="240" w:lineRule="auto"/>
        <w:jc w:val="both"/>
        <w:rPr>
          <w:rFonts w:asciiTheme="majorBidi" w:hAnsiTheme="majorBidi" w:cstheme="majorBidi"/>
          <w:sz w:val="24"/>
          <w:szCs w:val="24"/>
        </w:rPr>
      </w:pPr>
      <w:r>
        <w:rPr>
          <w:rFonts w:asciiTheme="majorBidi" w:hAnsiTheme="majorBidi" w:cstheme="majorBidi"/>
          <w:b/>
          <w:bCs/>
          <w:sz w:val="24"/>
          <w:szCs w:val="24"/>
        </w:rPr>
        <w:t>5.</w:t>
      </w:r>
      <w:r w:rsidR="00A05A0A" w:rsidRPr="00A05A0A">
        <w:rPr>
          <w:rFonts w:asciiTheme="majorBidi" w:hAnsiTheme="majorBidi" w:cstheme="majorBidi"/>
          <w:b/>
          <w:bCs/>
          <w:sz w:val="24"/>
          <w:szCs w:val="24"/>
        </w:rPr>
        <w:t>4 Weak Oversight and Control Mechanisms</w:t>
      </w:r>
    </w:p>
    <w:p w14:paraId="72BC557B" w14:textId="77777777" w:rsidR="00A05A0A" w:rsidRDefault="00A05A0A" w:rsidP="0072106A">
      <w:pPr>
        <w:spacing w:after="0" w:line="240" w:lineRule="auto"/>
        <w:ind w:firstLine="426"/>
        <w:jc w:val="both"/>
        <w:rPr>
          <w:rFonts w:asciiTheme="majorBidi" w:hAnsiTheme="majorBidi" w:cstheme="majorBidi"/>
          <w:sz w:val="24"/>
          <w:szCs w:val="24"/>
        </w:rPr>
      </w:pPr>
      <w:r w:rsidRPr="00A05A0A">
        <w:rPr>
          <w:rFonts w:asciiTheme="majorBidi" w:hAnsiTheme="majorBidi" w:cstheme="majorBidi"/>
          <w:sz w:val="24"/>
          <w:szCs w:val="24"/>
        </w:rPr>
        <w:t>Although oversight structures exist, such as internal audit units and external bodies, respondents noted that they often lack independence or capacity. Political interference in oversight institutions further reduces their effectiveness.</w:t>
      </w:r>
    </w:p>
    <w:p w14:paraId="2DAD5F72" w14:textId="77777777" w:rsidR="0072106A" w:rsidRPr="00A05A0A" w:rsidRDefault="0072106A" w:rsidP="0072106A">
      <w:pPr>
        <w:spacing w:after="0" w:line="240" w:lineRule="auto"/>
        <w:ind w:firstLine="426"/>
        <w:jc w:val="both"/>
        <w:rPr>
          <w:rFonts w:asciiTheme="majorBidi" w:hAnsiTheme="majorBidi" w:cstheme="majorBidi"/>
          <w:sz w:val="24"/>
          <w:szCs w:val="24"/>
        </w:rPr>
      </w:pPr>
    </w:p>
    <w:p w14:paraId="3E28550E" w14:textId="77777777" w:rsidR="00A05A0A" w:rsidRPr="00A05A0A" w:rsidRDefault="00A05A0A" w:rsidP="0072106A">
      <w:pPr>
        <w:spacing w:after="0" w:line="240" w:lineRule="auto"/>
        <w:jc w:val="both"/>
        <w:rPr>
          <w:rFonts w:asciiTheme="majorBidi" w:hAnsiTheme="majorBidi" w:cstheme="majorBidi"/>
          <w:sz w:val="24"/>
          <w:szCs w:val="24"/>
        </w:rPr>
      </w:pPr>
      <w:r w:rsidRPr="00A05A0A">
        <w:rPr>
          <w:rFonts w:asciiTheme="majorBidi" w:hAnsiTheme="majorBidi" w:cstheme="majorBidi"/>
          <w:b/>
          <w:bCs/>
          <w:sz w:val="24"/>
          <w:szCs w:val="24"/>
        </w:rPr>
        <w:lastRenderedPageBreak/>
        <w:t>5. Psychological and Professional Consequences</w:t>
      </w:r>
    </w:p>
    <w:p w14:paraId="65A7D364" w14:textId="77777777" w:rsidR="0072106A" w:rsidRDefault="00A05A0A" w:rsidP="007B76E2">
      <w:pPr>
        <w:spacing w:line="240" w:lineRule="auto"/>
        <w:ind w:firstLine="426"/>
        <w:jc w:val="both"/>
        <w:rPr>
          <w:rFonts w:asciiTheme="majorBidi" w:hAnsiTheme="majorBidi" w:cstheme="majorBidi"/>
          <w:sz w:val="24"/>
          <w:szCs w:val="24"/>
        </w:rPr>
      </w:pPr>
      <w:r w:rsidRPr="00A05A0A">
        <w:rPr>
          <w:rFonts w:asciiTheme="majorBidi" w:hAnsiTheme="majorBidi" w:cstheme="majorBidi"/>
          <w:sz w:val="24"/>
          <w:szCs w:val="24"/>
        </w:rPr>
        <w:t xml:space="preserve">Accountants experience stress, frustration, and ethical fatigue when forced to compromise integrity. While some rely on personal values to resist, others adapt by normalizing unethical </w:t>
      </w:r>
      <w:proofErr w:type="spellStart"/>
      <w:r w:rsidRPr="00A05A0A">
        <w:rPr>
          <w:rFonts w:asciiTheme="majorBidi" w:hAnsiTheme="majorBidi" w:cstheme="majorBidi"/>
          <w:sz w:val="24"/>
          <w:szCs w:val="24"/>
        </w:rPr>
        <w:t>behavior</w:t>
      </w:r>
      <w:proofErr w:type="spellEnd"/>
      <w:r w:rsidRPr="00A05A0A">
        <w:rPr>
          <w:rFonts w:asciiTheme="majorBidi" w:hAnsiTheme="majorBidi" w:cstheme="majorBidi"/>
          <w:sz w:val="24"/>
          <w:szCs w:val="24"/>
        </w:rPr>
        <w:t>, leading to long-term erosion of professional standards.</w:t>
      </w:r>
    </w:p>
    <w:p w14:paraId="28CD6790" w14:textId="0DFDD3A9" w:rsidR="00A05A0A" w:rsidRPr="00A05A0A" w:rsidRDefault="00A05A0A" w:rsidP="0072106A">
      <w:pPr>
        <w:spacing w:line="240" w:lineRule="auto"/>
        <w:jc w:val="both"/>
        <w:rPr>
          <w:rFonts w:asciiTheme="majorBidi" w:hAnsiTheme="majorBidi" w:cstheme="majorBidi"/>
          <w:sz w:val="24"/>
          <w:szCs w:val="24"/>
        </w:rPr>
      </w:pPr>
    </w:p>
    <w:p w14:paraId="169BE87C" w14:textId="264FB89D" w:rsidR="00A05A0A" w:rsidRPr="00A05A0A" w:rsidRDefault="00A05A0A" w:rsidP="00856618">
      <w:pPr>
        <w:pStyle w:val="ListParagraph"/>
        <w:numPr>
          <w:ilvl w:val="3"/>
          <w:numId w:val="9"/>
        </w:numPr>
        <w:ind w:left="426" w:hanging="426"/>
        <w:jc w:val="center"/>
        <w:rPr>
          <w:rFonts w:asciiTheme="majorBidi" w:hAnsiTheme="majorBidi" w:cstheme="majorBidi"/>
          <w:sz w:val="24"/>
          <w:szCs w:val="24"/>
        </w:rPr>
      </w:pPr>
      <w:r w:rsidRPr="00A05A0A">
        <w:rPr>
          <w:rFonts w:asciiTheme="majorBidi" w:hAnsiTheme="majorBidi" w:cstheme="majorBidi"/>
          <w:b/>
          <w:bCs/>
          <w:sz w:val="24"/>
          <w:szCs w:val="24"/>
        </w:rPr>
        <w:t>I</w:t>
      </w:r>
      <w:r>
        <w:rPr>
          <w:rFonts w:asciiTheme="majorBidi" w:hAnsiTheme="majorBidi" w:cstheme="majorBidi"/>
          <w:b/>
          <w:bCs/>
          <w:sz w:val="24"/>
          <w:szCs w:val="24"/>
        </w:rPr>
        <w:t>MPLICATIONS</w:t>
      </w:r>
    </w:p>
    <w:p w14:paraId="7632A6B3" w14:textId="77777777" w:rsidR="00A05A0A" w:rsidRPr="00A05A0A" w:rsidRDefault="00A05A0A" w:rsidP="007B76E2">
      <w:pPr>
        <w:spacing w:line="240" w:lineRule="auto"/>
        <w:jc w:val="both"/>
        <w:rPr>
          <w:rFonts w:asciiTheme="majorBidi" w:hAnsiTheme="majorBidi" w:cstheme="majorBidi"/>
          <w:sz w:val="24"/>
          <w:szCs w:val="24"/>
        </w:rPr>
      </w:pPr>
      <w:r w:rsidRPr="00A05A0A">
        <w:rPr>
          <w:rFonts w:asciiTheme="majorBidi" w:hAnsiTheme="majorBidi" w:cstheme="majorBidi"/>
          <w:sz w:val="24"/>
          <w:szCs w:val="24"/>
        </w:rPr>
        <w:t>The ethical conflicts identified have significant consequences:</w:t>
      </w:r>
    </w:p>
    <w:p w14:paraId="10321013" w14:textId="77777777" w:rsidR="00A05A0A" w:rsidRPr="00A05A0A" w:rsidRDefault="00A05A0A" w:rsidP="00856618">
      <w:pPr>
        <w:numPr>
          <w:ilvl w:val="0"/>
          <w:numId w:val="28"/>
        </w:numPr>
        <w:spacing w:line="240" w:lineRule="auto"/>
        <w:rPr>
          <w:rFonts w:asciiTheme="majorBidi" w:hAnsiTheme="majorBidi" w:cstheme="majorBidi"/>
          <w:sz w:val="24"/>
          <w:szCs w:val="24"/>
        </w:rPr>
      </w:pPr>
      <w:r w:rsidRPr="00A05A0A">
        <w:rPr>
          <w:rFonts w:asciiTheme="majorBidi" w:hAnsiTheme="majorBidi" w:cstheme="majorBidi"/>
          <w:b/>
          <w:bCs/>
          <w:sz w:val="24"/>
          <w:szCs w:val="24"/>
        </w:rPr>
        <w:t>Erosion of Public Trust</w:t>
      </w:r>
      <w:r w:rsidRPr="00A05A0A">
        <w:rPr>
          <w:rFonts w:asciiTheme="majorBidi" w:hAnsiTheme="majorBidi" w:cstheme="majorBidi"/>
          <w:sz w:val="24"/>
          <w:szCs w:val="24"/>
        </w:rPr>
        <w:br/>
        <w:t>When budget execution is compromised by unethical practices, citizens lose confidence in the credibility of government institutions.</w:t>
      </w:r>
    </w:p>
    <w:p w14:paraId="6B9F63DE" w14:textId="77777777" w:rsidR="00A05A0A" w:rsidRPr="00A05A0A" w:rsidRDefault="00A05A0A" w:rsidP="00856618">
      <w:pPr>
        <w:numPr>
          <w:ilvl w:val="0"/>
          <w:numId w:val="28"/>
        </w:numPr>
        <w:spacing w:line="240" w:lineRule="auto"/>
        <w:rPr>
          <w:rFonts w:asciiTheme="majorBidi" w:hAnsiTheme="majorBidi" w:cstheme="majorBidi"/>
          <w:sz w:val="24"/>
          <w:szCs w:val="24"/>
        </w:rPr>
      </w:pPr>
      <w:r w:rsidRPr="00A05A0A">
        <w:rPr>
          <w:rFonts w:asciiTheme="majorBidi" w:hAnsiTheme="majorBidi" w:cstheme="majorBidi"/>
          <w:b/>
          <w:bCs/>
          <w:sz w:val="24"/>
          <w:szCs w:val="24"/>
        </w:rPr>
        <w:t>Institutional Weaknesses</w:t>
      </w:r>
      <w:r w:rsidRPr="00A05A0A">
        <w:rPr>
          <w:rFonts w:asciiTheme="majorBidi" w:hAnsiTheme="majorBidi" w:cstheme="majorBidi"/>
          <w:sz w:val="24"/>
          <w:szCs w:val="24"/>
        </w:rPr>
        <w:br/>
        <w:t xml:space="preserve">Normalizing unethical </w:t>
      </w:r>
      <w:proofErr w:type="spellStart"/>
      <w:r w:rsidRPr="00A05A0A">
        <w:rPr>
          <w:rFonts w:asciiTheme="majorBidi" w:hAnsiTheme="majorBidi" w:cstheme="majorBidi"/>
          <w:sz w:val="24"/>
          <w:szCs w:val="24"/>
        </w:rPr>
        <w:t>behavior</w:t>
      </w:r>
      <w:proofErr w:type="spellEnd"/>
      <w:r w:rsidRPr="00A05A0A">
        <w:rPr>
          <w:rFonts w:asciiTheme="majorBidi" w:hAnsiTheme="majorBidi" w:cstheme="majorBidi"/>
          <w:sz w:val="24"/>
          <w:szCs w:val="24"/>
        </w:rPr>
        <w:t xml:space="preserve"> creates systemic vulnerabilities, leaving institutions exposed to recurring financial scandals.</w:t>
      </w:r>
    </w:p>
    <w:p w14:paraId="5CC739FA" w14:textId="77777777" w:rsidR="00A05A0A" w:rsidRPr="00A05A0A" w:rsidRDefault="00A05A0A" w:rsidP="00856618">
      <w:pPr>
        <w:numPr>
          <w:ilvl w:val="0"/>
          <w:numId w:val="28"/>
        </w:numPr>
        <w:spacing w:line="240" w:lineRule="auto"/>
        <w:rPr>
          <w:rFonts w:asciiTheme="majorBidi" w:hAnsiTheme="majorBidi" w:cstheme="majorBidi"/>
          <w:sz w:val="24"/>
          <w:szCs w:val="24"/>
        </w:rPr>
      </w:pPr>
      <w:r w:rsidRPr="00A05A0A">
        <w:rPr>
          <w:rFonts w:asciiTheme="majorBidi" w:hAnsiTheme="majorBidi" w:cstheme="majorBidi"/>
          <w:b/>
          <w:bCs/>
          <w:sz w:val="24"/>
          <w:szCs w:val="24"/>
        </w:rPr>
        <w:t>Governance Failures</w:t>
      </w:r>
      <w:r w:rsidRPr="00A05A0A">
        <w:rPr>
          <w:rFonts w:asciiTheme="majorBidi" w:hAnsiTheme="majorBidi" w:cstheme="majorBidi"/>
          <w:sz w:val="24"/>
          <w:szCs w:val="24"/>
        </w:rPr>
        <w:br/>
        <w:t>When ethical considerations are subordinated to political expediency, principles of accountability and transparency are undermined, weakening governance structures and democratic legitimacy.</w:t>
      </w:r>
    </w:p>
    <w:p w14:paraId="62080F40" w14:textId="77777777" w:rsidR="00A05A0A" w:rsidRPr="00A05A0A" w:rsidRDefault="00A05A0A" w:rsidP="007B76E2">
      <w:pPr>
        <w:spacing w:line="240" w:lineRule="auto"/>
        <w:jc w:val="both"/>
        <w:rPr>
          <w:rFonts w:asciiTheme="majorBidi" w:hAnsiTheme="majorBidi" w:cstheme="majorBidi"/>
          <w:sz w:val="24"/>
          <w:szCs w:val="24"/>
        </w:rPr>
      </w:pPr>
    </w:p>
    <w:p w14:paraId="639AB591" w14:textId="45C20E2D" w:rsidR="00A05A0A" w:rsidRPr="007B76E2" w:rsidRDefault="00A05A0A" w:rsidP="00856618">
      <w:pPr>
        <w:pStyle w:val="ListParagraph"/>
        <w:numPr>
          <w:ilvl w:val="3"/>
          <w:numId w:val="9"/>
        </w:numPr>
        <w:ind w:left="426" w:hanging="426"/>
        <w:jc w:val="center"/>
        <w:rPr>
          <w:rFonts w:asciiTheme="majorBidi" w:hAnsiTheme="majorBidi" w:cstheme="majorBidi"/>
          <w:sz w:val="24"/>
          <w:szCs w:val="24"/>
        </w:rPr>
      </w:pPr>
      <w:r w:rsidRPr="007B76E2">
        <w:rPr>
          <w:rFonts w:asciiTheme="majorBidi" w:hAnsiTheme="majorBidi" w:cstheme="majorBidi"/>
          <w:b/>
          <w:bCs/>
          <w:sz w:val="24"/>
          <w:szCs w:val="24"/>
        </w:rPr>
        <w:t>CONCLUSION</w:t>
      </w:r>
    </w:p>
    <w:p w14:paraId="413479DB" w14:textId="77777777" w:rsidR="00A05A0A" w:rsidRPr="00A05A0A" w:rsidRDefault="00A05A0A" w:rsidP="007B76E2">
      <w:pPr>
        <w:spacing w:after="0" w:line="240" w:lineRule="auto"/>
        <w:ind w:firstLine="426"/>
        <w:jc w:val="both"/>
        <w:rPr>
          <w:rFonts w:asciiTheme="majorBidi" w:hAnsiTheme="majorBidi" w:cstheme="majorBidi"/>
          <w:sz w:val="24"/>
          <w:szCs w:val="24"/>
        </w:rPr>
      </w:pPr>
      <w:r w:rsidRPr="00A05A0A">
        <w:rPr>
          <w:rFonts w:asciiTheme="majorBidi" w:hAnsiTheme="majorBidi" w:cstheme="majorBidi"/>
          <w:sz w:val="24"/>
          <w:szCs w:val="24"/>
        </w:rPr>
        <w:t>The research concludes that ethical dilemmas in budget execution are deeply systemic rather than isolated events. They emerge at the intersection of professional values, organizational culture, and political pressures. Rest’s Four-Component Model highlights that although accountants recognize the moral dimensions of their work, their ability to make ethical decisions is compromised by institutional and political constraints.</w:t>
      </w:r>
    </w:p>
    <w:p w14:paraId="15339BE8" w14:textId="77777777" w:rsidR="00A05A0A" w:rsidRPr="00A05A0A" w:rsidRDefault="00A05A0A" w:rsidP="007B76E2">
      <w:pPr>
        <w:spacing w:line="240" w:lineRule="auto"/>
        <w:ind w:firstLine="426"/>
        <w:jc w:val="both"/>
        <w:rPr>
          <w:rFonts w:asciiTheme="majorBidi" w:hAnsiTheme="majorBidi" w:cstheme="majorBidi"/>
          <w:sz w:val="24"/>
          <w:szCs w:val="24"/>
        </w:rPr>
      </w:pPr>
      <w:r w:rsidRPr="00A05A0A">
        <w:rPr>
          <w:rFonts w:asciiTheme="majorBidi" w:hAnsiTheme="majorBidi" w:cstheme="majorBidi"/>
          <w:sz w:val="24"/>
          <w:szCs w:val="24"/>
        </w:rPr>
        <w:t>Without systemic reform, ethical dilemmas will continue to undermine the effectiveness of public financial management in Indonesia. Addressing these dilemmas requires moving beyond technical reforms to embed ethics and integrity as core principles of public governance.</w:t>
      </w:r>
    </w:p>
    <w:p w14:paraId="77F0C27C" w14:textId="77777777" w:rsidR="00A05A0A" w:rsidRPr="00A05A0A" w:rsidRDefault="00A05A0A" w:rsidP="00A05A0A"/>
    <w:p w14:paraId="6A61F985" w14:textId="59459B14" w:rsidR="00A05A0A" w:rsidRPr="007B76E2" w:rsidRDefault="00A05A0A" w:rsidP="00856618">
      <w:pPr>
        <w:pStyle w:val="ListParagraph"/>
        <w:numPr>
          <w:ilvl w:val="3"/>
          <w:numId w:val="9"/>
        </w:numPr>
        <w:ind w:left="426" w:hanging="426"/>
        <w:jc w:val="center"/>
        <w:rPr>
          <w:rFonts w:asciiTheme="majorBidi" w:hAnsiTheme="majorBidi" w:cstheme="majorBidi"/>
          <w:sz w:val="24"/>
          <w:szCs w:val="24"/>
        </w:rPr>
      </w:pPr>
      <w:r w:rsidRPr="007B76E2">
        <w:rPr>
          <w:rFonts w:asciiTheme="majorBidi" w:hAnsiTheme="majorBidi" w:cstheme="majorBidi"/>
          <w:b/>
          <w:bCs/>
          <w:sz w:val="24"/>
          <w:szCs w:val="24"/>
        </w:rPr>
        <w:t>RECOMMENDATIONS</w:t>
      </w:r>
    </w:p>
    <w:p w14:paraId="4BAE4180" w14:textId="77777777" w:rsidR="00A05A0A" w:rsidRPr="00A05A0A" w:rsidRDefault="00A05A0A" w:rsidP="00856618">
      <w:pPr>
        <w:numPr>
          <w:ilvl w:val="0"/>
          <w:numId w:val="29"/>
        </w:numPr>
        <w:spacing w:line="240" w:lineRule="auto"/>
        <w:rPr>
          <w:rFonts w:asciiTheme="majorBidi" w:hAnsiTheme="majorBidi" w:cstheme="majorBidi"/>
          <w:sz w:val="24"/>
          <w:szCs w:val="24"/>
        </w:rPr>
      </w:pPr>
      <w:r w:rsidRPr="00A05A0A">
        <w:rPr>
          <w:rFonts w:asciiTheme="majorBidi" w:hAnsiTheme="majorBidi" w:cstheme="majorBidi"/>
          <w:b/>
          <w:bCs/>
          <w:sz w:val="24"/>
          <w:szCs w:val="24"/>
        </w:rPr>
        <w:t>Strengthen Codes of Ethics and Conduct</w:t>
      </w:r>
      <w:r w:rsidRPr="00A05A0A">
        <w:rPr>
          <w:rFonts w:asciiTheme="majorBidi" w:hAnsiTheme="majorBidi" w:cstheme="majorBidi"/>
          <w:sz w:val="24"/>
          <w:szCs w:val="24"/>
        </w:rPr>
        <w:br/>
        <w:t>Develop context-specific ethical guidelines for public sector accountants. Ensure enforcement mechanisms are clear and consistently applied.</w:t>
      </w:r>
    </w:p>
    <w:p w14:paraId="7713B1B3" w14:textId="77777777" w:rsidR="00A05A0A" w:rsidRPr="00A05A0A" w:rsidRDefault="00A05A0A" w:rsidP="00856618">
      <w:pPr>
        <w:numPr>
          <w:ilvl w:val="0"/>
          <w:numId w:val="29"/>
        </w:numPr>
        <w:spacing w:line="240" w:lineRule="auto"/>
        <w:rPr>
          <w:rFonts w:asciiTheme="majorBidi" w:hAnsiTheme="majorBidi" w:cstheme="majorBidi"/>
          <w:sz w:val="24"/>
          <w:szCs w:val="24"/>
        </w:rPr>
      </w:pPr>
      <w:r w:rsidRPr="00A05A0A">
        <w:rPr>
          <w:rFonts w:asciiTheme="majorBidi" w:hAnsiTheme="majorBidi" w:cstheme="majorBidi"/>
          <w:b/>
          <w:bCs/>
          <w:sz w:val="24"/>
          <w:szCs w:val="24"/>
        </w:rPr>
        <w:t>Institutionalize Ethics Training</w:t>
      </w:r>
      <w:r w:rsidRPr="00A05A0A">
        <w:rPr>
          <w:rFonts w:asciiTheme="majorBidi" w:hAnsiTheme="majorBidi" w:cstheme="majorBidi"/>
          <w:sz w:val="24"/>
          <w:szCs w:val="24"/>
        </w:rPr>
        <w:br/>
        <w:t>Provide continuous, case-based ethics training linked to professional advancement. Encourage reflective practice on how to handle real-world dilemmas.</w:t>
      </w:r>
    </w:p>
    <w:p w14:paraId="499516F0" w14:textId="77777777" w:rsidR="00A05A0A" w:rsidRPr="00A05A0A" w:rsidRDefault="00A05A0A" w:rsidP="00856618">
      <w:pPr>
        <w:numPr>
          <w:ilvl w:val="0"/>
          <w:numId w:val="29"/>
        </w:numPr>
        <w:spacing w:line="240" w:lineRule="auto"/>
        <w:rPr>
          <w:rFonts w:asciiTheme="majorBidi" w:hAnsiTheme="majorBidi" w:cstheme="majorBidi"/>
          <w:sz w:val="24"/>
          <w:szCs w:val="24"/>
        </w:rPr>
      </w:pPr>
      <w:r w:rsidRPr="00A05A0A">
        <w:rPr>
          <w:rFonts w:asciiTheme="majorBidi" w:hAnsiTheme="majorBidi" w:cstheme="majorBidi"/>
          <w:b/>
          <w:bCs/>
          <w:sz w:val="24"/>
          <w:szCs w:val="24"/>
        </w:rPr>
        <w:t>Empower Oversight Institutions</w:t>
      </w:r>
      <w:r w:rsidRPr="00A05A0A">
        <w:rPr>
          <w:rFonts w:asciiTheme="majorBidi" w:hAnsiTheme="majorBidi" w:cstheme="majorBidi"/>
          <w:sz w:val="24"/>
          <w:szCs w:val="24"/>
        </w:rPr>
        <w:br/>
        <w:t>Strengthen the independence, resources, and capacity of internal and external audit bodies. Leverage technology and data analytics to detect anomalies in budget execution.</w:t>
      </w:r>
    </w:p>
    <w:p w14:paraId="779DD937" w14:textId="77777777" w:rsidR="00A05A0A" w:rsidRPr="00A05A0A" w:rsidRDefault="00A05A0A" w:rsidP="00856618">
      <w:pPr>
        <w:numPr>
          <w:ilvl w:val="0"/>
          <w:numId w:val="29"/>
        </w:numPr>
        <w:spacing w:line="240" w:lineRule="auto"/>
        <w:rPr>
          <w:rFonts w:asciiTheme="majorBidi" w:hAnsiTheme="majorBidi" w:cstheme="majorBidi"/>
          <w:sz w:val="24"/>
          <w:szCs w:val="24"/>
        </w:rPr>
      </w:pPr>
      <w:r w:rsidRPr="00A05A0A">
        <w:rPr>
          <w:rFonts w:asciiTheme="majorBidi" w:hAnsiTheme="majorBidi" w:cstheme="majorBidi"/>
          <w:b/>
          <w:bCs/>
          <w:sz w:val="24"/>
          <w:szCs w:val="24"/>
        </w:rPr>
        <w:lastRenderedPageBreak/>
        <w:t>Promote Ethical Leadership</w:t>
      </w:r>
      <w:r w:rsidRPr="00A05A0A">
        <w:rPr>
          <w:rFonts w:asciiTheme="majorBidi" w:hAnsiTheme="majorBidi" w:cstheme="majorBidi"/>
          <w:sz w:val="24"/>
          <w:szCs w:val="24"/>
        </w:rPr>
        <w:br/>
        <w:t xml:space="preserve">Leaders must model ethical </w:t>
      </w:r>
      <w:proofErr w:type="spellStart"/>
      <w:r w:rsidRPr="00A05A0A">
        <w:rPr>
          <w:rFonts w:asciiTheme="majorBidi" w:hAnsiTheme="majorBidi" w:cstheme="majorBidi"/>
          <w:sz w:val="24"/>
          <w:szCs w:val="24"/>
        </w:rPr>
        <w:t>behavior</w:t>
      </w:r>
      <w:proofErr w:type="spellEnd"/>
      <w:r w:rsidRPr="00A05A0A">
        <w:rPr>
          <w:rFonts w:asciiTheme="majorBidi" w:hAnsiTheme="majorBidi" w:cstheme="majorBidi"/>
          <w:sz w:val="24"/>
          <w:szCs w:val="24"/>
        </w:rPr>
        <w:t xml:space="preserve"> and set the tone for organizational culture. Create safe spaces for discussion of ethical issues without fear of retaliation.</w:t>
      </w:r>
    </w:p>
    <w:p w14:paraId="7DA2FFA0" w14:textId="77777777" w:rsidR="00A05A0A" w:rsidRPr="00A05A0A" w:rsidRDefault="00A05A0A" w:rsidP="00856618">
      <w:pPr>
        <w:numPr>
          <w:ilvl w:val="0"/>
          <w:numId w:val="29"/>
        </w:numPr>
        <w:spacing w:line="240" w:lineRule="auto"/>
        <w:rPr>
          <w:rFonts w:asciiTheme="majorBidi" w:hAnsiTheme="majorBidi" w:cstheme="majorBidi"/>
          <w:sz w:val="24"/>
          <w:szCs w:val="24"/>
        </w:rPr>
      </w:pPr>
      <w:r w:rsidRPr="00A05A0A">
        <w:rPr>
          <w:rFonts w:asciiTheme="majorBidi" w:hAnsiTheme="majorBidi" w:cstheme="majorBidi"/>
          <w:b/>
          <w:bCs/>
          <w:sz w:val="24"/>
          <w:szCs w:val="24"/>
        </w:rPr>
        <w:t>Increase Transparency and Public Engagement</w:t>
      </w:r>
      <w:r w:rsidRPr="00A05A0A">
        <w:rPr>
          <w:rFonts w:asciiTheme="majorBidi" w:hAnsiTheme="majorBidi" w:cstheme="majorBidi"/>
          <w:sz w:val="24"/>
          <w:szCs w:val="24"/>
        </w:rPr>
        <w:br/>
        <w:t>Make budget allocation and execution data publicly accessible. Encourage participation from civil society in monitoring processes.</w:t>
      </w:r>
    </w:p>
    <w:p w14:paraId="713585A6" w14:textId="77777777" w:rsidR="00A05A0A" w:rsidRPr="00A05A0A" w:rsidRDefault="00A05A0A" w:rsidP="00856618">
      <w:pPr>
        <w:numPr>
          <w:ilvl w:val="0"/>
          <w:numId w:val="29"/>
        </w:numPr>
        <w:spacing w:line="240" w:lineRule="auto"/>
        <w:rPr>
          <w:rFonts w:asciiTheme="majorBidi" w:hAnsiTheme="majorBidi" w:cstheme="majorBidi"/>
          <w:sz w:val="24"/>
          <w:szCs w:val="24"/>
        </w:rPr>
      </w:pPr>
      <w:r w:rsidRPr="00A05A0A">
        <w:rPr>
          <w:rFonts w:asciiTheme="majorBidi" w:hAnsiTheme="majorBidi" w:cstheme="majorBidi"/>
          <w:b/>
          <w:bCs/>
          <w:sz w:val="24"/>
          <w:szCs w:val="24"/>
        </w:rPr>
        <w:t>Build Collaborative Accountability Networks</w:t>
      </w:r>
      <w:r w:rsidRPr="00A05A0A">
        <w:rPr>
          <w:rFonts w:asciiTheme="majorBidi" w:hAnsiTheme="majorBidi" w:cstheme="majorBidi"/>
          <w:sz w:val="24"/>
          <w:szCs w:val="24"/>
        </w:rPr>
        <w:br/>
        <w:t>Enhance cooperation between government, academia, and professional associations to reinforce ethical standards and share best practices.</w:t>
      </w:r>
    </w:p>
    <w:p w14:paraId="2D551A21" w14:textId="77777777" w:rsidR="00A05A0A" w:rsidRPr="00A05A0A" w:rsidRDefault="00A05A0A" w:rsidP="00A05A0A"/>
    <w:p w14:paraId="34D84253" w14:textId="13C0E76F" w:rsidR="00A05A0A" w:rsidRPr="00A05A0A" w:rsidRDefault="00A05A0A" w:rsidP="00A05A0A">
      <w:pPr>
        <w:jc w:val="center"/>
        <w:rPr>
          <w:rFonts w:asciiTheme="majorBidi" w:hAnsiTheme="majorBidi" w:cstheme="majorBidi"/>
          <w:sz w:val="24"/>
          <w:szCs w:val="24"/>
        </w:rPr>
      </w:pPr>
      <w:r w:rsidRPr="00A05A0A">
        <w:rPr>
          <w:rFonts w:asciiTheme="majorBidi" w:hAnsiTheme="majorBidi" w:cstheme="majorBidi"/>
          <w:b/>
          <w:bCs/>
          <w:sz w:val="24"/>
          <w:szCs w:val="24"/>
        </w:rPr>
        <w:t>R</w:t>
      </w:r>
      <w:r>
        <w:rPr>
          <w:rFonts w:asciiTheme="majorBidi" w:hAnsiTheme="majorBidi" w:cstheme="majorBidi"/>
          <w:b/>
          <w:bCs/>
          <w:sz w:val="24"/>
          <w:szCs w:val="24"/>
        </w:rPr>
        <w:t xml:space="preserve">EFERENCES </w:t>
      </w:r>
    </w:p>
    <w:p w14:paraId="677537ED"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A. Ebrahim. (2021). A UK case study on the function of ethics in public sector accounting. 1–10 in Public Money &amp; Management, 41(1). 10.1080/09540962.2020.1771235 </w:t>
      </w:r>
    </w:p>
    <w:p w14:paraId="16EF6DC5"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Ali, A., and Tariq, M. (2020). Journal of Business Ethics, 162(2), 345-360. "Ethical Decision-Making in Public Sector Accounting: A Framework." </w:t>
      </w:r>
    </w:p>
    <w:p w14:paraId="7A52DCE7"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Ali, S., and Khan, M. A. (2020). Public Money &amp; Management, 40(3), 215-222. "Political Interference in Public Financial Management: Ethical Implications." </w:t>
      </w:r>
    </w:p>
    <w:p w14:paraId="57F18EEA"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Baker, L. (2020). A review of the literature on ethical quandaries in public sector accounting. 33(4), 345-360, International Journal of Public Sector Management. https://doi.org/10.1108/IJPSM-01-2020-0023 </w:t>
      </w:r>
    </w:p>
    <w:p w14:paraId="690490BB"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Bedard, J., and Gendron, Y. (2020). The audit committee's function in the process of making moral decisions. Organisations and Society, Accounting, 89, 1–15. https://doi.org/10.1016/j.aos.2020.101155 </w:t>
      </w:r>
    </w:p>
    <w:p w14:paraId="6F313B16"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Bhasin, M. (2025). "Ethics in Public Sector Accounting: Challenges and Opportunities." International Journal of Accounting and Financial Reporting, 15(1), 50-67.</w:t>
      </w:r>
    </w:p>
    <w:p w14:paraId="4EB49D13"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Bhasin, M. L. (2019). An overview of the literature on ethical concerns in public sector accounting. Public Sector Management International, 32(4), 345-360. https://doi.org/10.1108/IJPSM-01-2019-0001 </w:t>
      </w:r>
    </w:p>
    <w:p w14:paraId="01FAB2E7"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Cangemi, M., and J. P. Cangemi. (2019). A historical perspective on the function of ethics in accounting. 154(1), 1–12, Journal of Business Ethics. https://doi.org/10.1007/s10551-017-3440-5 </w:t>
      </w:r>
    </w:p>
    <w:p w14:paraId="09AE08F6"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Choudhury, J., and Uddin, S. (2021). Public Money &amp; Management, 41(1), 23-30. "Ethics and Accountability in Public Sector Budgeting: A Comparative Study." </w:t>
      </w:r>
    </w:p>
    <w:p w14:paraId="749A6BF4"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Clark, E. (2024). "The Role of Technology in Transforming Public Sector Accounting: A Historical Perspective." </w:t>
      </w:r>
      <w:r w:rsidRPr="00A05A0A">
        <w:rPr>
          <w:rFonts w:asciiTheme="majorBidi" w:hAnsiTheme="majorBidi" w:cstheme="majorBidi"/>
          <w:i/>
          <w:iCs/>
          <w:sz w:val="24"/>
          <w:szCs w:val="24"/>
        </w:rPr>
        <w:t>Accounting History Review</w:t>
      </w:r>
      <w:r w:rsidRPr="00A05A0A">
        <w:rPr>
          <w:rFonts w:asciiTheme="majorBidi" w:hAnsiTheme="majorBidi" w:cstheme="majorBidi"/>
          <w:sz w:val="24"/>
          <w:szCs w:val="24"/>
        </w:rPr>
        <w:t>, 34(1), 1-20.</w:t>
      </w:r>
    </w:p>
    <w:p w14:paraId="632C7560"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Clark, S. (2020). Problems and solutions for enhancing oversight in public sector budgeting. 40(5), 345-352; Public Money &amp; Management. 10.1080/09540962.2020.1771234 </w:t>
      </w:r>
    </w:p>
    <w:p w14:paraId="3B9FDDA2"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Coughlan, J., and Sweeney, B. (2021). A review of the literature on the subject of ethics in public sector accounting. 34(5), 345-360, International Journal of Public Sector Management. https://doi.org/10.1108/IJPSM-01-2021-0022 </w:t>
      </w:r>
    </w:p>
    <w:p w14:paraId="7F06700E"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Davis, M. (2022). Public trust requires that accountants receive ethics training. 178(3), 567-580, Journal of Business Ethics. https://doi.org/10.1007/s10551-021-04856-3 </w:t>
      </w:r>
    </w:p>
    <w:p w14:paraId="3505D1FB"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 xml:space="preserve">Davis, R. (2025). "The Influence of Organizational Culture on Ethical </w:t>
      </w:r>
      <w:proofErr w:type="spellStart"/>
      <w:r w:rsidRPr="00A05A0A">
        <w:rPr>
          <w:rFonts w:asciiTheme="majorBidi" w:hAnsiTheme="majorBidi" w:cstheme="majorBidi"/>
          <w:sz w:val="24"/>
          <w:szCs w:val="24"/>
        </w:rPr>
        <w:t>Behavior</w:t>
      </w:r>
      <w:proofErr w:type="spellEnd"/>
      <w:r w:rsidRPr="00A05A0A">
        <w:rPr>
          <w:rFonts w:asciiTheme="majorBidi" w:hAnsiTheme="majorBidi" w:cstheme="majorBidi"/>
          <w:sz w:val="24"/>
          <w:szCs w:val="24"/>
        </w:rPr>
        <w:t xml:space="preserve"> in Public Sector Accounting." International Journal of Public Sector Management, 38(1), 78-95.</w:t>
      </w:r>
    </w:p>
    <w:p w14:paraId="3B555EA1"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DiMaggio, P., and K. A. Houghton (2020). A comparative study of the function of ethics in public sector accounting. Review of Public Administration, 80(5), 567-578. https://doi.org/10.1111/puar.13201 </w:t>
      </w:r>
    </w:p>
    <w:p w14:paraId="551C1529"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lastRenderedPageBreak/>
        <w:t>Freeman, R. E. (1984). A stakeholder approach to strategic management. Pitman, Boston. </w:t>
      </w:r>
    </w:p>
    <w:p w14:paraId="3164BB75"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proofErr w:type="spellStart"/>
      <w:r w:rsidRPr="00A05A0A">
        <w:rPr>
          <w:rFonts w:asciiTheme="majorBidi" w:hAnsiTheme="majorBidi" w:cstheme="majorBidi"/>
          <w:sz w:val="24"/>
          <w:szCs w:val="24"/>
        </w:rPr>
        <w:t>Gaffikin</w:t>
      </w:r>
      <w:proofErr w:type="spellEnd"/>
      <w:r w:rsidRPr="00A05A0A">
        <w:rPr>
          <w:rFonts w:asciiTheme="majorBidi" w:hAnsiTheme="majorBidi" w:cstheme="majorBidi"/>
          <w:sz w:val="24"/>
          <w:szCs w:val="24"/>
        </w:rPr>
        <w:t>, M., and McPhail, K. (2020). A critical viewpoint on the function of ethics in accounting. Journal of Accounting, Auditing &amp; Accountability, 33(1), 1–15. https://doi.org/10.1108/AAAJ-01-2020-0010 </w:t>
      </w:r>
    </w:p>
    <w:p w14:paraId="0078511F"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Gao, Y. &amp; Zhang, L. (2025). "Ethical Decision-Making Frameworks for Public Sector Accountants: A New Approach." Accounting, Organizations and Society, 90, 1-15.</w:t>
      </w:r>
    </w:p>
    <w:p w14:paraId="22CCCF08"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Green, R., and Brown, T. (2022). A qualitative investigation of conflicts of interest in public sector accounting. Journal of Accounting, Auditing &amp; Accountability, 35(1), 78-95. https://doi.org/10.1108/AAAJ-05-2021-0201 </w:t>
      </w:r>
    </w:p>
    <w:p w14:paraId="262F254C"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Harrison, P. &amp; McMillan, T. (2025). "The Role of Ethics in Enhancing Public Sector Accountability: A Systematic Review." Public Money &amp; Management, 45(2), 123-135.</w:t>
      </w:r>
    </w:p>
    <w:p w14:paraId="79B6AD35"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Hidayat, R., and Sari, R. A. (2022). International Journal of Public Sector Management, 35(1), 67-82. "Ethical Leadership in Public Sector Accounting: A Review." </w:t>
      </w:r>
    </w:p>
    <w:p w14:paraId="701FD595"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J. Anderson. (2021). the effect of moral conduct on citizens' faith in the government. 31(2), 345-362, Journal of Public Administration Research and Theory. https://doi.org/10.1093/jpart/muaa012 </w:t>
      </w:r>
    </w:p>
    <w:p w14:paraId="10519903"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J. Rest. (1986). Moral development: Theoretical and research advances. Praeger, New York. </w:t>
      </w:r>
    </w:p>
    <w:p w14:paraId="2567C083"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Johnson, L. (2023). "The Role of Ethical Leadership in Mitigating Conflicts of Interest in Public Sector Accounting." International Journal of Public Administration, 46(1), 12-29.</w:t>
      </w:r>
    </w:p>
    <w:p w14:paraId="185132D1"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Johnson, P. (2020). Concern over fraud and corruption in public sector accounting is on the rise. 33(6), 567-580, International Journal of Public Sector Management. IJPSM-01-2020-0025 https://doi.org/10.1108 </w:t>
      </w:r>
    </w:p>
    <w:p w14:paraId="7E172B80"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CA3E0F">
        <w:rPr>
          <w:rFonts w:asciiTheme="majorBidi" w:hAnsiTheme="majorBidi" w:cstheme="majorBidi"/>
          <w:sz w:val="24"/>
          <w:szCs w:val="24"/>
          <w:lang w:val="de-DE"/>
        </w:rPr>
        <w:t xml:space="preserve">Kamaruzaman, N., and Zain, M. M. (2020). </w:t>
      </w:r>
      <w:r w:rsidRPr="00A05A0A">
        <w:rPr>
          <w:rFonts w:asciiTheme="majorBidi" w:hAnsiTheme="majorBidi" w:cstheme="majorBidi"/>
          <w:sz w:val="24"/>
          <w:szCs w:val="24"/>
        </w:rPr>
        <w:t>An overview of the literature on ethical concerns in public sector accounting. 33(7), 567-580, International Journal of Public Sector Management. IJPSM-01-2020-0026 https://doi.org/10.1108 </w:t>
      </w:r>
    </w:p>
    <w:p w14:paraId="59ECDAD0"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Khan, A. &amp; Ali, S. (2024). "Navigating Ethical Dilemmas in Public Sector Budgeting: Insights from Practitioners." Journal of Business Ethics, 175(2), 345-362.</w:t>
      </w:r>
    </w:p>
    <w:p w14:paraId="6E934D94"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Khan, M., and Rizvi, S. A. (2021). Journal of Financial Reporting and Accounting, 19(3), 345-360. "The Impact of Corruption on Ethical Standards in Public Sector Accounting." </w:t>
      </w:r>
    </w:p>
    <w:p w14:paraId="241415D0"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Kwan, K. M., and Chiu, R. K. (2020). Ethical climate plays a mediating role in the relationship between ethical leadership and employee outcomes. Business Ethics Journal, 162(1), 1–15. https://doi.org/10.1007/s10551-018-3970-5 </w:t>
      </w:r>
    </w:p>
    <w:p w14:paraId="31958788"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 xml:space="preserve">Lord, A. T., and </w:t>
      </w:r>
      <w:proofErr w:type="spellStart"/>
      <w:r w:rsidRPr="00A05A0A">
        <w:rPr>
          <w:rFonts w:asciiTheme="majorBidi" w:hAnsiTheme="majorBidi" w:cstheme="majorBidi"/>
          <w:sz w:val="24"/>
          <w:szCs w:val="24"/>
        </w:rPr>
        <w:t>DeZoort</w:t>
      </w:r>
      <w:proofErr w:type="spellEnd"/>
      <w:r w:rsidRPr="00A05A0A">
        <w:rPr>
          <w:rFonts w:asciiTheme="majorBidi" w:hAnsiTheme="majorBidi" w:cstheme="majorBidi"/>
          <w:sz w:val="24"/>
          <w:szCs w:val="24"/>
        </w:rPr>
        <w:t>, F. T. (2020). the effect of an ethical environment on accountants' moral judgement. Business Ethics Journal, 162(2), 1–15. https://doi.org/10.1007/s10551-018-3971-4 </w:t>
      </w:r>
    </w:p>
    <w:p w14:paraId="507D445F"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McMillan, J., and Harrison, J. (2018). Journal of Public Administration Research and Theory, 28(3), 567-580. "The Impact of Ethical Training on Public Sector Accountants." </w:t>
      </w:r>
    </w:p>
    <w:p w14:paraId="70B4D3CA"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Miller, J. (2025). "Transparency in Public Sector Budgeting: A Pathway to Ethical Governance." Journal of Financial Accountability &amp; Management, 11(1), 23-40.</w:t>
      </w:r>
    </w:p>
    <w:p w14:paraId="642DE012"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Miller, K. (2020). One of the most important aspects of ethical governance is budget allocation transparency. Review of Public Administration, 80(4), 567-578. https://doi.org/10.1111/puar.13200 </w:t>
      </w:r>
    </w:p>
    <w:p w14:paraId="4EF9FDC3"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Nguyen, T. &amp; Patel, R. (2023). "Impact of Ethics Training on Decision-Making in Public Sector Accounting." Accounting Education: An International Journal, 32(3), 215-230.</w:t>
      </w:r>
    </w:p>
    <w:p w14:paraId="6788F8E8"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Nguyen, T. &amp; Patel, R. (2023). "Performance Management in Public Sector Accounting: Trends and Challenges." </w:t>
      </w:r>
      <w:r w:rsidRPr="00A05A0A">
        <w:rPr>
          <w:rFonts w:asciiTheme="majorBidi" w:hAnsiTheme="majorBidi" w:cstheme="majorBidi"/>
          <w:i/>
          <w:iCs/>
          <w:sz w:val="24"/>
          <w:szCs w:val="24"/>
        </w:rPr>
        <w:t>Journal of Public Administration Research and Theory</w:t>
      </w:r>
      <w:r w:rsidRPr="00A05A0A">
        <w:rPr>
          <w:rFonts w:asciiTheme="majorBidi" w:hAnsiTheme="majorBidi" w:cstheme="majorBidi"/>
          <w:sz w:val="24"/>
          <w:szCs w:val="24"/>
        </w:rPr>
        <w:t>, 33(2), 345-367.</w:t>
      </w:r>
    </w:p>
    <w:p w14:paraId="0CC1B8AC"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O'Leary, C. (2021). An analytical framework for ethical decision-making in public sector accounting. Business Ethics Journal, 162(5), 1–15. https://doi.org/10.1007/s10551-018-3974-1 </w:t>
      </w:r>
    </w:p>
    <w:p w14:paraId="7ED65088"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lastRenderedPageBreak/>
        <w:t>O'Leary, M. (2024). "Public Trust and Ethical Standards: A Comparative Study of Public Sector Accounting Practices." Public Administration Review, 84(4), 567-589.</w:t>
      </w:r>
    </w:p>
    <w:p w14:paraId="7EDC7E7E"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Pant, L. W., and Cohen, J. R. (2019). A review of the literature on the subject of ethics in accounting education. Accounting Education Journal, 45, 1–15. https://doi.org/10.1016/j.jaccedu.2018.12.001 </w:t>
      </w:r>
    </w:p>
    <w:p w14:paraId="6BEDA92C"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Parker, L. D. (2020). Public Administration Review, 80(5), 789–802; "Ethical Challenges in Public Sector Budgeting." </w:t>
      </w:r>
    </w:p>
    <w:p w14:paraId="177FF180"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Prawitt, D. F., and Glover, S. M. (2020). the effect that moral leadership has on accountants' moral conduct. Business Ethics Journal, 162(3), 1–15. https://doi.org/10.1007/s10551-018-3972-3 </w:t>
      </w:r>
    </w:p>
    <w:p w14:paraId="2260805C"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Raghunandan, K., and Pincus, K. V. (2020). An analysis of the United States as a case study on the role of ethics in public sector accounting. 40(6), 567-578; Public Money &amp; Management. 10.1080/09540962.2020.1771236 </w:t>
      </w:r>
    </w:p>
    <w:p w14:paraId="6B29207C"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Rahman, A., and Mansor, N. (2021). Journal of Business Ethics, 168(1), 45-60. "Ethics Training in Public Sector Accounting: A Necessity or a Luxury?" </w:t>
      </w:r>
    </w:p>
    <w:p w14:paraId="23D037CC"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Ramamoorti, S., and Raghunandan, K. (2020). the influence of moral culture on accountants' moral conduct. Business Ethics Journal, 162(6), 1–15. https://doi.org/10.1007/s10551-018-3975-0 </w:t>
      </w:r>
    </w:p>
    <w:p w14:paraId="05F9659B"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 xml:space="preserve">Riley, R. A., and </w:t>
      </w:r>
      <w:proofErr w:type="spellStart"/>
      <w:r w:rsidRPr="00A05A0A">
        <w:rPr>
          <w:rFonts w:asciiTheme="majorBidi" w:hAnsiTheme="majorBidi" w:cstheme="majorBidi"/>
          <w:sz w:val="24"/>
          <w:szCs w:val="24"/>
        </w:rPr>
        <w:t>Kranacher</w:t>
      </w:r>
      <w:proofErr w:type="spellEnd"/>
      <w:r w:rsidRPr="00A05A0A">
        <w:rPr>
          <w:rFonts w:asciiTheme="majorBidi" w:hAnsiTheme="majorBidi" w:cstheme="majorBidi"/>
          <w:sz w:val="24"/>
          <w:szCs w:val="24"/>
        </w:rPr>
        <w:t>, M. J. (2020). A review of the literature on the significance of ethics in accounting education. Business Ethics Journal, 162(4), 1–15. https://doi.org/10.1007/s10551-018-3973-2 </w:t>
      </w:r>
    </w:p>
    <w:p w14:paraId="4BBB8C47"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Roberts, C. (2022). The role of ethics in public sector financial accountability. 123–140 in Journal of Financial Accountability &amp; Management, 18(2). 10.1108/JFAM-01-2021-0010 https://doi.org </w:t>
      </w:r>
    </w:p>
    <w:p w14:paraId="750156A2"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Roberts, J. &amp; Smith, A. (2022). "The Evolution of Public Sector Accounting: From Traditional Practices to Modern Accountability Frameworks." </w:t>
      </w:r>
      <w:r w:rsidRPr="00A05A0A">
        <w:rPr>
          <w:rFonts w:asciiTheme="majorBidi" w:hAnsiTheme="majorBidi" w:cstheme="majorBidi"/>
          <w:i/>
          <w:iCs/>
          <w:sz w:val="24"/>
          <w:szCs w:val="24"/>
        </w:rPr>
        <w:t>International Journal of Public Sector Management</w:t>
      </w:r>
      <w:r w:rsidRPr="00A05A0A">
        <w:rPr>
          <w:rFonts w:asciiTheme="majorBidi" w:hAnsiTheme="majorBidi" w:cstheme="majorBidi"/>
          <w:sz w:val="24"/>
          <w:szCs w:val="24"/>
        </w:rPr>
        <w:t>, 35(3), 215-230.</w:t>
      </w:r>
    </w:p>
    <w:p w14:paraId="4F6572B2"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Sack, R. J., and Albrecht, W. S. (2000). Accounting education: Choosing a path in a dangerous future. Series on Accounting Education, 16, 1–72. </w:t>
      </w:r>
    </w:p>
    <w:p w14:paraId="01EDFB99"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Schein, E. H. (2010). Leadership and organisational culture, fourth ed. Jossey-Bass, San Francisco. </w:t>
      </w:r>
    </w:p>
    <w:p w14:paraId="21D9C366"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Shafique, M., and Hassan, A. (2019). International Journal of Public Sector Management, 32(4), 345-360. "Ethical Dilemmas in Public Sector Accounting: A Case Study." </w:t>
      </w:r>
    </w:p>
    <w:p w14:paraId="3A29D6FB"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Shrives, P. J., and Linsley, P. M. (2020). A review of the literature on the subject of ethics in public sector accounting. 33(5), 345-360, International Journal of Public Sector Management. IJPSM-01-2020-0024 https://doi.org/10.1108 </w:t>
      </w:r>
    </w:p>
    <w:p w14:paraId="72292B21"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Smith, B., and Jones, A. (2021). A comprehensive analysis of ethical concerns in public sector accounting. Accounting Literature Journal, 45, 1–20. https://doi.org/10.1016/j.acclit.2021.01.001 </w:t>
      </w:r>
    </w:p>
    <w:p w14:paraId="306889ED"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 xml:space="preserve">Smith, J. (2022). "Ethical Challenges in Public Sector Accounting: A Review of Recent </w:t>
      </w:r>
      <w:proofErr w:type="spellStart"/>
      <w:r w:rsidRPr="00A05A0A">
        <w:rPr>
          <w:rFonts w:asciiTheme="majorBidi" w:hAnsiTheme="majorBidi" w:cstheme="majorBidi"/>
          <w:sz w:val="24"/>
          <w:szCs w:val="24"/>
        </w:rPr>
        <w:t>Developments."Journal</w:t>
      </w:r>
      <w:proofErr w:type="spellEnd"/>
      <w:r w:rsidRPr="00A05A0A">
        <w:rPr>
          <w:rFonts w:asciiTheme="majorBidi" w:hAnsiTheme="majorBidi" w:cstheme="majorBidi"/>
          <w:sz w:val="24"/>
          <w:szCs w:val="24"/>
        </w:rPr>
        <w:t xml:space="preserve"> of Public Sector Accounting, 15(2), 45-67. </w:t>
      </w:r>
    </w:p>
    <w:p w14:paraId="3580032B"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Taylor, S. (2021). The pressure to reach financial goals: Implications for accountants' ethics. Organisations and Society, Accounting, 89, 1–15. https://doi.org/10.1016/j.aos.2020.101155 </w:t>
      </w:r>
    </w:p>
    <w:p w14:paraId="0B0659B2"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Thompson, R. &amp; Lee, S. (2023). "The Impact of Ethical Training on Moral Judgment in Public Sector Accountants: A Longitudinal Study." </w:t>
      </w:r>
      <w:r w:rsidRPr="00A05A0A">
        <w:rPr>
          <w:rFonts w:asciiTheme="majorBidi" w:hAnsiTheme="majorBidi" w:cstheme="majorBidi"/>
          <w:i/>
          <w:iCs/>
          <w:sz w:val="24"/>
          <w:szCs w:val="24"/>
        </w:rPr>
        <w:t>Journal of Business Ethics Education</w:t>
      </w:r>
      <w:r w:rsidRPr="00A05A0A">
        <w:rPr>
          <w:rFonts w:asciiTheme="majorBidi" w:hAnsiTheme="majorBidi" w:cstheme="majorBidi"/>
          <w:sz w:val="24"/>
          <w:szCs w:val="24"/>
        </w:rPr>
        <w:t>, 20(1), 45-62.</w:t>
      </w:r>
    </w:p>
    <w:p w14:paraId="0DABC9AC"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Tinker, A. (2020). A critical viewpoint on the function of ethics in public sector accounting. Organisations and Society, Accounting, 89, 1–15. https://doi.org/10.1016/j.aos.2020.101156 </w:t>
      </w:r>
    </w:p>
    <w:p w14:paraId="12649451"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lastRenderedPageBreak/>
        <w:t>Van der Merwe, A., and Van der Linde, J. (2021). A comparative study of ethical concerns in public sector accounting. 123–140 in Journal of Financial Accountability &amp; Management, 18(3). 10.1108/JFAM-01-2021-0011 https://doi.org </w:t>
      </w:r>
    </w:p>
    <w:p w14:paraId="379AB02F"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Wainwright, D. (2021). A qualitative investigation into the effects of moral leadership on public sector accountants. Business Ethics Journal, 162(7), 1–15. https://doi.org/10.1007/s10551-018-3976-z </w:t>
      </w:r>
    </w:p>
    <w:p w14:paraId="4465BCDC"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Wallace, R. S. O., and Baker, C. R. (2018). Journal of Public Budgeting, Accounting &amp; Financial Management, 30(2), 123-145. "The Role of Ethics in Public Sector Accounting." </w:t>
      </w:r>
    </w:p>
    <w:p w14:paraId="0E0B3032"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Wang, H., and Zhang, L. (2019). Journal of Business Ethics, 157(4), 1023-1038. "The Influence of Organisational Culture on Ethical Behaviour in Public Sector Accounting."</w:t>
      </w:r>
    </w:p>
    <w:p w14:paraId="5E44B3B2"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Williams, P. F., and Haskins, M. E. (2021). A case study approach to ethical concerns in public sector accounting. 34(4), 345-360, International Journal of Public Sector Management. https://doi.org/10.1108/IJPSM-01-2021-0021 </w:t>
      </w:r>
    </w:p>
    <w:p w14:paraId="0CAEA316"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Williams, R. (2021). Public sector accounting codes of conduct: best practices and difficulties. 34(3), 345-360, International Journal of Public Sector Management. https://doi.org/10.1108/IJPSM-01-2021-0020 </w:t>
      </w:r>
    </w:p>
    <w:p w14:paraId="22B33A4B" w14:textId="77777777" w:rsidR="00A05A0A" w:rsidRPr="00A05A0A" w:rsidRDefault="00A05A0A" w:rsidP="0072106A">
      <w:pPr>
        <w:spacing w:after="0" w:line="240" w:lineRule="auto"/>
        <w:ind w:left="567" w:hanging="720"/>
        <w:jc w:val="both"/>
        <w:rPr>
          <w:rFonts w:asciiTheme="majorBidi" w:hAnsiTheme="majorBidi" w:cstheme="majorBidi"/>
          <w:sz w:val="24"/>
          <w:szCs w:val="24"/>
        </w:rPr>
      </w:pPr>
      <w:r w:rsidRPr="00A05A0A">
        <w:rPr>
          <w:rFonts w:asciiTheme="majorBidi" w:hAnsiTheme="majorBidi" w:cstheme="majorBidi"/>
          <w:sz w:val="24"/>
          <w:szCs w:val="24"/>
        </w:rPr>
        <w:t>Zhang, Y., and Gao, S. (2021). Journal of Business Ethics, 169(3), 345-360. "Ethical Decision-Making in Public Sector Accounting: A Case Study." </w:t>
      </w:r>
    </w:p>
    <w:p w14:paraId="6D1079D3" w14:textId="77777777" w:rsidR="007373F6" w:rsidRPr="00A05A0A" w:rsidRDefault="007373F6" w:rsidP="00207215"/>
    <w:p w14:paraId="2C1E7AD5" w14:textId="77777777" w:rsidR="007373F6" w:rsidRDefault="007373F6">
      <w:pPr>
        <w:jc w:val="both"/>
      </w:pPr>
    </w:p>
    <w:p w14:paraId="285AF581" w14:textId="77777777" w:rsidR="007373F6" w:rsidRDefault="007373F6">
      <w:pPr>
        <w:jc w:val="both"/>
      </w:pPr>
    </w:p>
    <w:p w14:paraId="44890B36" w14:textId="77777777" w:rsidR="007373F6" w:rsidRDefault="007373F6" w:rsidP="00207215"/>
    <w:p w14:paraId="587FFD0B" w14:textId="77777777" w:rsidR="007373F6" w:rsidRDefault="007373F6" w:rsidP="00207215"/>
    <w:p w14:paraId="411B7473" w14:textId="77777777" w:rsidR="007373F6" w:rsidRDefault="007373F6">
      <w:pPr>
        <w:jc w:val="both"/>
      </w:pPr>
    </w:p>
    <w:p w14:paraId="10120706" w14:textId="77777777" w:rsidR="00B85640" w:rsidRDefault="00B85640" w:rsidP="00B85640"/>
    <w:p w14:paraId="19EB5509" w14:textId="77777777" w:rsidR="00B85640" w:rsidRDefault="00B85640" w:rsidP="00B85640"/>
    <w:p w14:paraId="071F8F3C" w14:textId="77777777" w:rsidR="00B85640" w:rsidRDefault="00B85640" w:rsidP="00B85640"/>
    <w:p w14:paraId="41424FF6" w14:textId="77777777" w:rsidR="00B85640" w:rsidRDefault="00B85640" w:rsidP="00B85640"/>
    <w:p w14:paraId="00357EFB" w14:textId="77777777" w:rsidR="00B85640" w:rsidRDefault="00B85640" w:rsidP="00B85640"/>
    <w:p w14:paraId="1E981FF7" w14:textId="77777777" w:rsidR="00B85640" w:rsidRDefault="00B85640" w:rsidP="00B85640"/>
    <w:p w14:paraId="572520F0" w14:textId="77777777" w:rsidR="00B85640" w:rsidRDefault="00B85640" w:rsidP="00B85640"/>
    <w:p w14:paraId="6E767825" w14:textId="77777777" w:rsidR="00B85640" w:rsidRDefault="00B85640" w:rsidP="00B85640"/>
    <w:p w14:paraId="69939488" w14:textId="77777777" w:rsidR="00B85640" w:rsidRDefault="00B85640" w:rsidP="00B85640"/>
    <w:p w14:paraId="2FC503BC" w14:textId="77777777" w:rsidR="00B85640" w:rsidRDefault="00B85640" w:rsidP="00B85640"/>
    <w:p w14:paraId="3DCCE70A" w14:textId="77777777" w:rsidR="00B85640" w:rsidRDefault="00B85640" w:rsidP="00B85640"/>
    <w:p w14:paraId="35708DB5" w14:textId="77777777" w:rsidR="00B85640" w:rsidRDefault="00B85640" w:rsidP="00B85640"/>
    <w:p w14:paraId="4E8861F3" w14:textId="77777777" w:rsidR="00B85640" w:rsidRDefault="00B85640" w:rsidP="00B85640"/>
    <w:p w14:paraId="21786E4C" w14:textId="46EF8B3B" w:rsidR="007B76E2" w:rsidRDefault="007B76E2">
      <w:r>
        <w:br w:type="page"/>
      </w:r>
    </w:p>
    <w:p w14:paraId="554F375E" w14:textId="647617B5" w:rsidR="007373F6" w:rsidRDefault="00000000">
      <w:pPr>
        <w:pStyle w:val="Heading1"/>
      </w:pPr>
      <w:bookmarkStart w:id="61" w:name="_Toc211808148"/>
      <w:r>
        <w:lastRenderedPageBreak/>
        <w:t>Paper ID 14</w:t>
      </w:r>
      <w:bookmarkEnd w:id="61"/>
    </w:p>
    <w:p w14:paraId="5B0BF7F3" w14:textId="77777777" w:rsidR="007373F6" w:rsidRDefault="00000000">
      <w:pPr>
        <w:pStyle w:val="Heading2"/>
        <w:spacing w:after="0" w:line="240" w:lineRule="auto"/>
      </w:pPr>
      <w:bookmarkStart w:id="62" w:name="_Toc211808149"/>
      <w:r>
        <w:t>THE ROLE OF ORGANIZATIONAL CULTURE IN SHAPING ACCOUNTANTS’ DECISION MAKING IN GOVERNMENT INSTITUTIONS</w:t>
      </w:r>
      <w:bookmarkEnd w:id="62"/>
    </w:p>
    <w:p w14:paraId="75340735" w14:textId="77777777" w:rsidR="007373F6" w:rsidRDefault="007373F6">
      <w:pPr>
        <w:spacing w:after="0" w:line="240" w:lineRule="auto"/>
        <w:jc w:val="center"/>
        <w:rPr>
          <w:rFonts w:ascii="Times New Roman" w:eastAsia="Times New Roman" w:hAnsi="Times New Roman" w:cs="Times New Roman"/>
          <w:b/>
          <w:sz w:val="26"/>
          <w:szCs w:val="26"/>
        </w:rPr>
      </w:pPr>
    </w:p>
    <w:p w14:paraId="6805659A" w14:textId="77777777" w:rsidR="007373F6" w:rsidRDefault="00000000">
      <w:pPr>
        <w:shd w:val="clear" w:color="auto" w:fill="FFFFFF"/>
        <w:jc w:val="cente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b/>
          <w:color w:val="222222"/>
          <w:sz w:val="24"/>
          <w:szCs w:val="24"/>
        </w:rPr>
        <w:t>Djuni</w:t>
      </w:r>
      <w:proofErr w:type="spellEnd"/>
      <w:r>
        <w:rPr>
          <w:rFonts w:ascii="Times New Roman" w:eastAsia="Times New Roman" w:hAnsi="Times New Roman" w:cs="Times New Roman"/>
          <w:b/>
          <w:color w:val="222222"/>
          <w:sz w:val="24"/>
          <w:szCs w:val="24"/>
        </w:rPr>
        <w:t xml:space="preserve"> Farhan*</w:t>
      </w:r>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Gajayana</w:t>
      </w:r>
      <w:proofErr w:type="spellEnd"/>
      <w:r>
        <w:rPr>
          <w:rFonts w:ascii="Times New Roman" w:eastAsia="Times New Roman" w:hAnsi="Times New Roman" w:cs="Times New Roman"/>
          <w:color w:val="222222"/>
          <w:sz w:val="24"/>
          <w:szCs w:val="24"/>
        </w:rPr>
        <w:t xml:space="preserve"> University</w:t>
      </w:r>
      <w:r>
        <w:rPr>
          <w:rFonts w:ascii="Times New Roman" w:eastAsia="Times New Roman" w:hAnsi="Times New Roman" w:cs="Times New Roman"/>
          <w:sz w:val="24"/>
          <w:szCs w:val="24"/>
        </w:rPr>
        <w:t>, Indonesia</w:t>
      </w:r>
      <w:r>
        <w:rPr>
          <w:rFonts w:ascii="Times New Roman" w:eastAsia="Times New Roman" w:hAnsi="Times New Roman" w:cs="Times New Roman"/>
          <w:color w:val="222222"/>
          <w:sz w:val="24"/>
          <w:szCs w:val="24"/>
        </w:rPr>
        <w:t xml:space="preserve"> (djuni.farhan@unigamalang.ac.id)</w:t>
      </w:r>
    </w:p>
    <w:p w14:paraId="3217ADC5" w14:textId="77777777" w:rsidR="007373F6" w:rsidRDefault="00000000">
      <w:pPr>
        <w:shd w:val="clear" w:color="auto" w:fill="FFFFFF"/>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Oyong Lisa</w:t>
      </w:r>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Gajayana</w:t>
      </w:r>
      <w:proofErr w:type="spellEnd"/>
      <w:r>
        <w:rPr>
          <w:rFonts w:ascii="Times New Roman" w:eastAsia="Times New Roman" w:hAnsi="Times New Roman" w:cs="Times New Roman"/>
          <w:color w:val="222222"/>
          <w:sz w:val="24"/>
          <w:szCs w:val="24"/>
        </w:rPr>
        <w:t xml:space="preserve"> University</w:t>
      </w:r>
      <w:r>
        <w:rPr>
          <w:rFonts w:ascii="Times New Roman" w:eastAsia="Times New Roman" w:hAnsi="Times New Roman" w:cs="Times New Roman"/>
          <w:sz w:val="24"/>
          <w:szCs w:val="24"/>
        </w:rPr>
        <w:t>, Indonesia</w:t>
      </w:r>
      <w:r>
        <w:rPr>
          <w:rFonts w:ascii="Times New Roman" w:eastAsia="Times New Roman" w:hAnsi="Times New Roman" w:cs="Times New Roman"/>
          <w:color w:val="222222"/>
          <w:sz w:val="24"/>
          <w:szCs w:val="24"/>
        </w:rPr>
        <w:t xml:space="preserve"> (oyong.lisa68@gmail.com)</w:t>
      </w:r>
    </w:p>
    <w:p w14:paraId="51723CD3" w14:textId="77777777" w:rsidR="007373F6" w:rsidRDefault="00000000">
      <w:pPr>
        <w:shd w:val="clear" w:color="auto" w:fill="FFFFFF"/>
        <w:jc w:val="cente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b/>
          <w:color w:val="222222"/>
          <w:sz w:val="24"/>
          <w:szCs w:val="24"/>
        </w:rPr>
        <w:t>Yosar</w:t>
      </w:r>
      <w:proofErr w:type="spellEnd"/>
      <w:r>
        <w:rPr>
          <w:rFonts w:ascii="Times New Roman" w:eastAsia="Times New Roman" w:hAnsi="Times New Roman" w:cs="Times New Roman"/>
          <w:b/>
          <w:color w:val="222222"/>
          <w:sz w:val="24"/>
          <w:szCs w:val="24"/>
        </w:rPr>
        <w:t xml:space="preserve"> Haritsar</w:t>
      </w:r>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Gajayana</w:t>
      </w:r>
      <w:proofErr w:type="spellEnd"/>
      <w:r>
        <w:rPr>
          <w:rFonts w:ascii="Times New Roman" w:eastAsia="Times New Roman" w:hAnsi="Times New Roman" w:cs="Times New Roman"/>
          <w:color w:val="222222"/>
          <w:sz w:val="24"/>
          <w:szCs w:val="24"/>
        </w:rPr>
        <w:t xml:space="preserve"> University</w:t>
      </w:r>
      <w:r>
        <w:rPr>
          <w:rFonts w:ascii="Times New Roman" w:eastAsia="Times New Roman" w:hAnsi="Times New Roman" w:cs="Times New Roman"/>
          <w:sz w:val="24"/>
          <w:szCs w:val="24"/>
        </w:rPr>
        <w:t>, Indonesia</w:t>
      </w:r>
      <w:r>
        <w:rPr>
          <w:rFonts w:ascii="Times New Roman" w:eastAsia="Times New Roman" w:hAnsi="Times New Roman" w:cs="Times New Roman"/>
          <w:color w:val="222222"/>
          <w:sz w:val="24"/>
          <w:szCs w:val="24"/>
        </w:rPr>
        <w:t xml:space="preserve"> (yosarharitsar2017@unigamalang.ac.id)</w:t>
      </w:r>
    </w:p>
    <w:p w14:paraId="269457D3" w14:textId="77777777" w:rsidR="007373F6" w:rsidRDefault="00000000">
      <w:pPr>
        <w:shd w:val="clear" w:color="auto" w:fill="FFFFFF"/>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Bambang Hermanto</w:t>
      </w:r>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Politeknik</w:t>
      </w:r>
      <w:proofErr w:type="spellEnd"/>
      <w:r>
        <w:rPr>
          <w:rFonts w:ascii="Times New Roman" w:eastAsia="Times New Roman" w:hAnsi="Times New Roman" w:cs="Times New Roman"/>
          <w:color w:val="222222"/>
          <w:sz w:val="24"/>
          <w:szCs w:val="24"/>
        </w:rPr>
        <w:t xml:space="preserve"> LP3i</w:t>
      </w:r>
      <w:r>
        <w:rPr>
          <w:rFonts w:ascii="Times New Roman" w:eastAsia="Times New Roman" w:hAnsi="Times New Roman" w:cs="Times New Roman"/>
          <w:sz w:val="24"/>
          <w:szCs w:val="24"/>
        </w:rPr>
        <w:t>, Indonesia</w:t>
      </w:r>
      <w:r>
        <w:rPr>
          <w:rFonts w:ascii="Times New Roman" w:eastAsia="Times New Roman" w:hAnsi="Times New Roman" w:cs="Times New Roman"/>
          <w:color w:val="222222"/>
          <w:sz w:val="24"/>
          <w:szCs w:val="24"/>
        </w:rPr>
        <w:t xml:space="preserve"> (bbher53@gmail.com)</w:t>
      </w:r>
    </w:p>
    <w:p w14:paraId="23FA0615" w14:textId="77777777" w:rsidR="007373F6" w:rsidRDefault="007373F6">
      <w:pPr>
        <w:jc w:val="center"/>
      </w:pPr>
    </w:p>
    <w:p w14:paraId="49C81198" w14:textId="77777777" w:rsidR="007373F6"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ABSTRACT</w:t>
      </w:r>
    </w:p>
    <w:p w14:paraId="1B57D661"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Organizational culture significantly influences decision-making processes, particularly among accountants in government institutions. This article explores how the values, beliefs, and norms within an organization shape the ethical considerations and decision-making approaches of accountants. A positive organizational culture fosters transparency, open communication, and collaboration, leading to more informed and ethical decisions. Conversely, a toxic culture can stifle creativity and ethical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resulting in decisions that prioritize short-term gains over long-term integrity. The study emphasizes the critical role of leadership in establishing a culture of ethics, where ethical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is </w:t>
      </w:r>
      <w:proofErr w:type="spellStart"/>
      <w:r>
        <w:rPr>
          <w:rFonts w:ascii="Times New Roman" w:eastAsia="Times New Roman" w:hAnsi="Times New Roman" w:cs="Times New Roman"/>
          <w:sz w:val="24"/>
          <w:szCs w:val="24"/>
        </w:rPr>
        <w:t>modeled</w:t>
      </w:r>
      <w:proofErr w:type="spellEnd"/>
      <w:r>
        <w:rPr>
          <w:rFonts w:ascii="Times New Roman" w:eastAsia="Times New Roman" w:hAnsi="Times New Roman" w:cs="Times New Roman"/>
          <w:sz w:val="24"/>
          <w:szCs w:val="24"/>
        </w:rPr>
        <w:t xml:space="preserve"> and reinforced at all levels. By prioritizing employee development and creating an environment that values ethical decision-making, organizations can enhance job satisfaction, retention, and overall performance. Employing a mixed-methods research design, the study investigates the influence of organizational culture on accountants' decision-making in government institutions. Qualitative methods include semi-structured interviews with accountants and financial managers to gather insights on the impact of culture on ethical decisions, along with focus groups to discuss shared values. Quantitative methods involve distributing structured surveys to a larger sample of accountants, using Likert-scale items to assess perceptions of culture and ethical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Statistical analysis of the survey data reveals patterns and correlations, enhancing the study's robustness. The findings suggest that government institutions should implement strategies to promote ethical practices, such as regular ethics training and clear reporting channels for misconduct. Ultimately, fostering a culture of integrity not only enhances the organization’s reputation but also contributes to the overall success and sustainability of the public sector.</w:t>
      </w:r>
    </w:p>
    <w:p w14:paraId="13C7F8C5" w14:textId="77777777" w:rsidR="007373F6" w:rsidRDefault="007373F6">
      <w:pPr>
        <w:spacing w:after="0" w:line="240" w:lineRule="auto"/>
        <w:jc w:val="both"/>
        <w:rPr>
          <w:rFonts w:ascii="Times New Roman" w:eastAsia="Times New Roman" w:hAnsi="Times New Roman" w:cs="Times New Roman"/>
          <w:sz w:val="24"/>
          <w:szCs w:val="24"/>
        </w:rPr>
      </w:pPr>
    </w:p>
    <w:p w14:paraId="31895A90" w14:textId="7D6420F9" w:rsidR="004A26E2" w:rsidRDefault="00000000" w:rsidP="004A26E2">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Keywords: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Organizational Culture, Decision-Making, Ethical </w:t>
      </w:r>
      <w:proofErr w:type="spellStart"/>
      <w:r>
        <w:rPr>
          <w:rFonts w:ascii="Times New Roman" w:eastAsia="Times New Roman" w:hAnsi="Times New Roman" w:cs="Times New Roman"/>
          <w:i/>
          <w:sz w:val="24"/>
          <w:szCs w:val="24"/>
        </w:rPr>
        <w:t>Behavior</w:t>
      </w:r>
      <w:proofErr w:type="spellEnd"/>
      <w:r>
        <w:rPr>
          <w:rFonts w:ascii="Times New Roman" w:eastAsia="Times New Roman" w:hAnsi="Times New Roman" w:cs="Times New Roman"/>
          <w:i/>
          <w:sz w:val="24"/>
          <w:szCs w:val="24"/>
        </w:rPr>
        <w:t xml:space="preserve">, Accountants, Government Institutions </w:t>
      </w:r>
    </w:p>
    <w:p w14:paraId="7053C066" w14:textId="77777777" w:rsidR="007373F6" w:rsidRDefault="007373F6" w:rsidP="00207215"/>
    <w:p w14:paraId="6A849F73" w14:textId="77777777" w:rsidR="007373F6" w:rsidRDefault="007373F6" w:rsidP="00207215"/>
    <w:p w14:paraId="20DD5118" w14:textId="6D7F4812" w:rsidR="004A26E2" w:rsidRPr="007E6FFA" w:rsidRDefault="004A26E2" w:rsidP="00856618">
      <w:pPr>
        <w:pStyle w:val="ListParagraph"/>
        <w:numPr>
          <w:ilvl w:val="6"/>
          <w:numId w:val="9"/>
        </w:numPr>
        <w:ind w:left="0" w:firstLine="1"/>
        <w:jc w:val="center"/>
        <w:rPr>
          <w:rFonts w:asciiTheme="majorBidi" w:hAnsiTheme="majorBidi" w:cstheme="majorBidi"/>
          <w:b/>
          <w:bCs/>
          <w:sz w:val="24"/>
          <w:szCs w:val="24"/>
        </w:rPr>
      </w:pPr>
      <w:r w:rsidRPr="007E6FFA">
        <w:rPr>
          <w:rFonts w:asciiTheme="majorBidi" w:hAnsiTheme="majorBidi" w:cstheme="majorBidi"/>
          <w:b/>
          <w:bCs/>
          <w:sz w:val="24"/>
          <w:szCs w:val="24"/>
        </w:rPr>
        <w:t>INTRODUCTION</w:t>
      </w:r>
    </w:p>
    <w:p w14:paraId="403579F2" w14:textId="77777777" w:rsidR="007E6FFA" w:rsidRDefault="004A26E2" w:rsidP="007E6FFA">
      <w:pPr>
        <w:spacing w:after="0" w:line="240" w:lineRule="auto"/>
        <w:ind w:firstLine="426"/>
        <w:jc w:val="both"/>
        <w:rPr>
          <w:rFonts w:asciiTheme="majorBidi" w:hAnsiTheme="majorBidi" w:cstheme="majorBidi"/>
          <w:sz w:val="24"/>
          <w:szCs w:val="24"/>
        </w:rPr>
      </w:pPr>
      <w:r w:rsidRPr="004A26E2">
        <w:rPr>
          <w:rFonts w:asciiTheme="majorBidi" w:hAnsiTheme="majorBidi" w:cstheme="majorBidi"/>
          <w:sz w:val="24"/>
          <w:szCs w:val="24"/>
        </w:rPr>
        <w:t>Organizational culture is a critical factor in shaping decision-making processes within businesses, influencing how employees address challenges and collaborate. A positive culture enhances decision-making success by aligning with the organization's values and goals. Key aspects of organizational culture, such as openness and communication, significantly affect decision outcomes. When employees feel comfortable sharing their thoughts, it leads to better decisions. Conversely, a toxic culture can hinder communication and thoughtful decision-</w:t>
      </w:r>
      <w:r w:rsidRPr="004A26E2">
        <w:rPr>
          <w:rFonts w:asciiTheme="majorBidi" w:hAnsiTheme="majorBidi" w:cstheme="majorBidi"/>
          <w:sz w:val="24"/>
          <w:szCs w:val="24"/>
        </w:rPr>
        <w:lastRenderedPageBreak/>
        <w:t>making, resulting in missed opportunities and costly mistakes. Organizations must balance efficiency and informed decision-making to achieve long-term success, fostering collaboration and open dialogue.</w:t>
      </w:r>
    </w:p>
    <w:p w14:paraId="005D3C5C" w14:textId="32995A99" w:rsidR="004A26E2" w:rsidRPr="004A26E2" w:rsidRDefault="004A26E2" w:rsidP="007E6FFA">
      <w:pPr>
        <w:spacing w:line="240" w:lineRule="auto"/>
        <w:ind w:firstLine="426"/>
        <w:jc w:val="both"/>
        <w:rPr>
          <w:rFonts w:asciiTheme="majorBidi" w:hAnsiTheme="majorBidi" w:cstheme="majorBidi"/>
          <w:sz w:val="24"/>
          <w:szCs w:val="24"/>
        </w:rPr>
      </w:pPr>
      <w:r w:rsidRPr="004A26E2">
        <w:rPr>
          <w:rFonts w:asciiTheme="majorBidi" w:hAnsiTheme="majorBidi" w:cstheme="majorBidi"/>
          <w:sz w:val="24"/>
          <w:szCs w:val="24"/>
        </w:rPr>
        <w:t>Investing in employee training and development is vital for enhancing efficiency and innovation. A culture of continuous learning increases employee engagement and retention, as individuals are more likely to stay with organizations that prioritize their growth. Ultimately, organizations that emphasize both efficiency and innovation will thrive in a competitive market.</w:t>
      </w:r>
    </w:p>
    <w:p w14:paraId="13E156EA" w14:textId="0B864D21" w:rsidR="004A26E2" w:rsidRPr="007E6FFA" w:rsidRDefault="004A26E2" w:rsidP="00856618">
      <w:pPr>
        <w:pStyle w:val="ListParagraph"/>
        <w:numPr>
          <w:ilvl w:val="6"/>
          <w:numId w:val="9"/>
        </w:numPr>
        <w:ind w:left="0" w:firstLine="0"/>
        <w:jc w:val="center"/>
        <w:rPr>
          <w:rFonts w:asciiTheme="majorBidi" w:hAnsiTheme="majorBidi" w:cstheme="majorBidi"/>
          <w:b/>
          <w:bCs/>
          <w:sz w:val="24"/>
          <w:szCs w:val="24"/>
        </w:rPr>
      </w:pPr>
      <w:r w:rsidRPr="007E6FFA">
        <w:rPr>
          <w:rFonts w:asciiTheme="majorBidi" w:hAnsiTheme="majorBidi" w:cstheme="majorBidi"/>
          <w:b/>
          <w:bCs/>
          <w:sz w:val="24"/>
          <w:szCs w:val="24"/>
        </w:rPr>
        <w:t>LITERATURE REVIEW</w:t>
      </w:r>
    </w:p>
    <w:p w14:paraId="0641D709" w14:textId="77777777" w:rsidR="007E6FFA" w:rsidRDefault="004A26E2" w:rsidP="007E6FFA">
      <w:pPr>
        <w:spacing w:after="0" w:line="240" w:lineRule="auto"/>
        <w:ind w:firstLine="426"/>
        <w:jc w:val="both"/>
        <w:rPr>
          <w:rFonts w:asciiTheme="majorBidi" w:hAnsiTheme="majorBidi" w:cstheme="majorBidi"/>
          <w:sz w:val="24"/>
          <w:szCs w:val="24"/>
        </w:rPr>
      </w:pPr>
      <w:r w:rsidRPr="004A26E2">
        <w:rPr>
          <w:rFonts w:asciiTheme="majorBidi" w:hAnsiTheme="majorBidi" w:cstheme="majorBidi"/>
          <w:sz w:val="24"/>
          <w:szCs w:val="24"/>
        </w:rPr>
        <w:t xml:space="preserve">Organizational culture encompasses shared values, beliefs, and norms that shape employee </w:t>
      </w:r>
      <w:proofErr w:type="spellStart"/>
      <w:r w:rsidRPr="004A26E2">
        <w:rPr>
          <w:rFonts w:asciiTheme="majorBidi" w:hAnsiTheme="majorBidi" w:cstheme="majorBidi"/>
          <w:sz w:val="24"/>
          <w:szCs w:val="24"/>
        </w:rPr>
        <w:t>behavior</w:t>
      </w:r>
      <w:proofErr w:type="spellEnd"/>
      <w:r w:rsidRPr="004A26E2">
        <w:rPr>
          <w:rFonts w:asciiTheme="majorBidi" w:hAnsiTheme="majorBidi" w:cstheme="majorBidi"/>
          <w:sz w:val="24"/>
          <w:szCs w:val="24"/>
        </w:rPr>
        <w:t>. Key components of a strong culture include a clear mission, strong leadership, open communication, and a focus on employee well-being. A positive culture fosters employee engagement and productivity, while a toxic culture can lead to high turnover and legal issues. In government agencies, a strong culture promotes transparency and accountability, benefiting public service delivery.</w:t>
      </w:r>
    </w:p>
    <w:p w14:paraId="3391FF62" w14:textId="2030ABF7" w:rsidR="004A26E2" w:rsidRDefault="004A26E2" w:rsidP="007E6FFA">
      <w:pPr>
        <w:spacing w:after="0" w:line="240" w:lineRule="auto"/>
        <w:ind w:firstLine="426"/>
        <w:jc w:val="both"/>
        <w:rPr>
          <w:rFonts w:asciiTheme="majorBidi" w:hAnsiTheme="majorBidi" w:cstheme="majorBidi"/>
          <w:sz w:val="24"/>
          <w:szCs w:val="24"/>
        </w:rPr>
      </w:pPr>
      <w:r w:rsidRPr="004A26E2">
        <w:rPr>
          <w:rFonts w:asciiTheme="majorBidi" w:hAnsiTheme="majorBidi" w:cstheme="majorBidi"/>
          <w:sz w:val="24"/>
          <w:szCs w:val="24"/>
        </w:rPr>
        <w:t>Leaders can create a positive work environment by fostering trust, respect, and accountability. Open communication and recognition of employee input boost morale and lead to increased innovation. A strong organizational culture can mitigate conflicts and improve teamwork, ultimately driving success and longevity in today's competitive landscape.</w:t>
      </w:r>
    </w:p>
    <w:p w14:paraId="723C6A48" w14:textId="77777777" w:rsidR="007E6FFA" w:rsidRPr="004A26E2" w:rsidRDefault="007E6FFA" w:rsidP="007E6FFA">
      <w:pPr>
        <w:spacing w:after="0" w:line="240" w:lineRule="auto"/>
        <w:ind w:firstLine="426"/>
        <w:jc w:val="both"/>
        <w:rPr>
          <w:rFonts w:asciiTheme="majorBidi" w:hAnsiTheme="majorBidi" w:cstheme="majorBidi"/>
          <w:sz w:val="24"/>
          <w:szCs w:val="24"/>
        </w:rPr>
      </w:pPr>
    </w:p>
    <w:p w14:paraId="02FF1D3C" w14:textId="03FFAF04" w:rsidR="004A26E2" w:rsidRPr="004A26E2" w:rsidRDefault="007E6FFA" w:rsidP="0072106A">
      <w:pPr>
        <w:spacing w:after="0" w:line="240" w:lineRule="auto"/>
        <w:jc w:val="both"/>
        <w:rPr>
          <w:rFonts w:asciiTheme="majorBidi" w:hAnsiTheme="majorBidi" w:cstheme="majorBidi"/>
          <w:sz w:val="24"/>
          <w:szCs w:val="24"/>
        </w:rPr>
      </w:pPr>
      <w:r>
        <w:rPr>
          <w:rFonts w:asciiTheme="majorBidi" w:hAnsiTheme="majorBidi" w:cstheme="majorBidi"/>
          <w:b/>
          <w:bCs/>
          <w:sz w:val="24"/>
          <w:szCs w:val="24"/>
        </w:rPr>
        <w:t xml:space="preserve">2.1 </w:t>
      </w:r>
      <w:r w:rsidR="004A26E2" w:rsidRPr="004A26E2">
        <w:rPr>
          <w:rFonts w:asciiTheme="majorBidi" w:hAnsiTheme="majorBidi" w:cstheme="majorBidi"/>
          <w:b/>
          <w:bCs/>
          <w:sz w:val="24"/>
          <w:szCs w:val="24"/>
        </w:rPr>
        <w:t>Organizational Culture and Decision Making</w:t>
      </w:r>
    </w:p>
    <w:p w14:paraId="101136FB" w14:textId="77777777" w:rsidR="004A26E2" w:rsidRDefault="004A26E2" w:rsidP="0072106A">
      <w:pPr>
        <w:spacing w:after="0" w:line="240" w:lineRule="auto"/>
        <w:ind w:firstLine="426"/>
        <w:jc w:val="both"/>
        <w:rPr>
          <w:rFonts w:asciiTheme="majorBidi" w:hAnsiTheme="majorBidi" w:cstheme="majorBidi"/>
          <w:sz w:val="24"/>
          <w:szCs w:val="24"/>
        </w:rPr>
      </w:pPr>
      <w:r w:rsidRPr="004A26E2">
        <w:rPr>
          <w:rFonts w:asciiTheme="majorBidi" w:hAnsiTheme="majorBidi" w:cstheme="majorBidi"/>
          <w:sz w:val="24"/>
          <w:szCs w:val="24"/>
        </w:rPr>
        <w:t>Companies with a strong, positive culture are more likely to make ethical and strategic decisions that benefit employees and the bottom line. Employees in these organizations feel empowered to contribute ideas, leading to greater innovation. A healthy culture attracts top talent, while toxic cultures struggle to retain employees and face negative consequences. By fostering a supportive environment, companies can enhance employee engagement, satisfaction, and productivity, resulting in improved performance and profitability.</w:t>
      </w:r>
    </w:p>
    <w:p w14:paraId="605CEB90" w14:textId="77777777" w:rsidR="0072106A" w:rsidRPr="004A26E2" w:rsidRDefault="0072106A" w:rsidP="0072106A">
      <w:pPr>
        <w:spacing w:after="0" w:line="240" w:lineRule="auto"/>
        <w:ind w:firstLine="426"/>
        <w:jc w:val="both"/>
        <w:rPr>
          <w:rFonts w:asciiTheme="majorBidi" w:hAnsiTheme="majorBidi" w:cstheme="majorBidi"/>
          <w:sz w:val="24"/>
          <w:szCs w:val="24"/>
        </w:rPr>
      </w:pPr>
    </w:p>
    <w:p w14:paraId="7F76E6CA" w14:textId="18FCAFD5" w:rsidR="004A26E2" w:rsidRPr="004A26E2" w:rsidRDefault="007E6FFA" w:rsidP="0072106A">
      <w:pPr>
        <w:spacing w:after="0" w:line="240" w:lineRule="auto"/>
        <w:jc w:val="both"/>
        <w:rPr>
          <w:rFonts w:asciiTheme="majorBidi" w:hAnsiTheme="majorBidi" w:cstheme="majorBidi"/>
          <w:sz w:val="24"/>
          <w:szCs w:val="24"/>
        </w:rPr>
      </w:pPr>
      <w:r>
        <w:rPr>
          <w:rFonts w:asciiTheme="majorBidi" w:hAnsiTheme="majorBidi" w:cstheme="majorBidi"/>
          <w:b/>
          <w:bCs/>
          <w:sz w:val="24"/>
          <w:szCs w:val="24"/>
        </w:rPr>
        <w:t xml:space="preserve">2.2 </w:t>
      </w:r>
      <w:r w:rsidR="004A26E2" w:rsidRPr="004A26E2">
        <w:rPr>
          <w:rFonts w:asciiTheme="majorBidi" w:hAnsiTheme="majorBidi" w:cstheme="majorBidi"/>
          <w:b/>
          <w:bCs/>
          <w:sz w:val="24"/>
          <w:szCs w:val="24"/>
        </w:rPr>
        <w:t>Organizational Culture in Government Agencies</w:t>
      </w:r>
    </w:p>
    <w:p w14:paraId="5E10BE57" w14:textId="3CD3A143" w:rsidR="004A26E2" w:rsidRDefault="004A26E2" w:rsidP="0072106A">
      <w:pPr>
        <w:spacing w:after="0" w:line="240" w:lineRule="auto"/>
        <w:ind w:firstLine="426"/>
        <w:jc w:val="both"/>
        <w:rPr>
          <w:rFonts w:asciiTheme="majorBidi" w:hAnsiTheme="majorBidi" w:cstheme="majorBidi"/>
          <w:sz w:val="24"/>
          <w:szCs w:val="24"/>
        </w:rPr>
      </w:pPr>
      <w:r w:rsidRPr="004A26E2">
        <w:rPr>
          <w:rFonts w:asciiTheme="majorBidi" w:hAnsiTheme="majorBidi" w:cstheme="majorBidi"/>
          <w:sz w:val="24"/>
          <w:szCs w:val="24"/>
        </w:rPr>
        <w:t xml:space="preserve">In government institutions, a positive organizational culture leads to effective decision-making processes, as employees are more likely to collaborate openly. A strong culture can prevent corruption and unethical </w:t>
      </w:r>
      <w:proofErr w:type="spellStart"/>
      <w:r w:rsidRPr="004A26E2">
        <w:rPr>
          <w:rFonts w:asciiTheme="majorBidi" w:hAnsiTheme="majorBidi" w:cstheme="majorBidi"/>
          <w:sz w:val="24"/>
          <w:szCs w:val="24"/>
        </w:rPr>
        <w:t>behavior</w:t>
      </w:r>
      <w:proofErr w:type="spellEnd"/>
      <w:r w:rsidRPr="004A26E2">
        <w:rPr>
          <w:rFonts w:asciiTheme="majorBidi" w:hAnsiTheme="majorBidi" w:cstheme="majorBidi"/>
          <w:sz w:val="24"/>
          <w:szCs w:val="24"/>
        </w:rPr>
        <w:t>, promoting trust and integrity in the public sector. Additionally, a positive culture increases employee satisfaction and retention rates, ultimately benefiting the organization. Government agencies must take a holistic approach to improving effectiveness, including investing in training and development programs.</w:t>
      </w:r>
    </w:p>
    <w:p w14:paraId="2E66F449" w14:textId="77777777" w:rsidR="0072106A" w:rsidRPr="004A26E2" w:rsidRDefault="0072106A" w:rsidP="0072106A">
      <w:pPr>
        <w:spacing w:after="0" w:line="240" w:lineRule="auto"/>
        <w:ind w:firstLine="426"/>
        <w:jc w:val="both"/>
        <w:rPr>
          <w:rFonts w:asciiTheme="majorBidi" w:hAnsiTheme="majorBidi" w:cstheme="majorBidi"/>
          <w:sz w:val="24"/>
          <w:szCs w:val="24"/>
        </w:rPr>
      </w:pPr>
    </w:p>
    <w:p w14:paraId="4363040B" w14:textId="7F61FED0" w:rsidR="004A26E2" w:rsidRPr="004A26E2" w:rsidRDefault="007E6FFA" w:rsidP="0072106A">
      <w:pPr>
        <w:spacing w:after="0" w:line="240" w:lineRule="auto"/>
        <w:jc w:val="both"/>
        <w:rPr>
          <w:rFonts w:asciiTheme="majorBidi" w:hAnsiTheme="majorBidi" w:cstheme="majorBidi"/>
          <w:sz w:val="24"/>
          <w:szCs w:val="24"/>
        </w:rPr>
      </w:pPr>
      <w:r>
        <w:rPr>
          <w:rFonts w:asciiTheme="majorBidi" w:hAnsiTheme="majorBidi" w:cstheme="majorBidi"/>
          <w:b/>
          <w:bCs/>
          <w:sz w:val="24"/>
          <w:szCs w:val="24"/>
        </w:rPr>
        <w:t xml:space="preserve">2.3 </w:t>
      </w:r>
      <w:r w:rsidR="004A26E2" w:rsidRPr="004A26E2">
        <w:rPr>
          <w:rFonts w:asciiTheme="majorBidi" w:hAnsiTheme="majorBidi" w:cstheme="majorBidi"/>
          <w:b/>
          <w:bCs/>
          <w:sz w:val="24"/>
          <w:szCs w:val="24"/>
        </w:rPr>
        <w:t>Theoretical Framework</w:t>
      </w:r>
    </w:p>
    <w:p w14:paraId="489EFE2D" w14:textId="77777777" w:rsidR="004A26E2" w:rsidRPr="004A26E2" w:rsidRDefault="004A26E2" w:rsidP="007E6FFA">
      <w:pPr>
        <w:spacing w:line="240" w:lineRule="auto"/>
        <w:ind w:firstLine="426"/>
        <w:jc w:val="both"/>
        <w:rPr>
          <w:rFonts w:asciiTheme="majorBidi" w:hAnsiTheme="majorBidi" w:cstheme="majorBidi"/>
          <w:sz w:val="24"/>
          <w:szCs w:val="24"/>
        </w:rPr>
      </w:pPr>
      <w:r w:rsidRPr="004A26E2">
        <w:rPr>
          <w:rFonts w:asciiTheme="majorBidi" w:hAnsiTheme="majorBidi" w:cstheme="majorBidi"/>
          <w:sz w:val="24"/>
          <w:szCs w:val="24"/>
        </w:rPr>
        <w:t xml:space="preserve">Understanding organizational culture is essential for enhancing performance in government agencies. The Competing Values Framework categorizes cultures into four quadrants: clan, adhocracy, hierarchy, and market. Each quadrant influences decision-making and employee </w:t>
      </w:r>
      <w:proofErr w:type="spellStart"/>
      <w:r w:rsidRPr="004A26E2">
        <w:rPr>
          <w:rFonts w:asciiTheme="majorBidi" w:hAnsiTheme="majorBidi" w:cstheme="majorBidi"/>
          <w:sz w:val="24"/>
          <w:szCs w:val="24"/>
        </w:rPr>
        <w:t>behavior</w:t>
      </w:r>
      <w:proofErr w:type="spellEnd"/>
      <w:r w:rsidRPr="004A26E2">
        <w:rPr>
          <w:rFonts w:asciiTheme="majorBidi" w:hAnsiTheme="majorBidi" w:cstheme="majorBidi"/>
          <w:sz w:val="24"/>
          <w:szCs w:val="24"/>
        </w:rPr>
        <w:t>. The Vroom-Yetton-Jago Decision-Making Model emphasizes employee participation, fostering ownership and commitment. Principles from organizational psychology, such as job enrichment, can create a motivating work environment.</w:t>
      </w:r>
    </w:p>
    <w:p w14:paraId="1689D892" w14:textId="77777777" w:rsidR="004A26E2" w:rsidRDefault="004A26E2" w:rsidP="004A26E2"/>
    <w:p w14:paraId="73C67E5B" w14:textId="77777777" w:rsidR="0072106A" w:rsidRDefault="0072106A" w:rsidP="004A26E2"/>
    <w:p w14:paraId="59739C81" w14:textId="77777777" w:rsidR="0072106A" w:rsidRPr="004A26E2" w:rsidRDefault="0072106A" w:rsidP="004A26E2"/>
    <w:p w14:paraId="414612CF" w14:textId="7EDF83F7" w:rsidR="004A26E2" w:rsidRPr="007E6FFA" w:rsidRDefault="004A26E2" w:rsidP="00856618">
      <w:pPr>
        <w:pStyle w:val="ListParagraph"/>
        <w:numPr>
          <w:ilvl w:val="6"/>
          <w:numId w:val="9"/>
        </w:numPr>
        <w:ind w:left="0" w:firstLine="0"/>
        <w:jc w:val="center"/>
        <w:rPr>
          <w:rFonts w:asciiTheme="majorBidi" w:hAnsiTheme="majorBidi" w:cstheme="majorBidi"/>
          <w:b/>
          <w:bCs/>
          <w:sz w:val="24"/>
          <w:szCs w:val="24"/>
        </w:rPr>
      </w:pPr>
      <w:r w:rsidRPr="007E6FFA">
        <w:rPr>
          <w:rFonts w:asciiTheme="majorBidi" w:hAnsiTheme="majorBidi" w:cstheme="majorBidi"/>
          <w:b/>
          <w:bCs/>
          <w:sz w:val="24"/>
          <w:szCs w:val="24"/>
        </w:rPr>
        <w:t>METHODOLOGY</w:t>
      </w:r>
    </w:p>
    <w:p w14:paraId="384C6AC3" w14:textId="77777777" w:rsidR="004A26E2" w:rsidRPr="004A26E2" w:rsidRDefault="004A26E2" w:rsidP="007E6FFA">
      <w:pPr>
        <w:ind w:firstLine="426"/>
        <w:jc w:val="both"/>
        <w:rPr>
          <w:rFonts w:asciiTheme="majorBidi" w:hAnsiTheme="majorBidi" w:cstheme="majorBidi"/>
          <w:sz w:val="24"/>
          <w:szCs w:val="24"/>
        </w:rPr>
      </w:pPr>
      <w:r w:rsidRPr="004A26E2">
        <w:rPr>
          <w:rFonts w:asciiTheme="majorBidi" w:hAnsiTheme="majorBidi" w:cstheme="majorBidi"/>
          <w:sz w:val="24"/>
          <w:szCs w:val="24"/>
        </w:rPr>
        <w:lastRenderedPageBreak/>
        <w:t>A mixed-methods approach was utilized to explore the impact of ethical leadership on employee morale and performance. Surveys and interviews were conducted across various departments, capturing diverse perspectives. Observational research provided insights into ethical leadership in action, allowing for a comprehensive understanding of its influence on organizational culture.</w:t>
      </w:r>
    </w:p>
    <w:p w14:paraId="6C28EB35" w14:textId="34E2FB75" w:rsidR="004A26E2" w:rsidRDefault="004A26E2" w:rsidP="007E6FFA">
      <w:pPr>
        <w:spacing w:after="0"/>
        <w:jc w:val="center"/>
        <w:rPr>
          <w:rFonts w:asciiTheme="majorBidi" w:hAnsiTheme="majorBidi" w:cstheme="majorBidi"/>
          <w:b/>
          <w:bCs/>
          <w:sz w:val="24"/>
          <w:szCs w:val="24"/>
        </w:rPr>
      </w:pPr>
      <w:r>
        <w:rPr>
          <w:rFonts w:asciiTheme="majorBidi" w:hAnsiTheme="majorBidi" w:cstheme="majorBidi"/>
          <w:b/>
          <w:bCs/>
          <w:sz w:val="24"/>
          <w:szCs w:val="24"/>
        </w:rPr>
        <w:t xml:space="preserve">4.  </w:t>
      </w:r>
      <w:r w:rsidRPr="004A26E2">
        <w:rPr>
          <w:rFonts w:asciiTheme="majorBidi" w:hAnsiTheme="majorBidi" w:cstheme="majorBidi"/>
          <w:b/>
          <w:bCs/>
          <w:sz w:val="24"/>
          <w:szCs w:val="24"/>
        </w:rPr>
        <w:t>R</w:t>
      </w:r>
      <w:r>
        <w:rPr>
          <w:rFonts w:asciiTheme="majorBidi" w:hAnsiTheme="majorBidi" w:cstheme="majorBidi"/>
          <w:b/>
          <w:bCs/>
          <w:sz w:val="24"/>
          <w:szCs w:val="24"/>
        </w:rPr>
        <w:t>ESULTS AND DISCUSSION</w:t>
      </w:r>
    </w:p>
    <w:p w14:paraId="40BC0D73" w14:textId="77777777" w:rsidR="007E6FFA" w:rsidRPr="004A26E2" w:rsidRDefault="007E6FFA" w:rsidP="007E6FFA">
      <w:pPr>
        <w:spacing w:after="0"/>
        <w:ind w:firstLine="153"/>
        <w:rPr>
          <w:rFonts w:asciiTheme="majorBidi" w:hAnsiTheme="majorBidi" w:cstheme="majorBidi"/>
          <w:sz w:val="24"/>
          <w:szCs w:val="24"/>
        </w:rPr>
      </w:pPr>
    </w:p>
    <w:p w14:paraId="78D44D75" w14:textId="229FD736" w:rsidR="004A26E2" w:rsidRPr="007E6FFA" w:rsidRDefault="004A26E2" w:rsidP="00856618">
      <w:pPr>
        <w:pStyle w:val="ListParagraph"/>
        <w:numPr>
          <w:ilvl w:val="1"/>
          <w:numId w:val="15"/>
        </w:numPr>
        <w:spacing w:line="240" w:lineRule="auto"/>
        <w:ind w:left="851" w:hanging="425"/>
        <w:jc w:val="both"/>
        <w:rPr>
          <w:rFonts w:asciiTheme="majorBidi" w:hAnsiTheme="majorBidi" w:cstheme="majorBidi"/>
          <w:sz w:val="24"/>
          <w:szCs w:val="24"/>
        </w:rPr>
      </w:pPr>
      <w:r w:rsidRPr="007E6FFA">
        <w:rPr>
          <w:rFonts w:asciiTheme="majorBidi" w:hAnsiTheme="majorBidi" w:cstheme="majorBidi"/>
          <w:sz w:val="24"/>
          <w:szCs w:val="24"/>
        </w:rPr>
        <w:t>Findings on Organizational Culture and Decision-Making: The study found that a positive organizational culture enhances decision-making among accountants, leading to higher job satisfaction and retention. Key factors influencing decision-making include autonomy, open communication, and management support.</w:t>
      </w:r>
    </w:p>
    <w:p w14:paraId="03AC6F6D" w14:textId="0E2867ED" w:rsidR="004A26E2" w:rsidRPr="007E6FFA" w:rsidRDefault="004A26E2" w:rsidP="00856618">
      <w:pPr>
        <w:pStyle w:val="ListParagraph"/>
        <w:numPr>
          <w:ilvl w:val="1"/>
          <w:numId w:val="15"/>
        </w:numPr>
        <w:spacing w:line="240" w:lineRule="auto"/>
        <w:ind w:left="851" w:hanging="425"/>
        <w:jc w:val="both"/>
        <w:rPr>
          <w:rFonts w:asciiTheme="majorBidi" w:hAnsiTheme="majorBidi" w:cstheme="majorBidi"/>
          <w:sz w:val="24"/>
          <w:szCs w:val="24"/>
        </w:rPr>
      </w:pPr>
      <w:r w:rsidRPr="007E6FFA">
        <w:rPr>
          <w:rFonts w:asciiTheme="majorBidi" w:hAnsiTheme="majorBidi" w:cstheme="majorBidi"/>
          <w:sz w:val="24"/>
          <w:szCs w:val="24"/>
        </w:rPr>
        <w:t xml:space="preserve">Comparative Analysis of Cultures: Different organizational cultures significantly affect ethical </w:t>
      </w:r>
      <w:proofErr w:type="spellStart"/>
      <w:r w:rsidRPr="007E6FFA">
        <w:rPr>
          <w:rFonts w:asciiTheme="majorBidi" w:hAnsiTheme="majorBidi" w:cstheme="majorBidi"/>
          <w:sz w:val="24"/>
          <w:szCs w:val="24"/>
        </w:rPr>
        <w:t>behavior</w:t>
      </w:r>
      <w:proofErr w:type="spellEnd"/>
      <w:r w:rsidRPr="007E6FFA">
        <w:rPr>
          <w:rFonts w:asciiTheme="majorBidi" w:hAnsiTheme="majorBidi" w:cstheme="majorBidi"/>
          <w:sz w:val="24"/>
          <w:szCs w:val="24"/>
        </w:rPr>
        <w:t xml:space="preserve"> among accountants. A strong culture of integrity promotes ethical decision-making, while a toxic culture can lead to unethical practices.</w:t>
      </w:r>
    </w:p>
    <w:p w14:paraId="093B6E0F" w14:textId="0DB92E4F" w:rsidR="004A26E2" w:rsidRPr="007E6FFA" w:rsidRDefault="004A26E2" w:rsidP="00856618">
      <w:pPr>
        <w:pStyle w:val="ListParagraph"/>
        <w:numPr>
          <w:ilvl w:val="1"/>
          <w:numId w:val="15"/>
        </w:numPr>
        <w:spacing w:line="240" w:lineRule="auto"/>
        <w:ind w:left="851" w:hanging="425"/>
        <w:jc w:val="both"/>
        <w:rPr>
          <w:rFonts w:asciiTheme="majorBidi" w:hAnsiTheme="majorBidi" w:cstheme="majorBidi"/>
          <w:sz w:val="24"/>
          <w:szCs w:val="24"/>
        </w:rPr>
      </w:pPr>
      <w:r w:rsidRPr="007E6FFA">
        <w:rPr>
          <w:rFonts w:asciiTheme="majorBidi" w:hAnsiTheme="majorBidi" w:cstheme="majorBidi"/>
          <w:sz w:val="24"/>
          <w:szCs w:val="24"/>
        </w:rPr>
        <w:t xml:space="preserve">Implications for Government Agencies: Findings suggest that government institutions should implement stricter regulations and oversight mechanisms to ensure ethical standards in accounting firms. Collaboration between regulatory bodies and industry associations is essential for promoting ethical </w:t>
      </w:r>
      <w:proofErr w:type="spellStart"/>
      <w:r w:rsidRPr="007E6FFA">
        <w:rPr>
          <w:rFonts w:asciiTheme="majorBidi" w:hAnsiTheme="majorBidi" w:cstheme="majorBidi"/>
          <w:sz w:val="24"/>
          <w:szCs w:val="24"/>
        </w:rPr>
        <w:t>behavior</w:t>
      </w:r>
      <w:proofErr w:type="spellEnd"/>
      <w:r w:rsidRPr="007E6FFA">
        <w:rPr>
          <w:rFonts w:asciiTheme="majorBidi" w:hAnsiTheme="majorBidi" w:cstheme="majorBidi"/>
          <w:sz w:val="24"/>
          <w:szCs w:val="24"/>
        </w:rPr>
        <w:t>.</w:t>
      </w:r>
    </w:p>
    <w:p w14:paraId="47F9F789" w14:textId="5B142E0F" w:rsidR="004A26E2" w:rsidRPr="007E6FFA" w:rsidRDefault="004A26E2" w:rsidP="00856618">
      <w:pPr>
        <w:pStyle w:val="ListParagraph"/>
        <w:numPr>
          <w:ilvl w:val="0"/>
          <w:numId w:val="15"/>
        </w:numPr>
        <w:spacing w:line="240" w:lineRule="auto"/>
        <w:ind w:left="851" w:hanging="425"/>
        <w:jc w:val="both"/>
        <w:rPr>
          <w:rFonts w:asciiTheme="majorBidi" w:hAnsiTheme="majorBidi" w:cstheme="majorBidi"/>
          <w:sz w:val="24"/>
          <w:szCs w:val="24"/>
        </w:rPr>
      </w:pPr>
      <w:r w:rsidRPr="007E6FFA">
        <w:rPr>
          <w:rFonts w:asciiTheme="majorBidi" w:hAnsiTheme="majorBidi" w:cstheme="majorBidi"/>
          <w:sz w:val="24"/>
          <w:szCs w:val="24"/>
        </w:rPr>
        <w:t>Suggestions for Improvement: Recommendations include promoting transparency, fostering open communication, and investing in ongoing ethics training. Establishing clear ethical guidelines and implementing whistleblower protection programs can further enhance organizational culture.</w:t>
      </w:r>
    </w:p>
    <w:p w14:paraId="437910A3" w14:textId="6F2FF626" w:rsidR="004A26E2" w:rsidRPr="007E6FFA" w:rsidRDefault="004A26E2" w:rsidP="00856618">
      <w:pPr>
        <w:pStyle w:val="ListParagraph"/>
        <w:numPr>
          <w:ilvl w:val="0"/>
          <w:numId w:val="15"/>
        </w:numPr>
        <w:spacing w:line="240" w:lineRule="auto"/>
        <w:ind w:left="851" w:hanging="425"/>
        <w:jc w:val="both"/>
        <w:rPr>
          <w:rFonts w:asciiTheme="majorBidi" w:hAnsiTheme="majorBidi" w:cstheme="majorBidi"/>
          <w:sz w:val="24"/>
          <w:szCs w:val="24"/>
        </w:rPr>
      </w:pPr>
      <w:r w:rsidRPr="007E6FFA">
        <w:rPr>
          <w:rFonts w:asciiTheme="majorBidi" w:hAnsiTheme="majorBidi" w:cstheme="majorBidi"/>
          <w:sz w:val="24"/>
          <w:szCs w:val="24"/>
        </w:rPr>
        <w:t xml:space="preserve">Future Research Directions: Future studies should explore the long-term benefits of ethical practices on employee morale, productivity, and financial performance. Investigating the role of corporate governance in promoting ethical </w:t>
      </w:r>
      <w:proofErr w:type="spellStart"/>
      <w:r w:rsidRPr="007E6FFA">
        <w:rPr>
          <w:rFonts w:asciiTheme="majorBidi" w:hAnsiTheme="majorBidi" w:cstheme="majorBidi"/>
          <w:sz w:val="24"/>
          <w:szCs w:val="24"/>
        </w:rPr>
        <w:t>behavior</w:t>
      </w:r>
      <w:proofErr w:type="spellEnd"/>
      <w:r w:rsidRPr="007E6FFA">
        <w:rPr>
          <w:rFonts w:asciiTheme="majorBidi" w:hAnsiTheme="majorBidi" w:cstheme="majorBidi"/>
          <w:sz w:val="24"/>
          <w:szCs w:val="24"/>
        </w:rPr>
        <w:t xml:space="preserve"> is also crucial for maintaining accountability.</w:t>
      </w:r>
    </w:p>
    <w:p w14:paraId="66858715" w14:textId="77777777" w:rsidR="004A26E2" w:rsidRPr="004A26E2" w:rsidRDefault="004A26E2" w:rsidP="004A26E2">
      <w:pPr>
        <w:spacing w:line="240" w:lineRule="auto"/>
        <w:rPr>
          <w:rFonts w:asciiTheme="majorBidi" w:hAnsiTheme="majorBidi" w:cstheme="majorBidi"/>
          <w:sz w:val="24"/>
          <w:szCs w:val="24"/>
        </w:rPr>
      </w:pPr>
    </w:p>
    <w:p w14:paraId="168007C5" w14:textId="0F4A9DE7" w:rsidR="004A26E2" w:rsidRPr="004A26E2" w:rsidRDefault="004A26E2" w:rsidP="004A26E2">
      <w:pPr>
        <w:jc w:val="center"/>
        <w:rPr>
          <w:rFonts w:asciiTheme="majorBidi" w:hAnsiTheme="majorBidi" w:cstheme="majorBidi"/>
          <w:sz w:val="24"/>
          <w:szCs w:val="24"/>
        </w:rPr>
      </w:pPr>
      <w:r w:rsidRPr="004A26E2">
        <w:rPr>
          <w:rFonts w:asciiTheme="majorBidi" w:hAnsiTheme="majorBidi" w:cstheme="majorBidi"/>
          <w:b/>
          <w:bCs/>
          <w:sz w:val="24"/>
          <w:szCs w:val="24"/>
        </w:rPr>
        <w:t>C</w:t>
      </w:r>
      <w:r>
        <w:rPr>
          <w:rFonts w:asciiTheme="majorBidi" w:hAnsiTheme="majorBidi" w:cstheme="majorBidi"/>
          <w:b/>
          <w:bCs/>
          <w:sz w:val="24"/>
          <w:szCs w:val="24"/>
        </w:rPr>
        <w:t>ONCLUSION</w:t>
      </w:r>
    </w:p>
    <w:p w14:paraId="48B6E024" w14:textId="77777777" w:rsidR="004A26E2" w:rsidRPr="004A26E2" w:rsidRDefault="004A26E2" w:rsidP="007E6FFA">
      <w:pPr>
        <w:jc w:val="both"/>
        <w:rPr>
          <w:rFonts w:asciiTheme="majorBidi" w:hAnsiTheme="majorBidi" w:cstheme="majorBidi"/>
          <w:sz w:val="24"/>
          <w:szCs w:val="24"/>
        </w:rPr>
      </w:pPr>
      <w:r w:rsidRPr="004A26E2">
        <w:rPr>
          <w:rFonts w:asciiTheme="majorBidi" w:hAnsiTheme="majorBidi" w:cstheme="majorBidi"/>
          <w:sz w:val="24"/>
          <w:szCs w:val="24"/>
        </w:rPr>
        <w:t xml:space="preserve">Promoting ethical </w:t>
      </w:r>
      <w:proofErr w:type="spellStart"/>
      <w:r w:rsidRPr="004A26E2">
        <w:rPr>
          <w:rFonts w:asciiTheme="majorBidi" w:hAnsiTheme="majorBidi" w:cstheme="majorBidi"/>
          <w:sz w:val="24"/>
          <w:szCs w:val="24"/>
        </w:rPr>
        <w:t>behavior</w:t>
      </w:r>
      <w:proofErr w:type="spellEnd"/>
      <w:r w:rsidRPr="004A26E2">
        <w:rPr>
          <w:rFonts w:asciiTheme="majorBidi" w:hAnsiTheme="majorBidi" w:cstheme="majorBidi"/>
          <w:sz w:val="24"/>
          <w:szCs w:val="24"/>
        </w:rPr>
        <w:t xml:space="preserve"> within organizations is essential for long-term success and societal impact. A strong organizational culture that prioritizes ethics leads to better decision-making, increased employee morale, and enhanced trust among stakeholders. By fostering a culture of integrity and accountability, organizations can navigate complex ethical dilemmas and achieve sustainable growth. Ultimately, prioritizing ethics benefits individual firms and contributes to a more trustworthy and ethical financial industry.</w:t>
      </w:r>
    </w:p>
    <w:p w14:paraId="2AC19B2C" w14:textId="77777777" w:rsidR="004A26E2" w:rsidRPr="004A26E2" w:rsidRDefault="004A26E2" w:rsidP="004A26E2"/>
    <w:p w14:paraId="606AB582" w14:textId="43F7BAD2" w:rsidR="004A26E2" w:rsidRPr="004A26E2" w:rsidRDefault="004A26E2" w:rsidP="004A26E2">
      <w:pPr>
        <w:jc w:val="center"/>
        <w:rPr>
          <w:rFonts w:asciiTheme="majorBidi" w:hAnsiTheme="majorBidi" w:cstheme="majorBidi"/>
          <w:sz w:val="24"/>
          <w:szCs w:val="24"/>
        </w:rPr>
      </w:pPr>
      <w:r w:rsidRPr="004A26E2">
        <w:rPr>
          <w:rFonts w:asciiTheme="majorBidi" w:hAnsiTheme="majorBidi" w:cstheme="majorBidi"/>
          <w:b/>
          <w:bCs/>
          <w:sz w:val="24"/>
          <w:szCs w:val="24"/>
        </w:rPr>
        <w:t>R</w:t>
      </w:r>
      <w:r>
        <w:rPr>
          <w:rFonts w:asciiTheme="majorBidi" w:hAnsiTheme="majorBidi" w:cstheme="majorBidi"/>
          <w:b/>
          <w:bCs/>
          <w:sz w:val="24"/>
          <w:szCs w:val="24"/>
        </w:rPr>
        <w:t>EFERENCES</w:t>
      </w:r>
    </w:p>
    <w:p w14:paraId="78C223D9"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Abd, Mohamad, Hilmi, Md, &amp; Jamaliah. (2015). </w:t>
      </w:r>
      <w:r w:rsidRPr="004A26E2">
        <w:rPr>
          <w:rFonts w:asciiTheme="majorBidi" w:hAnsiTheme="majorBidi" w:cstheme="majorBidi"/>
          <w:i/>
          <w:iCs/>
          <w:sz w:val="24"/>
          <w:szCs w:val="24"/>
        </w:rPr>
        <w:t>Enhancement of the accountability of public sectors through integrity system, internal control system and leadership practices: A review study</w:t>
      </w:r>
      <w:r w:rsidRPr="004A26E2">
        <w:rPr>
          <w:rFonts w:asciiTheme="majorBidi" w:hAnsiTheme="majorBidi" w:cstheme="majorBidi"/>
          <w:sz w:val="24"/>
          <w:szCs w:val="24"/>
        </w:rPr>
        <w:t>. https://www.sciencedirect.com/science/article/pii/S2212567115010965</w:t>
      </w:r>
    </w:p>
    <w:p w14:paraId="4AE6440D"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Ahsan. (2025). </w:t>
      </w:r>
      <w:r w:rsidRPr="004A26E2">
        <w:rPr>
          <w:rFonts w:asciiTheme="majorBidi" w:hAnsiTheme="majorBidi" w:cstheme="majorBidi"/>
          <w:i/>
          <w:iCs/>
          <w:sz w:val="24"/>
          <w:szCs w:val="24"/>
        </w:rPr>
        <w:t>Cultivating a culture of learning: the role of leadership in fostering lifelong development</w:t>
      </w:r>
      <w:r w:rsidRPr="004A26E2">
        <w:rPr>
          <w:rFonts w:asciiTheme="majorBidi" w:hAnsiTheme="majorBidi" w:cstheme="majorBidi"/>
          <w:sz w:val="24"/>
          <w:szCs w:val="24"/>
        </w:rPr>
        <w:t>. https://www.emerald.com/insight/content/doi/10.1108/TLO-03-2024-0099/full/html</w:t>
      </w:r>
    </w:p>
    <w:p w14:paraId="7ECD8940"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Aikins. (2011). </w:t>
      </w:r>
      <w:r w:rsidRPr="004A26E2">
        <w:rPr>
          <w:rFonts w:asciiTheme="majorBidi" w:hAnsiTheme="majorBidi" w:cstheme="majorBidi"/>
          <w:i/>
          <w:iCs/>
          <w:sz w:val="24"/>
          <w:szCs w:val="24"/>
        </w:rPr>
        <w:t>An examination of government internal audits’ role in improving financial performance</w:t>
      </w:r>
      <w:r w:rsidRPr="004A26E2">
        <w:rPr>
          <w:rFonts w:asciiTheme="majorBidi" w:hAnsiTheme="majorBidi" w:cstheme="majorBidi"/>
          <w:sz w:val="24"/>
          <w:szCs w:val="24"/>
        </w:rPr>
        <w:t>. https://journals.sagepub.com/doi/abs/10.1177/152397211101100401</w:t>
      </w:r>
    </w:p>
    <w:p w14:paraId="2E1756FC"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lastRenderedPageBreak/>
        <w:t xml:space="preserve">Al, &amp; Tarik. (2020). </w:t>
      </w:r>
      <w:r w:rsidRPr="004A26E2">
        <w:rPr>
          <w:rFonts w:asciiTheme="majorBidi" w:hAnsiTheme="majorBidi" w:cstheme="majorBidi"/>
          <w:i/>
          <w:iCs/>
          <w:sz w:val="24"/>
          <w:szCs w:val="24"/>
        </w:rPr>
        <w:t>The impact of implementing talent management practices on sustainable organizational performance</w:t>
      </w:r>
      <w:r w:rsidRPr="004A26E2">
        <w:rPr>
          <w:rFonts w:asciiTheme="majorBidi" w:hAnsiTheme="majorBidi" w:cstheme="majorBidi"/>
          <w:sz w:val="24"/>
          <w:szCs w:val="24"/>
        </w:rPr>
        <w:t>. https://www.mdpi.com/2071-1050/12/20/8372</w:t>
      </w:r>
    </w:p>
    <w:p w14:paraId="5070C967"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CA3E0F">
        <w:rPr>
          <w:rFonts w:asciiTheme="majorBidi" w:hAnsiTheme="majorBidi" w:cstheme="majorBidi"/>
          <w:sz w:val="24"/>
          <w:szCs w:val="24"/>
          <w:lang w:val="de-DE"/>
        </w:rPr>
        <w:t xml:space="preserve">Amy, Benjamin, Lynn, Karen, Beth, Michelle, &amp; Uma. </w:t>
      </w:r>
      <w:r w:rsidRPr="004A26E2">
        <w:rPr>
          <w:rFonts w:asciiTheme="majorBidi" w:hAnsiTheme="majorBidi" w:cstheme="majorBidi"/>
          <w:sz w:val="24"/>
          <w:szCs w:val="24"/>
        </w:rPr>
        <w:t xml:space="preserve">(2018). </w:t>
      </w:r>
      <w:r w:rsidRPr="004A26E2">
        <w:rPr>
          <w:rFonts w:asciiTheme="majorBidi" w:hAnsiTheme="majorBidi" w:cstheme="majorBidi"/>
          <w:i/>
          <w:iCs/>
          <w:sz w:val="24"/>
          <w:szCs w:val="24"/>
        </w:rPr>
        <w:t>Inclusive leadership: Realizing positive outcomes through belongingness and being valued for uniqueness</w:t>
      </w:r>
      <w:r w:rsidRPr="004A26E2">
        <w:rPr>
          <w:rFonts w:asciiTheme="majorBidi" w:hAnsiTheme="majorBidi" w:cstheme="majorBidi"/>
          <w:sz w:val="24"/>
          <w:szCs w:val="24"/>
        </w:rPr>
        <w:t>. https://www.sciencedirect.com/science/article/pii/S1053482217300517</w:t>
      </w:r>
    </w:p>
    <w:p w14:paraId="11EB55AE"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Anatasia, Dorcas, &amp; ABUJA. (2024). </w:t>
      </w:r>
      <w:r w:rsidRPr="004A26E2">
        <w:rPr>
          <w:rFonts w:asciiTheme="majorBidi" w:hAnsiTheme="majorBidi" w:cstheme="majorBidi"/>
          <w:i/>
          <w:iCs/>
          <w:sz w:val="24"/>
          <w:szCs w:val="24"/>
        </w:rPr>
        <w:t>Effect Of Work Design On Employee’s Citizenship Behaviour In Selected Financial Technology Firms (Fintech’s) In Federal Capital . . .</w:t>
      </w:r>
      <w:r w:rsidRPr="004A26E2">
        <w:rPr>
          <w:rFonts w:asciiTheme="majorBidi" w:hAnsiTheme="majorBidi" w:cstheme="majorBidi"/>
          <w:sz w:val="24"/>
          <w:szCs w:val="24"/>
        </w:rPr>
        <w:t>. https://ajbam.com.ng/index.php/ajbam/article/view/43</w:t>
      </w:r>
    </w:p>
    <w:p w14:paraId="0C429ED9"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Anita, &amp; V. (2023). </w:t>
      </w:r>
      <w:r w:rsidRPr="004A26E2">
        <w:rPr>
          <w:rFonts w:asciiTheme="majorBidi" w:hAnsiTheme="majorBidi" w:cstheme="majorBidi"/>
          <w:i/>
          <w:iCs/>
          <w:sz w:val="24"/>
          <w:szCs w:val="24"/>
        </w:rPr>
        <w:t>Ethical considerations of leaders and integrity in public universities</w:t>
      </w:r>
      <w:r w:rsidRPr="004A26E2">
        <w:rPr>
          <w:rFonts w:asciiTheme="majorBidi" w:hAnsiTheme="majorBidi" w:cstheme="majorBidi"/>
          <w:sz w:val="24"/>
          <w:szCs w:val="24"/>
        </w:rPr>
        <w:t>. https://www.ijilpm.com.ng/assets/vol.,-5(2)-brigue,-a.-u.,---orlu,-v.-n.pdf</w:t>
      </w:r>
    </w:p>
    <w:p w14:paraId="72D4ABDE"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proofErr w:type="spellStart"/>
      <w:r w:rsidRPr="004A26E2">
        <w:rPr>
          <w:rFonts w:asciiTheme="majorBidi" w:hAnsiTheme="majorBidi" w:cstheme="majorBidi"/>
          <w:sz w:val="24"/>
          <w:szCs w:val="24"/>
        </w:rPr>
        <w:t>Appolos</w:t>
      </w:r>
      <w:proofErr w:type="spellEnd"/>
      <w:r w:rsidRPr="004A26E2">
        <w:rPr>
          <w:rFonts w:asciiTheme="majorBidi" w:hAnsiTheme="majorBidi" w:cstheme="majorBidi"/>
          <w:sz w:val="24"/>
          <w:szCs w:val="24"/>
        </w:rPr>
        <w:t xml:space="preserve">, Grace, &amp; Niyonzima. (2016). </w:t>
      </w:r>
      <w:r w:rsidRPr="004A26E2">
        <w:rPr>
          <w:rFonts w:asciiTheme="majorBidi" w:hAnsiTheme="majorBidi" w:cstheme="majorBidi"/>
          <w:i/>
          <w:iCs/>
          <w:sz w:val="24"/>
          <w:szCs w:val="24"/>
        </w:rPr>
        <w:t>Internal audit practices and public financial Management in Rwanda and Nigeria: bridging the Transparency gap in public sector financial Reporting</w:t>
      </w:r>
      <w:r w:rsidRPr="004A26E2">
        <w:rPr>
          <w:rFonts w:asciiTheme="majorBidi" w:hAnsiTheme="majorBidi" w:cstheme="majorBidi"/>
          <w:sz w:val="24"/>
          <w:szCs w:val="24"/>
        </w:rPr>
        <w:t>. https://www.academia.edu/download/49887738/Internal_Audit_Practices_And_Public_Financial_Management_In_Rwanda_And_Nigeria.Pdf</w:t>
      </w:r>
    </w:p>
    <w:p w14:paraId="63D256F6"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Arnold, &amp; </w:t>
      </w:r>
      <w:proofErr w:type="spellStart"/>
      <w:r w:rsidRPr="004A26E2">
        <w:rPr>
          <w:rFonts w:asciiTheme="majorBidi" w:hAnsiTheme="majorBidi" w:cstheme="majorBidi"/>
          <w:sz w:val="24"/>
          <w:szCs w:val="24"/>
        </w:rPr>
        <w:t>Juriena</w:t>
      </w:r>
      <w:proofErr w:type="spellEnd"/>
      <w:r w:rsidRPr="004A26E2">
        <w:rPr>
          <w:rFonts w:asciiTheme="majorBidi" w:hAnsiTheme="majorBidi" w:cstheme="majorBidi"/>
          <w:sz w:val="24"/>
          <w:szCs w:val="24"/>
        </w:rPr>
        <w:t xml:space="preserve">. (2021). </w:t>
      </w:r>
      <w:r w:rsidRPr="004A26E2">
        <w:rPr>
          <w:rFonts w:asciiTheme="majorBidi" w:hAnsiTheme="majorBidi" w:cstheme="majorBidi"/>
          <w:i/>
          <w:iCs/>
          <w:sz w:val="24"/>
          <w:szCs w:val="24"/>
        </w:rPr>
        <w:t>Job Demands–Resources theory and self-regulation: New explanations and remedies for job burnout</w:t>
      </w:r>
      <w:r w:rsidRPr="004A26E2">
        <w:rPr>
          <w:rFonts w:asciiTheme="majorBidi" w:hAnsiTheme="majorBidi" w:cstheme="majorBidi"/>
          <w:sz w:val="24"/>
          <w:szCs w:val="24"/>
        </w:rPr>
        <w:t>. https://www.tandfonline.com/doi/abs/10.1080/10615806.2020.1797695</w:t>
      </w:r>
    </w:p>
    <w:p w14:paraId="175F0A30"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Audrey, Fredrick, Peter, &amp; </w:t>
      </w:r>
      <w:proofErr w:type="spellStart"/>
      <w:r w:rsidRPr="004A26E2">
        <w:rPr>
          <w:rFonts w:asciiTheme="majorBidi" w:hAnsiTheme="majorBidi" w:cstheme="majorBidi"/>
          <w:sz w:val="24"/>
          <w:szCs w:val="24"/>
        </w:rPr>
        <w:t>rnance</w:t>
      </w:r>
      <w:proofErr w:type="spellEnd"/>
      <w:r w:rsidRPr="004A26E2">
        <w:rPr>
          <w:rFonts w:asciiTheme="majorBidi" w:hAnsiTheme="majorBidi" w:cstheme="majorBidi"/>
          <w:sz w:val="24"/>
          <w:szCs w:val="24"/>
        </w:rPr>
        <w:t xml:space="preserve">. (2019). </w:t>
      </w:r>
      <w:r w:rsidRPr="004A26E2">
        <w:rPr>
          <w:rFonts w:asciiTheme="majorBidi" w:hAnsiTheme="majorBidi" w:cstheme="majorBidi"/>
          <w:i/>
          <w:iCs/>
          <w:sz w:val="24"/>
          <w:szCs w:val="24"/>
        </w:rPr>
        <w:t>Accounting control, governance and anti-corruption initiatives in public sector organisations</w:t>
      </w:r>
      <w:r w:rsidRPr="004A26E2">
        <w:rPr>
          <w:rFonts w:asciiTheme="majorBidi" w:hAnsiTheme="majorBidi" w:cstheme="majorBidi"/>
          <w:sz w:val="24"/>
          <w:szCs w:val="24"/>
        </w:rPr>
        <w:t>. https://www.sciencedirect.com/science/article/pii/S0890838919300691</w:t>
      </w:r>
    </w:p>
    <w:p w14:paraId="34169FB7"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Bambang, Glen, &amp; Vaughan. (2013). </w:t>
      </w:r>
      <w:r w:rsidRPr="004A26E2">
        <w:rPr>
          <w:rFonts w:asciiTheme="majorBidi" w:hAnsiTheme="majorBidi" w:cstheme="majorBidi"/>
          <w:i/>
          <w:iCs/>
          <w:sz w:val="24"/>
          <w:szCs w:val="24"/>
        </w:rPr>
        <w:t>Organizational culture and willingness to share knowledge: A competing values perspective in Australian context</w:t>
      </w:r>
      <w:r w:rsidRPr="004A26E2">
        <w:rPr>
          <w:rFonts w:asciiTheme="majorBidi" w:hAnsiTheme="majorBidi" w:cstheme="majorBidi"/>
          <w:sz w:val="24"/>
          <w:szCs w:val="24"/>
        </w:rPr>
        <w:t>. https://www.sciencedirect.com/science/article/pii/S0263786313000057</w:t>
      </w:r>
    </w:p>
    <w:p w14:paraId="62FA05DF"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Bamidele. (2022). </w:t>
      </w:r>
      <w:r w:rsidRPr="004A26E2">
        <w:rPr>
          <w:rFonts w:asciiTheme="majorBidi" w:hAnsiTheme="majorBidi" w:cstheme="majorBidi"/>
          <w:i/>
          <w:iCs/>
          <w:sz w:val="24"/>
          <w:szCs w:val="24"/>
        </w:rPr>
        <w:t>Organizational culture</w:t>
      </w:r>
      <w:r w:rsidRPr="004A26E2">
        <w:rPr>
          <w:rFonts w:asciiTheme="majorBidi" w:hAnsiTheme="majorBidi" w:cstheme="majorBidi"/>
          <w:sz w:val="24"/>
          <w:szCs w:val="24"/>
        </w:rPr>
        <w:t>. https://www.researchgate.net/profile/Rasak-Bamidele/publication/357605292_ORGANIZATIONAL_CULTURE/links/61d5fb78e669ee0f5c8a4635/ORGANIZATIONAL-CULTURE.pdf</w:t>
      </w:r>
    </w:p>
    <w:p w14:paraId="2CC02669"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Bang-Lee, &amp; Yen-Ku. (2019). </w:t>
      </w:r>
      <w:r w:rsidRPr="004A26E2">
        <w:rPr>
          <w:rFonts w:asciiTheme="majorBidi" w:hAnsiTheme="majorBidi" w:cstheme="majorBidi"/>
          <w:i/>
          <w:iCs/>
          <w:sz w:val="24"/>
          <w:szCs w:val="24"/>
        </w:rPr>
        <w:t>Does experience stimulate or stifle creativity?</w:t>
      </w:r>
      <w:r w:rsidRPr="004A26E2">
        <w:rPr>
          <w:rFonts w:asciiTheme="majorBidi" w:hAnsiTheme="majorBidi" w:cstheme="majorBidi"/>
          <w:sz w:val="24"/>
          <w:szCs w:val="24"/>
        </w:rPr>
        <w:t xml:space="preserve"> https://www.emerald.com/insight/content/doi/10.1108/EJIM-02-2018-0042/full/html</w:t>
      </w:r>
    </w:p>
    <w:p w14:paraId="628E6149"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Barton. (2011). </w:t>
      </w:r>
      <w:r w:rsidRPr="004A26E2">
        <w:rPr>
          <w:rFonts w:asciiTheme="majorBidi" w:hAnsiTheme="majorBidi" w:cstheme="majorBidi"/>
          <w:i/>
          <w:iCs/>
          <w:sz w:val="24"/>
          <w:szCs w:val="24"/>
        </w:rPr>
        <w:t>Why governments should use the government finance statistics accounting system</w:t>
      </w:r>
      <w:r w:rsidRPr="004A26E2">
        <w:rPr>
          <w:rFonts w:asciiTheme="majorBidi" w:hAnsiTheme="majorBidi" w:cstheme="majorBidi"/>
          <w:sz w:val="24"/>
          <w:szCs w:val="24"/>
        </w:rPr>
        <w:t>. https://onlinelibrary.wiley.com/doi/abs/10.1111/j.1467-6281.2011.00347.x</w:t>
      </w:r>
    </w:p>
    <w:p w14:paraId="0B3710E1"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Bergin. (2018). </w:t>
      </w:r>
      <w:r w:rsidRPr="004A26E2">
        <w:rPr>
          <w:rFonts w:asciiTheme="majorBidi" w:hAnsiTheme="majorBidi" w:cstheme="majorBidi"/>
          <w:i/>
          <w:iCs/>
          <w:sz w:val="24"/>
          <w:szCs w:val="24"/>
        </w:rPr>
        <w:t>An introduction to data analysis: Quantitative, qualitative and mixed methods</w:t>
      </w:r>
      <w:r w:rsidRPr="004A26E2">
        <w:rPr>
          <w:rFonts w:asciiTheme="majorBidi" w:hAnsiTheme="majorBidi" w:cstheme="majorBidi"/>
          <w:sz w:val="24"/>
          <w:szCs w:val="24"/>
        </w:rPr>
        <w:t>. https://www.torrossa.com/gs/resourceProxy?an=5019397&amp;publisher=FZ7200</w:t>
      </w:r>
    </w:p>
    <w:p w14:paraId="5A8F35AB"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BOLAJI, &amp; JEFFREY. (2021). </w:t>
      </w:r>
      <w:r w:rsidRPr="004A26E2">
        <w:rPr>
          <w:rFonts w:asciiTheme="majorBidi" w:hAnsiTheme="majorBidi" w:cstheme="majorBidi"/>
          <w:i/>
          <w:iCs/>
          <w:sz w:val="24"/>
          <w:szCs w:val="24"/>
        </w:rPr>
        <w:t>A Systems Approach to Managing Financial Compliance and External Auditor Relationships in Growing Enterprises</w:t>
      </w:r>
      <w:r w:rsidRPr="004A26E2">
        <w:rPr>
          <w:rFonts w:asciiTheme="majorBidi" w:hAnsiTheme="majorBidi" w:cstheme="majorBidi"/>
          <w:sz w:val="24"/>
          <w:szCs w:val="24"/>
        </w:rPr>
        <w:t>. https://www.researchgate.net/profile/Bolaji-Adekunle/publication/392130914_A_Systems_Approach_to_Managing_Financial_Compliance_and_External_Auditor_Relationships_in_Growing_Enterprises/links/6836292ddf0e3f544f5b0c26/A-Systems-Approach-to-Managing-Financial-Compliance-and-External-Auditor-Relationships-in-Growing-Enterprises.pdf</w:t>
      </w:r>
    </w:p>
    <w:p w14:paraId="430AC839"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Chandramohan, &amp; M. (2018). </w:t>
      </w:r>
      <w:r w:rsidRPr="004A26E2">
        <w:rPr>
          <w:rFonts w:asciiTheme="majorBidi" w:hAnsiTheme="majorBidi" w:cstheme="majorBidi"/>
          <w:i/>
          <w:iCs/>
          <w:sz w:val="24"/>
          <w:szCs w:val="24"/>
        </w:rPr>
        <w:t>A comprehensive model and holistic approach for implementing an integrated management systems</w:t>
      </w:r>
      <w:r w:rsidRPr="004A26E2">
        <w:rPr>
          <w:rFonts w:asciiTheme="majorBidi" w:hAnsiTheme="majorBidi" w:cstheme="majorBidi"/>
          <w:sz w:val="24"/>
          <w:szCs w:val="24"/>
        </w:rPr>
        <w:t>. https://www.ingentaconnect.com/contentone/asp/jctn/2018/00000015/00000001/art00050</w:t>
      </w:r>
    </w:p>
    <w:p w14:paraId="0FB00A27"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Charles, &amp; Ben. (2022). </w:t>
      </w:r>
      <w:r w:rsidRPr="004A26E2">
        <w:rPr>
          <w:rFonts w:asciiTheme="majorBidi" w:hAnsiTheme="majorBidi" w:cstheme="majorBidi"/>
          <w:i/>
          <w:iCs/>
          <w:sz w:val="24"/>
          <w:szCs w:val="24"/>
        </w:rPr>
        <w:t>Toxic culture is driving the great resignation</w:t>
      </w:r>
      <w:r w:rsidRPr="004A26E2">
        <w:rPr>
          <w:rFonts w:asciiTheme="majorBidi" w:hAnsiTheme="majorBidi" w:cstheme="majorBidi"/>
          <w:sz w:val="24"/>
          <w:szCs w:val="24"/>
        </w:rPr>
        <w:t>. https://sloanreview.mit.edu/article/toxic-culture-is-driving-the-great-resignation/</w:t>
      </w:r>
    </w:p>
    <w:p w14:paraId="6F822CAB" w14:textId="13B32715"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Christianah, Angela, Anwuli, Olajide, Edith, &amp; Ibrahim. (2024). </w:t>
      </w:r>
      <w:r w:rsidRPr="004A26E2">
        <w:rPr>
          <w:rFonts w:asciiTheme="majorBidi" w:hAnsiTheme="majorBidi" w:cstheme="majorBidi"/>
          <w:i/>
          <w:iCs/>
          <w:sz w:val="24"/>
          <w:szCs w:val="24"/>
        </w:rPr>
        <w:t>Strengthening corporate governance and financial compliance: Enhancing accountability and transparency</w:t>
      </w:r>
      <w:r w:rsidRPr="004A26E2">
        <w:rPr>
          <w:rFonts w:asciiTheme="majorBidi" w:hAnsiTheme="majorBidi" w:cstheme="majorBidi"/>
          <w:sz w:val="24"/>
          <w:szCs w:val="24"/>
        </w:rPr>
        <w:t>. https://www.researchgate.net/profile/Angela-Abhulimen/publication/383860258_1597-1616_4_Nigeria_Interbank_Settlement_System_Plc_NIBSS_5_Zenith_General_Insura</w:t>
      </w:r>
      <w:r w:rsidRPr="004A26E2">
        <w:rPr>
          <w:rFonts w:asciiTheme="majorBidi" w:hAnsiTheme="majorBidi" w:cstheme="majorBidi"/>
          <w:sz w:val="24"/>
          <w:szCs w:val="24"/>
        </w:rPr>
        <w:lastRenderedPageBreak/>
        <w:t>nce_Company_Limited_Nigeria_6_International_Association_of_Computer_Analysts_and_Researchers/links/66ddaa822390e50b2c769a8e/1597-1616-4-Nigeria-Inter-bank-Settlement-System-Plc-NIBSS-5-Zenith-General-Insurance-Company-Limited-Nigeria-6-International-Association-of-Computer-Analysts-and-Researchers.pdf</w:t>
      </w:r>
    </w:p>
    <w:p w14:paraId="6FF8864B"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Dat, Jue, &amp; Hak-Seon. (2023). </w:t>
      </w:r>
      <w:r w:rsidRPr="004A26E2">
        <w:rPr>
          <w:rFonts w:asciiTheme="majorBidi" w:hAnsiTheme="majorBidi" w:cstheme="majorBidi"/>
          <w:i/>
          <w:iCs/>
          <w:sz w:val="24"/>
          <w:szCs w:val="24"/>
        </w:rPr>
        <w:t>Exploring leadership style and employee attitude through cluster and sentiment analyses of in-depth interviews of employees</w:t>
      </w:r>
      <w:r w:rsidRPr="004A26E2">
        <w:rPr>
          <w:rFonts w:asciiTheme="majorBidi" w:hAnsiTheme="majorBidi" w:cstheme="majorBidi"/>
          <w:sz w:val="24"/>
          <w:szCs w:val="24"/>
        </w:rPr>
        <w:t>. https://www.mdpi.com/2076-3387/13/3/91</w:t>
      </w:r>
    </w:p>
    <w:p w14:paraId="2C44D3EC"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DE. (2020). </w:t>
      </w:r>
      <w:r w:rsidRPr="004A26E2">
        <w:rPr>
          <w:rFonts w:asciiTheme="majorBidi" w:hAnsiTheme="majorBidi" w:cstheme="majorBidi"/>
          <w:i/>
          <w:iCs/>
          <w:sz w:val="24"/>
          <w:szCs w:val="24"/>
        </w:rPr>
        <w:t>PROMOTING LEADER INTEGRITY THROUGH THE HUMAN RESOURCE MANAGEMENT VALUE CHAIN</w:t>
      </w:r>
      <w:r w:rsidRPr="004A26E2">
        <w:rPr>
          <w:rFonts w:asciiTheme="majorBidi" w:hAnsiTheme="majorBidi" w:cstheme="majorBidi"/>
          <w:sz w:val="24"/>
          <w:szCs w:val="24"/>
        </w:rPr>
        <w:t>. https://core.ac.uk/download/pdf/534796602.pdf</w:t>
      </w:r>
    </w:p>
    <w:p w14:paraId="6782D521"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Direction. (n.d.). </w:t>
      </w:r>
      <w:r w:rsidRPr="004A26E2">
        <w:rPr>
          <w:rFonts w:asciiTheme="majorBidi" w:hAnsiTheme="majorBidi" w:cstheme="majorBidi"/>
          <w:i/>
          <w:iCs/>
          <w:sz w:val="24"/>
          <w:szCs w:val="24"/>
        </w:rPr>
        <w:t>Staying ahead of the curve: The role of innovation in maintain a competitive advantage</w:t>
      </w:r>
      <w:r w:rsidRPr="004A26E2">
        <w:rPr>
          <w:rFonts w:asciiTheme="majorBidi" w:hAnsiTheme="majorBidi" w:cstheme="majorBidi"/>
          <w:sz w:val="24"/>
          <w:szCs w:val="24"/>
        </w:rPr>
        <w:t>. https://www.emerald.com/insight/content/doi/10.1108/sd-09-2023-0110/full/html</w:t>
      </w:r>
    </w:p>
    <w:p w14:paraId="21374F5F"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Fazal, Khawar, Adnan, Muhammad, Faheem, &amp; </w:t>
      </w:r>
      <w:proofErr w:type="spellStart"/>
      <w:r w:rsidRPr="004A26E2">
        <w:rPr>
          <w:rFonts w:asciiTheme="majorBidi" w:hAnsiTheme="majorBidi" w:cstheme="majorBidi"/>
          <w:sz w:val="24"/>
          <w:szCs w:val="24"/>
        </w:rPr>
        <w:t>vation</w:t>
      </w:r>
      <w:proofErr w:type="spellEnd"/>
      <w:r w:rsidRPr="004A26E2">
        <w:rPr>
          <w:rFonts w:asciiTheme="majorBidi" w:hAnsiTheme="majorBidi" w:cstheme="majorBidi"/>
          <w:sz w:val="24"/>
          <w:szCs w:val="24"/>
        </w:rPr>
        <w:t xml:space="preserve">. (2021). </w:t>
      </w:r>
      <w:r w:rsidRPr="004A26E2">
        <w:rPr>
          <w:rFonts w:asciiTheme="majorBidi" w:hAnsiTheme="majorBidi" w:cstheme="majorBidi"/>
          <w:i/>
          <w:iCs/>
          <w:sz w:val="24"/>
          <w:szCs w:val="24"/>
        </w:rPr>
        <w:t>The competing value framework model of organizational culture, innovation and performance</w:t>
      </w:r>
      <w:r w:rsidRPr="004A26E2">
        <w:rPr>
          <w:rFonts w:asciiTheme="majorBidi" w:hAnsiTheme="majorBidi" w:cstheme="majorBidi"/>
          <w:sz w:val="24"/>
          <w:szCs w:val="24"/>
        </w:rPr>
        <w:t>. https://www.emerald.com/insight/content/doi/10.1108/bpmj-11-2019-0464/full/html</w:t>
      </w:r>
    </w:p>
    <w:p w14:paraId="61ECB711"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Ferdinandus, &amp; Work. (2021). </w:t>
      </w:r>
      <w:r w:rsidRPr="004A26E2">
        <w:rPr>
          <w:rFonts w:asciiTheme="majorBidi" w:hAnsiTheme="majorBidi" w:cstheme="majorBidi"/>
          <w:i/>
          <w:iCs/>
          <w:sz w:val="24"/>
          <w:szCs w:val="24"/>
        </w:rPr>
        <w:t>The Effects of Motivation, Leadership, and Work Environment on Employee’s Performance: A Case of Local Government Agency in Emerging Country</w:t>
      </w:r>
      <w:r w:rsidRPr="004A26E2">
        <w:rPr>
          <w:rFonts w:asciiTheme="majorBidi" w:hAnsiTheme="majorBidi" w:cstheme="majorBidi"/>
          <w:sz w:val="24"/>
          <w:szCs w:val="24"/>
        </w:rPr>
        <w:t>. http://biarjournal.com/index.php/biohs/article/view/455</w:t>
      </w:r>
    </w:p>
    <w:p w14:paraId="5137F2EC"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Fichter. (2018). </w:t>
      </w:r>
      <w:r w:rsidRPr="004A26E2">
        <w:rPr>
          <w:rFonts w:asciiTheme="majorBidi" w:hAnsiTheme="majorBidi" w:cstheme="majorBidi"/>
          <w:i/>
          <w:iCs/>
          <w:sz w:val="24"/>
          <w:szCs w:val="24"/>
        </w:rPr>
        <w:t xml:space="preserve">Do the right thing! Developing ethical </w:t>
      </w:r>
      <w:proofErr w:type="spellStart"/>
      <w:r w:rsidRPr="004A26E2">
        <w:rPr>
          <w:rFonts w:asciiTheme="majorBidi" w:hAnsiTheme="majorBidi" w:cstheme="majorBidi"/>
          <w:i/>
          <w:iCs/>
          <w:sz w:val="24"/>
          <w:szCs w:val="24"/>
        </w:rPr>
        <w:t>behavior</w:t>
      </w:r>
      <w:proofErr w:type="spellEnd"/>
      <w:r w:rsidRPr="004A26E2">
        <w:rPr>
          <w:rFonts w:asciiTheme="majorBidi" w:hAnsiTheme="majorBidi" w:cstheme="majorBidi"/>
          <w:i/>
          <w:iCs/>
          <w:sz w:val="24"/>
          <w:szCs w:val="24"/>
        </w:rPr>
        <w:t xml:space="preserve"> in financial institutions</w:t>
      </w:r>
      <w:r w:rsidRPr="004A26E2">
        <w:rPr>
          <w:rFonts w:asciiTheme="majorBidi" w:hAnsiTheme="majorBidi" w:cstheme="majorBidi"/>
          <w:sz w:val="24"/>
          <w:szCs w:val="24"/>
        </w:rPr>
        <w:t>. https://link.springer.com/article/10.1007/s10551-016-3275-7</w:t>
      </w:r>
    </w:p>
    <w:p w14:paraId="6A6F2937"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Francis, &amp; D. (2010). </w:t>
      </w:r>
      <w:r w:rsidRPr="004A26E2">
        <w:rPr>
          <w:rFonts w:asciiTheme="majorBidi" w:hAnsiTheme="majorBidi" w:cstheme="majorBidi"/>
          <w:i/>
          <w:iCs/>
          <w:sz w:val="24"/>
          <w:szCs w:val="24"/>
        </w:rPr>
        <w:t>Accounting infrastructure and accountability in the management of public expenditure in developing countries: A focus on Nigeria</w:t>
      </w:r>
      <w:r w:rsidRPr="004A26E2">
        <w:rPr>
          <w:rFonts w:asciiTheme="majorBidi" w:hAnsiTheme="majorBidi" w:cstheme="majorBidi"/>
          <w:sz w:val="24"/>
          <w:szCs w:val="24"/>
        </w:rPr>
        <w:t>. https://www.sciencedirect.com/science/article/pii/S1045235409000689</w:t>
      </w:r>
    </w:p>
    <w:p w14:paraId="458D08E2"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Friedman. (2011). </w:t>
      </w:r>
      <w:r w:rsidRPr="004A26E2">
        <w:rPr>
          <w:rFonts w:asciiTheme="majorBidi" w:hAnsiTheme="majorBidi" w:cstheme="majorBidi"/>
          <w:i/>
          <w:iCs/>
          <w:sz w:val="24"/>
          <w:szCs w:val="24"/>
        </w:rPr>
        <w:t>Sustainability driving innovation/innovation driving sustainability</w:t>
      </w:r>
      <w:r w:rsidRPr="004A26E2">
        <w:rPr>
          <w:rFonts w:asciiTheme="majorBidi" w:hAnsiTheme="majorBidi" w:cstheme="majorBidi"/>
          <w:sz w:val="24"/>
          <w:szCs w:val="24"/>
        </w:rPr>
        <w:t>. https://www.emerald.com/insight/content/doi/10.1260/1757-2223.3.1.1/full/html</w:t>
      </w:r>
    </w:p>
    <w:p w14:paraId="4E9AA124"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Gülşah, Büşra, &amp; Salih. (2019). </w:t>
      </w:r>
      <w:r w:rsidRPr="004A26E2">
        <w:rPr>
          <w:rFonts w:asciiTheme="majorBidi" w:hAnsiTheme="majorBidi" w:cstheme="majorBidi"/>
          <w:i/>
          <w:iCs/>
          <w:sz w:val="24"/>
          <w:szCs w:val="24"/>
        </w:rPr>
        <w:t>The effect of nurses’ ethical leadership and ethical climate perceptions on job satisfaction</w:t>
      </w:r>
      <w:r w:rsidRPr="004A26E2">
        <w:rPr>
          <w:rFonts w:asciiTheme="majorBidi" w:hAnsiTheme="majorBidi" w:cstheme="majorBidi"/>
          <w:sz w:val="24"/>
          <w:szCs w:val="24"/>
        </w:rPr>
        <w:t>. https://journals.sagepub.com/doi/abs/10.1177/0969733017736924</w:t>
      </w:r>
    </w:p>
    <w:p w14:paraId="1D24B028"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General. (2008). </w:t>
      </w:r>
      <w:r w:rsidRPr="004A26E2">
        <w:rPr>
          <w:rFonts w:asciiTheme="majorBidi" w:hAnsiTheme="majorBidi" w:cstheme="majorBidi"/>
          <w:i/>
          <w:iCs/>
          <w:sz w:val="24"/>
          <w:szCs w:val="24"/>
        </w:rPr>
        <w:t>Enhancing accountability for the use of public sector resources: How to improve the effectiveness of Public Accounts Committees</w:t>
      </w:r>
      <w:r w:rsidRPr="004A26E2">
        <w:rPr>
          <w:rFonts w:asciiTheme="majorBidi" w:hAnsiTheme="majorBidi" w:cstheme="majorBidi"/>
          <w:sz w:val="24"/>
          <w:szCs w:val="24"/>
        </w:rPr>
        <w:t>. https://cdn.odi.org/media/documents/3466.pdf</w:t>
      </w:r>
    </w:p>
    <w:p w14:paraId="2386AC59"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Giseok. (2019). </w:t>
      </w:r>
      <w:r w:rsidRPr="004A26E2">
        <w:rPr>
          <w:rFonts w:asciiTheme="majorBidi" w:hAnsiTheme="majorBidi" w:cstheme="majorBidi"/>
          <w:i/>
          <w:iCs/>
          <w:sz w:val="24"/>
          <w:szCs w:val="24"/>
        </w:rPr>
        <w:t xml:space="preserve">Does ethical </w:t>
      </w:r>
      <w:proofErr w:type="spellStart"/>
      <w:r w:rsidRPr="004A26E2">
        <w:rPr>
          <w:rFonts w:asciiTheme="majorBidi" w:hAnsiTheme="majorBidi" w:cstheme="majorBidi"/>
          <w:i/>
          <w:iCs/>
          <w:sz w:val="24"/>
          <w:szCs w:val="24"/>
        </w:rPr>
        <w:t>behavior</w:t>
      </w:r>
      <w:proofErr w:type="spellEnd"/>
      <w:r w:rsidRPr="004A26E2">
        <w:rPr>
          <w:rFonts w:asciiTheme="majorBidi" w:hAnsiTheme="majorBidi" w:cstheme="majorBidi"/>
          <w:i/>
          <w:iCs/>
          <w:sz w:val="24"/>
          <w:szCs w:val="24"/>
        </w:rPr>
        <w:t xml:space="preserve"> of management influence financial reporting quality?</w:t>
      </w:r>
      <w:r w:rsidRPr="004A26E2">
        <w:rPr>
          <w:rFonts w:asciiTheme="majorBidi" w:hAnsiTheme="majorBidi" w:cstheme="majorBidi"/>
          <w:sz w:val="24"/>
          <w:szCs w:val="24"/>
        </w:rPr>
        <w:t xml:space="preserve"> https://www.mdpi.com/2071-1050/11/20/5765</w:t>
      </w:r>
    </w:p>
    <w:p w14:paraId="008EA68E"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Hani, Mohammed, &amp; Yasir. (2024). </w:t>
      </w:r>
      <w:r w:rsidRPr="004A26E2">
        <w:rPr>
          <w:rFonts w:asciiTheme="majorBidi" w:hAnsiTheme="majorBidi" w:cstheme="majorBidi"/>
          <w:i/>
          <w:iCs/>
          <w:sz w:val="24"/>
          <w:szCs w:val="24"/>
        </w:rPr>
        <w:t>Critical Appraisal of Definitions on Intelligence within the Organizational Context</w:t>
      </w:r>
      <w:r w:rsidRPr="004A26E2">
        <w:rPr>
          <w:rFonts w:asciiTheme="majorBidi" w:hAnsiTheme="majorBidi" w:cstheme="majorBidi"/>
          <w:sz w:val="24"/>
          <w:szCs w:val="24"/>
        </w:rPr>
        <w:t>. https://www.academia.edu/download/118137049/6156.pdf</w:t>
      </w:r>
    </w:p>
    <w:p w14:paraId="7B984F5A"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proofErr w:type="spellStart"/>
      <w:r w:rsidRPr="004A26E2">
        <w:rPr>
          <w:rFonts w:asciiTheme="majorBidi" w:hAnsiTheme="majorBidi" w:cstheme="majorBidi"/>
          <w:sz w:val="24"/>
          <w:szCs w:val="24"/>
        </w:rPr>
        <w:t>ifer</w:t>
      </w:r>
      <w:proofErr w:type="spellEnd"/>
      <w:r w:rsidRPr="004A26E2">
        <w:rPr>
          <w:rFonts w:asciiTheme="majorBidi" w:hAnsiTheme="majorBidi" w:cstheme="majorBidi"/>
          <w:sz w:val="24"/>
          <w:szCs w:val="24"/>
        </w:rPr>
        <w:t xml:space="preserve">., vol., &amp; no. (n.d.). </w:t>
      </w:r>
      <w:r w:rsidRPr="004A26E2">
        <w:rPr>
          <w:rFonts w:asciiTheme="majorBidi" w:hAnsiTheme="majorBidi" w:cstheme="majorBidi"/>
          <w:i/>
          <w:iCs/>
          <w:sz w:val="24"/>
          <w:szCs w:val="24"/>
        </w:rPr>
        <w:t>Defining and assessing organizational culture</w:t>
      </w:r>
      <w:r w:rsidRPr="004A26E2">
        <w:rPr>
          <w:rFonts w:asciiTheme="majorBidi" w:hAnsiTheme="majorBidi" w:cstheme="majorBidi"/>
          <w:sz w:val="24"/>
          <w:szCs w:val="24"/>
        </w:rPr>
        <w:t>. https://onlinelibrary.wiley.com/doi/abs/10.1111/j.1744-6198.2010.00207.x</w:t>
      </w:r>
    </w:p>
    <w:p w14:paraId="1D2931A0"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Imam, &amp; </w:t>
      </w:r>
      <w:proofErr w:type="spellStart"/>
      <w:r w:rsidRPr="004A26E2">
        <w:rPr>
          <w:rFonts w:asciiTheme="majorBidi" w:hAnsiTheme="majorBidi" w:cstheme="majorBidi"/>
          <w:sz w:val="24"/>
          <w:szCs w:val="24"/>
        </w:rPr>
        <w:t>Iis</w:t>
      </w:r>
      <w:proofErr w:type="spellEnd"/>
      <w:r w:rsidRPr="004A26E2">
        <w:rPr>
          <w:rFonts w:asciiTheme="majorBidi" w:hAnsiTheme="majorBidi" w:cstheme="majorBidi"/>
          <w:sz w:val="24"/>
          <w:szCs w:val="24"/>
        </w:rPr>
        <w:t xml:space="preserve">. (2022). </w:t>
      </w:r>
      <w:r w:rsidRPr="004A26E2">
        <w:rPr>
          <w:rFonts w:asciiTheme="majorBidi" w:hAnsiTheme="majorBidi" w:cstheme="majorBidi"/>
          <w:i/>
          <w:iCs/>
          <w:sz w:val="24"/>
          <w:szCs w:val="24"/>
        </w:rPr>
        <w:t>The role of budget decision making as a mediation of accounting information systems and organizational culture on the performance of government agencies</w:t>
      </w:r>
      <w:r w:rsidRPr="004A26E2">
        <w:rPr>
          <w:rFonts w:asciiTheme="majorBidi" w:hAnsiTheme="majorBidi" w:cstheme="majorBidi"/>
          <w:sz w:val="24"/>
          <w:szCs w:val="24"/>
        </w:rPr>
        <w:t>. https://equatorscience.com/index.php/jabter/article/view/59</w:t>
      </w:r>
    </w:p>
    <w:p w14:paraId="506184CA"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Isabel, Herman, &amp; knowledge. (2019). </w:t>
      </w:r>
      <w:r w:rsidRPr="004A26E2">
        <w:rPr>
          <w:rFonts w:asciiTheme="majorBidi" w:hAnsiTheme="majorBidi" w:cstheme="majorBidi"/>
          <w:i/>
          <w:iCs/>
          <w:sz w:val="24"/>
          <w:szCs w:val="24"/>
        </w:rPr>
        <w:t>Innovation leadership: Best-practice recommendations for promoting employee creativity, voice, and knowledge sharing</w:t>
      </w:r>
      <w:r w:rsidRPr="004A26E2">
        <w:rPr>
          <w:rFonts w:asciiTheme="majorBidi" w:hAnsiTheme="majorBidi" w:cstheme="majorBidi"/>
          <w:sz w:val="24"/>
          <w:szCs w:val="24"/>
        </w:rPr>
        <w:t>. https://www.sciencedirect.com/science/article/pii/S0007681318301459</w:t>
      </w:r>
    </w:p>
    <w:p w14:paraId="48302607"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Janet, Saundra, &amp; Quinton. (2021). </w:t>
      </w:r>
      <w:r w:rsidRPr="004A26E2">
        <w:rPr>
          <w:rFonts w:asciiTheme="majorBidi" w:hAnsiTheme="majorBidi" w:cstheme="majorBidi"/>
          <w:i/>
          <w:iCs/>
          <w:sz w:val="24"/>
          <w:szCs w:val="24"/>
        </w:rPr>
        <w:t>The way forward: collaborative organisational decision-making</w:t>
      </w:r>
      <w:r w:rsidRPr="004A26E2">
        <w:rPr>
          <w:rFonts w:asciiTheme="majorBidi" w:hAnsiTheme="majorBidi" w:cstheme="majorBidi"/>
          <w:sz w:val="24"/>
          <w:szCs w:val="24"/>
        </w:rPr>
        <w:t>. https://www.inderscienceonline.com/doi/abs/10.1504/IJIIE.2021.114907</w:t>
      </w:r>
    </w:p>
    <w:p w14:paraId="7A2FC2EA"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Jari, Petri, Elias, &amp; Kaisa. (2019). </w:t>
      </w:r>
      <w:r w:rsidRPr="004A26E2">
        <w:rPr>
          <w:rFonts w:asciiTheme="majorBidi" w:hAnsiTheme="majorBidi" w:cstheme="majorBidi"/>
          <w:i/>
          <w:iCs/>
          <w:sz w:val="24"/>
          <w:szCs w:val="24"/>
        </w:rPr>
        <w:t>Towards collaborative development culture in local government organisations</w:t>
      </w:r>
      <w:r w:rsidRPr="004A26E2">
        <w:rPr>
          <w:rFonts w:asciiTheme="majorBidi" w:hAnsiTheme="majorBidi" w:cstheme="majorBidi"/>
          <w:sz w:val="24"/>
          <w:szCs w:val="24"/>
        </w:rPr>
        <w:t>. https://www.emerald.com/insight/content/doi/10.1108/IJPSM-05-2018-0119/full/html</w:t>
      </w:r>
    </w:p>
    <w:p w14:paraId="15558C30"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proofErr w:type="spellStart"/>
      <w:r w:rsidRPr="004A26E2">
        <w:rPr>
          <w:rFonts w:asciiTheme="majorBidi" w:hAnsiTheme="majorBidi" w:cstheme="majorBidi"/>
          <w:sz w:val="24"/>
          <w:szCs w:val="24"/>
        </w:rPr>
        <w:lastRenderedPageBreak/>
        <w:t>Jersone</w:t>
      </w:r>
      <w:proofErr w:type="spellEnd"/>
      <w:r w:rsidRPr="004A26E2">
        <w:rPr>
          <w:rFonts w:asciiTheme="majorBidi" w:hAnsiTheme="majorBidi" w:cstheme="majorBidi"/>
          <w:sz w:val="24"/>
          <w:szCs w:val="24"/>
        </w:rPr>
        <w:t xml:space="preserve">, Juliana, Tânia, &amp; Alexandre. (2018). </w:t>
      </w:r>
      <w:r w:rsidRPr="004A26E2">
        <w:rPr>
          <w:rFonts w:asciiTheme="majorBidi" w:hAnsiTheme="majorBidi" w:cstheme="majorBidi"/>
          <w:i/>
          <w:iCs/>
          <w:sz w:val="24"/>
          <w:szCs w:val="24"/>
        </w:rPr>
        <w:t>Relations between actual and desired culture on health Organizations: a competing values framework dimension’s approach</w:t>
      </w:r>
      <w:r w:rsidRPr="004A26E2">
        <w:rPr>
          <w:rFonts w:asciiTheme="majorBidi" w:hAnsiTheme="majorBidi" w:cstheme="majorBidi"/>
          <w:sz w:val="24"/>
          <w:szCs w:val="24"/>
        </w:rPr>
        <w:t>. https://repositorio.ufmg.br/handle/1843/53419</w:t>
      </w:r>
    </w:p>
    <w:p w14:paraId="0DEFC69C"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Josephine, Emmanuel, job, &amp; organisational. (2022). </w:t>
      </w:r>
      <w:r w:rsidRPr="004A26E2">
        <w:rPr>
          <w:rFonts w:asciiTheme="majorBidi" w:hAnsiTheme="majorBidi" w:cstheme="majorBidi"/>
          <w:i/>
          <w:iCs/>
          <w:sz w:val="24"/>
          <w:szCs w:val="24"/>
        </w:rPr>
        <w:t>Ethical leadership, job satisfaction, and organisational commitment among health workers in Ghana: Evidence from central region hospitals</w:t>
      </w:r>
      <w:r w:rsidRPr="004A26E2">
        <w:rPr>
          <w:rFonts w:asciiTheme="majorBidi" w:hAnsiTheme="majorBidi" w:cstheme="majorBidi"/>
          <w:sz w:val="24"/>
          <w:szCs w:val="24"/>
        </w:rPr>
        <w:t>. https://www.scirp.org/journal/paperinformation?paperid=115879</w:t>
      </w:r>
    </w:p>
    <w:p w14:paraId="42A318DA"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Judeh. (2021). </w:t>
      </w:r>
      <w:r w:rsidRPr="004A26E2">
        <w:rPr>
          <w:rFonts w:asciiTheme="majorBidi" w:hAnsiTheme="majorBidi" w:cstheme="majorBidi"/>
          <w:i/>
          <w:iCs/>
          <w:sz w:val="24"/>
          <w:szCs w:val="24"/>
        </w:rPr>
        <w:t>Effect of work environment on employee engagement: Mediating role of ethical decision-making</w:t>
      </w:r>
      <w:r w:rsidRPr="004A26E2">
        <w:rPr>
          <w:rFonts w:asciiTheme="majorBidi" w:hAnsiTheme="majorBidi" w:cstheme="majorBidi"/>
          <w:sz w:val="24"/>
          <w:szCs w:val="24"/>
        </w:rPr>
        <w:t>. https://www.businessperspectives.org/images/pdf/applications/publishing/templates/article/assets/15485/PPM_2021_03_Judeh.pdf</w:t>
      </w:r>
    </w:p>
    <w:p w14:paraId="05FD364B"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Kom. (2020). </w:t>
      </w:r>
      <w:r w:rsidRPr="004A26E2">
        <w:rPr>
          <w:rFonts w:asciiTheme="majorBidi" w:hAnsiTheme="majorBidi" w:cstheme="majorBidi"/>
          <w:i/>
          <w:iCs/>
          <w:sz w:val="24"/>
          <w:szCs w:val="24"/>
        </w:rPr>
        <w:t>Investigations of Fraud, Waste, Abuse, and Corruption in the Public Sector: A Survey of Organizational and Software-Based Aids and Obstructions</w:t>
      </w:r>
      <w:r w:rsidRPr="004A26E2">
        <w:rPr>
          <w:rFonts w:asciiTheme="majorBidi" w:hAnsiTheme="majorBidi" w:cstheme="majorBidi"/>
          <w:sz w:val="24"/>
          <w:szCs w:val="24"/>
        </w:rPr>
        <w:t>. https://academicworks.cuny.edu/gc_etds/3624/</w:t>
      </w:r>
    </w:p>
    <w:p w14:paraId="5E189F94"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Latifa, &amp; Bridget. (2025). </w:t>
      </w:r>
      <w:r w:rsidRPr="004A26E2">
        <w:rPr>
          <w:rFonts w:asciiTheme="majorBidi" w:hAnsiTheme="majorBidi" w:cstheme="majorBidi"/>
          <w:i/>
          <w:iCs/>
          <w:sz w:val="24"/>
          <w:szCs w:val="24"/>
        </w:rPr>
        <w:t>Authentic leadership and employee engagement: the mediating role of employee work environment</w:t>
      </w:r>
      <w:r w:rsidRPr="004A26E2">
        <w:rPr>
          <w:rFonts w:asciiTheme="majorBidi" w:hAnsiTheme="majorBidi" w:cstheme="majorBidi"/>
          <w:sz w:val="24"/>
          <w:szCs w:val="24"/>
        </w:rPr>
        <w:t>. https://www.emerald.com/insight/content/doi/10.1108/ict-06-2024-0045/full/html</w:t>
      </w:r>
    </w:p>
    <w:p w14:paraId="71AEE3C7"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Logan, Political, Job, &amp; Employee. (n.d.). </w:t>
      </w:r>
      <w:r w:rsidRPr="004A26E2">
        <w:rPr>
          <w:rFonts w:asciiTheme="majorBidi" w:hAnsiTheme="majorBidi" w:cstheme="majorBidi"/>
          <w:i/>
          <w:iCs/>
          <w:sz w:val="24"/>
          <w:szCs w:val="24"/>
        </w:rPr>
        <w:t>Human Resource Development in the Intercollegiate Workplace: The Intersection of Organizational Politics, Political Skill, Job Design, and Employee Engagement</w:t>
      </w:r>
      <w:r w:rsidRPr="004A26E2">
        <w:rPr>
          <w:rFonts w:asciiTheme="majorBidi" w:hAnsiTheme="majorBidi" w:cstheme="majorBidi"/>
          <w:sz w:val="24"/>
          <w:szCs w:val="24"/>
        </w:rPr>
        <w:t>. https://search.proquest.com/openview/a6ce5c566d486c06b88c3cd499cff44a/1?pq-origsite=gscholar&amp;cbl=18750&amp;diss=y</w:t>
      </w:r>
    </w:p>
    <w:p w14:paraId="5D654287"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Lourdhuraj. (2019). </w:t>
      </w:r>
      <w:r w:rsidRPr="004A26E2">
        <w:rPr>
          <w:rFonts w:asciiTheme="majorBidi" w:hAnsiTheme="majorBidi" w:cstheme="majorBidi"/>
          <w:i/>
          <w:iCs/>
          <w:sz w:val="24"/>
          <w:szCs w:val="24"/>
        </w:rPr>
        <w:t>Unlocking organizational potential: The synergy of performance management and knowledge management</w:t>
      </w:r>
      <w:r w:rsidRPr="004A26E2">
        <w:rPr>
          <w:rFonts w:asciiTheme="majorBidi" w:hAnsiTheme="majorBidi" w:cstheme="majorBidi"/>
          <w:sz w:val="24"/>
          <w:szCs w:val="24"/>
        </w:rPr>
        <w:t>. http://resdojournals.com/index.php/jbeo/article/view/109</w:t>
      </w:r>
    </w:p>
    <w:p w14:paraId="10B60AFD"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Lulaj. (2021). </w:t>
      </w:r>
      <w:r w:rsidRPr="004A26E2">
        <w:rPr>
          <w:rFonts w:asciiTheme="majorBidi" w:hAnsiTheme="majorBidi" w:cstheme="majorBidi"/>
          <w:i/>
          <w:iCs/>
          <w:sz w:val="24"/>
          <w:szCs w:val="24"/>
        </w:rPr>
        <w:t>Accounting, Reforms and Budget Responsibilities in the Financial Statements.</w:t>
      </w:r>
      <w:r w:rsidRPr="004A26E2">
        <w:rPr>
          <w:rFonts w:asciiTheme="majorBidi" w:hAnsiTheme="majorBidi" w:cstheme="majorBidi"/>
          <w:sz w:val="24"/>
          <w:szCs w:val="24"/>
        </w:rPr>
        <w:t xml:space="preserve"> https://search.ebscohost.com/login.aspx?direct=true&amp;profile=ehost&amp;scope=site&amp;authtype=crawler&amp;jrnl=23079878&amp;AN=150056243&amp;h=2AMYjrZ%2BU0WFxH0ok8WOgM21638ze0M06%2FRQ4Z0LDUGPyGZiz62JlCZx73p2OBFtG8bc9oGfGCYVTKqUTKYFRw%3D%3D&amp;crl=c</w:t>
      </w:r>
    </w:p>
    <w:p w14:paraId="32D04C80"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Marcia, Francine, Deborah, &amp; </w:t>
      </w:r>
      <w:proofErr w:type="spellStart"/>
      <w:r w:rsidRPr="004A26E2">
        <w:rPr>
          <w:rFonts w:asciiTheme="majorBidi" w:hAnsiTheme="majorBidi" w:cstheme="majorBidi"/>
          <w:sz w:val="24"/>
          <w:szCs w:val="24"/>
        </w:rPr>
        <w:t>oyee</w:t>
      </w:r>
      <w:proofErr w:type="spellEnd"/>
      <w:r w:rsidRPr="004A26E2">
        <w:rPr>
          <w:rFonts w:asciiTheme="majorBidi" w:hAnsiTheme="majorBidi" w:cstheme="majorBidi"/>
          <w:sz w:val="24"/>
          <w:szCs w:val="24"/>
        </w:rPr>
        <w:t xml:space="preserve">. (2021). </w:t>
      </w:r>
      <w:r w:rsidRPr="004A26E2">
        <w:rPr>
          <w:rFonts w:asciiTheme="majorBidi" w:hAnsiTheme="majorBidi" w:cstheme="majorBidi"/>
          <w:i/>
          <w:iCs/>
          <w:sz w:val="24"/>
          <w:szCs w:val="24"/>
        </w:rPr>
        <w:t>Building organizational innovation through HRM, employee voice and engagement</w:t>
      </w:r>
      <w:r w:rsidRPr="004A26E2">
        <w:rPr>
          <w:rFonts w:asciiTheme="majorBidi" w:hAnsiTheme="majorBidi" w:cstheme="majorBidi"/>
          <w:sz w:val="24"/>
          <w:szCs w:val="24"/>
        </w:rPr>
        <w:t>. https://www.emerald.com/insight/content/doi/10.1108/PR-12-2019-0687/full/html</w:t>
      </w:r>
    </w:p>
    <w:p w14:paraId="7C139400"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McCue. (2001). </w:t>
      </w:r>
      <w:r w:rsidRPr="004A26E2">
        <w:rPr>
          <w:rFonts w:asciiTheme="majorBidi" w:hAnsiTheme="majorBidi" w:cstheme="majorBidi"/>
          <w:i/>
          <w:iCs/>
          <w:sz w:val="24"/>
          <w:szCs w:val="24"/>
        </w:rPr>
        <w:t>Local government accountants as public managers: An evolving role</w:t>
      </w:r>
      <w:r w:rsidRPr="004A26E2">
        <w:rPr>
          <w:rFonts w:asciiTheme="majorBidi" w:hAnsiTheme="majorBidi" w:cstheme="majorBidi"/>
          <w:sz w:val="24"/>
          <w:szCs w:val="24"/>
        </w:rPr>
        <w:t>. https://journals.sagepub.com/doi/abs/10.1177/0160323X0103300206</w:t>
      </w:r>
    </w:p>
    <w:p w14:paraId="1621CB79"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Md, Jamaliah, Mohamad, &amp; </w:t>
      </w:r>
      <w:proofErr w:type="spellStart"/>
      <w:r w:rsidRPr="004A26E2">
        <w:rPr>
          <w:rFonts w:asciiTheme="majorBidi" w:hAnsiTheme="majorBidi" w:cstheme="majorBidi"/>
          <w:sz w:val="24"/>
          <w:szCs w:val="24"/>
        </w:rPr>
        <w:t>rnal</w:t>
      </w:r>
      <w:proofErr w:type="spellEnd"/>
      <w:r w:rsidRPr="004A26E2">
        <w:rPr>
          <w:rFonts w:asciiTheme="majorBidi" w:hAnsiTheme="majorBidi" w:cstheme="majorBidi"/>
          <w:sz w:val="24"/>
          <w:szCs w:val="24"/>
        </w:rPr>
        <w:t xml:space="preserve">. (2019). </w:t>
      </w:r>
      <w:r w:rsidRPr="004A26E2">
        <w:rPr>
          <w:rFonts w:asciiTheme="majorBidi" w:hAnsiTheme="majorBidi" w:cstheme="majorBidi"/>
          <w:i/>
          <w:iCs/>
          <w:sz w:val="24"/>
          <w:szCs w:val="24"/>
        </w:rPr>
        <w:t>Role of integrity system, internal control system and leadership practices on the accountability practices in the public sectors of Malaysia</w:t>
      </w:r>
      <w:r w:rsidRPr="004A26E2">
        <w:rPr>
          <w:rFonts w:asciiTheme="majorBidi" w:hAnsiTheme="majorBidi" w:cstheme="majorBidi"/>
          <w:sz w:val="24"/>
          <w:szCs w:val="24"/>
        </w:rPr>
        <w:t>. https://www.emerald.com/insight/content/doi/10.1108/srj-03-2017-0051/full/html</w:t>
      </w:r>
    </w:p>
    <w:p w14:paraId="2987A405"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Muh, &amp; Edy. (2025). </w:t>
      </w:r>
      <w:r w:rsidRPr="004A26E2">
        <w:rPr>
          <w:rFonts w:asciiTheme="majorBidi" w:hAnsiTheme="majorBidi" w:cstheme="majorBidi"/>
          <w:i/>
          <w:iCs/>
          <w:sz w:val="24"/>
          <w:szCs w:val="24"/>
        </w:rPr>
        <w:t>The Role of Leadership in Fostering Employee Engagement: A Literature Analysis</w:t>
      </w:r>
      <w:r w:rsidRPr="004A26E2">
        <w:rPr>
          <w:rFonts w:asciiTheme="majorBidi" w:hAnsiTheme="majorBidi" w:cstheme="majorBidi"/>
          <w:sz w:val="24"/>
          <w:szCs w:val="24"/>
        </w:rPr>
        <w:t>. https://www.goldenratio.id/index.php/grhrm/article/view/864</w:t>
      </w:r>
    </w:p>
    <w:p w14:paraId="53AC1D18"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Muhammad, &amp; H. (2021). </w:t>
      </w:r>
      <w:r w:rsidRPr="004A26E2">
        <w:rPr>
          <w:rFonts w:asciiTheme="majorBidi" w:hAnsiTheme="majorBidi" w:cstheme="majorBidi"/>
          <w:i/>
          <w:iCs/>
          <w:sz w:val="24"/>
          <w:szCs w:val="24"/>
        </w:rPr>
        <w:t>Ethical and sustainable business practices to enhance financial management</w:t>
      </w:r>
      <w:r w:rsidRPr="004A26E2">
        <w:rPr>
          <w:rFonts w:asciiTheme="majorBidi" w:hAnsiTheme="majorBidi" w:cstheme="majorBidi"/>
          <w:sz w:val="24"/>
          <w:szCs w:val="24"/>
        </w:rPr>
        <w:t>. https://www.researchgate.net/profile/Haitham-Nobanee/publication/355215746_Ethical_and_Sustainable_Business_Practices_to_Enhance_Financial_Management/links/616900738ad119749b1f2183/Ethical-and-Sustainable-Business-Practices-to-Enhance-Financial-Management.pdf</w:t>
      </w:r>
    </w:p>
    <w:p w14:paraId="0CE5144A"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Muslim. (2023). </w:t>
      </w:r>
      <w:r w:rsidRPr="004A26E2">
        <w:rPr>
          <w:rFonts w:asciiTheme="majorBidi" w:hAnsiTheme="majorBidi" w:cstheme="majorBidi"/>
          <w:i/>
          <w:iCs/>
          <w:sz w:val="24"/>
          <w:szCs w:val="24"/>
        </w:rPr>
        <w:t>Accountability and Transparency in Public Sector Accounting: A Systematic Review</w:t>
      </w:r>
      <w:r w:rsidRPr="004A26E2">
        <w:rPr>
          <w:rFonts w:asciiTheme="majorBidi" w:hAnsiTheme="majorBidi" w:cstheme="majorBidi"/>
          <w:sz w:val="24"/>
          <w:szCs w:val="24"/>
        </w:rPr>
        <w:t>. https://www.ojs.stieamkop.ac.id/index.php/amar/article/view/1440</w:t>
      </w:r>
    </w:p>
    <w:p w14:paraId="4B4803F1"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Nadia, &amp; Mohammed. (2023). </w:t>
      </w:r>
      <w:r w:rsidRPr="004A26E2">
        <w:rPr>
          <w:rFonts w:asciiTheme="majorBidi" w:hAnsiTheme="majorBidi" w:cstheme="majorBidi"/>
          <w:i/>
          <w:iCs/>
          <w:sz w:val="24"/>
          <w:szCs w:val="24"/>
        </w:rPr>
        <w:t>Developing employee productivity and performance through work engagement and organizational factors in an educational society</w:t>
      </w:r>
      <w:r w:rsidRPr="004A26E2">
        <w:rPr>
          <w:rFonts w:asciiTheme="majorBidi" w:hAnsiTheme="majorBidi" w:cstheme="majorBidi"/>
          <w:sz w:val="24"/>
          <w:szCs w:val="24"/>
        </w:rPr>
        <w:t>. https://www.mdpi.com/2075-4698/13/3/65</w:t>
      </w:r>
    </w:p>
    <w:p w14:paraId="24CC2312"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proofErr w:type="spellStart"/>
      <w:r w:rsidRPr="004A26E2">
        <w:rPr>
          <w:rFonts w:asciiTheme="majorBidi" w:hAnsiTheme="majorBidi" w:cstheme="majorBidi"/>
          <w:sz w:val="24"/>
          <w:szCs w:val="24"/>
        </w:rPr>
        <w:lastRenderedPageBreak/>
        <w:t>Namim</w:t>
      </w:r>
      <w:proofErr w:type="spellEnd"/>
      <w:r w:rsidRPr="004A26E2">
        <w:rPr>
          <w:rFonts w:asciiTheme="majorBidi" w:hAnsiTheme="majorBidi" w:cstheme="majorBidi"/>
          <w:sz w:val="24"/>
          <w:szCs w:val="24"/>
        </w:rPr>
        <w:t xml:space="preserve">. (2023). </w:t>
      </w:r>
      <w:r w:rsidRPr="004A26E2">
        <w:rPr>
          <w:rFonts w:asciiTheme="majorBidi" w:hAnsiTheme="majorBidi" w:cstheme="majorBidi"/>
          <w:i/>
          <w:iCs/>
          <w:sz w:val="24"/>
          <w:szCs w:val="24"/>
        </w:rPr>
        <w:t>The Positive Impact of Corporate Ethical Management on Employee Performance</w:t>
      </w:r>
      <w:r w:rsidRPr="004A26E2">
        <w:rPr>
          <w:rFonts w:asciiTheme="majorBidi" w:hAnsiTheme="majorBidi" w:cstheme="majorBidi"/>
          <w:sz w:val="24"/>
          <w:szCs w:val="24"/>
        </w:rPr>
        <w:t>. https://koreascience.kr/article/JAKO202333360638617.page</w:t>
      </w:r>
    </w:p>
    <w:p w14:paraId="466A404E"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Nardi. (n.d.). </w:t>
      </w:r>
      <w:r w:rsidRPr="004A26E2">
        <w:rPr>
          <w:rFonts w:asciiTheme="majorBidi" w:hAnsiTheme="majorBidi" w:cstheme="majorBidi"/>
          <w:i/>
          <w:iCs/>
          <w:sz w:val="24"/>
          <w:szCs w:val="24"/>
        </w:rPr>
        <w:t>Doing survey research: A guide to quantitative methods</w:t>
      </w:r>
      <w:r w:rsidRPr="004A26E2">
        <w:rPr>
          <w:rFonts w:asciiTheme="majorBidi" w:hAnsiTheme="majorBidi" w:cstheme="majorBidi"/>
          <w:sz w:val="24"/>
          <w:szCs w:val="24"/>
        </w:rPr>
        <w:t>. https://www.taylorfrancis.com/books/mono/10.4324/9781315172231/survey-research-peter-nardi</w:t>
      </w:r>
    </w:p>
    <w:p w14:paraId="7531D736"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proofErr w:type="spellStart"/>
      <w:r w:rsidRPr="004A26E2">
        <w:rPr>
          <w:rFonts w:asciiTheme="majorBidi" w:hAnsiTheme="majorBidi" w:cstheme="majorBidi"/>
          <w:sz w:val="24"/>
          <w:szCs w:val="24"/>
        </w:rPr>
        <w:t>Nazief</w:t>
      </w:r>
      <w:proofErr w:type="spellEnd"/>
      <w:r w:rsidRPr="004A26E2">
        <w:rPr>
          <w:rFonts w:asciiTheme="majorBidi" w:hAnsiTheme="majorBidi" w:cstheme="majorBidi"/>
          <w:sz w:val="24"/>
          <w:szCs w:val="24"/>
        </w:rPr>
        <w:t xml:space="preserve">, &amp; Abdul. (2019). </w:t>
      </w:r>
      <w:r w:rsidRPr="004A26E2">
        <w:rPr>
          <w:rFonts w:asciiTheme="majorBidi" w:hAnsiTheme="majorBidi" w:cstheme="majorBidi"/>
          <w:i/>
          <w:iCs/>
          <w:sz w:val="24"/>
          <w:szCs w:val="24"/>
        </w:rPr>
        <w:t>Improving the effect of work satisfaction on job performance through employee engagement</w:t>
      </w:r>
      <w:r w:rsidRPr="004A26E2">
        <w:rPr>
          <w:rFonts w:asciiTheme="majorBidi" w:hAnsiTheme="majorBidi" w:cstheme="majorBidi"/>
          <w:sz w:val="24"/>
          <w:szCs w:val="24"/>
        </w:rPr>
        <w:t>. https://lppm.unmer.ac.id/webmin/assets/uploads/lj/LJ201908071565151538635.pdf</w:t>
      </w:r>
    </w:p>
    <w:p w14:paraId="141A1B85"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Nedelea. (n.d.). </w:t>
      </w:r>
      <w:r w:rsidRPr="004A26E2">
        <w:rPr>
          <w:rFonts w:asciiTheme="majorBidi" w:hAnsiTheme="majorBidi" w:cstheme="majorBidi"/>
          <w:i/>
          <w:iCs/>
          <w:sz w:val="24"/>
          <w:szCs w:val="24"/>
        </w:rPr>
        <w:t>Impact of supervisors’ person-</w:t>
      </w:r>
      <w:proofErr w:type="spellStart"/>
      <w:r w:rsidRPr="004A26E2">
        <w:rPr>
          <w:rFonts w:asciiTheme="majorBidi" w:hAnsiTheme="majorBidi" w:cstheme="majorBidi"/>
          <w:i/>
          <w:iCs/>
          <w:sz w:val="24"/>
          <w:szCs w:val="24"/>
        </w:rPr>
        <w:t>centered</w:t>
      </w:r>
      <w:proofErr w:type="spellEnd"/>
      <w:r w:rsidRPr="004A26E2">
        <w:rPr>
          <w:rFonts w:asciiTheme="majorBidi" w:hAnsiTheme="majorBidi" w:cstheme="majorBidi"/>
          <w:i/>
          <w:iCs/>
          <w:sz w:val="24"/>
          <w:szCs w:val="24"/>
        </w:rPr>
        <w:t xml:space="preserve"> listening on sense of belonging among occupationally minoritized healthcare professionals</w:t>
      </w:r>
      <w:r w:rsidRPr="004A26E2">
        <w:rPr>
          <w:rFonts w:asciiTheme="majorBidi" w:hAnsiTheme="majorBidi" w:cstheme="majorBidi"/>
          <w:sz w:val="24"/>
          <w:szCs w:val="24"/>
        </w:rPr>
        <w:t>. https://search.proquest.com/openview/a5b90a98bac6e94d5a540251fa5ae3fb/1?pq-origsite=gscholar&amp;cbl=18750&amp;diss=y</w:t>
      </w:r>
    </w:p>
    <w:p w14:paraId="489E7C2E"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Nicolae, Marian, Nicoleta, &amp; Cosmin. (2020). </w:t>
      </w:r>
      <w:r w:rsidRPr="004A26E2">
        <w:rPr>
          <w:rFonts w:asciiTheme="majorBidi" w:hAnsiTheme="majorBidi" w:cstheme="majorBidi"/>
          <w:i/>
          <w:iCs/>
          <w:sz w:val="24"/>
          <w:szCs w:val="24"/>
        </w:rPr>
        <w:t>Analysis of practices to increase the workforce agility and to develop a sustainable and competitive business</w:t>
      </w:r>
      <w:r w:rsidRPr="004A26E2">
        <w:rPr>
          <w:rFonts w:asciiTheme="majorBidi" w:hAnsiTheme="majorBidi" w:cstheme="majorBidi"/>
          <w:sz w:val="24"/>
          <w:szCs w:val="24"/>
        </w:rPr>
        <w:t>. https://www.mdpi.com/2071-1050/12/9/3545</w:t>
      </w:r>
    </w:p>
    <w:p w14:paraId="030ED9C4"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Nike, &amp; Hari. (2023). </w:t>
      </w:r>
      <w:r w:rsidRPr="004A26E2">
        <w:rPr>
          <w:rFonts w:asciiTheme="majorBidi" w:hAnsiTheme="majorBidi" w:cstheme="majorBidi"/>
          <w:i/>
          <w:iCs/>
          <w:sz w:val="24"/>
          <w:szCs w:val="24"/>
        </w:rPr>
        <w:t>Enhancing financial management and accountant roles: A study on the role of technological advancements</w:t>
      </w:r>
      <w:r w:rsidRPr="004A26E2">
        <w:rPr>
          <w:rFonts w:asciiTheme="majorBidi" w:hAnsiTheme="majorBidi" w:cstheme="majorBidi"/>
          <w:sz w:val="24"/>
          <w:szCs w:val="24"/>
        </w:rPr>
        <w:t>. https://www.journal.stieamkop.ac.id/index.php/seiko/article/view/4842</w:t>
      </w:r>
    </w:p>
    <w:p w14:paraId="6BC4DAA4"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Oluwayomi, Oluyinka, &amp; Muyiwa. (2023). </w:t>
      </w:r>
      <w:r w:rsidRPr="004A26E2">
        <w:rPr>
          <w:rFonts w:asciiTheme="majorBidi" w:hAnsiTheme="majorBidi" w:cstheme="majorBidi"/>
          <w:i/>
          <w:iCs/>
          <w:sz w:val="24"/>
          <w:szCs w:val="24"/>
        </w:rPr>
        <w:t>Examining the roles of government accounting officers and their implications on achieving sustainable revenue budget: A case study of the Ekiti State Government . . .</w:t>
      </w:r>
      <w:r w:rsidRPr="004A26E2">
        <w:rPr>
          <w:rFonts w:asciiTheme="majorBidi" w:hAnsiTheme="majorBidi" w:cstheme="majorBidi"/>
          <w:sz w:val="24"/>
          <w:szCs w:val="24"/>
        </w:rPr>
        <w:t>. https://dinastires.org/JAFM/article/view/273</w:t>
      </w:r>
    </w:p>
    <w:p w14:paraId="7A04A662"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Orthodox, &amp; Stephen. (2019). </w:t>
      </w:r>
      <w:r w:rsidRPr="004A26E2">
        <w:rPr>
          <w:rFonts w:asciiTheme="majorBidi" w:hAnsiTheme="majorBidi" w:cstheme="majorBidi"/>
          <w:i/>
          <w:iCs/>
          <w:sz w:val="24"/>
          <w:szCs w:val="24"/>
        </w:rPr>
        <w:t>The Relationship between Employee Engagement and Organisational Productivity of Sugar Industry in South Africa: The Employees’ Perspective.</w:t>
      </w:r>
      <w:r w:rsidRPr="004A26E2">
        <w:rPr>
          <w:rFonts w:asciiTheme="majorBidi" w:hAnsiTheme="majorBidi" w:cstheme="majorBidi"/>
          <w:sz w:val="24"/>
          <w:szCs w:val="24"/>
        </w:rPr>
        <w:t xml:space="preserve"> https://journals.co.za/doi/pdf/10.31920/1750-4562/2019/v14n1a6</w:t>
      </w:r>
    </w:p>
    <w:p w14:paraId="1F700899"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proofErr w:type="spellStart"/>
      <w:r w:rsidRPr="004A26E2">
        <w:rPr>
          <w:rFonts w:asciiTheme="majorBidi" w:hAnsiTheme="majorBidi" w:cstheme="majorBidi"/>
          <w:sz w:val="24"/>
          <w:szCs w:val="24"/>
        </w:rPr>
        <w:t>Oznur</w:t>
      </w:r>
      <w:proofErr w:type="spellEnd"/>
      <w:r w:rsidRPr="004A26E2">
        <w:rPr>
          <w:rFonts w:asciiTheme="majorBidi" w:hAnsiTheme="majorBidi" w:cstheme="majorBidi"/>
          <w:sz w:val="24"/>
          <w:szCs w:val="24"/>
        </w:rPr>
        <w:t xml:space="preserve">, &amp; Zafer. (2018). </w:t>
      </w:r>
      <w:r w:rsidRPr="004A26E2">
        <w:rPr>
          <w:rFonts w:asciiTheme="majorBidi" w:hAnsiTheme="majorBidi" w:cstheme="majorBidi"/>
          <w:i/>
          <w:iCs/>
          <w:sz w:val="24"/>
          <w:szCs w:val="24"/>
        </w:rPr>
        <w:t>Leadership, personal values and organizational culture</w:t>
      </w:r>
      <w:r w:rsidRPr="004A26E2">
        <w:rPr>
          <w:rFonts w:asciiTheme="majorBidi" w:hAnsiTheme="majorBidi" w:cstheme="majorBidi"/>
          <w:sz w:val="24"/>
          <w:szCs w:val="24"/>
        </w:rPr>
        <w:t>. https://link.springer.com/chapter/10.1007/978-3-319-77622-4_3</w:t>
      </w:r>
    </w:p>
    <w:p w14:paraId="280686F6"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Pavan, Shilpi, &amp; Amitabh. (2022). </w:t>
      </w:r>
      <w:r w:rsidRPr="004A26E2">
        <w:rPr>
          <w:rFonts w:asciiTheme="majorBidi" w:hAnsiTheme="majorBidi" w:cstheme="majorBidi"/>
          <w:i/>
          <w:iCs/>
          <w:sz w:val="24"/>
          <w:szCs w:val="24"/>
        </w:rPr>
        <w:t>Supportive culture and job involvement in public sector: the mediating role of participation in decision making and organizational learning</w:t>
      </w:r>
      <w:r w:rsidRPr="004A26E2">
        <w:rPr>
          <w:rFonts w:asciiTheme="majorBidi" w:hAnsiTheme="majorBidi" w:cstheme="majorBidi"/>
          <w:sz w:val="24"/>
          <w:szCs w:val="24"/>
        </w:rPr>
        <w:t>. https://www.emerald.com/insight/content/doi/10.1108/IJPSM-09-2021-0218/full/html</w:t>
      </w:r>
    </w:p>
    <w:p w14:paraId="1D7459BF"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Retno. (2023). </w:t>
      </w:r>
      <w:r w:rsidRPr="004A26E2">
        <w:rPr>
          <w:rFonts w:asciiTheme="majorBidi" w:hAnsiTheme="majorBidi" w:cstheme="majorBidi"/>
          <w:i/>
          <w:iCs/>
          <w:sz w:val="24"/>
          <w:szCs w:val="24"/>
        </w:rPr>
        <w:t>The Influence of Work Discipline and Non-Physical Work Environment On Employee Performance: Case Study in One of The Local Government Institutions in The City . . .</w:t>
      </w:r>
      <w:r w:rsidRPr="004A26E2">
        <w:rPr>
          <w:rFonts w:asciiTheme="majorBidi" w:hAnsiTheme="majorBidi" w:cstheme="majorBidi"/>
          <w:sz w:val="24"/>
          <w:szCs w:val="24"/>
        </w:rPr>
        <w:t>. http://jurnal.stiepas.id/index.php/bistek/article/view/315</w:t>
      </w:r>
    </w:p>
    <w:p w14:paraId="13A3A7B7"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Robert, &amp; Elizabeth. (n.d.). </w:t>
      </w:r>
      <w:r w:rsidRPr="004A26E2">
        <w:rPr>
          <w:rFonts w:asciiTheme="majorBidi" w:hAnsiTheme="majorBidi" w:cstheme="majorBidi"/>
          <w:i/>
          <w:iCs/>
          <w:sz w:val="24"/>
          <w:szCs w:val="24"/>
        </w:rPr>
        <w:t>The talent powered organization: Strategies for globalization, talent management and high performance</w:t>
      </w:r>
      <w:r w:rsidRPr="004A26E2">
        <w:rPr>
          <w:rFonts w:asciiTheme="majorBidi" w:hAnsiTheme="majorBidi" w:cstheme="majorBidi"/>
          <w:sz w:val="24"/>
          <w:szCs w:val="24"/>
        </w:rPr>
        <w:t>. Kogan Page Publishers. https://books.google.com/books?hl=en&amp;lr=&amp;id=kRvHo65lUSMC&amp;oi=fnd&amp;pg=PP1&amp;dq=By+addressing+these+various+factors,+government+agencies+can+create+a+work+environment+that+not+only+attracts+top+talent+but+also+maximizes+productivity+and+eff&amp;ots=K9ERXF08Se&amp;sig=FeQwkWFI5EU9YqyL1LvKDaEyzY0</w:t>
      </w:r>
    </w:p>
    <w:p w14:paraId="0865DB38"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Roth, William, &amp; Abuse.". (1982). </w:t>
      </w:r>
      <w:r w:rsidRPr="004A26E2">
        <w:rPr>
          <w:rFonts w:asciiTheme="majorBidi" w:hAnsiTheme="majorBidi" w:cstheme="majorBidi"/>
          <w:i/>
          <w:iCs/>
          <w:sz w:val="24"/>
          <w:szCs w:val="24"/>
        </w:rPr>
        <w:t>Malmanagement Problem: Finding the Roots of Government Waste, Fraud, and Abuse</w:t>
      </w:r>
      <w:r w:rsidRPr="004A26E2">
        <w:rPr>
          <w:rFonts w:asciiTheme="majorBidi" w:hAnsiTheme="majorBidi" w:cstheme="majorBidi"/>
          <w:sz w:val="24"/>
          <w:szCs w:val="24"/>
        </w:rPr>
        <w:t>. https://heinonline.org/hol-cgi-bin/get_pdf.cgi?handle=hein.journals/tndl58&amp;section=46</w:t>
      </w:r>
    </w:p>
    <w:p w14:paraId="4697AE9D"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S. (2013). </w:t>
      </w:r>
      <w:r w:rsidRPr="004A26E2">
        <w:rPr>
          <w:rFonts w:asciiTheme="majorBidi" w:hAnsiTheme="majorBidi" w:cstheme="majorBidi"/>
          <w:i/>
          <w:iCs/>
          <w:sz w:val="24"/>
          <w:szCs w:val="24"/>
        </w:rPr>
        <w:t>Developing and sustaining an ethical corporate culture: The core elements</w:t>
      </w:r>
      <w:r w:rsidRPr="004A26E2">
        <w:rPr>
          <w:rFonts w:asciiTheme="majorBidi" w:hAnsiTheme="majorBidi" w:cstheme="majorBidi"/>
          <w:sz w:val="24"/>
          <w:szCs w:val="24"/>
        </w:rPr>
        <w:t>. https://www.sciencedirect.com/science/article/pii/S0007681312001218</w:t>
      </w:r>
    </w:p>
    <w:p w14:paraId="44128A83"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Saladi, &amp; K. (n.d.). </w:t>
      </w:r>
      <w:r w:rsidRPr="004A26E2">
        <w:rPr>
          <w:rFonts w:asciiTheme="majorBidi" w:hAnsiTheme="majorBidi" w:cstheme="majorBidi"/>
          <w:i/>
          <w:iCs/>
          <w:sz w:val="24"/>
          <w:szCs w:val="24"/>
        </w:rPr>
        <w:t>The Hidden Costs of Low Morale: How Unfilled Jobs and Staff Attrition Can Drain Your Business</w:t>
      </w:r>
      <w:r w:rsidRPr="004A26E2">
        <w:rPr>
          <w:rFonts w:asciiTheme="majorBidi" w:hAnsiTheme="majorBidi" w:cstheme="majorBidi"/>
          <w:sz w:val="24"/>
          <w:szCs w:val="24"/>
        </w:rPr>
        <w:t>. https://www.igi-global.com/chapter/the-hidden-costs-of-low-morale/366642</w:t>
      </w:r>
    </w:p>
    <w:p w14:paraId="16589663"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Saurabh, &amp; </w:t>
      </w:r>
      <w:proofErr w:type="spellStart"/>
      <w:r w:rsidRPr="004A26E2">
        <w:rPr>
          <w:rFonts w:asciiTheme="majorBidi" w:hAnsiTheme="majorBidi" w:cstheme="majorBidi"/>
          <w:sz w:val="24"/>
          <w:szCs w:val="24"/>
        </w:rPr>
        <w:t>Kittisak</w:t>
      </w:r>
      <w:proofErr w:type="spellEnd"/>
      <w:r w:rsidRPr="004A26E2">
        <w:rPr>
          <w:rFonts w:asciiTheme="majorBidi" w:hAnsiTheme="majorBidi" w:cstheme="majorBidi"/>
          <w:sz w:val="24"/>
          <w:szCs w:val="24"/>
        </w:rPr>
        <w:t xml:space="preserve">. (n.d.). </w:t>
      </w:r>
      <w:r w:rsidRPr="004A26E2">
        <w:rPr>
          <w:rFonts w:asciiTheme="majorBidi" w:hAnsiTheme="majorBidi" w:cstheme="majorBidi"/>
          <w:i/>
          <w:iCs/>
          <w:sz w:val="24"/>
          <w:szCs w:val="24"/>
        </w:rPr>
        <w:t>Prioritizing Employee Psychological Well-Being: A Practical Guide to Organizational Sustainability</w:t>
      </w:r>
      <w:r w:rsidRPr="004A26E2">
        <w:rPr>
          <w:rFonts w:asciiTheme="majorBidi" w:hAnsiTheme="majorBidi" w:cstheme="majorBidi"/>
          <w:sz w:val="24"/>
          <w:szCs w:val="24"/>
        </w:rPr>
        <w:t>. https://www.igi-global.com/chapter/prioritizing-employee-psychological-well-being/377936</w:t>
      </w:r>
    </w:p>
    <w:p w14:paraId="5F8E22CA"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Schein. (n.d.). </w:t>
      </w:r>
      <w:r w:rsidRPr="004A26E2">
        <w:rPr>
          <w:rFonts w:asciiTheme="majorBidi" w:hAnsiTheme="majorBidi" w:cstheme="majorBidi"/>
          <w:i/>
          <w:iCs/>
          <w:sz w:val="24"/>
          <w:szCs w:val="24"/>
        </w:rPr>
        <w:t>Organizational culture.</w:t>
      </w:r>
      <w:r w:rsidRPr="004A26E2">
        <w:rPr>
          <w:rFonts w:asciiTheme="majorBidi" w:hAnsiTheme="majorBidi" w:cstheme="majorBidi"/>
          <w:sz w:val="24"/>
          <w:szCs w:val="24"/>
        </w:rPr>
        <w:t xml:space="preserve"> https://psycnet.apa.org/fulltext/1990-15978-001.html</w:t>
      </w:r>
    </w:p>
    <w:p w14:paraId="6AD97C84"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lastRenderedPageBreak/>
        <w:t xml:space="preserve">Sehrish, Peng, Umair, Muhammad, Suhail, talent, &amp; policies. (2017). </w:t>
      </w:r>
      <w:r w:rsidRPr="004A26E2">
        <w:rPr>
          <w:rFonts w:asciiTheme="majorBidi" w:hAnsiTheme="majorBidi" w:cstheme="majorBidi"/>
          <w:i/>
          <w:iCs/>
          <w:sz w:val="24"/>
          <w:szCs w:val="24"/>
        </w:rPr>
        <w:t>Investigation of talent, talent management, its policies and its impact on working environment</w:t>
      </w:r>
      <w:r w:rsidRPr="004A26E2">
        <w:rPr>
          <w:rFonts w:asciiTheme="majorBidi" w:hAnsiTheme="majorBidi" w:cstheme="majorBidi"/>
          <w:sz w:val="24"/>
          <w:szCs w:val="24"/>
        </w:rPr>
        <w:t>. https://www.emerald.com/insight/content/doi/10.1108/cms-10-2016-0206/full/html</w:t>
      </w:r>
    </w:p>
    <w:p w14:paraId="348ACBB1"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Sharon, Anja, &amp; David. (2017). </w:t>
      </w:r>
      <w:r w:rsidRPr="004A26E2">
        <w:rPr>
          <w:rFonts w:asciiTheme="majorBidi" w:hAnsiTheme="majorBidi" w:cstheme="majorBidi"/>
          <w:i/>
          <w:iCs/>
          <w:sz w:val="24"/>
          <w:szCs w:val="24"/>
        </w:rPr>
        <w:t>Work design influences: A synthesis of multilevel factors that affect the design of jobs</w:t>
      </w:r>
      <w:r w:rsidRPr="004A26E2">
        <w:rPr>
          <w:rFonts w:asciiTheme="majorBidi" w:hAnsiTheme="majorBidi" w:cstheme="majorBidi"/>
          <w:sz w:val="24"/>
          <w:szCs w:val="24"/>
        </w:rPr>
        <w:t>. https://journals.aom.org/doi/abs/10.5465/annals.2014.0054</w:t>
      </w:r>
    </w:p>
    <w:p w14:paraId="4BB502F7"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Skiba. (n.d.). </w:t>
      </w:r>
      <w:r w:rsidRPr="004A26E2">
        <w:rPr>
          <w:rFonts w:asciiTheme="majorBidi" w:hAnsiTheme="majorBidi" w:cstheme="majorBidi"/>
          <w:i/>
          <w:iCs/>
          <w:sz w:val="24"/>
          <w:szCs w:val="24"/>
        </w:rPr>
        <w:t>Leading and Influencing Ethical Practice</w:t>
      </w:r>
      <w:r w:rsidRPr="004A26E2">
        <w:rPr>
          <w:rFonts w:asciiTheme="majorBidi" w:hAnsiTheme="majorBidi" w:cstheme="majorBidi"/>
          <w:sz w:val="24"/>
          <w:szCs w:val="24"/>
        </w:rPr>
        <w:t>. After Midnight Publishing. https://books.google.com/books?hl=en&amp;lr=&amp;id=YN0fEQAAQBAJ&amp;oi=fnd&amp;pg=PT5&amp;dq=leaders+prioritise+integrity+and+ethical+behaviour,+it+sends+a+clear+message+to+employees+that+these+principles+are+non-negotiable&amp;ots=g9DDZ-2KiC&amp;sig=v_vnpG1QD30wbwLzVa9jC7IQZVY</w:t>
      </w:r>
    </w:p>
    <w:p w14:paraId="7A3FAA60"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Sumathi., job, &amp; burnout. (n.d.). </w:t>
      </w:r>
      <w:r w:rsidRPr="004A26E2">
        <w:rPr>
          <w:rFonts w:asciiTheme="majorBidi" w:hAnsiTheme="majorBidi" w:cstheme="majorBidi"/>
          <w:i/>
          <w:iCs/>
          <w:sz w:val="24"/>
          <w:szCs w:val="24"/>
        </w:rPr>
        <w:t>Influence of perceived equity, job enrichment, and burnout among educators in Indian private universities on job satisfaction and the desire to quit</w:t>
      </w:r>
      <w:r w:rsidRPr="004A26E2">
        <w:rPr>
          <w:rFonts w:asciiTheme="majorBidi" w:hAnsiTheme="majorBidi" w:cstheme="majorBidi"/>
          <w:sz w:val="24"/>
          <w:szCs w:val="24"/>
        </w:rPr>
        <w:t>. https://www.frontiersin.org/articles/10.3389/feduc.2022.991068/full</w:t>
      </w:r>
    </w:p>
    <w:p w14:paraId="77780D3F"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Taj. (2023). </w:t>
      </w:r>
      <w:r w:rsidRPr="004A26E2">
        <w:rPr>
          <w:rFonts w:asciiTheme="majorBidi" w:hAnsiTheme="majorBidi" w:cstheme="majorBidi"/>
          <w:i/>
          <w:iCs/>
          <w:sz w:val="24"/>
          <w:szCs w:val="24"/>
        </w:rPr>
        <w:t>Ethical Dilemmas in Leadership: Navigating Difficult Situations with Integrity</w:t>
      </w:r>
      <w:r w:rsidRPr="004A26E2">
        <w:rPr>
          <w:rFonts w:asciiTheme="majorBidi" w:hAnsiTheme="majorBidi" w:cstheme="majorBidi"/>
          <w:sz w:val="24"/>
          <w:szCs w:val="24"/>
        </w:rPr>
        <w:t>. https://pdfs.semanticscholar.org/03c6/f43165159ca3f1f97b5310c4d5533b1187f3.pdf</w:t>
      </w:r>
    </w:p>
    <w:p w14:paraId="53A12B23"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proofErr w:type="spellStart"/>
      <w:r w:rsidRPr="004A26E2">
        <w:rPr>
          <w:rFonts w:asciiTheme="majorBidi" w:hAnsiTheme="majorBidi" w:cstheme="majorBidi"/>
          <w:sz w:val="24"/>
          <w:szCs w:val="24"/>
        </w:rPr>
        <w:t>Tennor</w:t>
      </w:r>
      <w:proofErr w:type="spellEnd"/>
      <w:r w:rsidRPr="004A26E2">
        <w:rPr>
          <w:rFonts w:asciiTheme="majorBidi" w:hAnsiTheme="majorBidi" w:cstheme="majorBidi"/>
          <w:sz w:val="24"/>
          <w:szCs w:val="24"/>
        </w:rPr>
        <w:t xml:space="preserve">. (n.d.). </w:t>
      </w:r>
      <w:r w:rsidRPr="004A26E2">
        <w:rPr>
          <w:rFonts w:asciiTheme="majorBidi" w:hAnsiTheme="majorBidi" w:cstheme="majorBidi"/>
          <w:i/>
          <w:iCs/>
          <w:sz w:val="24"/>
          <w:szCs w:val="24"/>
        </w:rPr>
        <w:t>Adverse Impacts of Perceived Unethical Work Environments on Job Satisfaction</w:t>
      </w:r>
      <w:r w:rsidRPr="004A26E2">
        <w:rPr>
          <w:rFonts w:asciiTheme="majorBidi" w:hAnsiTheme="majorBidi" w:cstheme="majorBidi"/>
          <w:sz w:val="24"/>
          <w:szCs w:val="24"/>
        </w:rPr>
        <w:t>. https://search.proquest.com/openview/00725bf0f790aac7cfa38185934fc7c7/1?pq-origsite=gscholar&amp;cbl=18750&amp;diss=y</w:t>
      </w:r>
    </w:p>
    <w:p w14:paraId="6900C44A"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Teresa, </w:t>
      </w:r>
      <w:proofErr w:type="spellStart"/>
      <w:r w:rsidRPr="004A26E2">
        <w:rPr>
          <w:rFonts w:asciiTheme="majorBidi" w:hAnsiTheme="majorBidi" w:cstheme="majorBidi"/>
          <w:sz w:val="24"/>
          <w:szCs w:val="24"/>
        </w:rPr>
        <w:t>Nasirwan</w:t>
      </w:r>
      <w:proofErr w:type="spellEnd"/>
      <w:r w:rsidRPr="004A26E2">
        <w:rPr>
          <w:rFonts w:asciiTheme="majorBidi" w:hAnsiTheme="majorBidi" w:cstheme="majorBidi"/>
          <w:sz w:val="24"/>
          <w:szCs w:val="24"/>
        </w:rPr>
        <w:t xml:space="preserve">, &amp; Chandra. (2020). </w:t>
      </w:r>
      <w:r w:rsidRPr="004A26E2">
        <w:rPr>
          <w:rFonts w:asciiTheme="majorBidi" w:hAnsiTheme="majorBidi" w:cstheme="majorBidi"/>
          <w:i/>
          <w:iCs/>
          <w:sz w:val="24"/>
          <w:szCs w:val="24"/>
        </w:rPr>
        <w:t>The Effect of Accounting Information and Organizational Culture on Decision Making</w:t>
      </w:r>
      <w:r w:rsidRPr="004A26E2">
        <w:rPr>
          <w:rFonts w:asciiTheme="majorBidi" w:hAnsiTheme="majorBidi" w:cstheme="majorBidi"/>
          <w:sz w:val="24"/>
          <w:szCs w:val="24"/>
        </w:rPr>
        <w:t>. https://pdfs.semanticscholar.org/bdb2/05eab172fdc97fa68326a5ac0d63b5751e8a.pdf</w:t>
      </w:r>
    </w:p>
    <w:p w14:paraId="5D773E45"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Thomas, Xi, &amp; Christopher. (2020). </w:t>
      </w:r>
      <w:r w:rsidRPr="004A26E2">
        <w:rPr>
          <w:rFonts w:asciiTheme="majorBidi" w:hAnsiTheme="majorBidi" w:cstheme="majorBidi"/>
          <w:i/>
          <w:iCs/>
          <w:sz w:val="24"/>
          <w:szCs w:val="24"/>
        </w:rPr>
        <w:t>Enhancing job satisfaction through work–family enrichment and perceived supervisor support: The case of Australian social workers</w:t>
      </w:r>
      <w:r w:rsidRPr="004A26E2">
        <w:rPr>
          <w:rFonts w:asciiTheme="majorBidi" w:hAnsiTheme="majorBidi" w:cstheme="majorBidi"/>
          <w:sz w:val="24"/>
          <w:szCs w:val="24"/>
        </w:rPr>
        <w:t>. https://www.emerald.com/insight/content/doi/10.1108/PR-06-2018-0219/full/html</w:t>
      </w:r>
    </w:p>
    <w:p w14:paraId="429CD2C7"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Timothy, Shuxia, &amp; David. (2020). </w:t>
      </w:r>
      <w:r w:rsidRPr="004A26E2">
        <w:rPr>
          <w:rFonts w:asciiTheme="majorBidi" w:hAnsiTheme="majorBidi" w:cstheme="majorBidi"/>
          <w:i/>
          <w:iCs/>
          <w:sz w:val="24"/>
          <w:szCs w:val="24"/>
        </w:rPr>
        <w:t>Job satisfaction</w:t>
      </w:r>
      <w:r w:rsidRPr="004A26E2">
        <w:rPr>
          <w:rFonts w:asciiTheme="majorBidi" w:hAnsiTheme="majorBidi" w:cstheme="majorBidi"/>
          <w:sz w:val="24"/>
          <w:szCs w:val="24"/>
        </w:rPr>
        <w:t>. https://www.taylorfrancis.com/chapters/edit/10.4324/9780429325755-11/job-satisfaction-timothy-judge-shuxia-carrie-zhang-david-glerum</w:t>
      </w:r>
    </w:p>
    <w:p w14:paraId="154F03D9" w14:textId="77777777" w:rsidR="004A26E2" w:rsidRPr="00CA3E0F" w:rsidRDefault="004A26E2" w:rsidP="007E6FFA">
      <w:pPr>
        <w:spacing w:after="0" w:line="240" w:lineRule="auto"/>
        <w:ind w:left="567" w:hanging="720"/>
        <w:jc w:val="both"/>
        <w:rPr>
          <w:rFonts w:asciiTheme="majorBidi" w:hAnsiTheme="majorBidi" w:cstheme="majorBidi"/>
          <w:sz w:val="24"/>
          <w:szCs w:val="24"/>
          <w:lang w:val="de-DE"/>
        </w:rPr>
      </w:pPr>
      <w:r w:rsidRPr="004A26E2">
        <w:rPr>
          <w:rFonts w:asciiTheme="majorBidi" w:hAnsiTheme="majorBidi" w:cstheme="majorBidi"/>
          <w:sz w:val="24"/>
          <w:szCs w:val="24"/>
        </w:rPr>
        <w:t xml:space="preserve">Tucker. (n.d.). </w:t>
      </w:r>
      <w:r w:rsidRPr="004A26E2">
        <w:rPr>
          <w:rFonts w:asciiTheme="majorBidi" w:hAnsiTheme="majorBidi" w:cstheme="majorBidi"/>
          <w:i/>
          <w:iCs/>
          <w:sz w:val="24"/>
          <w:szCs w:val="24"/>
        </w:rPr>
        <w:t>Driving growth through innovation: How leading firms are transforming their futures</w:t>
      </w:r>
      <w:r w:rsidRPr="004A26E2">
        <w:rPr>
          <w:rFonts w:asciiTheme="majorBidi" w:hAnsiTheme="majorBidi" w:cstheme="majorBidi"/>
          <w:sz w:val="24"/>
          <w:szCs w:val="24"/>
        </w:rPr>
        <w:t xml:space="preserve">. </w:t>
      </w:r>
      <w:r w:rsidRPr="00CA3E0F">
        <w:rPr>
          <w:rFonts w:asciiTheme="majorBidi" w:hAnsiTheme="majorBidi" w:cstheme="majorBidi"/>
          <w:sz w:val="24"/>
          <w:szCs w:val="24"/>
          <w:lang w:val="de-DE"/>
        </w:rPr>
        <w:t>BerrettKoehler Publishers. https://books.google.com/books?hl=en&amp;lr=&amp;id=a8hbnMpnG8MC&amp;oi=fnd&amp;pg=PA1&amp;dq=driving+innovation+and+staying+ahead+of+the+curve+in+the+market.&amp;ots=EjCpJa-CB-&amp;sig=wN0_KmCt9PdV9mMdaPNdRmRzPYc</w:t>
      </w:r>
    </w:p>
    <w:p w14:paraId="1353505C"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u. (2025). </w:t>
      </w:r>
      <w:r w:rsidRPr="004A26E2">
        <w:rPr>
          <w:rFonts w:asciiTheme="majorBidi" w:hAnsiTheme="majorBidi" w:cstheme="majorBidi"/>
          <w:i/>
          <w:iCs/>
          <w:sz w:val="24"/>
          <w:szCs w:val="24"/>
        </w:rPr>
        <w:t>Bridging Between Financial Performance and Government Performance: The Role of Public Sector Accounting in Realizing Good Governance</w:t>
      </w:r>
      <w:r w:rsidRPr="004A26E2">
        <w:rPr>
          <w:rFonts w:asciiTheme="majorBidi" w:hAnsiTheme="majorBidi" w:cstheme="majorBidi"/>
          <w:sz w:val="24"/>
          <w:szCs w:val="24"/>
        </w:rPr>
        <w:t>. https://jurnalhafasy.com/index.php/oikonomia/article/view/291</w:t>
      </w:r>
    </w:p>
    <w:p w14:paraId="7E3E998F"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proofErr w:type="spellStart"/>
      <w:r w:rsidRPr="004A26E2">
        <w:rPr>
          <w:rFonts w:asciiTheme="majorBidi" w:hAnsiTheme="majorBidi" w:cstheme="majorBidi"/>
          <w:sz w:val="24"/>
          <w:szCs w:val="24"/>
        </w:rPr>
        <w:t>Urme</w:t>
      </w:r>
      <w:proofErr w:type="spellEnd"/>
      <w:r w:rsidRPr="004A26E2">
        <w:rPr>
          <w:rFonts w:asciiTheme="majorBidi" w:hAnsiTheme="majorBidi" w:cstheme="majorBidi"/>
          <w:sz w:val="24"/>
          <w:szCs w:val="24"/>
        </w:rPr>
        <w:t xml:space="preserve">. (2023). </w:t>
      </w:r>
      <w:r w:rsidRPr="004A26E2">
        <w:rPr>
          <w:rFonts w:asciiTheme="majorBidi" w:hAnsiTheme="majorBidi" w:cstheme="majorBidi"/>
          <w:i/>
          <w:iCs/>
          <w:sz w:val="24"/>
          <w:szCs w:val="24"/>
        </w:rPr>
        <w:t>The impact of talent management strategies on employee retention</w:t>
      </w:r>
      <w:r w:rsidRPr="004A26E2">
        <w:rPr>
          <w:rFonts w:asciiTheme="majorBidi" w:hAnsiTheme="majorBidi" w:cstheme="majorBidi"/>
          <w:sz w:val="24"/>
          <w:szCs w:val="24"/>
        </w:rPr>
        <w:t>. https://www.researchgate.net/profile/Umma-Urme/publication/374147805_The_Impact_of_Talent_Management_Strategies_on_Employee_Retention/links/65102e7a61f18040c220d870/The-Impact-of-Talent-Management-Strategies-on-Employee-Retention.pdf</w:t>
      </w:r>
    </w:p>
    <w:p w14:paraId="4295EF5F"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V., &amp; Roshan. (2024). </w:t>
      </w:r>
      <w:r w:rsidRPr="004A26E2">
        <w:rPr>
          <w:rFonts w:asciiTheme="majorBidi" w:hAnsiTheme="majorBidi" w:cstheme="majorBidi"/>
          <w:i/>
          <w:iCs/>
          <w:sz w:val="24"/>
          <w:szCs w:val="24"/>
        </w:rPr>
        <w:t>Fostering a Sense of Belonging: A Strategic Approach to Employee Engagement</w:t>
      </w:r>
      <w:r w:rsidRPr="004A26E2">
        <w:rPr>
          <w:rFonts w:asciiTheme="majorBidi" w:hAnsiTheme="majorBidi" w:cstheme="majorBidi"/>
          <w:sz w:val="24"/>
          <w:szCs w:val="24"/>
        </w:rPr>
        <w:t>. https://cimr.in/PDFs/ResearchJournals/Volume%20XVI%20(2)%20September%202024.pdf#page=9</w:t>
      </w:r>
    </w:p>
    <w:p w14:paraId="0D0CE30F"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Vesna. (2021). </w:t>
      </w:r>
      <w:r w:rsidRPr="004A26E2">
        <w:rPr>
          <w:rFonts w:asciiTheme="majorBidi" w:hAnsiTheme="majorBidi" w:cstheme="majorBidi"/>
          <w:i/>
          <w:iCs/>
          <w:sz w:val="24"/>
          <w:szCs w:val="24"/>
        </w:rPr>
        <w:t>The role and application of accounting and budgeting information in government financial management process—a qualitative study in Slovenia</w:t>
      </w:r>
      <w:r w:rsidRPr="004A26E2">
        <w:rPr>
          <w:rFonts w:asciiTheme="majorBidi" w:hAnsiTheme="majorBidi" w:cstheme="majorBidi"/>
          <w:sz w:val="24"/>
          <w:szCs w:val="24"/>
        </w:rPr>
        <w:t>. https://www.tandfonline.com/doi/abs/10.1080/09540962.2020.1724405</w:t>
      </w:r>
    </w:p>
    <w:p w14:paraId="426F7E3B"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Victor, Olamide, &amp; Nkiruka. (2021). </w:t>
      </w:r>
      <w:r w:rsidRPr="004A26E2">
        <w:rPr>
          <w:rFonts w:asciiTheme="majorBidi" w:hAnsiTheme="majorBidi" w:cstheme="majorBidi"/>
          <w:i/>
          <w:iCs/>
          <w:sz w:val="24"/>
          <w:szCs w:val="24"/>
        </w:rPr>
        <w:t>Organizational culture and organizational performance: A review of literature</w:t>
      </w:r>
      <w:r w:rsidRPr="004A26E2">
        <w:rPr>
          <w:rFonts w:asciiTheme="majorBidi" w:hAnsiTheme="majorBidi" w:cstheme="majorBidi"/>
          <w:sz w:val="24"/>
          <w:szCs w:val="24"/>
        </w:rPr>
        <w:t xml:space="preserve">. </w:t>
      </w:r>
      <w:r w:rsidRPr="004A26E2">
        <w:rPr>
          <w:rFonts w:asciiTheme="majorBidi" w:hAnsiTheme="majorBidi" w:cstheme="majorBidi"/>
          <w:sz w:val="24"/>
          <w:szCs w:val="24"/>
        </w:rPr>
        <w:lastRenderedPageBreak/>
        <w:t>https://www.publications.calebuniversity.edu.ng/caleb_uploads/2024/04/Organizational-Culture-and-Organizational-Performance-A-Review-of-Literature.pdf</w:t>
      </w:r>
    </w:p>
    <w:p w14:paraId="4A4A77B9"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Welch. (2024). </w:t>
      </w:r>
      <w:r w:rsidRPr="004A26E2">
        <w:rPr>
          <w:rFonts w:asciiTheme="majorBidi" w:hAnsiTheme="majorBidi" w:cstheme="majorBidi"/>
          <w:i/>
          <w:iCs/>
          <w:sz w:val="24"/>
          <w:szCs w:val="24"/>
        </w:rPr>
        <w:t>Building an organizational legacy: four key principles for responsible leadership</w:t>
      </w:r>
      <w:r w:rsidRPr="004A26E2">
        <w:rPr>
          <w:rFonts w:asciiTheme="majorBidi" w:hAnsiTheme="majorBidi" w:cstheme="majorBidi"/>
          <w:sz w:val="24"/>
          <w:szCs w:val="24"/>
        </w:rPr>
        <w:t>. https://www.emerald.com/insight/content/doi/10.1108/DLO-10-2023-0228/full/html</w:t>
      </w:r>
    </w:p>
    <w:p w14:paraId="25DFC954"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Wendy, Peter, &amp; </w:t>
      </w:r>
      <w:proofErr w:type="spellStart"/>
      <w:r w:rsidRPr="004A26E2">
        <w:rPr>
          <w:rFonts w:asciiTheme="majorBidi" w:hAnsiTheme="majorBidi" w:cstheme="majorBidi"/>
          <w:sz w:val="24"/>
          <w:szCs w:val="24"/>
        </w:rPr>
        <w:t>unting</w:t>
      </w:r>
      <w:proofErr w:type="spellEnd"/>
      <w:r w:rsidRPr="004A26E2">
        <w:rPr>
          <w:rFonts w:asciiTheme="majorBidi" w:hAnsiTheme="majorBidi" w:cstheme="majorBidi"/>
          <w:sz w:val="24"/>
          <w:szCs w:val="24"/>
        </w:rPr>
        <w:t xml:space="preserve">. (2011). </w:t>
      </w:r>
      <w:r w:rsidRPr="004A26E2">
        <w:rPr>
          <w:rFonts w:asciiTheme="majorBidi" w:hAnsiTheme="majorBidi" w:cstheme="majorBidi"/>
          <w:i/>
          <w:iCs/>
          <w:sz w:val="24"/>
          <w:szCs w:val="24"/>
        </w:rPr>
        <w:t>Corporate governance, accounting and finance: A review</w:t>
      </w:r>
      <w:r w:rsidRPr="004A26E2">
        <w:rPr>
          <w:rFonts w:asciiTheme="majorBidi" w:hAnsiTheme="majorBidi" w:cstheme="majorBidi"/>
          <w:sz w:val="24"/>
          <w:szCs w:val="24"/>
        </w:rPr>
        <w:t>. https://onlinelibrary.wiley.com/doi/abs/10.1111/j.1467-629X.2010.00385.x</w:t>
      </w:r>
    </w:p>
    <w:p w14:paraId="153B5C2F"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William, &amp; Alan. (1985). </w:t>
      </w:r>
      <w:r w:rsidRPr="004A26E2">
        <w:rPr>
          <w:rFonts w:asciiTheme="majorBidi" w:hAnsiTheme="majorBidi" w:cstheme="majorBidi"/>
          <w:i/>
          <w:iCs/>
          <w:sz w:val="24"/>
          <w:szCs w:val="24"/>
        </w:rPr>
        <w:t>Organizational culture</w:t>
      </w:r>
      <w:r w:rsidRPr="004A26E2">
        <w:rPr>
          <w:rFonts w:asciiTheme="majorBidi" w:hAnsiTheme="majorBidi" w:cstheme="majorBidi"/>
          <w:sz w:val="24"/>
          <w:szCs w:val="24"/>
        </w:rPr>
        <w:t>. https://www.annualreviews.org/content/journals/10.1146/annurev.so.11.080185.002325</w:t>
      </w:r>
    </w:p>
    <w:p w14:paraId="214C2130"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Williams. (2015). </w:t>
      </w:r>
      <w:r w:rsidRPr="004A26E2">
        <w:rPr>
          <w:rFonts w:asciiTheme="majorBidi" w:hAnsiTheme="majorBidi" w:cstheme="majorBidi"/>
          <w:i/>
          <w:iCs/>
          <w:sz w:val="24"/>
          <w:szCs w:val="24"/>
        </w:rPr>
        <w:t>The local government accountants’ perspective on sustainability</w:t>
      </w:r>
      <w:r w:rsidRPr="004A26E2">
        <w:rPr>
          <w:rFonts w:asciiTheme="majorBidi" w:hAnsiTheme="majorBidi" w:cstheme="majorBidi"/>
          <w:sz w:val="24"/>
          <w:szCs w:val="24"/>
        </w:rPr>
        <w:t>. https://www.emerald.com/insight/content/doi/10.1108/sampj-07-2014-0043/full/html</w:t>
      </w:r>
    </w:p>
    <w:p w14:paraId="00A1E510" w14:textId="77777777" w:rsidR="004A26E2" w:rsidRPr="004A26E2" w:rsidRDefault="004A26E2" w:rsidP="007E6FFA">
      <w:pPr>
        <w:spacing w:after="0" w:line="240" w:lineRule="auto"/>
        <w:ind w:left="567" w:hanging="720"/>
        <w:jc w:val="both"/>
        <w:rPr>
          <w:rFonts w:asciiTheme="majorBidi" w:hAnsiTheme="majorBidi" w:cstheme="majorBidi"/>
          <w:sz w:val="24"/>
          <w:szCs w:val="24"/>
        </w:rPr>
      </w:pPr>
      <w:r w:rsidRPr="004A26E2">
        <w:rPr>
          <w:rFonts w:asciiTheme="majorBidi" w:hAnsiTheme="majorBidi" w:cstheme="majorBidi"/>
          <w:sz w:val="24"/>
          <w:szCs w:val="24"/>
        </w:rPr>
        <w:t xml:space="preserve">Zabihollah., &amp; </w:t>
      </w:r>
      <w:proofErr w:type="spellStart"/>
      <w:r w:rsidRPr="004A26E2">
        <w:rPr>
          <w:rFonts w:asciiTheme="majorBidi" w:hAnsiTheme="majorBidi" w:cstheme="majorBidi"/>
          <w:sz w:val="24"/>
          <w:szCs w:val="24"/>
        </w:rPr>
        <w:t>deterence</w:t>
      </w:r>
      <w:proofErr w:type="spellEnd"/>
      <w:r w:rsidRPr="004A26E2">
        <w:rPr>
          <w:rFonts w:asciiTheme="majorBidi" w:hAnsiTheme="majorBidi" w:cstheme="majorBidi"/>
          <w:sz w:val="24"/>
          <w:szCs w:val="24"/>
        </w:rPr>
        <w:t xml:space="preserve">. (2005). </w:t>
      </w:r>
      <w:r w:rsidRPr="004A26E2">
        <w:rPr>
          <w:rFonts w:asciiTheme="majorBidi" w:hAnsiTheme="majorBidi" w:cstheme="majorBidi"/>
          <w:i/>
          <w:iCs/>
          <w:sz w:val="24"/>
          <w:szCs w:val="24"/>
        </w:rPr>
        <w:t xml:space="preserve">Causes, consequences, and </w:t>
      </w:r>
      <w:proofErr w:type="spellStart"/>
      <w:r w:rsidRPr="004A26E2">
        <w:rPr>
          <w:rFonts w:asciiTheme="majorBidi" w:hAnsiTheme="majorBidi" w:cstheme="majorBidi"/>
          <w:i/>
          <w:iCs/>
          <w:sz w:val="24"/>
          <w:szCs w:val="24"/>
        </w:rPr>
        <w:t>deterence</w:t>
      </w:r>
      <w:proofErr w:type="spellEnd"/>
      <w:r w:rsidRPr="004A26E2">
        <w:rPr>
          <w:rFonts w:asciiTheme="majorBidi" w:hAnsiTheme="majorBidi" w:cstheme="majorBidi"/>
          <w:i/>
          <w:iCs/>
          <w:sz w:val="24"/>
          <w:szCs w:val="24"/>
        </w:rPr>
        <w:t xml:space="preserve"> of financial statement fraud</w:t>
      </w:r>
      <w:r w:rsidRPr="004A26E2">
        <w:rPr>
          <w:rFonts w:asciiTheme="majorBidi" w:hAnsiTheme="majorBidi" w:cstheme="majorBidi"/>
          <w:sz w:val="24"/>
          <w:szCs w:val="24"/>
        </w:rPr>
        <w:t>. https://www.sciencedirect.com/science/article/pii/S1045235403000728</w:t>
      </w:r>
    </w:p>
    <w:p w14:paraId="7CE5F29D" w14:textId="77777777" w:rsidR="007373F6" w:rsidRPr="004A26E2" w:rsidRDefault="007373F6" w:rsidP="00207215"/>
    <w:p w14:paraId="1C996A32" w14:textId="77777777" w:rsidR="007373F6" w:rsidRDefault="007373F6" w:rsidP="00207215"/>
    <w:p w14:paraId="0A353419" w14:textId="77777777" w:rsidR="00216E5F" w:rsidRDefault="00216E5F" w:rsidP="00207215"/>
    <w:p w14:paraId="77F52055" w14:textId="77777777" w:rsidR="00216E5F" w:rsidRDefault="00216E5F" w:rsidP="00207215"/>
    <w:p w14:paraId="5494DCEC" w14:textId="77777777" w:rsidR="00B85640" w:rsidRDefault="00B85640" w:rsidP="00B85640"/>
    <w:p w14:paraId="18A47E7D" w14:textId="77777777" w:rsidR="00B85640" w:rsidRDefault="00B85640" w:rsidP="00B85640"/>
    <w:p w14:paraId="6E4E20C9" w14:textId="77777777" w:rsidR="00B85640" w:rsidRDefault="00B85640" w:rsidP="00B85640"/>
    <w:p w14:paraId="08F4C399" w14:textId="77777777" w:rsidR="00B85640" w:rsidRDefault="00B85640" w:rsidP="00B85640"/>
    <w:p w14:paraId="77C8E31D" w14:textId="77777777" w:rsidR="00B85640" w:rsidRDefault="00B85640" w:rsidP="00B85640"/>
    <w:p w14:paraId="3A6D5323" w14:textId="77777777" w:rsidR="00B85640" w:rsidRDefault="00B85640" w:rsidP="00B85640"/>
    <w:p w14:paraId="23E07692" w14:textId="77777777" w:rsidR="00B85640" w:rsidRDefault="00B85640" w:rsidP="00B85640"/>
    <w:p w14:paraId="0684324D" w14:textId="77777777" w:rsidR="00B85640" w:rsidRDefault="00B85640" w:rsidP="00B85640"/>
    <w:p w14:paraId="0E59935A" w14:textId="77777777" w:rsidR="00B85640" w:rsidRDefault="00B85640" w:rsidP="00B85640"/>
    <w:p w14:paraId="6B7AEEAB" w14:textId="77777777" w:rsidR="00B85640" w:rsidRDefault="00B85640" w:rsidP="00B85640">
      <w:pPr>
        <w:pStyle w:val="BodyText"/>
      </w:pPr>
    </w:p>
    <w:p w14:paraId="6989D201" w14:textId="1A76038C" w:rsidR="007E6FFA" w:rsidRDefault="007E6FFA">
      <w:r>
        <w:br w:type="page"/>
      </w:r>
    </w:p>
    <w:p w14:paraId="054EA2BB" w14:textId="77777777" w:rsidR="00343684" w:rsidRDefault="00343684">
      <w:pPr>
        <w:rPr>
          <w:rFonts w:ascii="Times New Roman" w:eastAsia="Times New Roman" w:hAnsi="Times New Roman" w:cs="Times New Roman"/>
          <w:b/>
          <w:sz w:val="26"/>
          <w:szCs w:val="26"/>
        </w:rPr>
      </w:pPr>
      <w:bookmarkStart w:id="63" w:name="_heading=h.3rdcrjn" w:colFirst="0" w:colLast="0"/>
      <w:bookmarkEnd w:id="63"/>
      <w:r>
        <w:lastRenderedPageBreak/>
        <w:br w:type="page"/>
      </w:r>
    </w:p>
    <w:p w14:paraId="02492486" w14:textId="00C1F230" w:rsidR="007373F6" w:rsidRDefault="00000000">
      <w:pPr>
        <w:pStyle w:val="Heading1"/>
      </w:pPr>
      <w:bookmarkStart w:id="64" w:name="_Toc211808150"/>
      <w:r>
        <w:lastRenderedPageBreak/>
        <w:t>Paper ID 26</w:t>
      </w:r>
      <w:bookmarkEnd w:id="64"/>
    </w:p>
    <w:p w14:paraId="4B0AE299" w14:textId="77777777" w:rsidR="007373F6" w:rsidRDefault="00000000">
      <w:pPr>
        <w:pStyle w:val="Heading2"/>
        <w:spacing w:after="0" w:line="240" w:lineRule="auto"/>
      </w:pPr>
      <w:bookmarkStart w:id="65" w:name="_Toc211808151"/>
      <w:r>
        <w:t>A THEORETICAL MODEL FOR ASSESSING MANAGERIAL DISCRETION AND RISK IN GOODWILL IMPAIRMENT: AN ANALYSIS THROUGH CASE STUDIES</w:t>
      </w:r>
      <w:bookmarkEnd w:id="65"/>
    </w:p>
    <w:p w14:paraId="7BA3F115" w14:textId="77777777" w:rsidR="007373F6" w:rsidRDefault="007373F6">
      <w:pPr>
        <w:spacing w:after="0" w:line="240" w:lineRule="auto"/>
        <w:jc w:val="center"/>
        <w:rPr>
          <w:rFonts w:ascii="Times New Roman" w:eastAsia="Times New Roman" w:hAnsi="Times New Roman" w:cs="Times New Roman"/>
          <w:b/>
          <w:sz w:val="26"/>
          <w:szCs w:val="26"/>
        </w:rPr>
      </w:pPr>
    </w:p>
    <w:p w14:paraId="5B6499E1" w14:textId="77777777" w:rsidR="007373F6" w:rsidRDefault="00000000">
      <w:pPr>
        <w:shd w:val="clear" w:color="auto" w:fill="FFFFFF"/>
        <w:jc w:val="cente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b/>
          <w:color w:val="222222"/>
          <w:sz w:val="24"/>
          <w:szCs w:val="24"/>
        </w:rPr>
        <w:t>Tetsuhiro</w:t>
      </w:r>
      <w:proofErr w:type="spellEnd"/>
      <w:r>
        <w:rPr>
          <w:rFonts w:ascii="Times New Roman" w:eastAsia="Times New Roman" w:hAnsi="Times New Roman" w:cs="Times New Roman"/>
          <w:b/>
          <w:color w:val="222222"/>
          <w:sz w:val="24"/>
          <w:szCs w:val="24"/>
        </w:rPr>
        <w:t xml:space="preserve"> Kishita*</w:t>
      </w:r>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Ryukoku</w:t>
      </w:r>
      <w:proofErr w:type="spellEnd"/>
      <w:r>
        <w:rPr>
          <w:rFonts w:ascii="Times New Roman" w:eastAsia="Times New Roman" w:hAnsi="Times New Roman" w:cs="Times New Roman"/>
          <w:color w:val="222222"/>
          <w:sz w:val="24"/>
          <w:szCs w:val="24"/>
        </w:rPr>
        <w:t xml:space="preserve"> University, Kyoto, Japan (kishita@biz.ryukoku.ac.jp)</w:t>
      </w:r>
    </w:p>
    <w:p w14:paraId="3D703244" w14:textId="77777777" w:rsidR="007373F6" w:rsidRDefault="00000000">
      <w:pPr>
        <w:shd w:val="clear" w:color="auto" w:fill="FFFFFF"/>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Naoki Hayashi</w:t>
      </w:r>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Ryukoku</w:t>
      </w:r>
      <w:proofErr w:type="spellEnd"/>
      <w:r>
        <w:rPr>
          <w:rFonts w:ascii="Times New Roman" w:eastAsia="Times New Roman" w:hAnsi="Times New Roman" w:cs="Times New Roman"/>
          <w:color w:val="222222"/>
          <w:sz w:val="24"/>
          <w:szCs w:val="24"/>
        </w:rPr>
        <w:t xml:space="preserve"> University, Kyoto, Japan (hayashi@biz.ryukoku.ac.jp)</w:t>
      </w:r>
    </w:p>
    <w:p w14:paraId="14453944" w14:textId="77777777" w:rsidR="007373F6" w:rsidRDefault="00000000">
      <w:pPr>
        <w:spacing w:after="0" w:line="240" w:lineRule="auto"/>
        <w:jc w:val="center"/>
        <w:rPr>
          <w:sz w:val="24"/>
          <w:szCs w:val="24"/>
        </w:rPr>
      </w:pPr>
      <w:r>
        <w:rPr>
          <w:rFonts w:ascii="Times New Roman" w:eastAsia="Times New Roman" w:hAnsi="Times New Roman" w:cs="Times New Roman"/>
          <w:b/>
          <w:sz w:val="24"/>
          <w:szCs w:val="24"/>
        </w:rPr>
        <w:t>Makoto Nakamichi</w:t>
      </w:r>
      <w:r>
        <w:rPr>
          <w:rFonts w:ascii="Times New Roman" w:eastAsia="Times New Roman" w:hAnsi="Times New Roman" w:cs="Times New Roman"/>
          <w:color w:val="222222"/>
          <w:sz w:val="24"/>
          <w:szCs w:val="24"/>
        </w:rPr>
        <w:t>, Niigata University of Science, Niigata, Japan (isme20160331@gmail.com)</w:t>
      </w:r>
    </w:p>
    <w:p w14:paraId="3EB2A205" w14:textId="77777777" w:rsidR="007373F6" w:rsidRDefault="007373F6">
      <w:pPr>
        <w:jc w:val="center"/>
      </w:pPr>
    </w:p>
    <w:p w14:paraId="65FE7C1F" w14:textId="77777777" w:rsidR="007373F6"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ABSTRACT</w:t>
      </w:r>
    </w:p>
    <w:p w14:paraId="6EEC9716"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Goodwill arising from acquisitions is recognized as an intangible fixed asset of the acquiring company. Companies that prepare their financial statements by International Financial Reporting Standards (IFRS) must conduct regular impairment tests on the goodwill they hold. These impairment tests examine whether the recoverable amount expected to be derived from the acquired business exceeds the carrying amount of the related goodwill. If the recoverable amount falls below the carrying amount, the company's management must recognize an impairment loss for the shortfall. When estimating the recoverable amount of the acquired business, the discounted cash flow (DCF) method is often used. In applying this method, management establishes key parameters such as projected future cash flows, discount rates, and growth rates. In other words, determining the recoverable amount relies heavily on management’s discretionary judgment. As a result, management could exercise discretion over the timing and recognition of goodwill impairments. In this study, we propose a theoretical model for evaluating the risk of goodwill impairment from the perspective of external stakeholders. We also provide a theoretical explanation of the mechanisms by which management’s discretion over recognizing and disclosing goodwill impairments arises. Furthermore, we </w:t>
      </w:r>
      <w:proofErr w:type="spellStart"/>
      <w:r>
        <w:rPr>
          <w:rFonts w:ascii="Times New Roman" w:eastAsia="Times New Roman" w:hAnsi="Times New Roman" w:cs="Times New Roman"/>
          <w:sz w:val="24"/>
          <w:szCs w:val="24"/>
        </w:rPr>
        <w:t>analyze</w:t>
      </w:r>
      <w:proofErr w:type="spellEnd"/>
      <w:r>
        <w:rPr>
          <w:rFonts w:ascii="Times New Roman" w:eastAsia="Times New Roman" w:hAnsi="Times New Roman" w:cs="Times New Roman"/>
          <w:sz w:val="24"/>
          <w:szCs w:val="24"/>
        </w:rPr>
        <w:t xml:space="preserve"> several actual cases of goodwill impairment using our proposed theoretical model.</w:t>
      </w:r>
    </w:p>
    <w:p w14:paraId="056D216E" w14:textId="77777777" w:rsidR="007373F6" w:rsidRDefault="007373F6">
      <w:pPr>
        <w:spacing w:after="0" w:line="240" w:lineRule="auto"/>
        <w:jc w:val="both"/>
        <w:rPr>
          <w:rFonts w:ascii="Times New Roman" w:eastAsia="Times New Roman" w:hAnsi="Times New Roman" w:cs="Times New Roman"/>
          <w:sz w:val="24"/>
          <w:szCs w:val="24"/>
        </w:rPr>
      </w:pPr>
    </w:p>
    <w:p w14:paraId="46A824F2" w14:textId="77777777" w:rsidR="007373F6" w:rsidRDefault="00000000">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Keywords: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Goodwill Impairment, Managerial Discretion, Risk Assessment, Theoretical Model, Case Studies</w:t>
      </w:r>
    </w:p>
    <w:p w14:paraId="3B9E234B" w14:textId="77777777" w:rsidR="007373F6" w:rsidRDefault="007373F6" w:rsidP="00095507"/>
    <w:p w14:paraId="54755C85" w14:textId="77777777" w:rsidR="00DF703D" w:rsidRDefault="00DF703D" w:rsidP="00095507"/>
    <w:p w14:paraId="25F73B5E" w14:textId="77777777" w:rsidR="00AD2142" w:rsidRDefault="00AD2142" w:rsidP="00095507"/>
    <w:p w14:paraId="2EFD4BF6" w14:textId="2111E986" w:rsidR="00DF703D" w:rsidRPr="00DF703D" w:rsidRDefault="00DF703D" w:rsidP="00DF703D">
      <w:pPr>
        <w:jc w:val="center"/>
        <w:rPr>
          <w:rFonts w:asciiTheme="majorBidi" w:hAnsiTheme="majorBidi" w:cstheme="majorBidi"/>
          <w:sz w:val="24"/>
          <w:szCs w:val="24"/>
        </w:rPr>
      </w:pPr>
      <w:r w:rsidRPr="00DF703D">
        <w:rPr>
          <w:rFonts w:asciiTheme="majorBidi" w:hAnsiTheme="majorBidi" w:cstheme="majorBidi"/>
          <w:b/>
          <w:bCs/>
          <w:sz w:val="24"/>
          <w:szCs w:val="24"/>
        </w:rPr>
        <w:t>1. INTRODUCTION</w:t>
      </w:r>
    </w:p>
    <w:p w14:paraId="4657DAB5" w14:textId="77777777" w:rsidR="00DF703D" w:rsidRPr="00DF703D" w:rsidRDefault="00DF703D" w:rsidP="00040A5E">
      <w:pPr>
        <w:ind w:firstLine="426"/>
        <w:jc w:val="both"/>
        <w:rPr>
          <w:rFonts w:asciiTheme="majorBidi" w:hAnsiTheme="majorBidi" w:cstheme="majorBidi"/>
          <w:sz w:val="24"/>
          <w:szCs w:val="24"/>
        </w:rPr>
      </w:pPr>
      <w:r w:rsidRPr="00DF703D">
        <w:rPr>
          <w:rFonts w:asciiTheme="majorBidi" w:hAnsiTheme="majorBidi" w:cstheme="majorBidi"/>
          <w:sz w:val="24"/>
          <w:szCs w:val="24"/>
        </w:rPr>
        <w:t>Goodwill impairment has long been a contentious issue in financial reporting, particularly under International Financial Reporting Standards (IFRS), where goodwill is not amortized but instead tested annually for impairment. While the accounting framework provides formal procedures for impairment testing, the actual recognition and disclosure of impairment losses often involve significant managerial discretion. This study proposes a theoretical model that formalizes the risk of goodwill impairment and explores the extent to which managerial judgment influences its recognition and disclosure. The model is grounded in publicly available financial data and is tested through three illustrative case studies of Japanese corporations.</w:t>
      </w:r>
    </w:p>
    <w:p w14:paraId="336E3064" w14:textId="2B816361" w:rsidR="00DF703D" w:rsidRPr="00DF703D" w:rsidRDefault="00DF703D" w:rsidP="00DF703D">
      <w:pPr>
        <w:jc w:val="center"/>
        <w:rPr>
          <w:rFonts w:asciiTheme="majorBidi" w:hAnsiTheme="majorBidi" w:cstheme="majorBidi"/>
          <w:sz w:val="24"/>
          <w:szCs w:val="24"/>
        </w:rPr>
      </w:pPr>
      <w:r w:rsidRPr="00DF703D">
        <w:rPr>
          <w:rFonts w:asciiTheme="majorBidi" w:hAnsiTheme="majorBidi" w:cstheme="majorBidi"/>
          <w:b/>
          <w:bCs/>
          <w:sz w:val="24"/>
          <w:szCs w:val="24"/>
        </w:rPr>
        <w:lastRenderedPageBreak/>
        <w:t>2. OBJECTIVES AND CONTRIBUTIONS</w:t>
      </w:r>
    </w:p>
    <w:p w14:paraId="25432F9E" w14:textId="77777777" w:rsidR="00DF703D" w:rsidRPr="00DF703D" w:rsidRDefault="00DF703D" w:rsidP="00040A5E">
      <w:pPr>
        <w:ind w:firstLine="360"/>
        <w:jc w:val="both"/>
        <w:rPr>
          <w:rFonts w:asciiTheme="majorBidi" w:hAnsiTheme="majorBidi" w:cstheme="majorBidi"/>
          <w:sz w:val="24"/>
          <w:szCs w:val="24"/>
        </w:rPr>
      </w:pPr>
      <w:r w:rsidRPr="00DF703D">
        <w:rPr>
          <w:rFonts w:asciiTheme="majorBidi" w:hAnsiTheme="majorBidi" w:cstheme="majorBidi"/>
          <w:sz w:val="24"/>
          <w:szCs w:val="24"/>
        </w:rPr>
        <w:t>This research pursues two interrelated objectives:</w:t>
      </w:r>
    </w:p>
    <w:p w14:paraId="1D867839" w14:textId="77777777" w:rsidR="00DF703D" w:rsidRPr="00DF703D" w:rsidRDefault="00DF703D" w:rsidP="00856618">
      <w:pPr>
        <w:numPr>
          <w:ilvl w:val="0"/>
          <w:numId w:val="43"/>
        </w:numPr>
        <w:jc w:val="both"/>
        <w:rPr>
          <w:rFonts w:asciiTheme="majorBidi" w:hAnsiTheme="majorBidi" w:cstheme="majorBidi"/>
          <w:sz w:val="24"/>
          <w:szCs w:val="24"/>
        </w:rPr>
      </w:pPr>
      <w:r w:rsidRPr="00DF703D">
        <w:rPr>
          <w:rFonts w:asciiTheme="majorBidi" w:hAnsiTheme="majorBidi" w:cstheme="majorBidi"/>
          <w:sz w:val="24"/>
          <w:szCs w:val="24"/>
        </w:rPr>
        <w:t>To develop a theoretical model that enables the estimation of goodwill impairment risk using observable financial metrics.</w:t>
      </w:r>
    </w:p>
    <w:p w14:paraId="4ABEE28C" w14:textId="77777777" w:rsidR="00DF703D" w:rsidRPr="00DF703D" w:rsidRDefault="00DF703D" w:rsidP="00856618">
      <w:pPr>
        <w:numPr>
          <w:ilvl w:val="0"/>
          <w:numId w:val="43"/>
        </w:numPr>
        <w:jc w:val="both"/>
        <w:rPr>
          <w:rFonts w:asciiTheme="majorBidi" w:hAnsiTheme="majorBidi" w:cstheme="majorBidi"/>
          <w:sz w:val="24"/>
          <w:szCs w:val="24"/>
        </w:rPr>
      </w:pPr>
      <w:r w:rsidRPr="00DF703D">
        <w:rPr>
          <w:rFonts w:asciiTheme="majorBidi" w:hAnsiTheme="majorBidi" w:cstheme="majorBidi"/>
          <w:sz w:val="24"/>
          <w:szCs w:val="24"/>
        </w:rPr>
        <w:t xml:space="preserve">To explore the managerial discretion involved in the recognition and disclosure of goodwill impairment, and to propose testable hypotheses regarding strategic </w:t>
      </w:r>
      <w:proofErr w:type="spellStart"/>
      <w:r w:rsidRPr="00DF703D">
        <w:rPr>
          <w:rFonts w:asciiTheme="majorBidi" w:hAnsiTheme="majorBidi" w:cstheme="majorBidi"/>
          <w:sz w:val="24"/>
          <w:szCs w:val="24"/>
        </w:rPr>
        <w:t>behavior</w:t>
      </w:r>
      <w:proofErr w:type="spellEnd"/>
      <w:r w:rsidRPr="00DF703D">
        <w:rPr>
          <w:rFonts w:asciiTheme="majorBidi" w:hAnsiTheme="majorBidi" w:cstheme="majorBidi"/>
          <w:sz w:val="24"/>
          <w:szCs w:val="24"/>
        </w:rPr>
        <w:t>.</w:t>
      </w:r>
    </w:p>
    <w:p w14:paraId="1805E569" w14:textId="77777777" w:rsidR="00DF703D" w:rsidRPr="00DF703D" w:rsidRDefault="00DF703D" w:rsidP="00040A5E">
      <w:pPr>
        <w:ind w:firstLine="360"/>
        <w:jc w:val="both"/>
        <w:rPr>
          <w:rFonts w:asciiTheme="majorBidi" w:hAnsiTheme="majorBidi" w:cstheme="majorBidi"/>
          <w:sz w:val="24"/>
          <w:szCs w:val="24"/>
        </w:rPr>
      </w:pPr>
      <w:r w:rsidRPr="00DF703D">
        <w:rPr>
          <w:rFonts w:asciiTheme="majorBidi" w:hAnsiTheme="majorBidi" w:cstheme="majorBidi"/>
          <w:sz w:val="24"/>
          <w:szCs w:val="24"/>
        </w:rPr>
        <w:t xml:space="preserve">The study contributes to the literature by offering a structured framework for visualizing impairment risk and by identifying </w:t>
      </w:r>
      <w:proofErr w:type="spellStart"/>
      <w:r w:rsidRPr="00DF703D">
        <w:rPr>
          <w:rFonts w:asciiTheme="majorBidi" w:hAnsiTheme="majorBidi" w:cstheme="majorBidi"/>
          <w:sz w:val="24"/>
          <w:szCs w:val="24"/>
        </w:rPr>
        <w:t>behavioral</w:t>
      </w:r>
      <w:proofErr w:type="spellEnd"/>
      <w:r w:rsidRPr="00DF703D">
        <w:rPr>
          <w:rFonts w:asciiTheme="majorBidi" w:hAnsiTheme="majorBidi" w:cstheme="majorBidi"/>
          <w:sz w:val="24"/>
          <w:szCs w:val="24"/>
        </w:rPr>
        <w:t xml:space="preserve"> patterns in corporate reporting practices. It bridges financial accounting and managerial accounting perspectives, providing insights into both the valuation mechanics and the strategic dimensions of goodwill impairment.</w:t>
      </w:r>
    </w:p>
    <w:p w14:paraId="353EAABD" w14:textId="1105CC54" w:rsidR="00DF703D" w:rsidRPr="00DF703D" w:rsidRDefault="00DF703D" w:rsidP="00DF703D">
      <w:pPr>
        <w:spacing w:line="240" w:lineRule="auto"/>
        <w:jc w:val="center"/>
        <w:rPr>
          <w:rFonts w:asciiTheme="majorBidi" w:hAnsiTheme="majorBidi" w:cstheme="majorBidi"/>
          <w:sz w:val="24"/>
          <w:szCs w:val="24"/>
        </w:rPr>
      </w:pPr>
      <w:r w:rsidRPr="00DF703D">
        <w:rPr>
          <w:rFonts w:asciiTheme="majorBidi" w:hAnsiTheme="majorBidi" w:cstheme="majorBidi"/>
          <w:b/>
          <w:bCs/>
          <w:sz w:val="24"/>
          <w:szCs w:val="24"/>
        </w:rPr>
        <w:t>3. THEORHETICAL MODEL AND RISK METRICS</w:t>
      </w:r>
    </w:p>
    <w:p w14:paraId="4028D3FA" w14:textId="77777777" w:rsidR="00DF703D" w:rsidRPr="00DF703D" w:rsidRDefault="00DF703D" w:rsidP="00040A5E">
      <w:pPr>
        <w:spacing w:line="240" w:lineRule="auto"/>
        <w:ind w:firstLine="426"/>
        <w:jc w:val="both"/>
        <w:rPr>
          <w:rFonts w:asciiTheme="majorBidi" w:hAnsiTheme="majorBidi" w:cstheme="majorBidi"/>
          <w:sz w:val="24"/>
          <w:szCs w:val="24"/>
        </w:rPr>
      </w:pPr>
      <w:r w:rsidRPr="00DF703D">
        <w:rPr>
          <w:rFonts w:asciiTheme="majorBidi" w:hAnsiTheme="majorBidi" w:cstheme="majorBidi"/>
          <w:sz w:val="24"/>
          <w:szCs w:val="24"/>
        </w:rPr>
        <w:t>The model is built upon the following threshold equation:</w:t>
      </w:r>
    </w:p>
    <w:p w14:paraId="7958E3F3" w14:textId="77777777" w:rsidR="00DF703D" w:rsidRPr="00DF703D" w:rsidRDefault="00DF703D" w:rsidP="00040A5E">
      <w:pPr>
        <w:spacing w:line="240" w:lineRule="auto"/>
        <w:jc w:val="both"/>
        <w:rPr>
          <w:rFonts w:asciiTheme="majorBidi" w:hAnsiTheme="majorBidi" w:cstheme="majorBidi"/>
          <w:sz w:val="24"/>
          <w:szCs w:val="24"/>
        </w:rPr>
      </w:pPr>
      <w:r w:rsidRPr="00DF703D">
        <w:rPr>
          <w:rFonts w:asciiTheme="majorBidi" w:hAnsiTheme="majorBidi" w:cstheme="majorBidi"/>
          <w:b/>
          <w:bCs/>
          <w:sz w:val="24"/>
          <w:szCs w:val="24"/>
        </w:rPr>
        <w:t>G/NA + 1 = NOPAT/NA × 1/(k − g)</w:t>
      </w:r>
    </w:p>
    <w:p w14:paraId="622DE214" w14:textId="2FC58C6E" w:rsidR="00DF703D" w:rsidRPr="00040A5E" w:rsidRDefault="00DF703D" w:rsidP="00040A5E">
      <w:pPr>
        <w:spacing w:line="240" w:lineRule="auto"/>
        <w:ind w:firstLine="426"/>
        <w:jc w:val="both"/>
        <w:rPr>
          <w:rFonts w:asciiTheme="majorBidi" w:eastAsia="ＭＳ ゴシック" w:hAnsiTheme="majorBidi" w:cstheme="majorBidi"/>
          <w:sz w:val="24"/>
          <w:szCs w:val="24"/>
        </w:rPr>
      </w:pPr>
      <w:r w:rsidRPr="00DF703D">
        <w:rPr>
          <w:rFonts w:asciiTheme="majorBidi" w:hAnsiTheme="majorBidi" w:cstheme="majorBidi"/>
          <w:sz w:val="24"/>
          <w:szCs w:val="24"/>
        </w:rPr>
        <w:t>Where:</w:t>
      </w:r>
      <w:r w:rsidR="00040A5E">
        <w:rPr>
          <w:rFonts w:asciiTheme="majorBidi" w:eastAsia="ＭＳ ゴシック" w:hAnsiTheme="majorBidi" w:cstheme="majorBidi"/>
          <w:sz w:val="24"/>
          <w:szCs w:val="24"/>
        </w:rPr>
        <w:t xml:space="preserve"> </w:t>
      </w:r>
      <w:r w:rsidRPr="00DF703D">
        <w:rPr>
          <w:rFonts w:asciiTheme="majorBidi" w:hAnsiTheme="majorBidi" w:cstheme="majorBidi"/>
          <w:b/>
          <w:bCs/>
          <w:sz w:val="24"/>
          <w:szCs w:val="24"/>
        </w:rPr>
        <w:t>G</w:t>
      </w:r>
      <w:r w:rsidRPr="00DF703D">
        <w:rPr>
          <w:rFonts w:asciiTheme="majorBidi" w:hAnsiTheme="majorBidi" w:cstheme="majorBidi"/>
          <w:sz w:val="24"/>
          <w:szCs w:val="24"/>
        </w:rPr>
        <w:t xml:space="preserve"> = Goodwill, </w:t>
      </w:r>
      <w:r w:rsidRPr="00DF703D">
        <w:rPr>
          <w:rFonts w:asciiTheme="majorBidi" w:hAnsiTheme="majorBidi" w:cstheme="majorBidi"/>
          <w:b/>
          <w:bCs/>
          <w:sz w:val="24"/>
          <w:szCs w:val="24"/>
        </w:rPr>
        <w:t>NA</w:t>
      </w:r>
      <w:r w:rsidRPr="00DF703D">
        <w:rPr>
          <w:rFonts w:asciiTheme="majorBidi" w:hAnsiTheme="majorBidi" w:cstheme="majorBidi"/>
          <w:sz w:val="24"/>
          <w:szCs w:val="24"/>
        </w:rPr>
        <w:t xml:space="preserve"> = Identifiable Net Assets, </w:t>
      </w:r>
      <w:r w:rsidRPr="00DF703D">
        <w:rPr>
          <w:rFonts w:asciiTheme="majorBidi" w:hAnsiTheme="majorBidi" w:cstheme="majorBidi"/>
          <w:b/>
          <w:bCs/>
          <w:sz w:val="24"/>
          <w:szCs w:val="24"/>
        </w:rPr>
        <w:t>NOPAT</w:t>
      </w:r>
      <w:r w:rsidRPr="00DF703D">
        <w:rPr>
          <w:rFonts w:asciiTheme="majorBidi" w:hAnsiTheme="majorBidi" w:cstheme="majorBidi"/>
          <w:sz w:val="24"/>
          <w:szCs w:val="24"/>
        </w:rPr>
        <w:t xml:space="preserve"> = Net Operating Profit After Tax, </w:t>
      </w:r>
      <w:r w:rsidRPr="00DF703D">
        <w:rPr>
          <w:rFonts w:asciiTheme="majorBidi" w:hAnsiTheme="majorBidi" w:cstheme="majorBidi"/>
          <w:b/>
          <w:bCs/>
          <w:sz w:val="24"/>
          <w:szCs w:val="24"/>
        </w:rPr>
        <w:t>k</w:t>
      </w:r>
      <w:r w:rsidRPr="00DF703D">
        <w:rPr>
          <w:rFonts w:asciiTheme="majorBidi" w:hAnsiTheme="majorBidi" w:cstheme="majorBidi"/>
          <w:sz w:val="24"/>
          <w:szCs w:val="24"/>
        </w:rPr>
        <w:t xml:space="preserve"> = Discount Rate, </w:t>
      </w:r>
      <w:r w:rsidRPr="00DF703D">
        <w:rPr>
          <w:rFonts w:asciiTheme="majorBidi" w:hAnsiTheme="majorBidi" w:cstheme="majorBidi"/>
          <w:b/>
          <w:bCs/>
          <w:sz w:val="24"/>
          <w:szCs w:val="24"/>
        </w:rPr>
        <w:t>g</w:t>
      </w:r>
      <w:r w:rsidRPr="00DF703D">
        <w:rPr>
          <w:rFonts w:asciiTheme="majorBidi" w:hAnsiTheme="majorBidi" w:cstheme="majorBidi"/>
          <w:sz w:val="24"/>
          <w:szCs w:val="24"/>
        </w:rPr>
        <w:t xml:space="preserve"> = Perpetual Growth Rate.</w:t>
      </w:r>
    </w:p>
    <w:p w14:paraId="1546FC66" w14:textId="77777777" w:rsidR="00DF703D" w:rsidRPr="00DF703D" w:rsidRDefault="00DF703D" w:rsidP="00040A5E">
      <w:pPr>
        <w:spacing w:line="240" w:lineRule="auto"/>
        <w:ind w:firstLine="426"/>
        <w:jc w:val="both"/>
        <w:rPr>
          <w:rFonts w:asciiTheme="majorBidi" w:hAnsiTheme="majorBidi" w:cstheme="majorBidi"/>
          <w:sz w:val="24"/>
          <w:szCs w:val="24"/>
        </w:rPr>
      </w:pPr>
      <w:r w:rsidRPr="00DF703D">
        <w:rPr>
          <w:rFonts w:asciiTheme="majorBidi" w:hAnsiTheme="majorBidi" w:cstheme="majorBidi"/>
          <w:sz w:val="24"/>
          <w:szCs w:val="24"/>
        </w:rPr>
        <w:t>This equation formalizes the condition under which the carrying amount of goodwill is recoverable. If the left-hand side (acquisition premium) exceeds the right-hand side (recoverable value), impairment is likely. The model decomposes the recoverable amount into two components: the profitability ratio (NOPAT/NA) and the capital discount multiplier (1/(k − g)). This decomposition enables the identification of three distinct risk metrics:</w:t>
      </w:r>
    </w:p>
    <w:p w14:paraId="5F4D9471" w14:textId="77777777" w:rsidR="00DF703D" w:rsidRPr="00DF703D" w:rsidRDefault="00DF703D" w:rsidP="00040A5E">
      <w:pPr>
        <w:spacing w:line="240" w:lineRule="auto"/>
        <w:ind w:firstLine="426"/>
        <w:jc w:val="both"/>
        <w:rPr>
          <w:rFonts w:asciiTheme="majorBidi" w:hAnsiTheme="majorBidi" w:cstheme="majorBidi"/>
          <w:sz w:val="24"/>
          <w:szCs w:val="24"/>
        </w:rPr>
      </w:pPr>
      <w:r w:rsidRPr="00DF703D">
        <w:rPr>
          <w:rFonts w:asciiTheme="majorBidi" w:hAnsiTheme="majorBidi" w:cstheme="majorBidi"/>
          <w:b/>
          <w:bCs/>
          <w:sz w:val="24"/>
          <w:szCs w:val="24"/>
        </w:rPr>
        <w:t>Metric 1</w:t>
      </w:r>
      <w:r w:rsidRPr="00DF703D">
        <w:rPr>
          <w:rFonts w:asciiTheme="majorBidi" w:hAnsiTheme="majorBidi" w:cstheme="majorBidi"/>
          <w:sz w:val="24"/>
          <w:szCs w:val="24"/>
        </w:rPr>
        <w:t>: G/NA ratio as a primary indicator of acquisition premium risk.</w:t>
      </w:r>
    </w:p>
    <w:p w14:paraId="3E44A684" w14:textId="77777777" w:rsidR="00DF703D" w:rsidRPr="00DF703D" w:rsidRDefault="00DF703D" w:rsidP="00040A5E">
      <w:pPr>
        <w:spacing w:line="240" w:lineRule="auto"/>
        <w:ind w:firstLine="426"/>
        <w:jc w:val="both"/>
        <w:rPr>
          <w:rFonts w:asciiTheme="majorBidi" w:hAnsiTheme="majorBidi" w:cstheme="majorBidi"/>
          <w:sz w:val="24"/>
          <w:szCs w:val="24"/>
        </w:rPr>
      </w:pPr>
      <w:r w:rsidRPr="00DF703D">
        <w:rPr>
          <w:rFonts w:asciiTheme="majorBidi" w:hAnsiTheme="majorBidi" w:cstheme="majorBidi"/>
          <w:b/>
          <w:bCs/>
          <w:sz w:val="24"/>
          <w:szCs w:val="24"/>
        </w:rPr>
        <w:t>Metric 2</w:t>
      </w:r>
      <w:r w:rsidRPr="00DF703D">
        <w:rPr>
          <w:rFonts w:asciiTheme="majorBidi" w:hAnsiTheme="majorBidi" w:cstheme="majorBidi"/>
          <w:sz w:val="24"/>
          <w:szCs w:val="24"/>
        </w:rPr>
        <w:t>: Deviation of NOPAT/NA from industry benchmarks.</w:t>
      </w:r>
    </w:p>
    <w:p w14:paraId="6AB4EC45" w14:textId="77777777" w:rsidR="00DF703D" w:rsidRPr="00DF703D" w:rsidRDefault="00DF703D" w:rsidP="00040A5E">
      <w:pPr>
        <w:spacing w:line="240" w:lineRule="auto"/>
        <w:ind w:firstLine="426"/>
        <w:jc w:val="both"/>
        <w:rPr>
          <w:rFonts w:asciiTheme="majorBidi" w:hAnsiTheme="majorBidi" w:cstheme="majorBidi"/>
          <w:sz w:val="24"/>
          <w:szCs w:val="24"/>
        </w:rPr>
      </w:pPr>
      <w:r w:rsidRPr="00DF703D">
        <w:rPr>
          <w:rFonts w:asciiTheme="majorBidi" w:hAnsiTheme="majorBidi" w:cstheme="majorBidi"/>
          <w:b/>
          <w:bCs/>
          <w:sz w:val="24"/>
          <w:szCs w:val="24"/>
        </w:rPr>
        <w:t>Metric 3</w:t>
      </w:r>
      <w:r w:rsidRPr="00DF703D">
        <w:rPr>
          <w:rFonts w:asciiTheme="majorBidi" w:hAnsiTheme="majorBidi" w:cstheme="majorBidi"/>
          <w:sz w:val="24"/>
          <w:szCs w:val="24"/>
        </w:rPr>
        <w:t>: Sensitivity of the multiplier to changes in discount and growth rates.</w:t>
      </w:r>
    </w:p>
    <w:p w14:paraId="39D8F67F" w14:textId="77777777" w:rsidR="00DF703D" w:rsidRDefault="00DF703D" w:rsidP="00040A5E">
      <w:pPr>
        <w:spacing w:after="0" w:line="240" w:lineRule="auto"/>
        <w:ind w:firstLine="426"/>
        <w:jc w:val="both"/>
        <w:rPr>
          <w:rFonts w:asciiTheme="majorBidi" w:hAnsiTheme="majorBidi" w:cstheme="majorBidi"/>
          <w:sz w:val="24"/>
          <w:szCs w:val="24"/>
        </w:rPr>
      </w:pPr>
      <w:r w:rsidRPr="00DF703D">
        <w:rPr>
          <w:rFonts w:asciiTheme="majorBidi" w:hAnsiTheme="majorBidi" w:cstheme="majorBidi"/>
          <w:sz w:val="24"/>
          <w:szCs w:val="24"/>
        </w:rPr>
        <w:t>These metrics allow for a comparative analysis across industries and acquisition cases, and can be used to simulate impairment risk under various economic scenarios.</w:t>
      </w:r>
    </w:p>
    <w:p w14:paraId="3BE7600A" w14:textId="77777777" w:rsidR="00040A5E" w:rsidRPr="00DF703D" w:rsidRDefault="00040A5E" w:rsidP="00040A5E">
      <w:pPr>
        <w:spacing w:after="0" w:line="240" w:lineRule="auto"/>
        <w:ind w:firstLine="426"/>
        <w:jc w:val="both"/>
        <w:rPr>
          <w:rFonts w:asciiTheme="majorBidi" w:hAnsiTheme="majorBidi" w:cstheme="majorBidi"/>
          <w:sz w:val="24"/>
          <w:szCs w:val="24"/>
        </w:rPr>
      </w:pPr>
    </w:p>
    <w:p w14:paraId="53754166" w14:textId="4C39A62B" w:rsidR="00DF703D" w:rsidRPr="00040A5E" w:rsidRDefault="00040A5E" w:rsidP="00040A5E">
      <w:pPr>
        <w:spacing w:after="0"/>
        <w:jc w:val="center"/>
        <w:rPr>
          <w:rFonts w:asciiTheme="majorBidi" w:hAnsiTheme="majorBidi" w:cstheme="majorBidi"/>
          <w:sz w:val="24"/>
          <w:szCs w:val="24"/>
        </w:rPr>
      </w:pPr>
      <w:r>
        <w:rPr>
          <w:rFonts w:asciiTheme="majorBidi" w:hAnsiTheme="majorBidi" w:cstheme="majorBidi"/>
          <w:b/>
          <w:bCs/>
          <w:sz w:val="24"/>
          <w:szCs w:val="24"/>
        </w:rPr>
        <w:t xml:space="preserve">4. </w:t>
      </w:r>
      <w:r w:rsidR="00DF703D" w:rsidRPr="00040A5E">
        <w:rPr>
          <w:rFonts w:asciiTheme="majorBidi" w:hAnsiTheme="majorBidi" w:cstheme="majorBidi"/>
          <w:b/>
          <w:bCs/>
          <w:sz w:val="24"/>
          <w:szCs w:val="24"/>
        </w:rPr>
        <w:t>MANAGERIAL DISCRETION AND HYPHOTESIS</w:t>
      </w:r>
    </w:p>
    <w:p w14:paraId="0B46866F" w14:textId="77777777" w:rsidR="00040A5E" w:rsidRPr="00040A5E" w:rsidRDefault="00040A5E" w:rsidP="00040A5E">
      <w:pPr>
        <w:spacing w:after="0"/>
        <w:jc w:val="both"/>
        <w:rPr>
          <w:rFonts w:asciiTheme="majorBidi" w:hAnsiTheme="majorBidi" w:cstheme="majorBidi"/>
          <w:sz w:val="24"/>
          <w:szCs w:val="24"/>
        </w:rPr>
      </w:pPr>
    </w:p>
    <w:p w14:paraId="545AC909" w14:textId="77777777" w:rsidR="00DF703D" w:rsidRPr="00DF703D" w:rsidRDefault="00DF703D" w:rsidP="00040A5E">
      <w:pPr>
        <w:ind w:firstLine="444"/>
        <w:jc w:val="both"/>
        <w:rPr>
          <w:rFonts w:asciiTheme="majorBidi" w:hAnsiTheme="majorBidi" w:cstheme="majorBidi"/>
          <w:sz w:val="24"/>
          <w:szCs w:val="24"/>
        </w:rPr>
      </w:pPr>
      <w:r w:rsidRPr="00DF703D">
        <w:rPr>
          <w:rFonts w:asciiTheme="majorBidi" w:hAnsiTheme="majorBidi" w:cstheme="majorBidi"/>
          <w:sz w:val="24"/>
          <w:szCs w:val="24"/>
        </w:rPr>
        <w:t xml:space="preserve">Building upon the model’s structure, the study proposes two hypotheses regarding managerial </w:t>
      </w:r>
      <w:proofErr w:type="spellStart"/>
      <w:r w:rsidRPr="00DF703D">
        <w:rPr>
          <w:rFonts w:asciiTheme="majorBidi" w:hAnsiTheme="majorBidi" w:cstheme="majorBidi"/>
          <w:sz w:val="24"/>
          <w:szCs w:val="24"/>
        </w:rPr>
        <w:t>behavior</w:t>
      </w:r>
      <w:proofErr w:type="spellEnd"/>
      <w:r w:rsidRPr="00DF703D">
        <w:rPr>
          <w:rFonts w:asciiTheme="majorBidi" w:hAnsiTheme="majorBidi" w:cstheme="majorBidi"/>
          <w:sz w:val="24"/>
          <w:szCs w:val="24"/>
        </w:rPr>
        <w:t>:</w:t>
      </w:r>
    </w:p>
    <w:p w14:paraId="39DF3616" w14:textId="3858EED3" w:rsidR="00DF703D" w:rsidRPr="00DF703D" w:rsidRDefault="00DF703D" w:rsidP="00AD2142">
      <w:pPr>
        <w:spacing w:after="0"/>
        <w:ind w:firstLine="444"/>
        <w:jc w:val="both"/>
        <w:rPr>
          <w:rFonts w:asciiTheme="majorBidi" w:hAnsiTheme="majorBidi" w:cstheme="majorBidi"/>
          <w:sz w:val="24"/>
          <w:szCs w:val="24"/>
        </w:rPr>
      </w:pPr>
      <w:r w:rsidRPr="00DF703D">
        <w:rPr>
          <w:rFonts w:asciiTheme="majorBidi" w:hAnsiTheme="majorBidi" w:cstheme="majorBidi"/>
          <w:b/>
          <w:bCs/>
          <w:sz w:val="24"/>
          <w:szCs w:val="24"/>
        </w:rPr>
        <w:t>H</w:t>
      </w:r>
      <w:r w:rsidRPr="00040A5E">
        <w:rPr>
          <w:rFonts w:asciiTheme="majorBidi" w:hAnsiTheme="majorBidi" w:cstheme="majorBidi"/>
          <w:b/>
          <w:bCs/>
          <w:sz w:val="24"/>
          <w:szCs w:val="24"/>
          <w:vertAlign w:val="subscript"/>
        </w:rPr>
        <w:t>1</w:t>
      </w:r>
      <w:r w:rsidRPr="00DF703D">
        <w:rPr>
          <w:rFonts w:asciiTheme="majorBidi" w:hAnsiTheme="majorBidi" w:cstheme="majorBidi"/>
          <w:sz w:val="24"/>
          <w:szCs w:val="24"/>
        </w:rPr>
        <w:t>: Managers are more likely to recognize and disclose goodwill impairment during periods of strong financial performance to mitigate adverse market reactions.</w:t>
      </w:r>
    </w:p>
    <w:p w14:paraId="432ABF56" w14:textId="46CEDED5" w:rsidR="00DF703D" w:rsidRPr="00DF703D" w:rsidRDefault="00DF703D" w:rsidP="00040A5E">
      <w:pPr>
        <w:ind w:firstLine="444"/>
        <w:jc w:val="both"/>
        <w:rPr>
          <w:rFonts w:asciiTheme="majorBidi" w:hAnsiTheme="majorBidi" w:cstheme="majorBidi"/>
          <w:sz w:val="24"/>
          <w:szCs w:val="24"/>
        </w:rPr>
      </w:pPr>
      <w:r w:rsidRPr="00DF703D">
        <w:rPr>
          <w:rFonts w:asciiTheme="majorBidi" w:hAnsiTheme="majorBidi" w:cstheme="majorBidi"/>
          <w:b/>
          <w:bCs/>
          <w:sz w:val="24"/>
          <w:szCs w:val="24"/>
        </w:rPr>
        <w:t>H</w:t>
      </w:r>
      <w:r w:rsidRPr="00040A5E">
        <w:rPr>
          <w:rFonts w:asciiTheme="majorBidi" w:hAnsiTheme="majorBidi" w:cstheme="majorBidi"/>
          <w:b/>
          <w:bCs/>
          <w:sz w:val="24"/>
          <w:szCs w:val="24"/>
          <w:vertAlign w:val="subscript"/>
        </w:rPr>
        <w:t>2</w:t>
      </w:r>
      <w:r w:rsidRPr="00DF703D">
        <w:rPr>
          <w:rFonts w:asciiTheme="majorBidi" w:hAnsiTheme="majorBidi" w:cstheme="majorBidi"/>
          <w:sz w:val="24"/>
          <w:szCs w:val="24"/>
        </w:rPr>
        <w:t>: Managers are more likely to disclose impairment losses during regime changes, particularly when new executives succeed former leadership, as part of a “big bath” strategy.</w:t>
      </w:r>
    </w:p>
    <w:p w14:paraId="59FB1BCF" w14:textId="77777777" w:rsidR="00DF703D" w:rsidRDefault="00DF703D" w:rsidP="00040A5E">
      <w:pPr>
        <w:ind w:firstLine="444"/>
        <w:jc w:val="both"/>
        <w:rPr>
          <w:rFonts w:asciiTheme="majorBidi" w:hAnsiTheme="majorBidi" w:cstheme="majorBidi"/>
          <w:sz w:val="24"/>
          <w:szCs w:val="24"/>
        </w:rPr>
      </w:pPr>
      <w:r w:rsidRPr="00DF703D">
        <w:rPr>
          <w:rFonts w:asciiTheme="majorBidi" w:hAnsiTheme="majorBidi" w:cstheme="majorBidi"/>
          <w:sz w:val="24"/>
          <w:szCs w:val="24"/>
        </w:rPr>
        <w:t>These hypotheses reflect the strategic use of accounting discretion and are grounded in prior empirical findings that link impairment recognition to managerial turnover and performance cycles.</w:t>
      </w:r>
    </w:p>
    <w:p w14:paraId="12E660A8" w14:textId="77777777" w:rsidR="00040A5E" w:rsidRPr="00DF703D" w:rsidRDefault="00040A5E" w:rsidP="00040A5E">
      <w:pPr>
        <w:ind w:firstLine="444"/>
        <w:jc w:val="both"/>
        <w:rPr>
          <w:rFonts w:asciiTheme="majorBidi" w:hAnsiTheme="majorBidi" w:cstheme="majorBidi"/>
          <w:sz w:val="24"/>
          <w:szCs w:val="24"/>
        </w:rPr>
      </w:pPr>
    </w:p>
    <w:p w14:paraId="1166BEAD" w14:textId="4E827DE0" w:rsidR="00DF703D" w:rsidRPr="00DF703D" w:rsidRDefault="00DF703D" w:rsidP="00DF703D">
      <w:pPr>
        <w:spacing w:line="240" w:lineRule="auto"/>
        <w:jc w:val="center"/>
        <w:rPr>
          <w:rFonts w:asciiTheme="majorBidi" w:hAnsiTheme="majorBidi" w:cstheme="majorBidi"/>
          <w:sz w:val="24"/>
          <w:szCs w:val="24"/>
        </w:rPr>
      </w:pPr>
      <w:r w:rsidRPr="00DF703D">
        <w:rPr>
          <w:rFonts w:asciiTheme="majorBidi" w:hAnsiTheme="majorBidi" w:cstheme="majorBidi"/>
          <w:b/>
          <w:bCs/>
          <w:sz w:val="24"/>
          <w:szCs w:val="24"/>
        </w:rPr>
        <w:lastRenderedPageBreak/>
        <w:t>5. CASE STUDY ANALYSIS</w:t>
      </w:r>
    </w:p>
    <w:p w14:paraId="2DADAA99" w14:textId="77777777" w:rsidR="00DF703D" w:rsidRPr="00DF703D" w:rsidRDefault="00DF703D" w:rsidP="00040A5E">
      <w:pPr>
        <w:spacing w:line="240" w:lineRule="auto"/>
        <w:jc w:val="both"/>
        <w:rPr>
          <w:rFonts w:asciiTheme="majorBidi" w:hAnsiTheme="majorBidi" w:cstheme="majorBidi"/>
          <w:sz w:val="24"/>
          <w:szCs w:val="24"/>
        </w:rPr>
      </w:pPr>
      <w:r w:rsidRPr="00DF703D">
        <w:rPr>
          <w:rFonts w:asciiTheme="majorBidi" w:hAnsiTheme="majorBidi" w:cstheme="majorBidi"/>
          <w:sz w:val="24"/>
          <w:szCs w:val="24"/>
        </w:rPr>
        <w:t xml:space="preserve">Three Japanese corporations are </w:t>
      </w:r>
      <w:proofErr w:type="spellStart"/>
      <w:r w:rsidRPr="00DF703D">
        <w:rPr>
          <w:rFonts w:asciiTheme="majorBidi" w:hAnsiTheme="majorBidi" w:cstheme="majorBidi"/>
          <w:sz w:val="24"/>
          <w:szCs w:val="24"/>
        </w:rPr>
        <w:t>analyzed</w:t>
      </w:r>
      <w:proofErr w:type="spellEnd"/>
      <w:r w:rsidRPr="00DF703D">
        <w:rPr>
          <w:rFonts w:asciiTheme="majorBidi" w:hAnsiTheme="majorBidi" w:cstheme="majorBidi"/>
          <w:sz w:val="24"/>
          <w:szCs w:val="24"/>
        </w:rPr>
        <w:t xml:space="preserve"> to test the applicability of the model and the validity of the proposed hypotheses:</w:t>
      </w:r>
    </w:p>
    <w:p w14:paraId="7A766873" w14:textId="77777777" w:rsidR="00DF703D" w:rsidRPr="00DF703D" w:rsidRDefault="00DF703D" w:rsidP="00AD2142">
      <w:pPr>
        <w:spacing w:after="0" w:line="240" w:lineRule="auto"/>
        <w:jc w:val="both"/>
        <w:rPr>
          <w:rFonts w:asciiTheme="majorBidi" w:hAnsiTheme="majorBidi" w:cstheme="majorBidi"/>
          <w:sz w:val="24"/>
          <w:szCs w:val="24"/>
        </w:rPr>
      </w:pPr>
      <w:r w:rsidRPr="00DF703D">
        <w:rPr>
          <w:rFonts w:asciiTheme="majorBidi" w:hAnsiTheme="majorBidi" w:cstheme="majorBidi"/>
          <w:b/>
          <w:bCs/>
          <w:sz w:val="24"/>
          <w:szCs w:val="24"/>
        </w:rPr>
        <w:t>5.1 Kirin Holdings – Kyowa Hakko Bio Acquisition</w:t>
      </w:r>
    </w:p>
    <w:p w14:paraId="2B91FED0" w14:textId="77777777" w:rsidR="00DF703D" w:rsidRDefault="00DF703D" w:rsidP="00AD2142">
      <w:pPr>
        <w:spacing w:after="0" w:line="240" w:lineRule="auto"/>
        <w:ind w:firstLine="426"/>
        <w:jc w:val="both"/>
        <w:rPr>
          <w:rFonts w:asciiTheme="majorBidi" w:hAnsiTheme="majorBidi" w:cstheme="majorBidi"/>
          <w:sz w:val="24"/>
          <w:szCs w:val="24"/>
        </w:rPr>
      </w:pPr>
      <w:r w:rsidRPr="00DF703D">
        <w:rPr>
          <w:rFonts w:asciiTheme="majorBidi" w:hAnsiTheme="majorBidi" w:cstheme="majorBidi"/>
          <w:sz w:val="24"/>
          <w:szCs w:val="24"/>
        </w:rPr>
        <w:t>Kirin acquired Kyowa Hakko Bio in 2019, recording goodwill of ¥13.9 billion. In 2023, the company announced a ¥43 billion impairment loss due to deteriorating profitability. The case illustrates how changes in NOPAT and discount rates affect the recoverable amount, and how impairment risk becomes pronounced when AV/NA exceeds 2. The timing of the impairment suggests strategic recognition aligned with Hypothesis 1.</w:t>
      </w:r>
    </w:p>
    <w:p w14:paraId="189E5F81" w14:textId="77777777" w:rsidR="00AD2142" w:rsidRPr="00DF703D" w:rsidRDefault="00AD2142" w:rsidP="00AD2142">
      <w:pPr>
        <w:spacing w:after="0" w:line="240" w:lineRule="auto"/>
        <w:ind w:firstLine="426"/>
        <w:jc w:val="both"/>
        <w:rPr>
          <w:rFonts w:asciiTheme="majorBidi" w:hAnsiTheme="majorBidi" w:cstheme="majorBidi"/>
          <w:sz w:val="24"/>
          <w:szCs w:val="24"/>
        </w:rPr>
      </w:pPr>
    </w:p>
    <w:p w14:paraId="1AE92EEE" w14:textId="77777777" w:rsidR="00DF703D" w:rsidRPr="00DF703D" w:rsidRDefault="00DF703D" w:rsidP="00AD2142">
      <w:pPr>
        <w:spacing w:after="0"/>
        <w:jc w:val="both"/>
        <w:rPr>
          <w:rFonts w:asciiTheme="majorBidi" w:hAnsiTheme="majorBidi" w:cstheme="majorBidi"/>
          <w:sz w:val="24"/>
          <w:szCs w:val="24"/>
        </w:rPr>
      </w:pPr>
      <w:r w:rsidRPr="00DF703D">
        <w:rPr>
          <w:rFonts w:asciiTheme="majorBidi" w:hAnsiTheme="majorBidi" w:cstheme="majorBidi"/>
          <w:b/>
          <w:bCs/>
          <w:sz w:val="24"/>
          <w:szCs w:val="24"/>
        </w:rPr>
        <w:t>5.2 Konica Minolta – Precision Medicine Segment</w:t>
      </w:r>
    </w:p>
    <w:p w14:paraId="7EBA313B" w14:textId="77777777" w:rsidR="00DF703D" w:rsidRDefault="00DF703D" w:rsidP="00AD2142">
      <w:pPr>
        <w:spacing w:after="0"/>
        <w:ind w:firstLine="426"/>
        <w:jc w:val="both"/>
        <w:rPr>
          <w:rFonts w:asciiTheme="majorBidi" w:hAnsiTheme="majorBidi" w:cstheme="majorBidi"/>
          <w:sz w:val="24"/>
          <w:szCs w:val="24"/>
        </w:rPr>
      </w:pPr>
      <w:r w:rsidRPr="00DF703D">
        <w:rPr>
          <w:rFonts w:asciiTheme="majorBidi" w:hAnsiTheme="majorBidi" w:cstheme="majorBidi"/>
          <w:sz w:val="24"/>
          <w:szCs w:val="24"/>
        </w:rPr>
        <w:t xml:space="preserve">Konica Minolta acquired Ambry Genetics and </w:t>
      </w:r>
      <w:proofErr w:type="spellStart"/>
      <w:r w:rsidRPr="00DF703D">
        <w:rPr>
          <w:rFonts w:asciiTheme="majorBidi" w:hAnsiTheme="majorBidi" w:cstheme="majorBidi"/>
          <w:sz w:val="24"/>
          <w:szCs w:val="24"/>
        </w:rPr>
        <w:t>Invicro</w:t>
      </w:r>
      <w:proofErr w:type="spellEnd"/>
      <w:r w:rsidRPr="00DF703D">
        <w:rPr>
          <w:rFonts w:asciiTheme="majorBidi" w:hAnsiTheme="majorBidi" w:cstheme="majorBidi"/>
          <w:sz w:val="24"/>
          <w:szCs w:val="24"/>
        </w:rPr>
        <w:t xml:space="preserve"> in 2017, recording goodwill of ¥82.1 billion with an AV/NA ratio of 3.08. Despite early signs of underperformance, impairment was not recognized until 2022. The delay coincided with rising discount rates and strategic restructuring, supporting the notion of managerial discretion and aligning with both hypotheses.</w:t>
      </w:r>
    </w:p>
    <w:p w14:paraId="5BA9F4C5" w14:textId="77777777" w:rsidR="00AD2142" w:rsidRPr="00DF703D" w:rsidRDefault="00AD2142" w:rsidP="00AD2142">
      <w:pPr>
        <w:spacing w:after="0"/>
        <w:ind w:firstLine="426"/>
        <w:jc w:val="both"/>
        <w:rPr>
          <w:rFonts w:asciiTheme="majorBidi" w:hAnsiTheme="majorBidi" w:cstheme="majorBidi"/>
          <w:sz w:val="24"/>
          <w:szCs w:val="24"/>
        </w:rPr>
      </w:pPr>
    </w:p>
    <w:p w14:paraId="47FF9D4B" w14:textId="77777777" w:rsidR="00DF703D" w:rsidRPr="00DF703D" w:rsidRDefault="00DF703D" w:rsidP="00AD2142">
      <w:pPr>
        <w:spacing w:after="0"/>
        <w:jc w:val="both"/>
        <w:rPr>
          <w:rFonts w:asciiTheme="majorBidi" w:hAnsiTheme="majorBidi" w:cstheme="majorBidi"/>
          <w:sz w:val="24"/>
          <w:szCs w:val="24"/>
        </w:rPr>
      </w:pPr>
      <w:r w:rsidRPr="00DF703D">
        <w:rPr>
          <w:rFonts w:asciiTheme="majorBidi" w:hAnsiTheme="majorBidi" w:cstheme="majorBidi"/>
          <w:b/>
          <w:bCs/>
          <w:sz w:val="24"/>
          <w:szCs w:val="24"/>
        </w:rPr>
        <w:t xml:space="preserve">5.3 </w:t>
      </w:r>
      <w:proofErr w:type="spellStart"/>
      <w:r w:rsidRPr="00DF703D">
        <w:rPr>
          <w:rFonts w:asciiTheme="majorBidi" w:hAnsiTheme="majorBidi" w:cstheme="majorBidi"/>
          <w:b/>
          <w:bCs/>
          <w:sz w:val="24"/>
          <w:szCs w:val="24"/>
        </w:rPr>
        <w:t>DeNA</w:t>
      </w:r>
      <w:proofErr w:type="spellEnd"/>
      <w:r w:rsidRPr="00DF703D">
        <w:rPr>
          <w:rFonts w:asciiTheme="majorBidi" w:hAnsiTheme="majorBidi" w:cstheme="majorBidi"/>
          <w:b/>
          <w:bCs/>
          <w:sz w:val="24"/>
          <w:szCs w:val="24"/>
        </w:rPr>
        <w:t xml:space="preserve"> – </w:t>
      </w:r>
      <w:proofErr w:type="spellStart"/>
      <w:r w:rsidRPr="00DF703D">
        <w:rPr>
          <w:rFonts w:asciiTheme="majorBidi" w:hAnsiTheme="majorBidi" w:cstheme="majorBidi"/>
          <w:b/>
          <w:bCs/>
          <w:sz w:val="24"/>
          <w:szCs w:val="24"/>
        </w:rPr>
        <w:t>ngmoco</w:t>
      </w:r>
      <w:proofErr w:type="spellEnd"/>
      <w:r w:rsidRPr="00DF703D">
        <w:rPr>
          <w:rFonts w:asciiTheme="majorBidi" w:hAnsiTheme="majorBidi" w:cstheme="majorBidi"/>
          <w:b/>
          <w:bCs/>
          <w:sz w:val="24"/>
          <w:szCs w:val="24"/>
        </w:rPr>
        <w:t xml:space="preserve"> Acquisition</w:t>
      </w:r>
    </w:p>
    <w:p w14:paraId="34421FA3" w14:textId="77777777" w:rsidR="00DF703D" w:rsidRDefault="00DF703D" w:rsidP="00AD2142">
      <w:pPr>
        <w:spacing w:after="0"/>
        <w:ind w:firstLine="426"/>
        <w:jc w:val="both"/>
        <w:rPr>
          <w:rFonts w:asciiTheme="majorBidi" w:hAnsiTheme="majorBidi" w:cstheme="majorBidi"/>
          <w:sz w:val="24"/>
          <w:szCs w:val="24"/>
        </w:rPr>
      </w:pPr>
      <w:proofErr w:type="spellStart"/>
      <w:r w:rsidRPr="00DF703D">
        <w:rPr>
          <w:rFonts w:asciiTheme="majorBidi" w:hAnsiTheme="majorBidi" w:cstheme="majorBidi"/>
          <w:sz w:val="24"/>
          <w:szCs w:val="24"/>
        </w:rPr>
        <w:t>DeNA</w:t>
      </w:r>
      <w:proofErr w:type="spellEnd"/>
      <w:r w:rsidRPr="00DF703D">
        <w:rPr>
          <w:rFonts w:asciiTheme="majorBidi" w:hAnsiTheme="majorBidi" w:cstheme="majorBidi"/>
          <w:sz w:val="24"/>
          <w:szCs w:val="24"/>
        </w:rPr>
        <w:t xml:space="preserve"> acquired </w:t>
      </w:r>
      <w:proofErr w:type="spellStart"/>
      <w:r w:rsidRPr="00DF703D">
        <w:rPr>
          <w:rFonts w:asciiTheme="majorBidi" w:hAnsiTheme="majorBidi" w:cstheme="majorBidi"/>
          <w:sz w:val="24"/>
          <w:szCs w:val="24"/>
        </w:rPr>
        <w:t>ngmoco</w:t>
      </w:r>
      <w:proofErr w:type="spellEnd"/>
      <w:r w:rsidRPr="00DF703D">
        <w:rPr>
          <w:rFonts w:asciiTheme="majorBidi" w:hAnsiTheme="majorBidi" w:cstheme="majorBidi"/>
          <w:sz w:val="24"/>
          <w:szCs w:val="24"/>
        </w:rPr>
        <w:t xml:space="preserve"> in 2010 for $325 million, with goodwill representing 26.1 times the net assets. Although the subsidiary was liquidated in 2016, impairment was not disclosed until 2020. The case highlights the strategic timing of impairment recognition and the influence of accounting standards (transition from Japanese GAAP to IFRS), providing strong support for Hypothesis 1.</w:t>
      </w:r>
    </w:p>
    <w:p w14:paraId="64026740" w14:textId="77777777" w:rsidR="00AD2142" w:rsidRPr="00DF703D" w:rsidRDefault="00AD2142" w:rsidP="00AD2142">
      <w:pPr>
        <w:spacing w:after="0"/>
        <w:ind w:firstLine="426"/>
        <w:jc w:val="both"/>
        <w:rPr>
          <w:rFonts w:asciiTheme="majorBidi" w:hAnsiTheme="majorBidi" w:cstheme="majorBidi"/>
          <w:sz w:val="24"/>
          <w:szCs w:val="24"/>
        </w:rPr>
      </w:pPr>
    </w:p>
    <w:p w14:paraId="67C47E70" w14:textId="3ECE0FDA" w:rsidR="00DF703D" w:rsidRDefault="00DF703D" w:rsidP="00AD2142">
      <w:pPr>
        <w:spacing w:after="0"/>
        <w:jc w:val="center"/>
        <w:rPr>
          <w:rFonts w:asciiTheme="majorBidi" w:hAnsiTheme="majorBidi" w:cstheme="majorBidi"/>
          <w:b/>
          <w:bCs/>
          <w:sz w:val="24"/>
          <w:szCs w:val="24"/>
        </w:rPr>
      </w:pPr>
      <w:r w:rsidRPr="00DF703D">
        <w:rPr>
          <w:rFonts w:asciiTheme="majorBidi" w:hAnsiTheme="majorBidi" w:cstheme="majorBidi"/>
          <w:b/>
          <w:bCs/>
          <w:sz w:val="24"/>
          <w:szCs w:val="24"/>
        </w:rPr>
        <w:t>6. MANAGERIAL ACCOUNTING PERSPECTIVES</w:t>
      </w:r>
    </w:p>
    <w:p w14:paraId="6FA2A538" w14:textId="77777777" w:rsidR="00AD2142" w:rsidRPr="00DF703D" w:rsidRDefault="00AD2142" w:rsidP="00AD2142">
      <w:pPr>
        <w:spacing w:after="0"/>
        <w:jc w:val="center"/>
        <w:rPr>
          <w:rFonts w:asciiTheme="majorBidi" w:hAnsiTheme="majorBidi" w:cstheme="majorBidi"/>
          <w:sz w:val="24"/>
          <w:szCs w:val="24"/>
        </w:rPr>
      </w:pPr>
    </w:p>
    <w:p w14:paraId="783380CD" w14:textId="77777777" w:rsidR="00DF703D" w:rsidRPr="00DF703D" w:rsidRDefault="00DF703D" w:rsidP="00040A5E">
      <w:pPr>
        <w:spacing w:after="0"/>
        <w:ind w:firstLine="426"/>
        <w:jc w:val="both"/>
        <w:rPr>
          <w:rFonts w:asciiTheme="majorBidi" w:hAnsiTheme="majorBidi" w:cstheme="majorBidi"/>
          <w:sz w:val="24"/>
          <w:szCs w:val="24"/>
        </w:rPr>
      </w:pPr>
      <w:r w:rsidRPr="00DF703D">
        <w:rPr>
          <w:rFonts w:asciiTheme="majorBidi" w:hAnsiTheme="majorBidi" w:cstheme="majorBidi"/>
          <w:sz w:val="24"/>
          <w:szCs w:val="24"/>
        </w:rPr>
        <w:t>From a managerial accounting standpoint, goodwill represents an investment in intangible and non-identifiable assets beyond the fair value of net assets. It embodies the portion of acquisition cost that must be recovered through future cash flows. If recovery fails, goodwill becomes a sunk cost—an irrecoverable expenditure. The study uses the analogy of a movie ticket to illustrate this concept: continuing to watch a boring film simply because the ticket was paid for reflects irrational loss aversion. Similarly, delaying impairment recognition may reflect managerial reluctance to acknowledge sunk costs.</w:t>
      </w:r>
    </w:p>
    <w:p w14:paraId="6AE12AD0" w14:textId="77777777" w:rsidR="00DF703D" w:rsidRDefault="00DF703D" w:rsidP="00AD2142">
      <w:pPr>
        <w:spacing w:after="0"/>
        <w:ind w:firstLine="426"/>
        <w:jc w:val="both"/>
        <w:rPr>
          <w:rFonts w:asciiTheme="majorBidi" w:hAnsiTheme="majorBidi" w:cstheme="majorBidi"/>
          <w:sz w:val="24"/>
          <w:szCs w:val="24"/>
        </w:rPr>
      </w:pPr>
      <w:r w:rsidRPr="00DF703D">
        <w:rPr>
          <w:rFonts w:asciiTheme="majorBidi" w:hAnsiTheme="majorBidi" w:cstheme="majorBidi"/>
          <w:sz w:val="24"/>
          <w:szCs w:val="24"/>
        </w:rPr>
        <w:t>Importantly, while the value judgment of a movie is subjective and occurs post-consumption, the risk of goodwill becoming a sunk cost can be assessed immediately after acquisition. The model’s metrics provide tools for such assessment, enhancing the predictability of impairment and supporting rational decision-making.</w:t>
      </w:r>
    </w:p>
    <w:p w14:paraId="2819D022" w14:textId="77777777" w:rsidR="00AD2142" w:rsidRPr="00DF703D" w:rsidRDefault="00AD2142" w:rsidP="00AD2142">
      <w:pPr>
        <w:spacing w:after="0"/>
        <w:ind w:firstLine="426"/>
        <w:jc w:val="both"/>
        <w:rPr>
          <w:rFonts w:asciiTheme="majorBidi" w:hAnsiTheme="majorBidi" w:cstheme="majorBidi"/>
          <w:sz w:val="24"/>
          <w:szCs w:val="24"/>
        </w:rPr>
      </w:pPr>
    </w:p>
    <w:p w14:paraId="5B344E98" w14:textId="1EFA256A" w:rsidR="00DF703D" w:rsidRDefault="00DF703D" w:rsidP="00AD2142">
      <w:pPr>
        <w:spacing w:after="0"/>
        <w:jc w:val="center"/>
        <w:rPr>
          <w:rFonts w:asciiTheme="majorBidi" w:hAnsiTheme="majorBidi" w:cstheme="majorBidi"/>
          <w:b/>
          <w:bCs/>
          <w:sz w:val="24"/>
          <w:szCs w:val="24"/>
        </w:rPr>
      </w:pPr>
      <w:r w:rsidRPr="00DF703D">
        <w:rPr>
          <w:rFonts w:asciiTheme="majorBidi" w:hAnsiTheme="majorBidi" w:cstheme="majorBidi"/>
          <w:b/>
          <w:bCs/>
          <w:sz w:val="24"/>
          <w:szCs w:val="24"/>
        </w:rPr>
        <w:t>7. IMPLICATIONS AND FUTURE RESEARCH</w:t>
      </w:r>
    </w:p>
    <w:p w14:paraId="556D8291" w14:textId="77777777" w:rsidR="00AD2142" w:rsidRPr="00DF703D" w:rsidRDefault="00AD2142" w:rsidP="00AD2142">
      <w:pPr>
        <w:spacing w:after="0"/>
        <w:jc w:val="center"/>
        <w:rPr>
          <w:rFonts w:asciiTheme="majorBidi" w:hAnsiTheme="majorBidi" w:cstheme="majorBidi"/>
          <w:sz w:val="24"/>
          <w:szCs w:val="24"/>
        </w:rPr>
      </w:pPr>
    </w:p>
    <w:p w14:paraId="00B7FFC1" w14:textId="77777777" w:rsidR="00DF703D" w:rsidRPr="00DF703D" w:rsidRDefault="00DF703D" w:rsidP="00AD2142">
      <w:pPr>
        <w:ind w:firstLine="426"/>
        <w:jc w:val="both"/>
        <w:rPr>
          <w:rFonts w:asciiTheme="majorBidi" w:hAnsiTheme="majorBidi" w:cstheme="majorBidi"/>
          <w:sz w:val="24"/>
          <w:szCs w:val="24"/>
        </w:rPr>
      </w:pPr>
      <w:r w:rsidRPr="00DF703D">
        <w:rPr>
          <w:rFonts w:asciiTheme="majorBidi" w:hAnsiTheme="majorBidi" w:cstheme="majorBidi"/>
          <w:sz w:val="24"/>
          <w:szCs w:val="24"/>
        </w:rPr>
        <w:t>The findings have several implications:</w:t>
      </w:r>
    </w:p>
    <w:p w14:paraId="2DDB3D1F" w14:textId="77777777" w:rsidR="00DF703D" w:rsidRPr="00DF703D" w:rsidRDefault="00DF703D" w:rsidP="00AD2142">
      <w:pPr>
        <w:ind w:firstLine="426"/>
        <w:jc w:val="both"/>
        <w:rPr>
          <w:rFonts w:asciiTheme="majorBidi" w:hAnsiTheme="majorBidi" w:cstheme="majorBidi"/>
          <w:sz w:val="24"/>
          <w:szCs w:val="24"/>
        </w:rPr>
      </w:pPr>
      <w:r w:rsidRPr="00DF703D">
        <w:rPr>
          <w:rFonts w:asciiTheme="majorBidi" w:hAnsiTheme="majorBidi" w:cstheme="majorBidi"/>
          <w:b/>
          <w:bCs/>
          <w:sz w:val="24"/>
          <w:szCs w:val="24"/>
        </w:rPr>
        <w:t>For regulators</w:t>
      </w:r>
      <w:r w:rsidRPr="00DF703D">
        <w:rPr>
          <w:rFonts w:asciiTheme="majorBidi" w:hAnsiTheme="majorBidi" w:cstheme="majorBidi"/>
          <w:sz w:val="24"/>
          <w:szCs w:val="24"/>
        </w:rPr>
        <w:t>: The model offers a framework for evaluating the transparency of impairment disclosures.</w:t>
      </w:r>
    </w:p>
    <w:p w14:paraId="4EC495F8" w14:textId="77777777" w:rsidR="00DF703D" w:rsidRPr="00DF703D" w:rsidRDefault="00DF703D" w:rsidP="00AD2142">
      <w:pPr>
        <w:ind w:firstLine="426"/>
        <w:jc w:val="both"/>
        <w:rPr>
          <w:rFonts w:asciiTheme="majorBidi" w:hAnsiTheme="majorBidi" w:cstheme="majorBidi"/>
          <w:sz w:val="24"/>
          <w:szCs w:val="24"/>
        </w:rPr>
      </w:pPr>
      <w:r w:rsidRPr="00DF703D">
        <w:rPr>
          <w:rFonts w:asciiTheme="majorBidi" w:hAnsiTheme="majorBidi" w:cstheme="majorBidi"/>
          <w:b/>
          <w:bCs/>
          <w:sz w:val="24"/>
          <w:szCs w:val="24"/>
        </w:rPr>
        <w:t>For investors</w:t>
      </w:r>
      <w:r w:rsidRPr="00DF703D">
        <w:rPr>
          <w:rFonts w:asciiTheme="majorBidi" w:hAnsiTheme="majorBidi" w:cstheme="majorBidi"/>
          <w:sz w:val="24"/>
          <w:szCs w:val="24"/>
        </w:rPr>
        <w:t>: The metrics enable early assessment of acquisition risk.</w:t>
      </w:r>
    </w:p>
    <w:p w14:paraId="66BA29EA" w14:textId="77777777" w:rsidR="00DF703D" w:rsidRPr="00DF703D" w:rsidRDefault="00DF703D" w:rsidP="00AD2142">
      <w:pPr>
        <w:ind w:firstLine="426"/>
        <w:jc w:val="both"/>
        <w:rPr>
          <w:rFonts w:asciiTheme="majorBidi" w:hAnsiTheme="majorBidi" w:cstheme="majorBidi"/>
          <w:sz w:val="24"/>
          <w:szCs w:val="24"/>
        </w:rPr>
      </w:pPr>
      <w:r w:rsidRPr="00DF703D">
        <w:rPr>
          <w:rFonts w:asciiTheme="majorBidi" w:hAnsiTheme="majorBidi" w:cstheme="majorBidi"/>
          <w:b/>
          <w:bCs/>
          <w:sz w:val="24"/>
          <w:szCs w:val="24"/>
        </w:rPr>
        <w:lastRenderedPageBreak/>
        <w:t>For managers</w:t>
      </w:r>
      <w:r w:rsidRPr="00DF703D">
        <w:rPr>
          <w:rFonts w:asciiTheme="majorBidi" w:hAnsiTheme="majorBidi" w:cstheme="majorBidi"/>
          <w:sz w:val="24"/>
          <w:szCs w:val="24"/>
        </w:rPr>
        <w:t>: The study highlights the strategic consequences of impairment timing and disclosure.</w:t>
      </w:r>
    </w:p>
    <w:p w14:paraId="0EE6DDDD" w14:textId="77777777" w:rsidR="00DF703D" w:rsidRPr="00DF703D" w:rsidRDefault="00DF703D" w:rsidP="00AD2142">
      <w:pPr>
        <w:ind w:firstLine="426"/>
        <w:jc w:val="both"/>
      </w:pPr>
      <w:r w:rsidRPr="00DF703D">
        <w:rPr>
          <w:rFonts w:asciiTheme="majorBidi" w:hAnsiTheme="majorBidi" w:cstheme="majorBidi"/>
          <w:sz w:val="24"/>
          <w:szCs w:val="24"/>
        </w:rPr>
        <w:t>Future research should focus on empirically testing hypotheses with large-scale data. While the case studies offer qualitative support, wider validation is necessary to apply the findings broadly. Furthermore, cross-country comparisons could show how institutional differences influence managerial discretion in impairment recognition</w:t>
      </w:r>
      <w:r w:rsidRPr="00DF703D">
        <w:t>.</w:t>
      </w:r>
    </w:p>
    <w:p w14:paraId="49DA1152" w14:textId="585E717F" w:rsidR="00DF703D" w:rsidRPr="00DF703D" w:rsidRDefault="00DF703D" w:rsidP="00AD2142">
      <w:pPr>
        <w:jc w:val="center"/>
        <w:rPr>
          <w:rFonts w:asciiTheme="majorBidi" w:hAnsiTheme="majorBidi" w:cstheme="majorBidi"/>
          <w:sz w:val="24"/>
          <w:szCs w:val="24"/>
        </w:rPr>
      </w:pPr>
      <w:r w:rsidRPr="00DF703D">
        <w:rPr>
          <w:rFonts w:asciiTheme="majorBidi" w:hAnsiTheme="majorBidi" w:cstheme="majorBidi"/>
          <w:b/>
          <w:bCs/>
          <w:sz w:val="24"/>
          <w:szCs w:val="24"/>
        </w:rPr>
        <w:t>8. C</w:t>
      </w:r>
      <w:r>
        <w:rPr>
          <w:rFonts w:asciiTheme="majorBidi" w:hAnsiTheme="majorBidi" w:cstheme="majorBidi"/>
          <w:b/>
          <w:bCs/>
          <w:sz w:val="24"/>
          <w:szCs w:val="24"/>
        </w:rPr>
        <w:t>ONCLUSION</w:t>
      </w:r>
    </w:p>
    <w:p w14:paraId="4DD74CCE" w14:textId="77777777" w:rsidR="00DF703D" w:rsidRPr="00DF703D" w:rsidRDefault="00DF703D" w:rsidP="00AD2142">
      <w:pPr>
        <w:ind w:firstLine="426"/>
        <w:jc w:val="both"/>
        <w:rPr>
          <w:rFonts w:asciiTheme="majorBidi" w:hAnsiTheme="majorBidi" w:cstheme="majorBidi"/>
          <w:sz w:val="24"/>
          <w:szCs w:val="24"/>
        </w:rPr>
      </w:pPr>
      <w:r w:rsidRPr="00DF703D">
        <w:rPr>
          <w:rFonts w:asciiTheme="majorBidi" w:hAnsiTheme="majorBidi" w:cstheme="majorBidi"/>
          <w:sz w:val="24"/>
          <w:szCs w:val="24"/>
        </w:rPr>
        <w:t xml:space="preserve">This study introduces a theoretical model for evaluating goodwill impairment risk and managerial discretion. By formalizing the threshold condition and breaking down the recoverable amount, the model allows for a structured analysis of impairment risk. The case studies demonstrate how managerial judgment affects recognition and disclosure, and the proposed hypotheses provide a basis for future empirical research. Overall, the study enhances understanding of the connection between accounting practices and strategic </w:t>
      </w:r>
      <w:proofErr w:type="spellStart"/>
      <w:r w:rsidRPr="00DF703D">
        <w:rPr>
          <w:rFonts w:asciiTheme="majorBidi" w:hAnsiTheme="majorBidi" w:cstheme="majorBidi"/>
          <w:sz w:val="24"/>
          <w:szCs w:val="24"/>
        </w:rPr>
        <w:t>behavior</w:t>
      </w:r>
      <w:proofErr w:type="spellEnd"/>
      <w:r w:rsidRPr="00DF703D">
        <w:rPr>
          <w:rFonts w:asciiTheme="majorBidi" w:hAnsiTheme="majorBidi" w:cstheme="majorBidi"/>
          <w:sz w:val="24"/>
          <w:szCs w:val="24"/>
        </w:rPr>
        <w:t xml:space="preserve"> in corporate reporting.</w:t>
      </w:r>
    </w:p>
    <w:p w14:paraId="57AA68C1" w14:textId="3CD819EA" w:rsidR="00DF703D" w:rsidRPr="00DF703D" w:rsidRDefault="00DF703D" w:rsidP="00DF703D">
      <w:pPr>
        <w:jc w:val="center"/>
        <w:rPr>
          <w:rFonts w:asciiTheme="majorBidi" w:hAnsiTheme="majorBidi" w:cstheme="majorBidi"/>
          <w:b/>
          <w:bCs/>
          <w:sz w:val="24"/>
          <w:szCs w:val="24"/>
        </w:rPr>
      </w:pPr>
      <w:r w:rsidRPr="00DF703D">
        <w:rPr>
          <w:rFonts w:asciiTheme="majorBidi" w:hAnsiTheme="majorBidi" w:cstheme="majorBidi"/>
          <w:b/>
          <w:bCs/>
          <w:sz w:val="24"/>
          <w:szCs w:val="24"/>
        </w:rPr>
        <w:t>R</w:t>
      </w:r>
      <w:r>
        <w:rPr>
          <w:rFonts w:asciiTheme="majorBidi" w:hAnsiTheme="majorBidi" w:cstheme="majorBidi"/>
          <w:b/>
          <w:bCs/>
          <w:sz w:val="24"/>
          <w:szCs w:val="24"/>
        </w:rPr>
        <w:t>EFERENCES</w:t>
      </w:r>
    </w:p>
    <w:p w14:paraId="3F819FDC" w14:textId="2E04BA82" w:rsidR="00DF703D" w:rsidRPr="00DF703D" w:rsidRDefault="00DF703D" w:rsidP="00DD4692">
      <w:pPr>
        <w:spacing w:after="0" w:line="240" w:lineRule="auto"/>
        <w:ind w:left="720" w:hanging="720"/>
        <w:jc w:val="both"/>
        <w:rPr>
          <w:rFonts w:asciiTheme="majorBidi" w:hAnsiTheme="majorBidi" w:cstheme="majorBidi"/>
          <w:sz w:val="24"/>
          <w:szCs w:val="24"/>
        </w:rPr>
      </w:pPr>
      <w:r w:rsidRPr="00DF703D">
        <w:rPr>
          <w:rFonts w:asciiTheme="majorBidi" w:hAnsiTheme="majorBidi" w:cstheme="majorBidi"/>
          <w:sz w:val="24"/>
          <w:szCs w:val="24"/>
        </w:rPr>
        <w:t>AbuGhazaleh, N. M., Al-Hares, O. M., &amp; Haddad, A. E. (2012). The Value Relevance of Goodwill Impairments: UK Evidence. International Journal of Economics and Finance, Vol. 4, pp. 206-216.</w:t>
      </w:r>
    </w:p>
    <w:p w14:paraId="6ADE9C67" w14:textId="1AB7ED42" w:rsidR="00DF703D" w:rsidRPr="00DF703D" w:rsidRDefault="00DF703D" w:rsidP="00DD4692">
      <w:pPr>
        <w:spacing w:after="0" w:line="240" w:lineRule="auto"/>
        <w:ind w:left="720" w:hanging="720"/>
        <w:jc w:val="both"/>
        <w:rPr>
          <w:rFonts w:asciiTheme="majorBidi" w:hAnsiTheme="majorBidi" w:cstheme="majorBidi"/>
          <w:sz w:val="24"/>
          <w:szCs w:val="24"/>
        </w:rPr>
      </w:pPr>
      <w:r w:rsidRPr="00DF703D">
        <w:rPr>
          <w:rFonts w:asciiTheme="majorBidi" w:hAnsiTheme="majorBidi" w:cstheme="majorBidi"/>
          <w:sz w:val="24"/>
          <w:szCs w:val="24"/>
        </w:rPr>
        <w:t>Evan Bailyn (2022), EBITDA Multiples by Industry &amp; Company Size: 2023 Report Posted April 12, 2022,</w:t>
      </w:r>
      <w:r w:rsidRPr="00DF703D">
        <w:rPr>
          <w:rFonts w:asciiTheme="majorBidi" w:eastAsia="ＭＳ ゴシック" w:hAnsiTheme="majorBidi" w:cstheme="majorBidi"/>
          <w:sz w:val="24"/>
          <w:szCs w:val="24"/>
        </w:rPr>
        <w:t xml:space="preserve">　</w:t>
      </w:r>
      <w:r w:rsidRPr="00DF703D">
        <w:rPr>
          <w:rFonts w:asciiTheme="majorBidi" w:hAnsiTheme="majorBidi" w:cstheme="majorBidi"/>
          <w:sz w:val="24"/>
          <w:szCs w:val="24"/>
        </w:rPr>
        <w:t>Updated October 3, 2022</w:t>
      </w:r>
    </w:p>
    <w:p w14:paraId="79230151" w14:textId="3BC8C8D6" w:rsidR="00DF703D" w:rsidRPr="00DF703D" w:rsidRDefault="00DF703D" w:rsidP="00DD4692">
      <w:pPr>
        <w:spacing w:after="0" w:line="240" w:lineRule="auto"/>
        <w:ind w:left="720" w:hanging="720"/>
        <w:jc w:val="both"/>
        <w:rPr>
          <w:rFonts w:asciiTheme="majorBidi" w:hAnsiTheme="majorBidi" w:cstheme="majorBidi"/>
          <w:sz w:val="24"/>
          <w:szCs w:val="24"/>
        </w:rPr>
      </w:pPr>
      <w:r w:rsidRPr="00DF703D">
        <w:rPr>
          <w:rFonts w:asciiTheme="majorBidi" w:hAnsiTheme="majorBidi" w:cstheme="majorBidi"/>
          <w:sz w:val="24"/>
          <w:szCs w:val="24"/>
        </w:rPr>
        <w:t>Hayn, C., &amp; Hughes, P.J. (2006).Leading Indicators of Goodwill Impairment. Auditing and Finance 21 (3), pp. 223-265.</w:t>
      </w:r>
    </w:p>
    <w:p w14:paraId="4EF681D4" w14:textId="1E333824" w:rsidR="00DF703D" w:rsidRPr="00DF703D" w:rsidRDefault="00DF703D" w:rsidP="00DD4692">
      <w:pPr>
        <w:spacing w:after="0" w:line="240" w:lineRule="auto"/>
        <w:ind w:left="720" w:hanging="720"/>
        <w:jc w:val="both"/>
        <w:rPr>
          <w:rFonts w:asciiTheme="majorBidi" w:hAnsiTheme="majorBidi" w:cstheme="majorBidi"/>
          <w:sz w:val="24"/>
          <w:szCs w:val="24"/>
        </w:rPr>
      </w:pPr>
      <w:r w:rsidRPr="00DF703D">
        <w:rPr>
          <w:rFonts w:asciiTheme="majorBidi" w:hAnsiTheme="majorBidi" w:cstheme="majorBidi"/>
          <w:sz w:val="24"/>
          <w:szCs w:val="24"/>
        </w:rPr>
        <w:t>Hirschey, M., &amp; Richardson, V. J. (2003). Investor underreaction to goodwill write-offs. Financial Analysts Journal, pp. 75-84.</w:t>
      </w:r>
    </w:p>
    <w:p w14:paraId="2939F3E2" w14:textId="159B444B" w:rsidR="00DF703D" w:rsidRPr="00DF703D" w:rsidRDefault="00DF703D" w:rsidP="00DD4692">
      <w:pPr>
        <w:spacing w:after="0" w:line="240" w:lineRule="auto"/>
        <w:ind w:left="720" w:hanging="720"/>
        <w:jc w:val="both"/>
        <w:rPr>
          <w:rFonts w:asciiTheme="majorBidi" w:hAnsiTheme="majorBidi" w:cstheme="majorBidi"/>
          <w:sz w:val="24"/>
          <w:szCs w:val="24"/>
        </w:rPr>
      </w:pPr>
      <w:r w:rsidRPr="00DF703D">
        <w:rPr>
          <w:rFonts w:asciiTheme="majorBidi" w:hAnsiTheme="majorBidi" w:cstheme="majorBidi"/>
          <w:sz w:val="24"/>
          <w:szCs w:val="24"/>
        </w:rPr>
        <w:t>Jordan, C. E., Clark, S. J., &amp; Vann, C. E. (2007). Using Goodwill Impairment to</w:t>
      </w:r>
      <w:r w:rsidR="00040A5E">
        <w:rPr>
          <w:rFonts w:asciiTheme="majorBidi" w:hAnsiTheme="majorBidi" w:cstheme="majorBidi"/>
          <w:sz w:val="24"/>
          <w:szCs w:val="24"/>
        </w:rPr>
        <w:t xml:space="preserve"> </w:t>
      </w:r>
      <w:r w:rsidRPr="00DF703D">
        <w:rPr>
          <w:rFonts w:asciiTheme="majorBidi" w:hAnsiTheme="majorBidi" w:cstheme="majorBidi"/>
          <w:sz w:val="24"/>
          <w:szCs w:val="24"/>
        </w:rPr>
        <w:t>Effect Earnings Management during the Year of Adoption and Subsequent Years</w:t>
      </w:r>
      <w:r w:rsidR="00040A5E">
        <w:rPr>
          <w:rFonts w:asciiTheme="majorBidi" w:hAnsiTheme="majorBidi" w:cstheme="majorBidi"/>
          <w:sz w:val="24"/>
          <w:szCs w:val="24"/>
        </w:rPr>
        <w:t xml:space="preserve"> </w:t>
      </w:r>
      <w:r w:rsidRPr="00DF703D">
        <w:rPr>
          <w:rFonts w:asciiTheme="majorBidi" w:hAnsiTheme="majorBidi" w:cstheme="majorBidi"/>
          <w:sz w:val="24"/>
          <w:szCs w:val="24"/>
        </w:rPr>
        <w:t>of SFAS No. 142. Journal of Business and Economic Research, 5 (1), pp. 23-30.</w:t>
      </w:r>
    </w:p>
    <w:p w14:paraId="2F4DDF3F" w14:textId="710401F1" w:rsidR="00DF703D" w:rsidRPr="00DF703D" w:rsidRDefault="00DF703D" w:rsidP="00DD4692">
      <w:pPr>
        <w:spacing w:after="0" w:line="240" w:lineRule="auto"/>
        <w:ind w:left="720" w:hanging="720"/>
        <w:jc w:val="both"/>
        <w:rPr>
          <w:rFonts w:asciiTheme="majorBidi" w:hAnsiTheme="majorBidi" w:cstheme="majorBidi"/>
          <w:sz w:val="24"/>
          <w:szCs w:val="24"/>
        </w:rPr>
      </w:pPr>
      <w:r w:rsidRPr="00DF703D">
        <w:rPr>
          <w:rFonts w:asciiTheme="majorBidi" w:hAnsiTheme="majorBidi" w:cstheme="majorBidi"/>
          <w:sz w:val="24"/>
          <w:szCs w:val="24"/>
        </w:rPr>
        <w:t>Keryn G. Chalmers, Jayne M. Godfrey, and John C. Webster (2011). Does a goodwill impairment regime better reflect the underlying economic attributes of goodwill? Accounting &amp; Finance (AFAANZ), 51 (3) pp. 634-660. </w:t>
      </w:r>
    </w:p>
    <w:p w14:paraId="597A4BED" w14:textId="0B0B7B03" w:rsidR="00DF703D" w:rsidRPr="00DF703D" w:rsidRDefault="00DF703D" w:rsidP="00DD4692">
      <w:pPr>
        <w:spacing w:after="0" w:line="240" w:lineRule="auto"/>
        <w:ind w:left="720" w:hanging="720"/>
        <w:jc w:val="both"/>
        <w:rPr>
          <w:rFonts w:asciiTheme="majorBidi" w:hAnsiTheme="majorBidi" w:cstheme="majorBidi"/>
          <w:sz w:val="24"/>
          <w:szCs w:val="24"/>
        </w:rPr>
      </w:pPr>
      <w:proofErr w:type="spellStart"/>
      <w:r w:rsidRPr="00DF703D">
        <w:rPr>
          <w:rFonts w:asciiTheme="majorBidi" w:hAnsiTheme="majorBidi" w:cstheme="majorBidi"/>
          <w:sz w:val="24"/>
          <w:szCs w:val="24"/>
        </w:rPr>
        <w:t>Kishita</w:t>
      </w:r>
      <w:proofErr w:type="spellEnd"/>
      <w:r w:rsidRPr="00DF703D">
        <w:rPr>
          <w:rFonts w:asciiTheme="majorBidi" w:hAnsiTheme="majorBidi" w:cstheme="majorBidi"/>
          <w:sz w:val="24"/>
          <w:szCs w:val="24"/>
        </w:rPr>
        <w:t xml:space="preserve">, </w:t>
      </w:r>
      <w:proofErr w:type="spellStart"/>
      <w:r w:rsidRPr="00DF703D">
        <w:rPr>
          <w:rFonts w:asciiTheme="majorBidi" w:hAnsiTheme="majorBidi" w:cstheme="majorBidi"/>
          <w:sz w:val="24"/>
          <w:szCs w:val="24"/>
        </w:rPr>
        <w:t>Testuhiro</w:t>
      </w:r>
      <w:proofErr w:type="spellEnd"/>
      <w:r w:rsidRPr="00DF703D">
        <w:rPr>
          <w:rFonts w:asciiTheme="majorBidi" w:hAnsiTheme="majorBidi" w:cstheme="majorBidi"/>
          <w:sz w:val="24"/>
          <w:szCs w:val="24"/>
        </w:rPr>
        <w:t xml:space="preserve"> and Naoki Hayashi (2023).  Analytical Model for Estimating Goodwill</w:t>
      </w:r>
      <w:r w:rsidR="00040A5E">
        <w:rPr>
          <w:rFonts w:asciiTheme="majorBidi" w:hAnsiTheme="majorBidi" w:cstheme="majorBidi"/>
          <w:sz w:val="24"/>
          <w:szCs w:val="24"/>
        </w:rPr>
        <w:t xml:space="preserve"> </w:t>
      </w:r>
      <w:r w:rsidRPr="00DF703D">
        <w:rPr>
          <w:rFonts w:asciiTheme="majorBidi" w:hAnsiTheme="majorBidi" w:cstheme="majorBidi"/>
          <w:sz w:val="24"/>
          <w:szCs w:val="24"/>
        </w:rPr>
        <w:t>Impairment. Review of Integrative Business and Economics Research, Vol. 12(4), 88-101. </w:t>
      </w:r>
    </w:p>
    <w:p w14:paraId="43BFAD59" w14:textId="4D44319D" w:rsidR="00DF703D" w:rsidRPr="00DF703D" w:rsidRDefault="00DF703D" w:rsidP="00DD4692">
      <w:pPr>
        <w:spacing w:after="0" w:line="240" w:lineRule="auto"/>
        <w:ind w:left="720" w:hanging="720"/>
        <w:jc w:val="both"/>
        <w:rPr>
          <w:rFonts w:asciiTheme="majorBidi" w:hAnsiTheme="majorBidi" w:cstheme="majorBidi"/>
          <w:sz w:val="24"/>
          <w:szCs w:val="24"/>
        </w:rPr>
      </w:pPr>
      <w:r w:rsidRPr="00DF703D">
        <w:rPr>
          <w:rFonts w:asciiTheme="majorBidi" w:hAnsiTheme="majorBidi" w:cstheme="majorBidi"/>
          <w:sz w:val="24"/>
          <w:szCs w:val="24"/>
        </w:rPr>
        <w:t>Lapointe-Antunes., P., Cormier, D, &amp; Magnan, M. (2009). Value Relevance and Timeliness of Transitional Goodwill-Impairment Losses: Evidence from Canada. International Journal of Accounting, 44 (1), 56-78.</w:t>
      </w:r>
    </w:p>
    <w:p w14:paraId="2B69F88A" w14:textId="00FB4006" w:rsidR="00DF703D" w:rsidRPr="00DF703D" w:rsidRDefault="00DF703D" w:rsidP="00DD4692">
      <w:pPr>
        <w:spacing w:after="0" w:line="240" w:lineRule="auto"/>
        <w:ind w:left="720" w:hanging="720"/>
        <w:jc w:val="both"/>
        <w:rPr>
          <w:rFonts w:asciiTheme="majorBidi" w:hAnsiTheme="majorBidi" w:cstheme="majorBidi"/>
          <w:sz w:val="24"/>
          <w:szCs w:val="24"/>
        </w:rPr>
      </w:pPr>
      <w:r w:rsidRPr="00DF703D">
        <w:rPr>
          <w:rFonts w:asciiTheme="majorBidi" w:hAnsiTheme="majorBidi" w:cstheme="majorBidi"/>
          <w:sz w:val="24"/>
          <w:szCs w:val="24"/>
        </w:rPr>
        <w:t>Li, Z., Shroff, P. K., Venkataraman, R., &amp; Zhang, I. X. (2011). Causes and consequences of goodwill impairment losses. Review of Accounting Studies, 16(4), 745–778.</w:t>
      </w:r>
    </w:p>
    <w:p w14:paraId="1B708B5E" w14:textId="2E7EC9BB" w:rsidR="00DF703D" w:rsidRPr="00DF703D" w:rsidRDefault="00DF703D" w:rsidP="00DD4692">
      <w:pPr>
        <w:spacing w:line="240" w:lineRule="auto"/>
        <w:ind w:left="720" w:hanging="720"/>
        <w:jc w:val="both"/>
        <w:rPr>
          <w:rFonts w:asciiTheme="majorBidi" w:hAnsiTheme="majorBidi" w:cstheme="majorBidi"/>
          <w:sz w:val="24"/>
          <w:szCs w:val="24"/>
        </w:rPr>
      </w:pPr>
      <w:r w:rsidRPr="00DF703D">
        <w:rPr>
          <w:rFonts w:asciiTheme="majorBidi" w:hAnsiTheme="majorBidi" w:cstheme="majorBidi"/>
          <w:sz w:val="24"/>
          <w:szCs w:val="24"/>
        </w:rPr>
        <w:t>Stephen R. Moehrle, Jennifer A. Reynolds‐Moehrle, and James S. Wallace (2001). How Informative Are Earnings Numbers That Exclude Goodwill Amortization? Accounting Horizons: September 2001, Vol. 15, No. 3, pp. 243-255.</w:t>
      </w:r>
    </w:p>
    <w:p w14:paraId="6FDBD03F" w14:textId="77777777" w:rsidR="00DF703D" w:rsidRPr="00DF703D" w:rsidRDefault="00DF703D" w:rsidP="00095507"/>
    <w:p w14:paraId="18206664" w14:textId="77777777" w:rsidR="00DD4692" w:rsidRDefault="00DD4692">
      <w:pPr>
        <w:rPr>
          <w:rFonts w:ascii="Times New Roman" w:eastAsia="Times New Roman" w:hAnsi="Times New Roman" w:cs="Times New Roman"/>
          <w:b/>
          <w:sz w:val="26"/>
          <w:szCs w:val="26"/>
        </w:rPr>
      </w:pPr>
      <w:r>
        <w:br w:type="page"/>
      </w:r>
    </w:p>
    <w:p w14:paraId="661449FE" w14:textId="77777777" w:rsidR="007373F6" w:rsidRDefault="00000000">
      <w:pPr>
        <w:pStyle w:val="Heading1"/>
      </w:pPr>
      <w:bookmarkStart w:id="66" w:name="_Toc211808152"/>
      <w:r>
        <w:lastRenderedPageBreak/>
        <w:t>Paper ID 33</w:t>
      </w:r>
      <w:bookmarkEnd w:id="66"/>
    </w:p>
    <w:p w14:paraId="336774F5" w14:textId="77777777" w:rsidR="007373F6" w:rsidRDefault="00000000" w:rsidP="00D01771">
      <w:pPr>
        <w:pStyle w:val="Heading2"/>
      </w:pPr>
      <w:bookmarkStart w:id="67" w:name="_Toc211808153"/>
      <w:r>
        <w:t>THE IMPACT OF COST STICKINESS ON THE COST OF EQUITY CAPITAL</w:t>
      </w:r>
      <w:bookmarkEnd w:id="67"/>
    </w:p>
    <w:p w14:paraId="22FEB31F" w14:textId="77777777" w:rsidR="007373F6" w:rsidRPr="00CB43F7" w:rsidRDefault="00000000">
      <w:pPr>
        <w:spacing w:after="0" w:line="240" w:lineRule="auto"/>
        <w:jc w:val="center"/>
        <w:rPr>
          <w:rFonts w:ascii="Times New Roman" w:eastAsia="Times New Roman" w:hAnsi="Times New Roman" w:cs="Times New Roman"/>
          <w:sz w:val="24"/>
          <w:szCs w:val="24"/>
        </w:rPr>
      </w:pPr>
      <w:r w:rsidRPr="00CB43F7">
        <w:rPr>
          <w:rFonts w:ascii="Times New Roman" w:eastAsia="Times New Roman" w:hAnsi="Times New Roman" w:cs="Times New Roman"/>
          <w:b/>
          <w:sz w:val="24"/>
          <w:szCs w:val="24"/>
        </w:rPr>
        <w:t>Gongye Ge*</w:t>
      </w:r>
      <w:r w:rsidRPr="00CB43F7">
        <w:rPr>
          <w:rFonts w:ascii="Times New Roman" w:eastAsia="Times New Roman" w:hAnsi="Times New Roman" w:cs="Times New Roman"/>
          <w:sz w:val="24"/>
          <w:szCs w:val="24"/>
        </w:rPr>
        <w:t>, Graduate School of Management,</w:t>
      </w:r>
    </w:p>
    <w:p w14:paraId="202A771E" w14:textId="77777777" w:rsidR="007373F6" w:rsidRPr="00CB43F7" w:rsidRDefault="00000000">
      <w:pPr>
        <w:spacing w:after="0" w:line="240" w:lineRule="auto"/>
        <w:jc w:val="center"/>
        <w:rPr>
          <w:rFonts w:ascii="Times New Roman" w:eastAsia="Times New Roman" w:hAnsi="Times New Roman" w:cs="Times New Roman"/>
          <w:sz w:val="24"/>
          <w:szCs w:val="24"/>
        </w:rPr>
      </w:pPr>
      <w:r w:rsidRPr="00CB43F7">
        <w:rPr>
          <w:rFonts w:ascii="Times New Roman" w:eastAsia="Times New Roman" w:hAnsi="Times New Roman" w:cs="Times New Roman"/>
          <w:sz w:val="24"/>
          <w:szCs w:val="24"/>
        </w:rPr>
        <w:t>Tokyo Metropolitan University, Japan (</w:t>
      </w:r>
      <w:hyperlink r:id="rId143">
        <w:r w:rsidR="007373F6" w:rsidRPr="00CB43F7">
          <w:rPr>
            <w:rFonts w:ascii="Times New Roman" w:eastAsia="Times New Roman" w:hAnsi="Times New Roman" w:cs="Times New Roman"/>
          </w:rPr>
          <w:t>ge-gongye@ed.tmu.ac.jp</w:t>
        </w:r>
      </w:hyperlink>
      <w:r w:rsidRPr="00CB43F7">
        <w:rPr>
          <w:rFonts w:ascii="Times New Roman" w:eastAsia="Times New Roman" w:hAnsi="Times New Roman" w:cs="Times New Roman"/>
          <w:sz w:val="24"/>
          <w:szCs w:val="24"/>
        </w:rPr>
        <w:t>)</w:t>
      </w:r>
    </w:p>
    <w:p w14:paraId="18287EFC" w14:textId="77777777" w:rsidR="007373F6" w:rsidRPr="00CB43F7" w:rsidRDefault="007373F6">
      <w:pPr>
        <w:spacing w:after="0" w:line="240" w:lineRule="auto"/>
        <w:jc w:val="center"/>
        <w:rPr>
          <w:rFonts w:ascii="Times New Roman" w:eastAsia="Times New Roman" w:hAnsi="Times New Roman" w:cs="Times New Roman"/>
          <w:sz w:val="24"/>
          <w:szCs w:val="24"/>
        </w:rPr>
      </w:pPr>
    </w:p>
    <w:p w14:paraId="649C4F27" w14:textId="77777777" w:rsidR="007373F6" w:rsidRPr="00CB43F7" w:rsidRDefault="00000000">
      <w:pPr>
        <w:spacing w:after="0" w:line="240" w:lineRule="auto"/>
        <w:jc w:val="center"/>
        <w:rPr>
          <w:rFonts w:ascii="Times New Roman" w:eastAsia="Times New Roman" w:hAnsi="Times New Roman" w:cs="Times New Roman"/>
          <w:sz w:val="24"/>
          <w:szCs w:val="24"/>
        </w:rPr>
      </w:pPr>
      <w:r w:rsidRPr="00CB43F7">
        <w:rPr>
          <w:rFonts w:ascii="Times New Roman" w:eastAsia="Times New Roman" w:hAnsi="Times New Roman" w:cs="Times New Roman"/>
          <w:b/>
          <w:sz w:val="24"/>
          <w:szCs w:val="24"/>
        </w:rPr>
        <w:t>Shoichiro Hosomi</w:t>
      </w:r>
      <w:r w:rsidRPr="00CB43F7">
        <w:rPr>
          <w:rFonts w:ascii="Times New Roman" w:eastAsia="Times New Roman" w:hAnsi="Times New Roman" w:cs="Times New Roman"/>
          <w:sz w:val="24"/>
          <w:szCs w:val="24"/>
        </w:rPr>
        <w:t>, Graduate School of Management,</w:t>
      </w:r>
    </w:p>
    <w:p w14:paraId="5B95818E" w14:textId="77777777" w:rsidR="007373F6" w:rsidRPr="00CB43F7" w:rsidRDefault="00000000">
      <w:pPr>
        <w:spacing w:after="0" w:line="240" w:lineRule="auto"/>
        <w:jc w:val="center"/>
        <w:rPr>
          <w:rFonts w:ascii="Times New Roman" w:eastAsia="Times New Roman" w:hAnsi="Times New Roman" w:cs="Times New Roman"/>
          <w:sz w:val="24"/>
          <w:szCs w:val="24"/>
        </w:rPr>
      </w:pPr>
      <w:r w:rsidRPr="00CB43F7">
        <w:rPr>
          <w:rFonts w:ascii="Times New Roman" w:eastAsia="Times New Roman" w:hAnsi="Times New Roman" w:cs="Times New Roman"/>
          <w:sz w:val="24"/>
          <w:szCs w:val="24"/>
        </w:rPr>
        <w:t>Tokyo Metropolitan University, Japan (</w:t>
      </w:r>
      <w:hyperlink r:id="rId144">
        <w:r w:rsidR="007373F6" w:rsidRPr="00CB43F7">
          <w:rPr>
            <w:rFonts w:ascii="Times New Roman" w:eastAsia="Times New Roman" w:hAnsi="Times New Roman" w:cs="Times New Roman"/>
            <w:sz w:val="24"/>
            <w:szCs w:val="24"/>
          </w:rPr>
          <w:t>hosomi@tmu.ac.jp</w:t>
        </w:r>
      </w:hyperlink>
      <w:r w:rsidRPr="00CB43F7">
        <w:rPr>
          <w:rFonts w:ascii="Times New Roman" w:eastAsia="Times New Roman" w:hAnsi="Times New Roman" w:cs="Times New Roman"/>
          <w:sz w:val="24"/>
          <w:szCs w:val="24"/>
        </w:rPr>
        <w:t>)</w:t>
      </w:r>
    </w:p>
    <w:p w14:paraId="1197FE21" w14:textId="77777777" w:rsidR="007373F6" w:rsidRDefault="007373F6">
      <w:pPr>
        <w:spacing w:after="0" w:line="240" w:lineRule="auto"/>
        <w:jc w:val="center"/>
        <w:rPr>
          <w:rFonts w:ascii="Times New Roman" w:eastAsia="Times New Roman" w:hAnsi="Times New Roman" w:cs="Times New Roman"/>
          <w:sz w:val="24"/>
          <w:szCs w:val="24"/>
        </w:rPr>
      </w:pPr>
    </w:p>
    <w:p w14:paraId="0EFCEDCA" w14:textId="77777777" w:rsidR="007373F6" w:rsidRDefault="007373F6">
      <w:pPr>
        <w:spacing w:after="0" w:line="240" w:lineRule="auto"/>
        <w:jc w:val="center"/>
        <w:rPr>
          <w:rFonts w:ascii="Times New Roman" w:eastAsia="Times New Roman" w:hAnsi="Times New Roman" w:cs="Times New Roman"/>
          <w:sz w:val="24"/>
          <w:szCs w:val="24"/>
        </w:rPr>
      </w:pPr>
    </w:p>
    <w:p w14:paraId="183B21E5" w14:textId="77777777" w:rsidR="007373F6"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ABSTRACT</w:t>
      </w:r>
    </w:p>
    <w:p w14:paraId="2F901AEB"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study empirically examines the impact of cost stickiness on the cost of equity capital and corporate performance using financial data from Japanese firms listed on the Tokyo Stock Exchange Prime and Standard markets over the 15-year period from 2007 to 2021. Cost stickiness refers to the phenomenon whereby costs do not decrease as readily when business activity declines as they increase when activity rises. Whereas prior studies have primarily relied on the Anderson model to estimate cost stickiness, this study adopts the Weiss model to more precisely capture cost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and incorporates it as an explanatory variable in regression analyses. The cost of equity capital is estimated using four implied costs of capital models based on analyst forecasts. The findings reveal that, contrary to the initial hypothesis, cost stickiness is negatively associated with the cost of equity capital. This suggests that investors may interpret cost stickiness as a sign of rational managerial decision-making, lower perceived risk, and more stable future performance, leading them to require lower expected returns. In addition, the study decomposes cost stickiness into operating expenses and SG&amp;A expenses to evaluate their respective effects on corporate performance indicators such as ROE, EBITDA, and Tobin's Q. The results indicate that operating expense stickiness positively affects EBITDA, while SG&amp;A expense stickiness has a negative effect on ROE. The relationship between cost stickiness and either Tobin’s Q or WACC remains statistically inconclusive. This research contributes to the literature by providing new empirical evidence on the capital market implications of cost stickiness, especially in the context of Japanese firms. It also highlights the managerial importance of differentiating between types of expenses when assessing their long-term impact on firm value. Furthermore, the findings suggest that analysts and investors should consider cost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as a relevant factor in corporate valuation and risk assessment.</w:t>
      </w:r>
    </w:p>
    <w:p w14:paraId="46658336" w14:textId="77777777" w:rsidR="007373F6" w:rsidRDefault="007373F6">
      <w:pPr>
        <w:spacing w:after="0" w:line="240" w:lineRule="auto"/>
        <w:jc w:val="both"/>
        <w:rPr>
          <w:rFonts w:ascii="Times New Roman" w:eastAsia="Times New Roman" w:hAnsi="Times New Roman" w:cs="Times New Roman"/>
          <w:sz w:val="24"/>
          <w:szCs w:val="24"/>
        </w:rPr>
      </w:pPr>
    </w:p>
    <w:p w14:paraId="3F67804A" w14:textId="0ED74BB2" w:rsidR="007373F6" w:rsidRDefault="00000000">
      <w:pPr>
        <w:jc w:val="both"/>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Keywords: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Operating </w:t>
      </w:r>
      <w:r w:rsidR="00CB43F7">
        <w:rPr>
          <w:rFonts w:ascii="Times New Roman" w:eastAsia="Times New Roman" w:hAnsi="Times New Roman" w:cs="Times New Roman"/>
          <w:i/>
          <w:sz w:val="24"/>
          <w:szCs w:val="24"/>
        </w:rPr>
        <w:t>Expense Stickiness</w:t>
      </w:r>
      <w:r>
        <w:rPr>
          <w:rFonts w:ascii="Times New Roman" w:eastAsia="Times New Roman" w:hAnsi="Times New Roman" w:cs="Times New Roman"/>
          <w:i/>
          <w:sz w:val="24"/>
          <w:szCs w:val="24"/>
        </w:rPr>
        <w:t xml:space="preserve">, SG&amp;A </w:t>
      </w:r>
      <w:r w:rsidR="00CB43F7">
        <w:rPr>
          <w:rFonts w:ascii="Times New Roman" w:eastAsia="Times New Roman" w:hAnsi="Times New Roman" w:cs="Times New Roman"/>
          <w:i/>
          <w:sz w:val="24"/>
          <w:szCs w:val="24"/>
        </w:rPr>
        <w:t xml:space="preserve">Expense Stickiness, Cost of Equity Capital, Corporate Performance, </w:t>
      </w:r>
      <w:r>
        <w:rPr>
          <w:rFonts w:ascii="Times New Roman" w:eastAsia="Times New Roman" w:hAnsi="Times New Roman" w:cs="Times New Roman"/>
          <w:i/>
          <w:sz w:val="24"/>
          <w:szCs w:val="24"/>
        </w:rPr>
        <w:t xml:space="preserve">WACC, </w:t>
      </w:r>
      <w:r w:rsidR="00CB43F7">
        <w:rPr>
          <w:rFonts w:ascii="Times New Roman" w:eastAsia="Times New Roman" w:hAnsi="Times New Roman" w:cs="Times New Roman"/>
          <w:i/>
          <w:sz w:val="24"/>
          <w:szCs w:val="24"/>
        </w:rPr>
        <w:t>Agency Theory</w:t>
      </w:r>
    </w:p>
    <w:p w14:paraId="322CFBA8" w14:textId="747F9279" w:rsidR="007373F6" w:rsidRDefault="007373F6">
      <w:pPr>
        <w:spacing w:before="160"/>
        <w:jc w:val="both"/>
        <w:rPr>
          <w:rFonts w:ascii="Times New Roman" w:eastAsia="Times New Roman" w:hAnsi="Times New Roman" w:cs="Times New Roman"/>
          <w:sz w:val="24"/>
          <w:szCs w:val="24"/>
        </w:rPr>
      </w:pPr>
    </w:p>
    <w:p w14:paraId="02BF27CA" w14:textId="77777777" w:rsidR="007373F6" w:rsidRDefault="00000000" w:rsidP="00856618">
      <w:pPr>
        <w:widowControl w:val="0"/>
        <w:numPr>
          <w:ilvl w:val="0"/>
          <w:numId w:val="24"/>
        </w:numPr>
        <w:spacing w:after="20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INTRODUCTION</w:t>
      </w:r>
    </w:p>
    <w:p w14:paraId="7A66217F" w14:textId="77777777"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Effective cost management is a critical tool for enhancing managerial performance and corporate outcomes. In the fiscal year ending March 2021, with growing emphasis on non-financial information, the disclosure of notes related to accounting estimates became mandatory, underscoring the importance of high-quality financial reporting amid changing financial metric standards. Research on cost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is thus valuable for external stakeholders seeking to understand corporate cost strategies and managerial decision-making.</w:t>
      </w:r>
    </w:p>
    <w:p w14:paraId="3B1FF4AC" w14:textId="0E3DB9C0"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study aims to clarify the impact of cost stickiness on the cost of equity capital. </w:t>
      </w:r>
      <w:r>
        <w:rPr>
          <w:rFonts w:ascii="Times New Roman" w:eastAsia="Times New Roman" w:hAnsi="Times New Roman" w:cs="Times New Roman"/>
          <w:sz w:val="24"/>
          <w:szCs w:val="24"/>
        </w:rPr>
        <w:lastRenderedPageBreak/>
        <w:t>Financial information used by investors in their decision-making reduces information asymmetry, thereby improving market liquidity (</w:t>
      </w:r>
      <w:proofErr w:type="spellStart"/>
      <w:r>
        <w:rPr>
          <w:rFonts w:ascii="Times New Roman" w:eastAsia="Times New Roman" w:hAnsi="Times New Roman" w:cs="Times New Roman"/>
          <w:sz w:val="24"/>
          <w:szCs w:val="24"/>
        </w:rPr>
        <w:t>Baiman</w:t>
      </w:r>
      <w:proofErr w:type="spellEnd"/>
      <w:r>
        <w:rPr>
          <w:rFonts w:ascii="Times New Roman" w:eastAsia="Times New Roman" w:hAnsi="Times New Roman" w:cs="Times New Roman"/>
          <w:sz w:val="24"/>
          <w:szCs w:val="24"/>
        </w:rPr>
        <w:t xml:space="preserve"> &amp; Verrecchia, 1996), facilitating risk sharing (Merton, 1987), and lowering information risk (Barry &amp; Brown, 1985)—all of which contribute to a lower cost of equity capital. Conversely, from the perspective of rational decision-making theory—one of the foundations of cost stickiness—managers may make overly optimistic sales forecasts, fail to secure adequate profits, and cause profit volatility through cost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Yasukata</w:t>
      </w:r>
      <w:proofErr w:type="spellEnd"/>
      <w:r>
        <w:rPr>
          <w:rFonts w:ascii="Times New Roman" w:eastAsia="Times New Roman" w:hAnsi="Times New Roman" w:cs="Times New Roman"/>
          <w:sz w:val="24"/>
          <w:szCs w:val="24"/>
        </w:rPr>
        <w:t>, 2012). High</w:t>
      </w:r>
      <w:r w:rsidR="00CB43F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cost stickiness increases the degree of information asymmetry between the firm and its investors, complicating accurate valuation. Consequently, investors may demand higher returns to compensate for this uncertainty, thus raising the cost of equity capital.</w:t>
      </w:r>
    </w:p>
    <w:p w14:paraId="53FA3018" w14:textId="77777777"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study contributes by addressing a gap in the literature. While previous research has explored the existence, determinants, and profitability implications of cost stickiness, few studies have examined its relevance from the investors’ perspective. Earlier analyses focused on the effect of cost stickiness on gross or operating profit, whereas more recent work has examined SG&amp;A cost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and congestion costs. However, from the standpoint of corporate value—especially regarding the cost of capital for investments that generate future cash flows—the impact of cost stickiness on shareholder value remains unclear.</w:t>
      </w:r>
    </w:p>
    <w:p w14:paraId="4013D8BE" w14:textId="77777777"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study sheds light on how cost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—reflected in the responsiveness of costs to sales fluctuations—affects the cost of equity capital, defined as the expected return required by investors. It demonstrates how such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influences investor perceptions, thereby offering practical insights for managerial cost control and enhancing the relevance of management accounting information.</w:t>
      </w:r>
    </w:p>
    <w:p w14:paraId="546ECA90"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structure of this paper is as follows:</w:t>
      </w:r>
    </w:p>
    <w:p w14:paraId="395DD27A" w14:textId="77777777" w:rsidR="007373F6" w:rsidRDefault="00000000" w:rsidP="00CB43F7">
      <w:pPr>
        <w:widowControl w:val="0"/>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Section 2 reviews prior research on cost stickiness and the cost of equity capital.</w:t>
      </w:r>
    </w:p>
    <w:p w14:paraId="5F6055D4" w14:textId="77777777" w:rsidR="007373F6" w:rsidRDefault="00000000" w:rsidP="00CB43F7">
      <w:pPr>
        <w:widowControl w:val="0"/>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Section 3 constructs the research hypotheses.</w:t>
      </w:r>
    </w:p>
    <w:p w14:paraId="0DC9991C" w14:textId="77777777" w:rsidR="007373F6" w:rsidRDefault="00000000" w:rsidP="00CB43F7">
      <w:pPr>
        <w:widowControl w:val="0"/>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Section 4 explains the research methodology.</w:t>
      </w:r>
    </w:p>
    <w:p w14:paraId="0A037AA7" w14:textId="77777777" w:rsidR="007373F6" w:rsidRDefault="00000000" w:rsidP="00CB43F7">
      <w:pPr>
        <w:widowControl w:val="0"/>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Section 5 presents and interprets the empirical results.</w:t>
      </w:r>
    </w:p>
    <w:p w14:paraId="428503FA" w14:textId="77777777" w:rsidR="007373F6" w:rsidRDefault="00000000" w:rsidP="00CB43F7">
      <w:pPr>
        <w:widowControl w:val="0"/>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Section 6 discusses the implications.</w:t>
      </w:r>
    </w:p>
    <w:p w14:paraId="03F66737" w14:textId="77777777" w:rsidR="007373F6" w:rsidRDefault="007373F6">
      <w:pPr>
        <w:widowControl w:val="0"/>
        <w:spacing w:after="0" w:line="240" w:lineRule="auto"/>
        <w:jc w:val="both"/>
        <w:rPr>
          <w:rFonts w:ascii="Times New Roman" w:eastAsia="Times New Roman" w:hAnsi="Times New Roman" w:cs="Times New Roman"/>
          <w:sz w:val="24"/>
          <w:szCs w:val="24"/>
        </w:rPr>
      </w:pPr>
    </w:p>
    <w:p w14:paraId="1EE250D8" w14:textId="77777777" w:rsidR="007373F6" w:rsidRDefault="00000000">
      <w:pPr>
        <w:jc w:val="center"/>
        <w:rPr>
          <w:rFonts w:ascii="Times New Roman" w:eastAsia="Times New Roman" w:hAnsi="Times New Roman" w:cs="Times New Roman"/>
          <w:b/>
          <w:sz w:val="24"/>
          <w:szCs w:val="24"/>
        </w:rPr>
      </w:pPr>
      <w:bookmarkStart w:id="68" w:name="_heading=h.ndd9briopl5l" w:colFirst="0" w:colLast="0"/>
      <w:bookmarkEnd w:id="68"/>
      <w:r>
        <w:rPr>
          <w:rFonts w:ascii="Times New Roman" w:eastAsia="Times New Roman" w:hAnsi="Times New Roman" w:cs="Times New Roman"/>
          <w:b/>
          <w:sz w:val="24"/>
          <w:szCs w:val="24"/>
        </w:rPr>
        <w:t>2. LITERATURE REVIEW</w:t>
      </w:r>
    </w:p>
    <w:p w14:paraId="6B443A38" w14:textId="6B416085" w:rsidR="007373F6" w:rsidRDefault="00CB43F7">
      <w:pPr>
        <w:spacing w:before="240" w:after="12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2.1 Research on Cost Stickiness</w:t>
      </w:r>
    </w:p>
    <w:p w14:paraId="337A68AF" w14:textId="77777777"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bookmarkStart w:id="69" w:name="_heading=h.vez48bds2pc0" w:colFirst="0" w:colLast="0"/>
      <w:bookmarkEnd w:id="69"/>
      <w:r>
        <w:rPr>
          <w:rFonts w:ascii="Times New Roman" w:eastAsia="Times New Roman" w:hAnsi="Times New Roman" w:cs="Times New Roman"/>
          <w:sz w:val="24"/>
          <w:szCs w:val="24"/>
        </w:rPr>
        <w:t xml:space="preserve">Prior research on cost stickiness has clarified its existence as a phenomenon, identified its determinants, and examined its impact on </w:t>
      </w:r>
      <w:proofErr w:type="spellStart"/>
      <w:r>
        <w:rPr>
          <w:rFonts w:ascii="Times New Roman" w:eastAsia="Times New Roman" w:hAnsi="Times New Roman" w:cs="Times New Roman"/>
          <w:sz w:val="24"/>
          <w:szCs w:val="24"/>
        </w:rPr>
        <w:t>profitability.Anderson</w:t>
      </w:r>
      <w:proofErr w:type="spellEnd"/>
      <w:r>
        <w:rPr>
          <w:rFonts w:ascii="Times New Roman" w:eastAsia="Times New Roman" w:hAnsi="Times New Roman" w:cs="Times New Roman"/>
          <w:sz w:val="24"/>
          <w:szCs w:val="24"/>
        </w:rPr>
        <w:t xml:space="preserve"> et al. (2003), using data from U.S. firms, found that the rate at which costs—specifically SG&amp;A expenses—decrease when activity levels (i.e., sales) decline is smaller in absolute terms than the rate at which they increase when activity levels rise. This asymmetry in cost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is defined as cost stickiness. Regarding its underlying mechanism, they suggested that optimistic managers may perceive a sales decline as temporary and, if they estimate that the adjustment costs of unused resources (e.g., selling and repurchasing equipment or firing and rehiring employees) exceed the cost of retaining them, they may rationally choose to retain such resources temporarily.</w:t>
      </w:r>
    </w:p>
    <w:p w14:paraId="7A0EE29A" w14:textId="77777777"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Weiss (2010) expanded on this by identifying “anti-stickiness,” where the rate of cost decrease when sales decline is greater than the rate of increase when sales rise. Shohei Nagasawa (2020) empirically confirmed that cost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in Japanese local public enterprises differs from that in for-profit firms. Specifically, non-merged enterprises exhibited anti-stickiness, while merged ones displayed cost stickiness.</w:t>
      </w:r>
    </w:p>
    <w:p w14:paraId="281836C4" w14:textId="77777777"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Kenji Yasukata (2012) argued that cost stickiness negatively impacts profitability. He explained that overly optimistic sales forecasts—where actual sales fall short of projections—can lead to cost stickiness through the continued maintenance of unused resources. These resources may persist across multiple fiscal years, gradually reducing both gross and operating </w:t>
      </w:r>
      <w:r>
        <w:rPr>
          <w:rFonts w:ascii="Times New Roman" w:eastAsia="Times New Roman" w:hAnsi="Times New Roman" w:cs="Times New Roman"/>
          <w:sz w:val="24"/>
          <w:szCs w:val="24"/>
        </w:rPr>
        <w:lastRenderedPageBreak/>
        <w:t>profits. Furthermore, the more optimistic the sales forecast, the more pronounced the profit reduction over time. Thus, even when cost stickiness stems from rational managerial decisions, it may still result in lower profits contrary to managerial expectations.</w:t>
      </w:r>
    </w:p>
    <w:p w14:paraId="43F9CAC1" w14:textId="77777777"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However, existing research on cost stickiness has yet to fully explore its impact on investors, particularly shareholders.</w:t>
      </w:r>
    </w:p>
    <w:p w14:paraId="60E427E0" w14:textId="2EB5B04A" w:rsidR="007373F6" w:rsidRDefault="00CB43F7" w:rsidP="00BB1AB4">
      <w:pPr>
        <w:spacing w:before="240"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2.2 Research on the Cost of Equity Capital</w:t>
      </w:r>
    </w:p>
    <w:p w14:paraId="2BDAAD71" w14:textId="77777777"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Studies on the cost of equity capital have shown that it is influenced by factors such as the quality of accounting information and disclosure practices.</w:t>
      </w:r>
    </w:p>
    <w:p w14:paraId="7F3CA58F" w14:textId="77777777"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Francis et al. (2004) investigated the relationship between the cost of equity capital and seven earnings attributes: accrual quality, persistence, predictability, smoothness, value relevance, timeliness, and conservatism. The first four attributes are based on accounting data alone and are categorized as accounting-based, while the latter three, derived from market-accounting interactions, are market-based. According to theoretical models positing a positive correlation between information risk and the cost of equity, firms with lower earnings attribute scores had higher costs of equity capital. Their results demonstrated that accounting quality has a significant impact on the cost of equity, even after controlling for factors such as firm size, volatility in cash flow and sales, losses, intangible asset intensity, and capital intensity.</w:t>
      </w:r>
    </w:p>
    <w:p w14:paraId="54A85329" w14:textId="77777777"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Ken Hasebe (2022) examined how the disclosure of “materiality”—non-financial information specific to a company—through integrated reports affects the cost of equity capital. He found that firms disclosing such information tend to have lower equity capital costs than those that do not.</w:t>
      </w:r>
    </w:p>
    <w:p w14:paraId="588B419B" w14:textId="77777777"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Nonetheless, the existing literature has not examined the impact of cost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on the cost of equity capital.</w:t>
      </w:r>
    </w:p>
    <w:p w14:paraId="7160BEDB" w14:textId="77777777" w:rsidR="007373F6" w:rsidRDefault="00000000" w:rsidP="00856618">
      <w:pPr>
        <w:numPr>
          <w:ilvl w:val="0"/>
          <w:numId w:val="22"/>
        </w:numPr>
        <w:spacing w:before="240" w:after="12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HYPOTHESES DEVELOPMENT</w:t>
      </w:r>
    </w:p>
    <w:p w14:paraId="2786D8D0" w14:textId="6FB86D79" w:rsidR="007373F6" w:rsidRDefault="00CB43F7" w:rsidP="00BB1AB4">
      <w:pPr>
        <w:spacing w:before="240"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3.1 Hypothesis on the Impact of Cost Stickiness on the Cost of Equity Capital</w:t>
      </w:r>
    </w:p>
    <w:p w14:paraId="7B3863C6" w14:textId="77777777"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study develops a hypothesis on how cost stickiness influences the cost of equity capital, based on its underlying drivers.</w:t>
      </w:r>
    </w:p>
    <w:p w14:paraId="3D589652" w14:textId="77777777"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From the standpoint of agency problems—a key determinant of cost stickiness—cost stickiness can be viewed as a reflection of corporate governance. Corporate governance, in turn, influences banks’ lending decisions. Banks may perceive firms with high cost stickiness as exhibiting stronger agency problems and therefore assign them higher credit risk premiums. Furthermore, high cost stickiness may signal that managers, driven by agency concerns, make cost-related decisions that deviate from shareholders’ interests, using their discretion for personal gain (e.g., empire building or opportunism). In response, shareholders may adopt stricter monitoring mechanisms to limit such discretionary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These mechanisms involve additional costs, prompting shareholders to require higher expected returns, thereby increasing the firm’s cost of equity capital.</w:t>
      </w:r>
    </w:p>
    <w:p w14:paraId="0A8B9724" w14:textId="77777777"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From the perspective of rational decision-making, firms with high cost stickiness are more likely to engage in long-term contracts due to considerations such as contractual costs or </w:t>
      </w:r>
      <w:proofErr w:type="spellStart"/>
      <w:r>
        <w:rPr>
          <w:rFonts w:ascii="Times New Roman" w:eastAsia="Times New Roman" w:hAnsi="Times New Roman" w:cs="Times New Roman"/>
          <w:sz w:val="24"/>
          <w:szCs w:val="24"/>
        </w:rPr>
        <w:t>favorable</w:t>
      </w:r>
      <w:proofErr w:type="spellEnd"/>
      <w:r>
        <w:rPr>
          <w:rFonts w:ascii="Times New Roman" w:eastAsia="Times New Roman" w:hAnsi="Times New Roman" w:cs="Times New Roman"/>
          <w:sz w:val="24"/>
          <w:szCs w:val="24"/>
        </w:rPr>
        <w:t xml:space="preserve"> terms. These contracts may lead to resource slack and reduce the firm’s ability to adapt to market fluctuations (e.g., changes in raw material or product prices). When business volume contracts, high adjustment costs hinder efficient resource reallocation. As firms retain idle resources, managerial flexibility diminishes, thereby increasing business risk. Furthermore, cost stickiness may obscure forecasts based on historical sales data, heightening decision-making risk. As a result, investors may interpret high cost stickiness as a signal of greater managerial risk and demand higher returns, thus increasing the firm’s cost of equity capital.</w:t>
      </w:r>
    </w:p>
    <w:p w14:paraId="28320144" w14:textId="77777777"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According to </w:t>
      </w:r>
      <w:proofErr w:type="spellStart"/>
      <w:r>
        <w:rPr>
          <w:rFonts w:ascii="Times New Roman" w:eastAsia="Times New Roman" w:hAnsi="Times New Roman" w:cs="Times New Roman"/>
          <w:sz w:val="24"/>
          <w:szCs w:val="24"/>
        </w:rPr>
        <w:t>signaling</w:t>
      </w:r>
      <w:proofErr w:type="spellEnd"/>
      <w:r>
        <w:rPr>
          <w:rFonts w:ascii="Times New Roman" w:eastAsia="Times New Roman" w:hAnsi="Times New Roman" w:cs="Times New Roman"/>
          <w:sz w:val="24"/>
          <w:szCs w:val="24"/>
        </w:rPr>
        <w:t xml:space="preserve"> theory, if disclosed accounting profits are sufficiently informative, </w:t>
      </w:r>
      <w:r>
        <w:rPr>
          <w:rFonts w:ascii="Times New Roman" w:eastAsia="Times New Roman" w:hAnsi="Times New Roman" w:cs="Times New Roman"/>
          <w:sz w:val="24"/>
          <w:szCs w:val="24"/>
        </w:rPr>
        <w:lastRenderedPageBreak/>
        <w:t>investors can anticipate future economic performance and make rational investment decisions, thereby influencing stock prices. However, historical financial reports often provide limited insights into future earnings, exacerbating information asymmetry between firms and investors. Firms with high cost stickiness tend to exhibit lower earnings forecast accuracy and weaker disclosure quality compared to their low-stickiness counterparts. Based on theories linking disclosure quality to the cost of equity, investors facing greater information uncertainty demand higher expected returns, thereby increasing the firm’s cost of equity capital.</w:t>
      </w:r>
    </w:p>
    <w:p w14:paraId="21676898" w14:textId="77777777"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Based on these considerations, the following hypothesis is proposed:</w:t>
      </w:r>
    </w:p>
    <w:p w14:paraId="17244F5C" w14:textId="6BA6D248"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sidRPr="00CB43F7">
        <w:rPr>
          <w:rFonts w:ascii="Times New Roman" w:eastAsia="Times New Roman" w:hAnsi="Times New Roman" w:cs="Times New Roman"/>
          <w:b/>
          <w:bCs/>
          <w:sz w:val="24"/>
          <w:szCs w:val="24"/>
        </w:rPr>
        <w:t>H</w:t>
      </w:r>
      <w:r w:rsidRPr="00CB43F7">
        <w:rPr>
          <w:rFonts w:ascii="Times New Roman" w:eastAsia="Times New Roman" w:hAnsi="Times New Roman" w:cs="Times New Roman"/>
          <w:b/>
          <w:bCs/>
          <w:sz w:val="24"/>
          <w:szCs w:val="24"/>
          <w:vertAlign w:val="subscript"/>
        </w:rPr>
        <w:t>1</w:t>
      </w:r>
      <w:r>
        <w:rPr>
          <w:rFonts w:ascii="Times New Roman" w:eastAsia="Times New Roman" w:hAnsi="Times New Roman" w:cs="Times New Roman"/>
          <w:sz w:val="24"/>
          <w:szCs w:val="24"/>
        </w:rPr>
        <w:t>: Cost stickiness has a positive effect on the cost of equity capital.</w:t>
      </w:r>
    </w:p>
    <w:p w14:paraId="6705427A" w14:textId="54EB92E1" w:rsidR="007373F6" w:rsidRDefault="00CB43F7">
      <w:pPr>
        <w:spacing w:before="240" w:after="12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3.2 Hypothesis on the Impact of Cost Stickiness on Corporate Performance</w:t>
      </w:r>
    </w:p>
    <w:p w14:paraId="4FD43C27" w14:textId="77777777"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Firms pursuing long-term business sustainability often engage in various long-term contracts with stakeholders. As a result, when sales decline, they are unable to promptly reduce costs due to these contractual obligations. In addition, due to economic inefficiencies and asymmetric interests, costs tend to decrease only slightly even in the face of reduced sales volumes. Prior studies have concluded that cost stickiness negatively impacts profitability.</w:t>
      </w:r>
    </w:p>
    <w:p w14:paraId="1C148B59" w14:textId="77777777"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However, Weiss (2010) employed a specific approach to measure cost stickiness as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COST</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SALE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EARNINGS</m:t>
                </m:r>
              </m:e>
              <m:sub>
                <m:r>
                  <w:rPr>
                    <w:rFonts w:ascii="Cambria Math" w:eastAsia="Cambria Math" w:hAnsi="Cambria Math" w:cs="Cambria Math"/>
                    <w:sz w:val="24"/>
                    <w:szCs w:val="24"/>
                  </w:rPr>
                  <m:t>i,t</m:t>
                </m:r>
              </m:sub>
            </m:sSub>
          </m:e>
        </m:d>
      </m:oMath>
      <w:r>
        <w:rPr>
          <w:rFonts w:ascii="Times New Roman" w:eastAsia="Times New Roman" w:hAnsi="Times New Roman" w:cs="Times New Roman"/>
          <w:sz w:val="24"/>
          <w:szCs w:val="24"/>
        </w:rPr>
        <w:t>, while Yasukata (2012) used cost of sales and SG&amp;A expenses as proxies for cost. Yasukata, Arai, and Fukushima (2017) focused specifically on SG&amp;A expenses. In contrast, this study distinguishes between stickiness in operating expenses and SG&amp;A expenses to examine their respective impacts on corporate performance. Moreover, while prior studies have commonly used gross profit or operating income as performance indicators, this study evaluates the effects of different types of cost stickiness on managerial accounting metrics such as ROE and EBITDA.</w:t>
      </w:r>
    </w:p>
    <w:p w14:paraId="5B328D61" w14:textId="77777777"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Accordingly, the following hypotheses are proposed:</w:t>
      </w:r>
    </w:p>
    <w:p w14:paraId="3D6696FC" w14:textId="30E7754F"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sidRPr="00CB43F7">
        <w:rPr>
          <w:rFonts w:ascii="Times New Roman" w:eastAsia="Times New Roman" w:hAnsi="Times New Roman" w:cs="Times New Roman"/>
          <w:b/>
          <w:bCs/>
          <w:sz w:val="24"/>
          <w:szCs w:val="24"/>
        </w:rPr>
        <w:t>H</w:t>
      </w:r>
      <w:r w:rsidRPr="00CB43F7">
        <w:rPr>
          <w:rFonts w:ascii="Times New Roman" w:eastAsia="Times New Roman" w:hAnsi="Times New Roman" w:cs="Times New Roman"/>
          <w:b/>
          <w:bCs/>
          <w:sz w:val="24"/>
          <w:szCs w:val="24"/>
          <w:vertAlign w:val="subscript"/>
        </w:rPr>
        <w:t>2-1</w:t>
      </w:r>
      <w:r>
        <w:rPr>
          <w:rFonts w:ascii="Times New Roman" w:eastAsia="Times New Roman" w:hAnsi="Times New Roman" w:cs="Times New Roman"/>
          <w:sz w:val="24"/>
          <w:szCs w:val="24"/>
        </w:rPr>
        <w:t>: Stickiness in operating expenses has a negative effect on corporate performance.</w:t>
      </w:r>
    </w:p>
    <w:p w14:paraId="23BB05BC" w14:textId="3A8C1DFC"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sidRPr="00CB43F7">
        <w:rPr>
          <w:rFonts w:ascii="Times New Roman" w:eastAsia="Times New Roman" w:hAnsi="Times New Roman" w:cs="Times New Roman"/>
          <w:b/>
          <w:bCs/>
          <w:sz w:val="24"/>
          <w:szCs w:val="24"/>
        </w:rPr>
        <w:t>H</w:t>
      </w:r>
      <w:r w:rsidRPr="00CB43F7">
        <w:rPr>
          <w:rFonts w:ascii="Times New Roman" w:eastAsia="Times New Roman" w:hAnsi="Times New Roman" w:cs="Times New Roman"/>
          <w:b/>
          <w:bCs/>
          <w:sz w:val="24"/>
          <w:szCs w:val="24"/>
          <w:vertAlign w:val="subscript"/>
        </w:rPr>
        <w:t>2-2</w:t>
      </w:r>
      <w:r>
        <w:rPr>
          <w:rFonts w:ascii="Times New Roman" w:eastAsia="Times New Roman" w:hAnsi="Times New Roman" w:cs="Times New Roman"/>
          <w:sz w:val="24"/>
          <w:szCs w:val="24"/>
        </w:rPr>
        <w:t>: Stickiness in SG&amp;A expenses has a negative effect on corporate performance.</w:t>
      </w:r>
    </w:p>
    <w:p w14:paraId="58D7BC03" w14:textId="77777777" w:rsidR="007373F6" w:rsidRDefault="00000000" w:rsidP="00856618">
      <w:pPr>
        <w:numPr>
          <w:ilvl w:val="0"/>
          <w:numId w:val="22"/>
        </w:numPr>
        <w:spacing w:before="240" w:after="120" w:line="240" w:lineRule="auto"/>
        <w:jc w:val="center"/>
        <w:rPr>
          <w:rFonts w:ascii="Times New Roman" w:eastAsia="Times New Roman" w:hAnsi="Times New Roman" w:cs="Times New Roman"/>
          <w:b/>
          <w:sz w:val="24"/>
          <w:szCs w:val="24"/>
        </w:rPr>
      </w:pPr>
      <w:bookmarkStart w:id="70" w:name="_heading=h.3o19k6mril2x" w:colFirst="0" w:colLast="0"/>
      <w:bookmarkEnd w:id="70"/>
      <w:r>
        <w:rPr>
          <w:rFonts w:ascii="Times New Roman" w:eastAsia="Times New Roman" w:hAnsi="Times New Roman" w:cs="Times New Roman"/>
          <w:b/>
          <w:sz w:val="24"/>
          <w:szCs w:val="24"/>
        </w:rPr>
        <w:t>METHODS</w:t>
      </w:r>
    </w:p>
    <w:p w14:paraId="67549A33" w14:textId="78FBB30D" w:rsidR="007373F6" w:rsidRDefault="00CB43F7" w:rsidP="00BB1AB4">
      <w:pPr>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4.1 Variables Used in the Analysis</w:t>
      </w:r>
    </w:p>
    <w:p w14:paraId="33AC91EF" w14:textId="410C62AD" w:rsidR="007373F6" w:rsidRPr="00CB43F7" w:rsidRDefault="00CB43F7" w:rsidP="00BB1AB4">
      <w:pPr>
        <w:spacing w:after="0"/>
        <w:jc w:val="both"/>
        <w:rPr>
          <w:rFonts w:ascii="Times New Roman" w:eastAsia="Times New Roman" w:hAnsi="Times New Roman" w:cs="Times New Roman"/>
          <w:b/>
          <w:iCs/>
          <w:sz w:val="24"/>
          <w:szCs w:val="24"/>
        </w:rPr>
      </w:pPr>
      <w:r w:rsidRPr="00CB43F7">
        <w:rPr>
          <w:rFonts w:ascii="Times New Roman" w:eastAsia="Times New Roman" w:hAnsi="Times New Roman" w:cs="Times New Roman"/>
          <w:b/>
          <w:iCs/>
          <w:sz w:val="24"/>
          <w:szCs w:val="24"/>
        </w:rPr>
        <w:t>4.1.1 Estimating the Cost of Equity Capital</w:t>
      </w:r>
    </w:p>
    <w:p w14:paraId="7E675DE1" w14:textId="77777777"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cost of equity capital represents the expected rate of return required by investors. It is typically calculated by adding a risk premium to the risk-free rate. Commonly used models include the Capital Asset Pricing Model (CAPM) and the Fama and French (1993) three-factor model. However, Fama and French (1997) argued that estimating the cost of equity capital based on realized returns is inherently imprecise.</w:t>
      </w:r>
    </w:p>
    <w:p w14:paraId="5E897BB2" w14:textId="77777777"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Therefore, this study adopts a forward-looking approach that does not rely on realized returns. Instead, it estimates the implied cost of equity capital by reverse-engineering from an abnormal earnings growth (AEG) model.</w:t>
      </w:r>
    </w:p>
    <w:p w14:paraId="0F38C243" w14:textId="77777777" w:rsidR="008F1088" w:rsidRDefault="008F1088" w:rsidP="00CB43F7">
      <w:pPr>
        <w:widowControl w:val="0"/>
        <w:spacing w:after="0" w:line="240" w:lineRule="auto"/>
        <w:ind w:firstLine="426"/>
        <w:jc w:val="both"/>
        <w:rPr>
          <w:rFonts w:ascii="Times New Roman" w:eastAsia="Times New Roman" w:hAnsi="Times New Roman" w:cs="Times New Roman"/>
          <w:sz w:val="24"/>
          <w:szCs w:val="24"/>
        </w:rPr>
      </w:pPr>
    </w:p>
    <w:p w14:paraId="5B5B3859" w14:textId="5E6BE1C3" w:rsidR="007373F6" w:rsidRPr="008F1088" w:rsidRDefault="008F1088" w:rsidP="00CB43F7">
      <w:pPr>
        <w:widowControl w:val="0"/>
        <w:spacing w:after="0" w:line="240" w:lineRule="auto"/>
        <w:ind w:firstLine="426"/>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4.1.1.1 </w:t>
      </w:r>
      <w:r w:rsidRPr="008F1088">
        <w:rPr>
          <w:rFonts w:ascii="Times New Roman" w:eastAsia="Times New Roman" w:hAnsi="Times New Roman" w:cs="Times New Roman"/>
          <w:b/>
          <w:bCs/>
          <w:sz w:val="24"/>
          <w:szCs w:val="24"/>
        </w:rPr>
        <w:t>OJ Model</w:t>
      </w:r>
    </w:p>
    <w:p w14:paraId="558DA29F" w14:textId="77777777" w:rsidR="007373F6" w:rsidRDefault="00000000" w:rsidP="00CB43F7">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Ohlson and Juettner-Nauroth (2005) proposed the following abnormal earnings growth (AEG) model to estimate the implied cost of equity capital:</w:t>
      </w:r>
    </w:p>
    <w:p w14:paraId="35A48401" w14:textId="77777777" w:rsidR="007373F6" w:rsidRDefault="00000000">
      <w:pPr>
        <w:widowControl w:val="0"/>
        <w:spacing w:after="0" w:line="240" w:lineRule="auto"/>
        <w:jc w:val="both"/>
        <w:rPr>
          <w:rFonts w:ascii="Times New Roman" w:eastAsia="Times New Roman" w:hAnsi="Times New Roman" w:cs="Times New Roman"/>
          <w:sz w:val="24"/>
          <w:szCs w:val="24"/>
        </w:rPr>
      </w:pP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e</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OJ</m:t>
            </m:r>
          </m:e>
          <m:sub>
            <m:r>
              <w:rPr>
                <w:rFonts w:ascii="Cambria Math" w:eastAsia="Cambria Math" w:hAnsi="Cambria Math" w:cs="Cambria Math"/>
                <w:sz w:val="24"/>
                <w:szCs w:val="24"/>
              </w:rPr>
              <m:t>i,t</m:t>
            </m:r>
          </m:sub>
        </m:sSub>
        <m:r>
          <w:rPr>
            <w:rFonts w:ascii="Cambria Math" w:eastAsia="Cambria Math" w:hAnsi="Cambria Math" w:cs="Cambria Math"/>
            <w:sz w:val="24"/>
            <w:szCs w:val="24"/>
          </w:rPr>
          <m:t>=A+</m:t>
        </m:r>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EPS</m:t>
                    </m:r>
                  </m:e>
                  <m:sub>
                    <m:r>
                      <w:rPr>
                        <w:rFonts w:ascii="Cambria Math" w:eastAsia="Cambria Math" w:hAnsi="Cambria Math" w:cs="Cambria Math"/>
                        <w:sz w:val="24"/>
                        <w:szCs w:val="24"/>
                      </w:rPr>
                      <m:t>i,t+1</m:t>
                    </m:r>
                  </m:sub>
                </m:sSub>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m:t>
                    </m:r>
                  </m:e>
                  <m:sub>
                    <m:r>
                      <w:rPr>
                        <w:rFonts w:ascii="Cambria Math" w:eastAsia="Cambria Math" w:hAnsi="Cambria Math" w:cs="Cambria Math"/>
                        <w:sz w:val="24"/>
                        <w:szCs w:val="24"/>
                      </w:rPr>
                      <m:t>i,t</m:t>
                    </m:r>
                  </m:sub>
                </m:sSub>
              </m:den>
            </m:f>
            <m:r>
              <w:rPr>
                <w:rFonts w:ascii="Cambria Math" w:eastAsia="Cambria Math" w:hAnsi="Cambria Math" w:cs="Cambria Math"/>
                <w:sz w:val="24"/>
                <w:szCs w:val="24"/>
              </w:rPr>
              <m:t>*</m:t>
            </m:r>
            <m:d>
              <m:dPr>
                <m:begChr m:val="["/>
                <m:endChr m:val="]"/>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EPS</m:t>
                        </m:r>
                      </m:e>
                      <m:sub>
                        <m:r>
                          <w:rPr>
                            <w:rFonts w:ascii="Cambria Math" w:eastAsia="Cambria Math" w:hAnsi="Cambria Math" w:cs="Cambria Math"/>
                            <w:sz w:val="24"/>
                            <w:szCs w:val="24"/>
                          </w:rPr>
                          <m:t>i,t+2</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EPS</m:t>
                        </m:r>
                      </m:e>
                      <m:sub>
                        <m:r>
                          <w:rPr>
                            <w:rFonts w:ascii="Cambria Math" w:eastAsia="Cambria Math" w:hAnsi="Cambria Math" w:cs="Cambria Math"/>
                            <w:sz w:val="24"/>
                            <w:szCs w:val="24"/>
                          </w:rPr>
                          <m:t>i,t+1</m:t>
                        </m:r>
                      </m:sub>
                    </m:sSub>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EPS</m:t>
                        </m:r>
                      </m:e>
                      <m:sub>
                        <m:r>
                          <w:rPr>
                            <w:rFonts w:ascii="Cambria Math" w:eastAsia="Cambria Math" w:hAnsi="Cambria Math" w:cs="Cambria Math"/>
                            <w:sz w:val="24"/>
                            <w:szCs w:val="24"/>
                          </w:rPr>
                          <m:t>i,t+1</m:t>
                        </m:r>
                      </m:sub>
                    </m:sSub>
                  </m:den>
                </m:f>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r>
                      <w:rPr>
                        <w:rFonts w:ascii="Cambria Math" w:eastAsia="Cambria Math" w:hAnsi="Cambria Math" w:cs="Cambria Math"/>
                        <w:sz w:val="24"/>
                        <w:szCs w:val="24"/>
                      </w:rPr>
                      <m:t>γ-1</m:t>
                    </m:r>
                  </m:e>
                </m:d>
              </m:e>
            </m:d>
          </m:e>
        </m:rad>
      </m:oMath>
      <w:r>
        <w:rPr>
          <w:rFonts w:ascii="Times New Roman" w:eastAsia="Times New Roman" w:hAnsi="Times New Roman" w:cs="Times New Roman"/>
          <w:sz w:val="24"/>
          <w:szCs w:val="24"/>
        </w:rPr>
        <w:t>,</w:t>
      </w:r>
    </w:p>
    <w:p w14:paraId="638F4278" w14:textId="77777777" w:rsidR="008F1088" w:rsidRDefault="008F1088">
      <w:pPr>
        <w:widowControl w:val="0"/>
        <w:spacing w:after="0" w:line="240" w:lineRule="auto"/>
        <w:ind w:firstLine="240"/>
        <w:jc w:val="both"/>
        <w:rPr>
          <w:rFonts w:ascii="Times New Roman" w:eastAsia="Times New Roman" w:hAnsi="Times New Roman" w:cs="Times New Roman"/>
          <w:sz w:val="24"/>
          <w:szCs w:val="24"/>
        </w:rPr>
      </w:pPr>
    </w:p>
    <w:p w14:paraId="39BB7D9D" w14:textId="77777777" w:rsidR="008F1088" w:rsidRDefault="008F1088">
      <w:pPr>
        <w:widowControl w:val="0"/>
        <w:spacing w:after="0" w:line="240" w:lineRule="auto"/>
        <w:ind w:firstLine="240"/>
        <w:jc w:val="both"/>
        <w:rPr>
          <w:rFonts w:ascii="Times New Roman" w:eastAsia="Times New Roman" w:hAnsi="Times New Roman" w:cs="Times New Roman"/>
          <w:sz w:val="24"/>
          <w:szCs w:val="24"/>
        </w:rPr>
      </w:pPr>
    </w:p>
    <w:p w14:paraId="0368F6D4" w14:textId="09F5E76A"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Where:</w:t>
      </w:r>
    </w:p>
    <w:p w14:paraId="6CD1DC09"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m:oMath>
        <m:r>
          <w:rPr>
            <w:rFonts w:ascii="Cambria Math" w:eastAsia="Cambria Math" w:hAnsi="Cambria Math" w:cs="Cambria Math"/>
            <w:sz w:val="24"/>
            <w:szCs w:val="24"/>
          </w:rPr>
          <w:lastRenderedPageBreak/>
          <m:t>A≡</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γ-1+</m:t>
            </m:r>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DPS</m:t>
                    </m:r>
                  </m:e>
                  <m:sub>
                    <m:r>
                      <w:rPr>
                        <w:rFonts w:ascii="Cambria Math" w:eastAsia="Cambria Math" w:hAnsi="Cambria Math" w:cs="Cambria Math"/>
                        <w:sz w:val="24"/>
                        <w:szCs w:val="24"/>
                      </w:rPr>
                      <m:t>i,t+1</m:t>
                    </m:r>
                  </m:sub>
                </m:sSub>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m:t>
                    </m:r>
                  </m:e>
                  <m:sub>
                    <m:r>
                      <w:rPr>
                        <w:rFonts w:ascii="Cambria Math" w:eastAsia="Cambria Math" w:hAnsi="Cambria Math" w:cs="Cambria Math"/>
                        <w:sz w:val="24"/>
                        <w:szCs w:val="24"/>
                      </w:rPr>
                      <m:t>i,t</m:t>
                    </m:r>
                  </m:sub>
                </m:sSub>
              </m:den>
            </m:f>
          </m:num>
          <m:den>
            <m:r>
              <w:rPr>
                <w:rFonts w:ascii="Cambria Math" w:eastAsia="Cambria Math" w:hAnsi="Cambria Math" w:cs="Cambria Math"/>
                <w:sz w:val="24"/>
                <w:szCs w:val="24"/>
              </w:rPr>
              <m:t>2</m:t>
            </m:r>
          </m:den>
        </m:f>
      </m:oMath>
      <w:r>
        <w:rPr>
          <w:rFonts w:ascii="Times New Roman" w:eastAsia="Times New Roman" w:hAnsi="Times New Roman" w:cs="Times New Roman"/>
          <w:sz w:val="24"/>
          <w:szCs w:val="24"/>
        </w:rPr>
        <w:t>,</w:t>
      </w:r>
    </w:p>
    <w:p w14:paraId="5DEA41A7" w14:textId="77777777" w:rsidR="008F1088" w:rsidRDefault="008F1088">
      <w:pPr>
        <w:widowControl w:val="0"/>
        <w:spacing w:after="0" w:line="240" w:lineRule="auto"/>
        <w:ind w:firstLine="240"/>
        <w:jc w:val="both"/>
        <w:rPr>
          <w:rFonts w:ascii="Times New Roman" w:eastAsia="Times New Roman" w:hAnsi="Times New Roman" w:cs="Times New Roman"/>
          <w:sz w:val="24"/>
          <w:szCs w:val="24"/>
        </w:rPr>
      </w:pPr>
    </w:p>
    <w:p w14:paraId="49F327E0" w14:textId="68CEBB09"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Gode &amp; Mohanram (2003) assume a constant growth rate</w:t>
      </w:r>
      <w:r>
        <w:rPr>
          <w:rFonts w:ascii="Times New Roman" w:eastAsia="Times New Roman" w:hAnsi="Times New Roman" w:cs="Times New Roman"/>
          <w:i/>
          <w:sz w:val="24"/>
          <w:szCs w:val="24"/>
        </w:rPr>
        <w:t xml:space="preserve"> </w:t>
      </w:r>
      <m:oMath>
        <m:r>
          <w:rPr>
            <w:rFonts w:ascii="Cambria Math" w:hAnsi="Cambria Math"/>
          </w:rPr>
          <m:t>γ</m:t>
        </m:r>
        <m:r>
          <w:rPr>
            <w:rFonts w:ascii="Cambria Math" w:eastAsia="Cambria Math" w:hAnsi="Cambria Math" w:cs="Cambria Math"/>
            <w:sz w:val="24"/>
            <w:szCs w:val="24"/>
          </w:rPr>
          <m:t>-1=</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f</m:t>
            </m:r>
          </m:sub>
        </m:sSub>
        <m:r>
          <w:rPr>
            <w:rFonts w:ascii="Cambria Math" w:eastAsia="Cambria Math" w:hAnsi="Cambria Math" w:cs="Cambria Math"/>
            <w:sz w:val="24"/>
            <w:szCs w:val="24"/>
          </w:rPr>
          <m:t>-3%</m:t>
        </m:r>
      </m:oMath>
      <w:r>
        <w:rPr>
          <w:rFonts w:ascii="Times New Roman" w:eastAsia="Times New Roman" w:hAnsi="Times New Roman" w:cs="Times New Roman"/>
          <w:sz w:val="24"/>
          <w:szCs w:val="24"/>
        </w:rPr>
        <w:t>, while Kitagawa &amp; Goto (2010) use adjusted parameters for Japanese data</w:t>
      </w:r>
      <w:r>
        <w:rPr>
          <w:rFonts w:ascii="Times New Roman" w:eastAsia="Times New Roman" w:hAnsi="Times New Roman" w:cs="Times New Roman"/>
          <w:i/>
          <w:sz w:val="24"/>
          <w:szCs w:val="24"/>
        </w:rPr>
        <w:t xml:space="preserve"> </w:t>
      </w:r>
      <m:oMath>
        <m:r>
          <w:rPr>
            <w:rFonts w:ascii="Cambria Math" w:hAnsi="Cambria Math"/>
          </w:rPr>
          <m:t>γ</m:t>
        </m:r>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EPS</m:t>
                </m:r>
              </m:e>
              <m:sub>
                <m:r>
                  <w:rPr>
                    <w:rFonts w:ascii="Cambria Math" w:eastAsia="Cambria Math" w:hAnsi="Cambria Math" w:cs="Cambria Math"/>
                    <w:sz w:val="24"/>
                    <w:szCs w:val="24"/>
                  </w:rPr>
                  <m:t>i,t+1</m:t>
                </m:r>
              </m:sub>
            </m:sSub>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EPS</m:t>
                </m:r>
              </m:e>
              <m:sub>
                <m:r>
                  <w:rPr>
                    <w:rFonts w:ascii="Cambria Math" w:eastAsia="Cambria Math" w:hAnsi="Cambria Math" w:cs="Cambria Math"/>
                    <w:sz w:val="24"/>
                    <w:szCs w:val="24"/>
                  </w:rPr>
                  <m:t>i,t</m:t>
                </m:r>
              </m:sub>
            </m:sSub>
          </m:den>
        </m:f>
        <m:r>
          <w:rPr>
            <w:rFonts w:ascii="Cambria Math" w:hAnsi="Cambria Math"/>
          </w:rPr>
          <m:t xml:space="preserve"> </m:t>
        </m:r>
        <m:r>
          <w:rPr>
            <w:rFonts w:ascii="Cambria Math" w:eastAsia="Cambria Math" w:hAnsi="Cambria Math" w:cs="Cambria Math"/>
            <w:sz w:val="24"/>
            <w:szCs w:val="24"/>
          </w:rPr>
          <m:t>=1.03</m:t>
        </m:r>
      </m:oMath>
      <w:r>
        <w:rPr>
          <w:rFonts w:ascii="Times New Roman" w:eastAsia="Times New Roman" w:hAnsi="Times New Roman" w:cs="Times New Roman"/>
          <w:sz w:val="24"/>
          <w:szCs w:val="24"/>
        </w:rPr>
        <w:t>.</w:t>
      </w:r>
    </w:p>
    <w:p w14:paraId="468824D4" w14:textId="77777777" w:rsidR="008F1088" w:rsidRDefault="008F1088">
      <w:pPr>
        <w:widowControl w:val="0"/>
        <w:spacing w:after="0" w:line="240" w:lineRule="auto"/>
        <w:ind w:firstLine="240"/>
        <w:jc w:val="both"/>
        <w:rPr>
          <w:rFonts w:ascii="Times New Roman" w:eastAsia="Times New Roman" w:hAnsi="Times New Roman" w:cs="Times New Roman"/>
          <w:sz w:val="24"/>
          <w:szCs w:val="24"/>
        </w:rPr>
      </w:pPr>
    </w:p>
    <w:tbl>
      <w:tblPr>
        <w:tblStyle w:val="affa"/>
        <w:tblpPr w:leftFromText="142" w:rightFromText="142" w:vertAnchor="text"/>
        <w:tblW w:w="9050" w:type="dxa"/>
        <w:tblBorders>
          <w:top w:val="nil"/>
          <w:left w:val="nil"/>
          <w:bottom w:val="nil"/>
          <w:right w:val="nil"/>
          <w:insideH w:val="nil"/>
          <w:insideV w:val="nil"/>
        </w:tblBorders>
        <w:tblLayout w:type="fixed"/>
        <w:tblLook w:val="0400" w:firstRow="0" w:lastRow="0" w:firstColumn="0" w:lastColumn="0" w:noHBand="0" w:noVBand="1"/>
      </w:tblPr>
      <w:tblGrid>
        <w:gridCol w:w="1611"/>
        <w:gridCol w:w="7439"/>
      </w:tblGrid>
      <w:tr w:rsidR="007373F6" w:rsidRPr="008F1088" w14:paraId="2E2F5EDF" w14:textId="77777777">
        <w:tc>
          <w:tcPr>
            <w:tcW w:w="1611" w:type="dxa"/>
          </w:tcPr>
          <w:p w14:paraId="104D97B7" w14:textId="5EAE3D4B" w:rsidR="007373F6" w:rsidRPr="008F1088" w:rsidRDefault="00000000">
            <w:pPr>
              <w:jc w:val="both"/>
              <w:rPr>
                <w:rFonts w:asciiTheme="majorBidi" w:eastAsia="Cambria Math" w:hAnsiTheme="majorBidi" w:cstheme="majorBidi"/>
                <w:sz w:val="24"/>
                <w:szCs w:val="24"/>
              </w:rPr>
            </w:pPr>
            <m:oMathPara>
              <m:oMath>
                <m:sSub>
                  <m:sSubPr>
                    <m:ctrlPr>
                      <w:rPr>
                        <w:rFonts w:ascii="Cambria Math" w:eastAsia="Cambria Math" w:hAnsi="Cambria Math" w:cstheme="majorBidi"/>
                        <w:sz w:val="24"/>
                        <w:szCs w:val="24"/>
                      </w:rPr>
                    </m:ctrlPr>
                  </m:sSubPr>
                  <m:e>
                    <m:r>
                      <w:rPr>
                        <w:rFonts w:ascii="Cambria Math" w:eastAsia="Cambria Math" w:hAnsi="Cambria Math" w:cstheme="majorBidi"/>
                        <w:sz w:val="24"/>
                        <w:szCs w:val="24"/>
                      </w:rPr>
                      <m:t>r</m:t>
                    </m:r>
                  </m:e>
                  <m:sub>
                    <m:r>
                      <w:rPr>
                        <w:rFonts w:ascii="Cambria Math" w:eastAsia="Cambria Math" w:hAnsi="Cambria Math" w:cstheme="majorBidi"/>
                        <w:sz w:val="24"/>
                        <w:szCs w:val="24"/>
                      </w:rPr>
                      <m:t>e</m:t>
                    </m:r>
                  </m:sub>
                </m:sSub>
              </m:oMath>
            </m:oMathPara>
          </w:p>
        </w:tc>
        <w:tc>
          <w:tcPr>
            <w:tcW w:w="7439" w:type="dxa"/>
          </w:tcPr>
          <w:p w14:paraId="0BC20B12" w14:textId="77777777" w:rsidR="007373F6" w:rsidRPr="008F1088" w:rsidRDefault="00000000">
            <w:pPr>
              <w:widowControl w:val="0"/>
              <w:jc w:val="both"/>
              <w:rPr>
                <w:rFonts w:asciiTheme="majorBidi" w:eastAsia="Times New Roman" w:hAnsiTheme="majorBidi" w:cstheme="majorBidi"/>
                <w:sz w:val="24"/>
                <w:szCs w:val="24"/>
              </w:rPr>
            </w:pPr>
            <w:sdt>
              <w:sdtPr>
                <w:rPr>
                  <w:rFonts w:asciiTheme="majorBidi" w:hAnsiTheme="majorBidi" w:cstheme="majorBidi"/>
                </w:rPr>
                <w:tag w:val="goog_rdk_234"/>
                <w:id w:val="208767029"/>
              </w:sdtPr>
              <w:sdtContent>
                <w:r w:rsidRPr="008F1088">
                  <w:rPr>
                    <w:rFonts w:asciiTheme="majorBidi" w:eastAsia="Gungsuh" w:hAnsiTheme="majorBidi" w:cstheme="majorBidi"/>
                    <w:sz w:val="24"/>
                    <w:szCs w:val="24"/>
                  </w:rPr>
                  <w:t>：</w:t>
                </w:r>
                <w:r w:rsidRPr="008F1088">
                  <w:rPr>
                    <w:rFonts w:asciiTheme="majorBidi" w:eastAsia="Gungsuh" w:hAnsiTheme="majorBidi" w:cstheme="majorBidi"/>
                    <w:sz w:val="24"/>
                    <w:szCs w:val="24"/>
                  </w:rPr>
                  <w:t>Cost of equity capital</w:t>
                </w:r>
              </w:sdtContent>
            </w:sdt>
          </w:p>
        </w:tc>
      </w:tr>
      <w:tr w:rsidR="007373F6" w:rsidRPr="008F1088" w14:paraId="27DFA40E" w14:textId="77777777">
        <w:tc>
          <w:tcPr>
            <w:tcW w:w="1611" w:type="dxa"/>
          </w:tcPr>
          <w:p w14:paraId="6A5766BA" w14:textId="77777777" w:rsidR="007373F6" w:rsidRPr="008F1088" w:rsidRDefault="00000000">
            <w:pPr>
              <w:jc w:val="both"/>
              <w:rPr>
                <w:rFonts w:asciiTheme="majorBidi" w:eastAsia="Cambria Math" w:hAnsiTheme="majorBidi" w:cstheme="majorBidi"/>
                <w:sz w:val="24"/>
                <w:szCs w:val="24"/>
              </w:rPr>
            </w:pPr>
            <m:oMathPara>
              <m:oMath>
                <m:sSub>
                  <m:sSubPr>
                    <m:ctrlPr>
                      <w:rPr>
                        <w:rFonts w:ascii="Cambria Math" w:eastAsia="Cambria Math" w:hAnsi="Cambria Math" w:cstheme="majorBidi"/>
                        <w:sz w:val="24"/>
                        <w:szCs w:val="24"/>
                      </w:rPr>
                    </m:ctrlPr>
                  </m:sSubPr>
                  <m:e>
                    <m:r>
                      <w:rPr>
                        <w:rFonts w:ascii="Cambria Math" w:eastAsia="Cambria Math" w:hAnsi="Cambria Math" w:cstheme="majorBidi"/>
                        <w:sz w:val="24"/>
                        <w:szCs w:val="24"/>
                      </w:rPr>
                      <m:t>EPS</m:t>
                    </m:r>
                  </m:e>
                  <m:sub>
                    <m:r>
                      <w:rPr>
                        <w:rFonts w:ascii="Cambria Math" w:eastAsia="Cambria Math" w:hAnsi="Cambria Math" w:cstheme="majorBidi"/>
                        <w:sz w:val="24"/>
                        <w:szCs w:val="24"/>
                      </w:rPr>
                      <m:t>i,t+2(t+1)</m:t>
                    </m:r>
                  </m:sub>
                </m:sSub>
              </m:oMath>
            </m:oMathPara>
          </w:p>
        </w:tc>
        <w:tc>
          <w:tcPr>
            <w:tcW w:w="7439" w:type="dxa"/>
          </w:tcPr>
          <w:p w14:paraId="360CE5FB" w14:textId="77777777" w:rsidR="007373F6" w:rsidRPr="008F1088" w:rsidRDefault="00000000" w:rsidP="008F1088">
            <w:pPr>
              <w:widowControl w:val="0"/>
              <w:jc w:val="both"/>
              <w:rPr>
                <w:rFonts w:asciiTheme="majorBidi" w:eastAsia="Times New Roman" w:hAnsiTheme="majorBidi" w:cstheme="majorBidi"/>
                <w:sz w:val="24"/>
                <w:szCs w:val="24"/>
              </w:rPr>
            </w:pPr>
            <w:sdt>
              <w:sdtPr>
                <w:rPr>
                  <w:rFonts w:asciiTheme="majorBidi" w:hAnsiTheme="majorBidi" w:cstheme="majorBidi"/>
                </w:rPr>
                <w:tag w:val="goog_rdk_235"/>
                <w:id w:val="-278059811"/>
              </w:sdtPr>
              <w:sdtContent>
                <w:r w:rsidRPr="008F1088">
                  <w:rPr>
                    <w:rFonts w:asciiTheme="majorBidi" w:eastAsia="Gungsuh" w:hAnsiTheme="majorBidi" w:cstheme="majorBidi"/>
                    <w:sz w:val="24"/>
                    <w:szCs w:val="24"/>
                  </w:rPr>
                  <w:t>：</w:t>
                </w:r>
                <w:r w:rsidRPr="008F1088">
                  <w:rPr>
                    <w:rFonts w:asciiTheme="majorBidi" w:eastAsia="Gungsuh" w:hAnsiTheme="majorBidi" w:cstheme="majorBidi"/>
                    <w:sz w:val="24"/>
                    <w:szCs w:val="24"/>
                  </w:rPr>
                  <w:t>Forecasted earnings per share for the next period (Earnings Per Share: EPS)</w:t>
                </w:r>
              </w:sdtContent>
            </w:sdt>
          </w:p>
        </w:tc>
      </w:tr>
      <w:tr w:rsidR="007373F6" w:rsidRPr="008F1088" w14:paraId="6EF598F8" w14:textId="77777777">
        <w:tc>
          <w:tcPr>
            <w:tcW w:w="1611" w:type="dxa"/>
          </w:tcPr>
          <w:p w14:paraId="49A566B5" w14:textId="77777777" w:rsidR="007373F6" w:rsidRPr="008F1088" w:rsidRDefault="00000000">
            <w:pPr>
              <w:jc w:val="both"/>
              <w:rPr>
                <w:rFonts w:asciiTheme="majorBidi" w:eastAsia="Cambria Math" w:hAnsiTheme="majorBidi" w:cstheme="majorBidi"/>
                <w:sz w:val="24"/>
                <w:szCs w:val="24"/>
              </w:rPr>
            </w:pPr>
            <m:oMathPara>
              <m:oMath>
                <m:sSub>
                  <m:sSubPr>
                    <m:ctrlPr>
                      <w:rPr>
                        <w:rFonts w:ascii="Cambria Math" w:eastAsia="Cambria Math" w:hAnsi="Cambria Math" w:cstheme="majorBidi"/>
                        <w:sz w:val="24"/>
                        <w:szCs w:val="24"/>
                      </w:rPr>
                    </m:ctrlPr>
                  </m:sSubPr>
                  <m:e>
                    <m:r>
                      <w:rPr>
                        <w:rFonts w:ascii="Cambria Math" w:eastAsia="Cambria Math" w:hAnsi="Cambria Math" w:cstheme="majorBidi"/>
                        <w:sz w:val="24"/>
                        <w:szCs w:val="24"/>
                      </w:rPr>
                      <m:t>P</m:t>
                    </m:r>
                  </m:e>
                  <m:sub>
                    <m:r>
                      <w:rPr>
                        <w:rFonts w:ascii="Cambria Math" w:eastAsia="Cambria Math" w:hAnsi="Cambria Math" w:cstheme="majorBidi"/>
                        <w:sz w:val="24"/>
                        <w:szCs w:val="24"/>
                      </w:rPr>
                      <m:t>i,t</m:t>
                    </m:r>
                  </m:sub>
                </m:sSub>
              </m:oMath>
            </m:oMathPara>
          </w:p>
        </w:tc>
        <w:tc>
          <w:tcPr>
            <w:tcW w:w="7439" w:type="dxa"/>
          </w:tcPr>
          <w:p w14:paraId="6961FB61" w14:textId="77777777" w:rsidR="007373F6" w:rsidRPr="008F1088" w:rsidRDefault="00000000">
            <w:pPr>
              <w:widowControl w:val="0"/>
              <w:jc w:val="both"/>
              <w:rPr>
                <w:rFonts w:asciiTheme="majorBidi" w:eastAsia="Times New Roman" w:hAnsiTheme="majorBidi" w:cstheme="majorBidi"/>
                <w:sz w:val="24"/>
                <w:szCs w:val="24"/>
              </w:rPr>
            </w:pPr>
            <w:sdt>
              <w:sdtPr>
                <w:rPr>
                  <w:rFonts w:asciiTheme="majorBidi" w:hAnsiTheme="majorBidi" w:cstheme="majorBidi"/>
                </w:rPr>
                <w:tag w:val="goog_rdk_236"/>
                <w:id w:val="-1284789749"/>
              </w:sdtPr>
              <w:sdtContent>
                <w:r w:rsidRPr="008F1088">
                  <w:rPr>
                    <w:rFonts w:asciiTheme="majorBidi" w:eastAsia="Gungsuh" w:hAnsiTheme="majorBidi" w:cstheme="majorBidi"/>
                    <w:sz w:val="24"/>
                    <w:szCs w:val="24"/>
                  </w:rPr>
                  <w:t>：</w:t>
                </w:r>
                <w:r w:rsidRPr="008F1088">
                  <w:rPr>
                    <w:rFonts w:asciiTheme="majorBidi" w:eastAsia="Gungsuh" w:hAnsiTheme="majorBidi" w:cstheme="majorBidi"/>
                    <w:sz w:val="24"/>
                    <w:szCs w:val="24"/>
                  </w:rPr>
                  <w:t>Current stock price (end-of-period closing price)</w:t>
                </w:r>
              </w:sdtContent>
            </w:sdt>
          </w:p>
        </w:tc>
      </w:tr>
      <w:tr w:rsidR="007373F6" w:rsidRPr="008F1088" w14:paraId="61074863" w14:textId="77777777">
        <w:tc>
          <w:tcPr>
            <w:tcW w:w="1611" w:type="dxa"/>
          </w:tcPr>
          <w:p w14:paraId="5EFA4F0A" w14:textId="77777777" w:rsidR="007373F6" w:rsidRPr="008F1088" w:rsidRDefault="00000000">
            <w:pPr>
              <w:jc w:val="both"/>
              <w:rPr>
                <w:rFonts w:asciiTheme="majorBidi" w:eastAsia="Cambria Math" w:hAnsiTheme="majorBidi" w:cstheme="majorBidi"/>
                <w:sz w:val="24"/>
                <w:szCs w:val="24"/>
              </w:rPr>
            </w:pPr>
            <m:oMathPara>
              <m:oMath>
                <m:sSub>
                  <m:sSubPr>
                    <m:ctrlPr>
                      <w:rPr>
                        <w:rFonts w:ascii="Cambria Math" w:eastAsia="Cambria Math" w:hAnsi="Cambria Math" w:cstheme="majorBidi"/>
                        <w:sz w:val="24"/>
                        <w:szCs w:val="24"/>
                      </w:rPr>
                    </m:ctrlPr>
                  </m:sSubPr>
                  <m:e>
                    <m:r>
                      <w:rPr>
                        <w:rFonts w:ascii="Cambria Math" w:eastAsia="Cambria Math" w:hAnsi="Cambria Math" w:cstheme="majorBidi"/>
                        <w:sz w:val="24"/>
                        <w:szCs w:val="24"/>
                      </w:rPr>
                      <m:t>DPS</m:t>
                    </m:r>
                  </m:e>
                  <m:sub>
                    <m:r>
                      <w:rPr>
                        <w:rFonts w:ascii="Cambria Math" w:eastAsia="Cambria Math" w:hAnsi="Cambria Math" w:cstheme="majorBidi"/>
                        <w:sz w:val="24"/>
                        <w:szCs w:val="24"/>
                      </w:rPr>
                      <m:t>i,t+1</m:t>
                    </m:r>
                  </m:sub>
                </m:sSub>
              </m:oMath>
            </m:oMathPara>
          </w:p>
        </w:tc>
        <w:tc>
          <w:tcPr>
            <w:tcW w:w="7439" w:type="dxa"/>
          </w:tcPr>
          <w:p w14:paraId="43B710AB" w14:textId="77777777" w:rsidR="007373F6" w:rsidRPr="008F1088" w:rsidRDefault="00000000">
            <w:pPr>
              <w:widowControl w:val="0"/>
              <w:jc w:val="both"/>
              <w:rPr>
                <w:rFonts w:asciiTheme="majorBidi" w:eastAsia="Times New Roman" w:hAnsiTheme="majorBidi" w:cstheme="majorBidi"/>
                <w:sz w:val="24"/>
                <w:szCs w:val="24"/>
              </w:rPr>
            </w:pPr>
            <w:sdt>
              <w:sdtPr>
                <w:rPr>
                  <w:rFonts w:asciiTheme="majorBidi" w:hAnsiTheme="majorBidi" w:cstheme="majorBidi"/>
                </w:rPr>
                <w:tag w:val="goog_rdk_237"/>
                <w:id w:val="-106024907"/>
              </w:sdtPr>
              <w:sdtContent>
                <w:r w:rsidRPr="008F1088">
                  <w:rPr>
                    <w:rFonts w:asciiTheme="majorBidi" w:eastAsia="Gungsuh" w:hAnsiTheme="majorBidi" w:cstheme="majorBidi"/>
                    <w:sz w:val="24"/>
                    <w:szCs w:val="24"/>
                  </w:rPr>
                  <w:t>：</w:t>
                </w:r>
                <w:r w:rsidRPr="008F1088">
                  <w:rPr>
                    <w:rFonts w:asciiTheme="majorBidi" w:eastAsia="Gungsuh" w:hAnsiTheme="majorBidi" w:cstheme="majorBidi"/>
                    <w:sz w:val="24"/>
                    <w:szCs w:val="24"/>
                  </w:rPr>
                  <w:t>Forecasted dividends per share for the next period (Dividend Per Share: DPS)</w:t>
                </w:r>
              </w:sdtContent>
            </w:sdt>
          </w:p>
        </w:tc>
      </w:tr>
      <w:tr w:rsidR="007373F6" w:rsidRPr="008F1088" w14:paraId="25994926" w14:textId="77777777">
        <w:tc>
          <w:tcPr>
            <w:tcW w:w="1611" w:type="dxa"/>
          </w:tcPr>
          <w:p w14:paraId="6F70D6C1" w14:textId="77777777" w:rsidR="007373F6" w:rsidRPr="008F1088" w:rsidRDefault="00000000">
            <w:pPr>
              <w:jc w:val="both"/>
              <w:rPr>
                <w:rFonts w:asciiTheme="majorBidi" w:eastAsia="Cambria Math" w:hAnsiTheme="majorBidi" w:cstheme="majorBidi"/>
                <w:sz w:val="24"/>
                <w:szCs w:val="24"/>
              </w:rPr>
            </w:pPr>
            <m:oMathPara>
              <m:oMath>
                <m:r>
                  <w:rPr>
                    <w:rFonts w:ascii="Cambria Math" w:hAnsi="Cambria Math" w:cstheme="majorBidi"/>
                  </w:rPr>
                  <m:t>γ</m:t>
                </m:r>
                <m:r>
                  <w:rPr>
                    <w:rFonts w:ascii="Cambria Math" w:eastAsia="Cambria Math" w:hAnsi="Cambria Math" w:cstheme="majorBidi"/>
                    <w:sz w:val="24"/>
                    <w:szCs w:val="24"/>
                  </w:rPr>
                  <m:t>-1</m:t>
                </m:r>
              </m:oMath>
            </m:oMathPara>
          </w:p>
        </w:tc>
        <w:tc>
          <w:tcPr>
            <w:tcW w:w="7439" w:type="dxa"/>
          </w:tcPr>
          <w:p w14:paraId="56EB8D51" w14:textId="2750B7F7" w:rsidR="007373F6" w:rsidRPr="008F1088" w:rsidRDefault="00000000">
            <w:pPr>
              <w:widowControl w:val="0"/>
              <w:jc w:val="both"/>
              <w:rPr>
                <w:rFonts w:asciiTheme="majorBidi" w:eastAsia="Times New Roman" w:hAnsiTheme="majorBidi" w:cstheme="majorBidi"/>
                <w:sz w:val="24"/>
                <w:szCs w:val="24"/>
              </w:rPr>
            </w:pPr>
            <w:sdt>
              <w:sdtPr>
                <w:rPr>
                  <w:rFonts w:asciiTheme="majorBidi" w:hAnsiTheme="majorBidi" w:cstheme="majorBidi"/>
                </w:rPr>
                <w:tag w:val="goog_rdk_238"/>
                <w:id w:val="-2058283396"/>
              </w:sdtPr>
              <w:sdtContent>
                <w:r w:rsidRPr="008F1088">
                  <w:rPr>
                    <w:rFonts w:asciiTheme="majorBidi" w:eastAsia="Gungsuh" w:hAnsiTheme="majorBidi" w:cstheme="majorBidi"/>
                    <w:sz w:val="24"/>
                    <w:szCs w:val="24"/>
                  </w:rPr>
                  <w:t>：</w:t>
                </w:r>
                <w:r w:rsidRPr="008F1088">
                  <w:rPr>
                    <w:rFonts w:asciiTheme="majorBidi" w:eastAsia="Gungsuh" w:hAnsiTheme="majorBidi" w:cstheme="majorBidi"/>
                    <w:sz w:val="24"/>
                    <w:szCs w:val="24"/>
                  </w:rPr>
                  <w:t>Long-term economic growth rate</w:t>
                </w:r>
              </w:sdtContent>
            </w:sdt>
          </w:p>
        </w:tc>
      </w:tr>
    </w:tbl>
    <w:p w14:paraId="583B59A5" w14:textId="77777777" w:rsidR="008F1088" w:rsidRDefault="008F1088">
      <w:pPr>
        <w:widowControl w:val="0"/>
        <w:spacing w:after="0" w:line="240" w:lineRule="auto"/>
        <w:ind w:left="357"/>
        <w:jc w:val="both"/>
        <w:rPr>
          <w:rFonts w:ascii="Times New Roman" w:eastAsia="Times New Roman" w:hAnsi="Times New Roman" w:cs="Times New Roman"/>
          <w:sz w:val="24"/>
          <w:szCs w:val="24"/>
        </w:rPr>
      </w:pPr>
    </w:p>
    <w:p w14:paraId="0497FFCA" w14:textId="56AB4D85" w:rsidR="007373F6" w:rsidRDefault="008F1088">
      <w:pPr>
        <w:widowControl w:val="0"/>
        <w:spacing w:after="0" w:line="240" w:lineRule="auto"/>
        <w:ind w:left="357"/>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4.1.1.2 </w:t>
      </w:r>
      <w:r w:rsidRPr="008F1088">
        <w:rPr>
          <w:rFonts w:ascii="Times New Roman" w:eastAsia="Times New Roman" w:hAnsi="Times New Roman" w:cs="Times New Roman"/>
          <w:b/>
          <w:bCs/>
          <w:sz w:val="24"/>
          <w:szCs w:val="24"/>
        </w:rPr>
        <w:t>MPEG Model</w:t>
      </w:r>
    </w:p>
    <w:p w14:paraId="563C98B6" w14:textId="7BAFE49E" w:rsidR="007373F6" w:rsidRDefault="00000000" w:rsidP="008F1088">
      <w:pPr>
        <w:widowControl w:val="0"/>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Easton (2004) assumes </w:t>
      </w:r>
      <m:oMath>
        <m:r>
          <w:rPr>
            <w:rFonts w:ascii="Cambria Math" w:hAnsi="Cambria Math"/>
          </w:rPr>
          <m:t>γ</m:t>
        </m:r>
        <m:r>
          <w:rPr>
            <w:rFonts w:ascii="Cambria Math" w:eastAsia="Cambria Math" w:hAnsi="Cambria Math" w:cs="Cambria Math"/>
            <w:sz w:val="24"/>
            <w:szCs w:val="24"/>
          </w:rPr>
          <m:t>-1=0</m:t>
        </m:r>
      </m:oMath>
      <w:r>
        <w:rPr>
          <w:rFonts w:ascii="Times New Roman" w:eastAsia="Times New Roman" w:hAnsi="Times New Roman" w:cs="Times New Roman"/>
          <w:sz w:val="24"/>
          <w:szCs w:val="24"/>
        </w:rPr>
        <w:t>, and simplifies the OJ model as:</w:t>
      </w:r>
    </w:p>
    <w:p w14:paraId="023AA581" w14:textId="77777777" w:rsidR="008F1088" w:rsidRDefault="008F1088" w:rsidP="008F1088">
      <w:pPr>
        <w:widowControl w:val="0"/>
        <w:spacing w:after="0" w:line="240" w:lineRule="auto"/>
        <w:ind w:left="210" w:firstLine="240"/>
        <w:jc w:val="both"/>
        <w:rPr>
          <w:rFonts w:ascii="Times New Roman" w:eastAsia="Times New Roman" w:hAnsi="Times New Roman" w:cs="Times New Roman"/>
          <w:sz w:val="24"/>
          <w:szCs w:val="24"/>
        </w:rPr>
      </w:pPr>
    </w:p>
    <w:p w14:paraId="6DBB5E06" w14:textId="77777777" w:rsidR="007373F6" w:rsidRDefault="00000000">
      <w:pPr>
        <w:widowControl w:val="0"/>
        <w:spacing w:after="0" w:line="240" w:lineRule="auto"/>
        <w:jc w:val="both"/>
        <w:rPr>
          <w:rFonts w:ascii="Times New Roman" w:eastAsia="Times New Roman" w:hAnsi="Times New Roman" w:cs="Times New Roman"/>
          <w:sz w:val="24"/>
          <w:szCs w:val="24"/>
        </w:rPr>
      </w:pP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e</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MPEG</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rad>
          <m:radPr>
            <m:degHide m:val="1"/>
            <m:ctrlPr>
              <w:rPr>
                <w:rFonts w:ascii="Cambria Math" w:eastAsia="Cambria Math" w:hAnsi="Cambria Math" w:cs="Cambria Math"/>
                <w:sz w:val="24"/>
                <w:szCs w:val="24"/>
              </w:rPr>
            </m:ctrlPr>
          </m:radPr>
          <m:deg/>
          <m:e>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EPS</m:t>
                    </m:r>
                  </m:e>
                  <m:sub>
                    <m:r>
                      <w:rPr>
                        <w:rFonts w:ascii="Cambria Math" w:eastAsia="Cambria Math" w:hAnsi="Cambria Math" w:cs="Cambria Math"/>
                        <w:sz w:val="24"/>
                        <w:szCs w:val="24"/>
                      </w:rPr>
                      <m:t>i,t+2</m:t>
                    </m:r>
                  </m:sub>
                </m:sSub>
                <m:r>
                  <w:rPr>
                    <w:rFonts w:ascii="Cambria Math" w:eastAsia="Cambria Math" w:hAnsi="Cambria Math" w:cs="Cambria Math"/>
                    <w:sz w:val="24"/>
                    <w:szCs w:val="24"/>
                  </w:rPr>
                  <m:t>+x*</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DPS</m:t>
                    </m:r>
                  </m:e>
                  <m:sub>
                    <m:r>
                      <w:rPr>
                        <w:rFonts w:ascii="Cambria Math" w:eastAsia="Cambria Math" w:hAnsi="Cambria Math" w:cs="Cambria Math"/>
                        <w:sz w:val="24"/>
                        <w:szCs w:val="24"/>
                      </w:rPr>
                      <m:t>i,t+1</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EPS</m:t>
                    </m:r>
                  </m:e>
                  <m:sub>
                    <m:r>
                      <w:rPr>
                        <w:rFonts w:ascii="Cambria Math" w:eastAsia="Cambria Math" w:hAnsi="Cambria Math" w:cs="Cambria Math"/>
                        <w:sz w:val="24"/>
                        <w:szCs w:val="24"/>
                      </w:rPr>
                      <m:t>i,t+1</m:t>
                    </m:r>
                  </m:sub>
                </m:sSub>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m:t>
                    </m:r>
                  </m:e>
                  <m:sub>
                    <m:r>
                      <w:rPr>
                        <w:rFonts w:ascii="Cambria Math" w:eastAsia="Cambria Math" w:hAnsi="Cambria Math" w:cs="Cambria Math"/>
                        <w:sz w:val="24"/>
                        <w:szCs w:val="24"/>
                      </w:rPr>
                      <m:t>i,t</m:t>
                    </m:r>
                  </m:sub>
                </m:sSub>
              </m:den>
            </m:f>
          </m:e>
        </m:rad>
      </m:oMath>
      <w:r>
        <w:rPr>
          <w:rFonts w:ascii="Times New Roman" w:eastAsia="Times New Roman" w:hAnsi="Times New Roman" w:cs="Times New Roman"/>
          <w:sz w:val="24"/>
          <w:szCs w:val="24"/>
        </w:rPr>
        <w:t>,</w:t>
      </w:r>
    </w:p>
    <w:p w14:paraId="39ECFBF1" w14:textId="77777777" w:rsidR="008F1088" w:rsidRDefault="008F1088">
      <w:pPr>
        <w:widowControl w:val="0"/>
        <w:spacing w:after="0" w:line="240" w:lineRule="auto"/>
        <w:ind w:firstLine="240"/>
        <w:jc w:val="both"/>
        <w:rPr>
          <w:rFonts w:ascii="Times New Roman" w:eastAsia="Times New Roman" w:hAnsi="Times New Roman" w:cs="Times New Roman"/>
          <w:sz w:val="24"/>
          <w:szCs w:val="24"/>
        </w:rPr>
      </w:pPr>
    </w:p>
    <w:p w14:paraId="4812F933" w14:textId="38915169"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Where:</w:t>
      </w:r>
    </w:p>
    <w:p w14:paraId="74490F02" w14:textId="77777777" w:rsidR="008F1088" w:rsidRDefault="008F1088">
      <w:pPr>
        <w:widowControl w:val="0"/>
        <w:spacing w:after="0" w:line="240" w:lineRule="auto"/>
        <w:ind w:firstLine="240"/>
        <w:jc w:val="both"/>
        <w:rPr>
          <w:rFonts w:ascii="Times New Roman" w:eastAsia="Times New Roman" w:hAnsi="Times New Roman" w:cs="Times New Roman"/>
          <w:sz w:val="24"/>
          <w:szCs w:val="24"/>
        </w:rPr>
      </w:pPr>
    </w:p>
    <w:p w14:paraId="1AEEFE75"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m:oMath>
        <m:r>
          <w:rPr>
            <w:rFonts w:ascii="Cambria Math" w:eastAsia="Cambria Math" w:hAnsi="Cambria Math" w:cs="Cambria Math"/>
            <w:sz w:val="24"/>
            <w:szCs w:val="24"/>
          </w:rPr>
          <m:t>x=</m:t>
        </m:r>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EPS</m:t>
                </m:r>
              </m:e>
              <m:sub>
                <m:r>
                  <w:rPr>
                    <w:rFonts w:ascii="Cambria Math" w:eastAsia="Cambria Math" w:hAnsi="Cambria Math" w:cs="Cambria Math"/>
                    <w:sz w:val="24"/>
                    <w:szCs w:val="24"/>
                  </w:rPr>
                  <m:t>i,t+1</m:t>
                </m:r>
              </m:sub>
            </m:sSub>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m:t>
                </m:r>
              </m:e>
              <m:sub>
                <m:r>
                  <w:rPr>
                    <w:rFonts w:ascii="Cambria Math" w:eastAsia="Cambria Math" w:hAnsi="Cambria Math" w:cs="Cambria Math"/>
                    <w:sz w:val="24"/>
                    <w:szCs w:val="24"/>
                  </w:rPr>
                  <m:t>i,t</m:t>
                </m:r>
              </m:sub>
            </m:sSub>
          </m:den>
        </m:f>
      </m:oMath>
      <w:r>
        <w:rPr>
          <w:rFonts w:ascii="Times New Roman" w:eastAsia="Times New Roman" w:hAnsi="Times New Roman" w:cs="Times New Roman"/>
          <w:sz w:val="24"/>
          <w:szCs w:val="24"/>
        </w:rPr>
        <w:t>,</w:t>
      </w:r>
    </w:p>
    <w:p w14:paraId="55780DE5" w14:textId="77777777" w:rsidR="008F1088" w:rsidRDefault="008F1088">
      <w:pPr>
        <w:widowControl w:val="0"/>
        <w:spacing w:after="0" w:line="240" w:lineRule="auto"/>
        <w:ind w:left="357"/>
        <w:jc w:val="both"/>
        <w:rPr>
          <w:rFonts w:ascii="Times New Roman" w:eastAsia="Times New Roman" w:hAnsi="Times New Roman" w:cs="Times New Roman"/>
          <w:sz w:val="24"/>
          <w:szCs w:val="24"/>
        </w:rPr>
      </w:pPr>
    </w:p>
    <w:p w14:paraId="5DA49BAE" w14:textId="31D1B777" w:rsidR="007373F6" w:rsidRDefault="00000000" w:rsidP="008F1088">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PEG Model (Price/Earnings-to-Growth ratio: PEG ratio)</w:t>
      </w:r>
    </w:p>
    <w:p w14:paraId="66F6DFE8" w14:textId="77777777" w:rsidR="008F1088" w:rsidRDefault="008F1088">
      <w:pPr>
        <w:widowControl w:val="0"/>
        <w:spacing w:after="0" w:line="240" w:lineRule="auto"/>
        <w:ind w:left="210" w:firstLine="240"/>
        <w:jc w:val="both"/>
        <w:rPr>
          <w:rFonts w:ascii="Times New Roman" w:eastAsia="Times New Roman" w:hAnsi="Times New Roman" w:cs="Times New Roman"/>
          <w:sz w:val="24"/>
          <w:szCs w:val="24"/>
          <w:highlight w:val="white"/>
        </w:rPr>
      </w:pPr>
    </w:p>
    <w:p w14:paraId="0EF53F80" w14:textId="27AE5B72" w:rsidR="007373F6" w:rsidRDefault="00000000" w:rsidP="008F1088">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Easton. (2004) assumes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DPS</m:t>
            </m:r>
          </m:e>
          <m:sub>
            <m:r>
              <w:rPr>
                <w:rFonts w:ascii="Cambria Math" w:eastAsia="Cambria Math" w:hAnsi="Cambria Math" w:cs="Cambria Math"/>
                <w:sz w:val="24"/>
                <w:szCs w:val="24"/>
              </w:rPr>
              <m:t>i,t+1</m:t>
            </m:r>
          </m:sub>
        </m:sSub>
        <m:r>
          <w:rPr>
            <w:rFonts w:ascii="Cambria Math" w:eastAsia="Cambria Math" w:hAnsi="Cambria Math" w:cs="Cambria Math"/>
            <w:sz w:val="24"/>
            <w:szCs w:val="24"/>
          </w:rPr>
          <m:t>=0</m:t>
        </m:r>
      </m:oMath>
      <w:r>
        <w:rPr>
          <w:rFonts w:ascii="Times New Roman" w:eastAsia="Times New Roman" w:hAnsi="Times New Roman" w:cs="Times New Roman"/>
          <w:sz w:val="24"/>
          <w:szCs w:val="24"/>
        </w:rPr>
        <w:t>, resulting in:</w:t>
      </w:r>
    </w:p>
    <w:p w14:paraId="7C876ECA" w14:textId="77777777" w:rsidR="008F1088" w:rsidRDefault="008F1088" w:rsidP="008F1088">
      <w:pPr>
        <w:widowControl w:val="0"/>
        <w:spacing w:after="0" w:line="240" w:lineRule="auto"/>
        <w:ind w:firstLine="240"/>
        <w:jc w:val="both"/>
        <w:rPr>
          <w:rFonts w:ascii="Times New Roman" w:eastAsia="Times New Roman" w:hAnsi="Times New Roman" w:cs="Times New Roman"/>
          <w:sz w:val="24"/>
          <w:szCs w:val="24"/>
        </w:rPr>
      </w:pPr>
    </w:p>
    <w:p w14:paraId="7191CA71" w14:textId="77777777" w:rsidR="007373F6" w:rsidRDefault="00000000">
      <w:pPr>
        <w:widowControl w:val="0"/>
        <w:spacing w:after="0" w:line="240" w:lineRule="auto"/>
        <w:jc w:val="both"/>
        <w:rPr>
          <w:rFonts w:ascii="Times New Roman" w:eastAsia="Times New Roman" w:hAnsi="Times New Roman" w:cs="Times New Roman"/>
          <w:sz w:val="24"/>
          <w:szCs w:val="24"/>
        </w:rPr>
      </w:pP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e</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PEG</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rad>
          <m:radPr>
            <m:degHide m:val="1"/>
            <m:ctrlPr>
              <w:rPr>
                <w:rFonts w:ascii="Cambria Math" w:eastAsia="Cambria Math" w:hAnsi="Cambria Math" w:cs="Cambria Math"/>
                <w:sz w:val="24"/>
                <w:szCs w:val="24"/>
              </w:rPr>
            </m:ctrlPr>
          </m:radPr>
          <m:deg/>
          <m:e>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EPS</m:t>
                    </m:r>
                  </m:e>
                  <m:sub>
                    <m:r>
                      <w:rPr>
                        <w:rFonts w:ascii="Cambria Math" w:eastAsia="Cambria Math" w:hAnsi="Cambria Math" w:cs="Cambria Math"/>
                        <w:sz w:val="24"/>
                        <w:szCs w:val="24"/>
                      </w:rPr>
                      <m:t>i,t+2</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EPS</m:t>
                    </m:r>
                  </m:e>
                  <m:sub>
                    <m:r>
                      <w:rPr>
                        <w:rFonts w:ascii="Cambria Math" w:eastAsia="Cambria Math" w:hAnsi="Cambria Math" w:cs="Cambria Math"/>
                        <w:sz w:val="24"/>
                        <w:szCs w:val="24"/>
                      </w:rPr>
                      <m:t>i,t+1</m:t>
                    </m:r>
                  </m:sub>
                </m:sSub>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m:t>
                    </m:r>
                  </m:e>
                  <m:sub>
                    <m:r>
                      <w:rPr>
                        <w:rFonts w:ascii="Cambria Math" w:eastAsia="Cambria Math" w:hAnsi="Cambria Math" w:cs="Cambria Math"/>
                        <w:sz w:val="24"/>
                        <w:szCs w:val="24"/>
                      </w:rPr>
                      <m:t>i,t</m:t>
                    </m:r>
                  </m:sub>
                </m:sSub>
              </m:den>
            </m:f>
          </m:e>
        </m:rad>
      </m:oMath>
      <w:r>
        <w:rPr>
          <w:rFonts w:ascii="Times New Roman" w:eastAsia="Times New Roman" w:hAnsi="Times New Roman" w:cs="Times New Roman"/>
          <w:sz w:val="24"/>
          <w:szCs w:val="24"/>
        </w:rPr>
        <w:t>,</w:t>
      </w:r>
    </w:p>
    <w:p w14:paraId="3C9BC4AF" w14:textId="77777777" w:rsidR="008F1088" w:rsidRDefault="008F1088">
      <w:pPr>
        <w:widowControl w:val="0"/>
        <w:spacing w:after="0" w:line="240" w:lineRule="auto"/>
        <w:ind w:left="357"/>
        <w:jc w:val="both"/>
        <w:rPr>
          <w:rFonts w:ascii="Times New Roman" w:eastAsia="Times New Roman" w:hAnsi="Times New Roman" w:cs="Times New Roman"/>
          <w:sz w:val="24"/>
          <w:szCs w:val="24"/>
        </w:rPr>
      </w:pPr>
    </w:p>
    <w:p w14:paraId="44629207" w14:textId="295D6159" w:rsidR="008F1088" w:rsidRPr="008F1088" w:rsidRDefault="008F1088" w:rsidP="008F1088">
      <w:pPr>
        <w:widowControl w:val="0"/>
        <w:spacing w:after="0" w:line="240" w:lineRule="auto"/>
        <w:ind w:left="357"/>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4.1.1.3 </w:t>
      </w:r>
      <w:r w:rsidRPr="008F1088">
        <w:rPr>
          <w:rFonts w:ascii="Times New Roman" w:eastAsia="Times New Roman" w:hAnsi="Times New Roman" w:cs="Times New Roman"/>
          <w:b/>
          <w:bCs/>
          <w:sz w:val="24"/>
          <w:szCs w:val="24"/>
        </w:rPr>
        <w:t>PE Model</w:t>
      </w:r>
    </w:p>
    <w:p w14:paraId="6A4EF941" w14:textId="14890271" w:rsidR="007373F6" w:rsidRDefault="00000000" w:rsidP="008F1088">
      <w:pPr>
        <w:widowControl w:val="0"/>
        <w:spacing w:after="0" w:line="24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Easton. (2004). assumes that the abnormal growth in earnings converges to zero:</w:t>
      </w:r>
    </w:p>
    <w:p w14:paraId="1F6E90A0" w14:textId="77777777" w:rsidR="008F1088" w:rsidRDefault="008F1088" w:rsidP="008F1088">
      <w:pPr>
        <w:widowControl w:val="0"/>
        <w:spacing w:after="0" w:line="240" w:lineRule="auto"/>
        <w:ind w:firstLine="357"/>
        <w:jc w:val="both"/>
        <w:rPr>
          <w:rFonts w:ascii="Times New Roman" w:eastAsia="Times New Roman" w:hAnsi="Times New Roman" w:cs="Times New Roman"/>
          <w:sz w:val="24"/>
          <w:szCs w:val="24"/>
        </w:rPr>
      </w:pPr>
    </w:p>
    <w:p w14:paraId="72BD2327" w14:textId="77777777" w:rsidR="007373F6" w:rsidRDefault="00000000">
      <w:pPr>
        <w:widowControl w:val="0"/>
        <w:spacing w:after="0" w:line="240" w:lineRule="auto"/>
        <w:jc w:val="both"/>
        <w:rPr>
          <w:rFonts w:ascii="Times New Roman" w:eastAsia="Times New Roman" w:hAnsi="Times New Roman" w:cs="Times New Roman"/>
          <w:sz w:val="24"/>
          <w:szCs w:val="24"/>
        </w:rPr>
      </w:pP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e</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EPS</m:t>
                </m:r>
              </m:e>
              <m:sub>
                <m:r>
                  <w:rPr>
                    <w:rFonts w:ascii="Cambria Math" w:eastAsia="Cambria Math" w:hAnsi="Cambria Math" w:cs="Cambria Math"/>
                    <w:sz w:val="24"/>
                    <w:szCs w:val="24"/>
                  </w:rPr>
                  <m:t>i,t+1</m:t>
                </m:r>
              </m:sub>
            </m:sSub>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m:t>
                </m:r>
              </m:e>
              <m:sub>
                <m:r>
                  <w:rPr>
                    <w:rFonts w:ascii="Cambria Math" w:eastAsia="Cambria Math" w:hAnsi="Cambria Math" w:cs="Cambria Math"/>
                    <w:sz w:val="24"/>
                    <w:szCs w:val="24"/>
                  </w:rPr>
                  <m:t>i,t</m:t>
                </m:r>
              </m:sub>
            </m:sSub>
          </m:den>
        </m:f>
      </m:oMath>
      <w:r>
        <w:rPr>
          <w:rFonts w:ascii="Times New Roman" w:eastAsia="Times New Roman" w:hAnsi="Times New Roman" w:cs="Times New Roman"/>
          <w:sz w:val="24"/>
          <w:szCs w:val="24"/>
        </w:rPr>
        <w:t>,</w:t>
      </w:r>
    </w:p>
    <w:p w14:paraId="5CFA9417" w14:textId="77777777" w:rsidR="007373F6" w:rsidRDefault="00000000">
      <w:pPr>
        <w:spacing w:before="240" w:after="120" w:line="240" w:lineRule="auto"/>
        <w:jc w:val="both"/>
        <w:rPr>
          <w:rFonts w:ascii="Times New Roman" w:eastAsia="Times New Roman" w:hAnsi="Times New Roman" w:cs="Times New Roman"/>
          <w:b/>
          <w:i/>
          <w:sz w:val="24"/>
          <w:szCs w:val="24"/>
        </w:rPr>
      </w:pPr>
      <w:bookmarkStart w:id="71" w:name="_heading=h.s4jxo7iksgk1" w:colFirst="0" w:colLast="0"/>
      <w:bookmarkEnd w:id="71"/>
      <w:r>
        <w:rPr>
          <w:rFonts w:ascii="Times New Roman" w:eastAsia="Times New Roman" w:hAnsi="Times New Roman" w:cs="Times New Roman"/>
          <w:b/>
          <w:i/>
          <w:sz w:val="24"/>
          <w:szCs w:val="24"/>
        </w:rPr>
        <w:t>Estimating Corporate Performance</w:t>
      </w:r>
    </w:p>
    <w:p w14:paraId="14101930" w14:textId="77777777" w:rsidR="007373F6" w:rsidRDefault="00000000" w:rsidP="00856618">
      <w:pPr>
        <w:widowControl w:val="0"/>
        <w:numPr>
          <w:ilvl w:val="0"/>
          <w:numId w:val="18"/>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ROE (Return on Equity)</w:t>
      </w:r>
    </w:p>
    <w:p w14:paraId="48A31051" w14:textId="7BE35891" w:rsidR="007373F6" w:rsidRPr="00BB1AB4" w:rsidRDefault="00000000">
      <w:pPr>
        <w:widowControl w:val="0"/>
        <w:spacing w:after="0" w:line="240" w:lineRule="auto"/>
        <w:jc w:val="both"/>
        <w:rPr>
          <w:rFonts w:asciiTheme="majorBidi" w:eastAsia="Times New Roman" w:hAnsiTheme="majorBidi" w:cstheme="majorBidi"/>
          <w:sz w:val="24"/>
          <w:szCs w:val="24"/>
        </w:rPr>
      </w:pPr>
      <w:r w:rsidRPr="00BB1AB4">
        <w:rPr>
          <w:rFonts w:asciiTheme="majorBidi" w:eastAsia="Gungsuh" w:hAnsiTheme="majorBidi" w:cstheme="majorBidi"/>
          <w:sz w:val="24"/>
          <w:szCs w:val="24"/>
        </w:rPr>
        <w:t xml:space="preserve">　</w:t>
      </w:r>
      <w:r w:rsidRPr="00BB1AB4">
        <w:rPr>
          <w:rFonts w:asciiTheme="majorBidi" w:eastAsia="Gungsuh" w:hAnsiTheme="majorBidi" w:cstheme="majorBidi"/>
          <w:sz w:val="24"/>
          <w:szCs w:val="24"/>
        </w:rPr>
        <w:t>ROE reflects a firm’s profitability, operational efficiency, and financial soundness (Ito, 2008). Since this study focuses on the cost of equity capital, ROE is adopted as a key proxy for corporate performance.</w:t>
      </w:r>
    </w:p>
    <w:p w14:paraId="32B5D103" w14:textId="77777777" w:rsidR="007373F6" w:rsidRPr="00BB1AB4" w:rsidRDefault="00000000">
      <w:pPr>
        <w:widowControl w:val="0"/>
        <w:spacing w:after="0" w:line="240" w:lineRule="auto"/>
        <w:ind w:left="357"/>
        <w:jc w:val="both"/>
        <w:rPr>
          <w:rFonts w:asciiTheme="majorBidi" w:eastAsia="Times New Roman" w:hAnsiTheme="majorBidi" w:cstheme="majorBidi"/>
          <w:sz w:val="24"/>
          <w:szCs w:val="24"/>
        </w:rPr>
      </w:pPr>
      <w:r w:rsidRPr="00BB1AB4">
        <w:rPr>
          <w:rFonts w:asciiTheme="majorBidi" w:eastAsia="Times New Roman" w:hAnsiTheme="majorBidi" w:cstheme="majorBidi"/>
          <w:sz w:val="24"/>
          <w:szCs w:val="24"/>
        </w:rPr>
        <w:t>EBITDA</w:t>
      </w:r>
    </w:p>
    <w:p w14:paraId="042034EA"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sidRPr="00BB1AB4">
        <w:rPr>
          <w:rFonts w:asciiTheme="majorBidi" w:eastAsia="Times New Roman" w:hAnsiTheme="majorBidi" w:cstheme="majorBidi"/>
          <w:sz w:val="24"/>
          <w:szCs w:val="24"/>
        </w:rPr>
        <w:t>EBITDA (Earnings Before Interest, Taxes, Depreciation, and Amortization) serves as a</w:t>
      </w:r>
      <w:r>
        <w:rPr>
          <w:rFonts w:ascii="Times New Roman" w:eastAsia="Times New Roman" w:hAnsi="Times New Roman" w:cs="Times New Roman"/>
          <w:sz w:val="24"/>
          <w:szCs w:val="24"/>
        </w:rPr>
        <w:t xml:space="preserve"> performance metric that excludes the effects of capital structure, taxation, and non-cash expenses. It is considered a relevant indicator of core profitability and is used as an additional proxy for corporate performance.</w:t>
      </w:r>
    </w:p>
    <w:p w14:paraId="629A99CC" w14:textId="77777777" w:rsidR="007373F6" w:rsidRDefault="00000000">
      <w:pPr>
        <w:widowControl w:val="0"/>
        <w:spacing w:after="0" w:line="240" w:lineRule="auto"/>
        <w:ind w:left="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Tobin Q</w:t>
      </w:r>
      <w:r>
        <w:rPr>
          <w:rFonts w:ascii="Times New Roman" w:eastAsia="Times New Roman" w:hAnsi="Times New Roman" w:cs="Times New Roman"/>
          <w:sz w:val="24"/>
          <w:szCs w:val="24"/>
          <w:vertAlign w:val="superscript"/>
        </w:rPr>
        <w:t>3</w:t>
      </w:r>
    </w:p>
    <w:p w14:paraId="600B0811"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Tobin’s Q, defined as the ratio of a firm’s market value to the replacement cost of its assets, is commonly used to evaluate firm performance and growth potential. Although simplified versions of Q—such as those using book values for debt—may yield quantitative differences, their qualitative interpretation remains largely valid (Ando, 2009). Therefore, Tobin’s Q is also employed as a proxy for corporate performance in this study.</w:t>
      </w:r>
    </w:p>
    <w:p w14:paraId="22414FAA" w14:textId="77777777" w:rsidR="007373F6" w:rsidRDefault="00000000">
      <w:pPr>
        <w:spacing w:before="240" w:after="12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Estimating Cost Stickiness</w:t>
      </w:r>
    </w:p>
    <w:p w14:paraId="3E99FE48"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Two main models are used in prior studies. The first is Anderson et al. (2003), which defines cost stickiness as:</w:t>
      </w:r>
    </w:p>
    <w:p w14:paraId="34BCDB9C" w14:textId="77777777" w:rsidR="007373F6" w:rsidRDefault="00000000">
      <w:pPr>
        <w:jc w:val="both"/>
      </w:pPr>
      <m:oMathPara>
        <m:oMath>
          <m:box>
            <m:boxPr>
              <m:opEmu m:val="1"/>
              <m:ctrlPr>
                <w:rPr>
                  <w:rFonts w:ascii="Cambria Math" w:hAnsi="Cambria Math"/>
                </w:rPr>
              </m:ctrlPr>
            </m:boxPr>
            <m:e>
              <m:r>
                <w:rPr>
                  <w:rFonts w:ascii="Cambria Math" w:hAnsi="Cambria Math"/>
                </w:rPr>
                <m:t>ln</m:t>
              </m:r>
            </m:e>
          </m:box>
          <m:r>
            <w:rPr>
              <w:rFonts w:ascii="Cambria Math" w:eastAsia="Cambria Math" w:hAnsi="Cambria Math" w:cs="Cambria Math"/>
              <w:sz w:val="24"/>
              <w:szCs w:val="24"/>
            </w:rPr>
            <m:t>ln</m:t>
          </m:r>
          <m:r>
            <w:rPr>
              <w:rFonts w:ascii="Cambria Math" w:hAnsi="Cambria Math"/>
            </w:rPr>
            <m:t xml:space="preserve"> </m:t>
          </m:r>
          <m:d>
            <m:dPr>
              <m:ctrlPr>
                <w:rPr>
                  <w:rFonts w:ascii="Cambria Math" w:hAnsi="Cambria Math"/>
                </w:rPr>
              </m:ctrlPr>
            </m:dPr>
            <m:e>
              <m:f>
                <m:fPr>
                  <m:ctrlPr>
                    <w:rPr>
                      <w:rFonts w:ascii="Cambria Math" w:hAnsi="Cambria Math"/>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cost</m:t>
                      </m:r>
                    </m:e>
                    <m:sub>
                      <m:r>
                        <w:rPr>
                          <w:rFonts w:ascii="Cambria Math" w:eastAsia="Cambria Math" w:hAnsi="Cambria Math" w:cs="Cambria Math"/>
                          <w:sz w:val="24"/>
                          <w:szCs w:val="24"/>
                        </w:rPr>
                        <m:t>i,t</m:t>
                      </m:r>
                    </m:sub>
                  </m:sSub>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cost</m:t>
                      </m:r>
                    </m:e>
                    <m:sub>
                      <m:r>
                        <w:rPr>
                          <w:rFonts w:ascii="Cambria Math" w:eastAsia="Cambria Math" w:hAnsi="Cambria Math" w:cs="Cambria Math"/>
                          <w:sz w:val="24"/>
                          <w:szCs w:val="24"/>
                        </w:rPr>
                        <m:t>i,t-1</m:t>
                      </m:r>
                    </m:sub>
                  </m:sSub>
                </m:den>
              </m:f>
            </m:e>
          </m:d>
          <m:r>
            <w:rPr>
              <w:rFonts w:ascii="Cambria Math" w:hAnsi="Cambria Math"/>
            </w:rPr>
            <m:t xml:space="preserve"> </m:t>
          </m:r>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0</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1</m:t>
              </m:r>
            </m:sub>
          </m:sSub>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sale</m:t>
                      </m:r>
                    </m:e>
                    <m:sub>
                      <m:r>
                        <w:rPr>
                          <w:rFonts w:ascii="Cambria Math" w:eastAsia="Cambria Math" w:hAnsi="Cambria Math" w:cs="Cambria Math"/>
                          <w:sz w:val="24"/>
                          <w:szCs w:val="24"/>
                        </w:rPr>
                        <m:t>i,t</m:t>
                      </m:r>
                    </m:sub>
                  </m:sSub>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sale</m:t>
                      </m:r>
                    </m:e>
                    <m:sub>
                      <m:r>
                        <w:rPr>
                          <w:rFonts w:ascii="Cambria Math" w:eastAsia="Cambria Math" w:hAnsi="Cambria Math" w:cs="Cambria Math"/>
                          <w:sz w:val="24"/>
                          <w:szCs w:val="24"/>
                        </w:rPr>
                        <m:t>i,t-1</m:t>
                      </m:r>
                    </m:sub>
                  </m:sSub>
                </m:den>
              </m:f>
            </m:e>
          </m:d>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2</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ln</m:t>
              </m:r>
            </m:e>
          </m:box>
          <m:r>
            <w:rPr>
              <w:rFonts w:ascii="Cambria Math" w:eastAsia="Cambria Math" w:hAnsi="Cambria Math" w:cs="Cambria Math"/>
              <w:sz w:val="24"/>
              <w:szCs w:val="24"/>
            </w:rPr>
            <m:t>ln</m:t>
          </m:r>
          <m:r>
            <w:rPr>
              <w:rFonts w:ascii="Cambria Math" w:hAnsi="Cambria Math"/>
            </w:rPr>
            <m:t xml:space="preserve"> </m:t>
          </m:r>
          <m:d>
            <m:dPr>
              <m:ctrlPr>
                <w:rPr>
                  <w:rFonts w:ascii="Cambria Math" w:hAnsi="Cambria Math"/>
                </w:rPr>
              </m:ctrlPr>
            </m:dPr>
            <m:e>
              <m:f>
                <m:fPr>
                  <m:ctrlPr>
                    <w:rPr>
                      <w:rFonts w:ascii="Cambria Math" w:hAnsi="Cambria Math"/>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sale</m:t>
                      </m:r>
                    </m:e>
                    <m:sub>
                      <m:r>
                        <w:rPr>
                          <w:rFonts w:ascii="Cambria Math" w:eastAsia="Cambria Math" w:hAnsi="Cambria Math" w:cs="Cambria Math"/>
                          <w:sz w:val="24"/>
                          <w:szCs w:val="24"/>
                        </w:rPr>
                        <m:t>i,t</m:t>
                      </m:r>
                    </m:sub>
                  </m:sSub>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sale</m:t>
                      </m:r>
                    </m:e>
                    <m:sub>
                      <m:r>
                        <w:rPr>
                          <w:rFonts w:ascii="Cambria Math" w:eastAsia="Cambria Math" w:hAnsi="Cambria Math" w:cs="Cambria Math"/>
                          <w:sz w:val="24"/>
                          <w:szCs w:val="24"/>
                        </w:rPr>
                        <m:t>i,t-1</m:t>
                      </m:r>
                    </m:sub>
                  </m:sSub>
                </m:den>
              </m:f>
            </m:e>
          </m:d>
          <m:r>
            <w:rPr>
              <w:rFonts w:ascii="Cambria Math" w:hAnsi="Cambria Math"/>
            </w:rPr>
            <m:t xml:space="preserve">  </m:t>
          </m:r>
        </m:oMath>
      </m:oMathPara>
    </w:p>
    <w:p w14:paraId="4C41C624"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Where:</w:t>
      </w:r>
    </w:p>
    <w:p w14:paraId="125B1E16" w14:textId="77777777" w:rsidR="007373F6" w:rsidRDefault="00000000">
      <w:pPr>
        <w:widowControl w:val="0"/>
        <w:spacing w:after="0" w:line="240" w:lineRule="auto"/>
        <w:ind w:left="93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if sales decline</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m:t>
            </m:r>
          </m:e>
          <m:sub>
            <m:r>
              <w:rPr>
                <w:rFonts w:ascii="Cambria Math" w:eastAsia="Cambria Math" w:hAnsi="Cambria Math" w:cs="Cambria Math"/>
                <w:sz w:val="24"/>
                <w:szCs w:val="24"/>
              </w:rPr>
              <m:t>i,t</m:t>
            </m:r>
          </m:sub>
        </m:sSub>
      </m:oMath>
      <w:r>
        <w:rPr>
          <w:rFonts w:ascii="Times New Roman" w:eastAsia="Times New Roman" w:hAnsi="Times New Roman" w:cs="Times New Roman"/>
          <w:sz w:val="24"/>
          <w:szCs w:val="24"/>
        </w:rPr>
        <w:t xml:space="preserve">=1; otherwise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m:t>
            </m:r>
          </m:e>
          <m:sub>
            <m:r>
              <w:rPr>
                <w:rFonts w:ascii="Cambria Math" w:eastAsia="Cambria Math" w:hAnsi="Cambria Math" w:cs="Cambria Math"/>
                <w:sz w:val="24"/>
                <w:szCs w:val="24"/>
              </w:rPr>
              <m:t>i,t</m:t>
            </m:r>
          </m:sub>
        </m:sSub>
      </m:oMath>
      <w:r>
        <w:rPr>
          <w:rFonts w:ascii="Times New Roman" w:eastAsia="Times New Roman" w:hAnsi="Times New Roman" w:cs="Times New Roman"/>
          <w:sz w:val="24"/>
          <w:szCs w:val="24"/>
        </w:rPr>
        <w:t>=0</w:t>
      </w:r>
    </w:p>
    <w:p w14:paraId="4C9DDEA6" w14:textId="77777777" w:rsidR="007373F6" w:rsidRDefault="00000000">
      <w:pPr>
        <w:widowControl w:val="0"/>
        <w:spacing w:after="0" w:line="240" w:lineRule="auto"/>
        <w:ind w:left="93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cost</w:t>
      </w:r>
      <w:r>
        <w:rPr>
          <w:rFonts w:ascii="Times New Roman" w:eastAsia="Times New Roman" w:hAnsi="Times New Roman" w:cs="Times New Roman"/>
          <w:sz w:val="24"/>
          <w:szCs w:val="24"/>
        </w:rPr>
        <w:t>: either COGS or SG&amp;A expenses</w:t>
      </w:r>
    </w:p>
    <w:p w14:paraId="5F736A08" w14:textId="77777777" w:rsidR="007373F6" w:rsidRDefault="00000000">
      <w:pPr>
        <w:widowControl w:val="0"/>
        <w:spacing w:after="0" w:line="240" w:lineRule="auto"/>
        <w:ind w:left="93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sale</w:t>
      </w:r>
      <w:r>
        <w:rPr>
          <w:rFonts w:ascii="Times New Roman" w:eastAsia="Times New Roman" w:hAnsi="Times New Roman" w:cs="Times New Roman"/>
          <w:sz w:val="24"/>
          <w:szCs w:val="24"/>
        </w:rPr>
        <w:t>: proxy for activity volume</w:t>
      </w:r>
    </w:p>
    <w:p w14:paraId="69B7AC0A" w14:textId="77777777" w:rsidR="007373F6" w:rsidRDefault="00000000">
      <w:pPr>
        <w:widowControl w:val="0"/>
        <w:spacing w:after="0" w:line="240" w:lineRule="auto"/>
        <w:ind w:left="930"/>
        <w:jc w:val="both"/>
        <w:rPr>
          <w:rFonts w:ascii="Times New Roman" w:eastAsia="Times New Roman" w:hAnsi="Times New Roman" w:cs="Times New Roman"/>
          <w:sz w:val="24"/>
          <w:szCs w:val="24"/>
        </w:rPr>
      </w:pPr>
      <m:oMath>
        <m:sSub>
          <m:sSubPr>
            <m:ctrlPr>
              <w:rPr>
                <w:rFonts w:ascii="Cambria Math" w:eastAsia="Cambria Math" w:hAnsi="Cambria Math" w:cs="Cambria Math"/>
                <w:sz w:val="24"/>
                <w:szCs w:val="24"/>
              </w:rPr>
            </m:ctrlPr>
          </m:sSubPr>
          <m:e>
            <m:r>
              <w:rPr>
                <w:rFonts w:ascii="Cambria Math" w:hAnsi="Cambria Math"/>
              </w:rPr>
              <m:t>β</m:t>
            </m:r>
          </m:e>
          <m:sub>
            <m:r>
              <w:rPr>
                <w:rFonts w:ascii="Cambria Math" w:eastAsia="Cambria Math" w:hAnsi="Cambria Math" w:cs="Cambria Math"/>
                <w:sz w:val="24"/>
                <w:szCs w:val="24"/>
              </w:rPr>
              <m:t>2</m:t>
            </m:r>
          </m:sub>
        </m:sSub>
      </m:oMath>
      <w:r>
        <w:rPr>
          <w:rFonts w:ascii="Times New Roman" w:eastAsia="Times New Roman" w:hAnsi="Times New Roman" w:cs="Times New Roman"/>
          <w:sz w:val="24"/>
          <w:szCs w:val="24"/>
        </w:rPr>
        <w:t>​&lt;0 implies cost stickiness</w:t>
      </w:r>
    </w:p>
    <w:p w14:paraId="464FF47E"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However, this model is not easily applicable for using cost stickiness as an explanatory variable in regression analysis.</w:t>
      </w:r>
    </w:p>
    <w:p w14:paraId="04635F18"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second model, developed by Weiss (2010), enables cost stickiness to be treated as a numerical explanatory variable. Thus, this study adopts the Weiss model:</w:t>
      </w:r>
    </w:p>
    <w:p w14:paraId="7343BC9C" w14:textId="77777777" w:rsidR="007373F6" w:rsidRDefault="00000000">
      <w:pPr>
        <w:widowControl w:val="0"/>
        <w:spacing w:after="0" w:line="240" w:lineRule="auto"/>
        <w:jc w:val="both"/>
        <w:rPr>
          <w:rFonts w:ascii="Times New Roman" w:eastAsia="Times New Roman" w:hAnsi="Times New Roman" w:cs="Times New Roman"/>
          <w:sz w:val="24"/>
          <w:szCs w:val="24"/>
        </w:rPr>
      </w:pP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Sticky</m:t>
            </m:r>
          </m:e>
          <m:sub>
            <m:r>
              <w:rPr>
                <w:rFonts w:ascii="Cambria Math" w:eastAsia="Cambria Math" w:hAnsi="Cambria Math" w:cs="Cambria Math"/>
                <w:sz w:val="24"/>
                <w:szCs w:val="24"/>
              </w:rPr>
              <m:t>i,t</m:t>
            </m:r>
          </m:sub>
        </m:sSub>
        <m:r>
          <w:rPr>
            <w:rFonts w:ascii="Cambria Math" w:eastAsia="Cambria Math" w:hAnsi="Cambria Math" w:cs="Cambria Math"/>
            <w:sz w:val="24"/>
            <w:szCs w:val="24"/>
          </w:rPr>
          <m:t>=log⁡⁡</m:t>
        </m:r>
        <m:sSub>
          <m:sSubPr>
            <m:ctrlPr>
              <w:rPr>
                <w:rFonts w:ascii="Cambria Math" w:eastAsia="Cambria Math" w:hAnsi="Cambria Math" w:cs="Cambria Math"/>
                <w:sz w:val="24"/>
                <w:szCs w:val="24"/>
              </w:rPr>
            </m:ctrlPr>
          </m:sSubPr>
          <m:e>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∆COST</m:t>
                    </m:r>
                  </m:num>
                  <m:den>
                    <m:r>
                      <w:rPr>
                        <w:rFonts w:ascii="Cambria Math" w:eastAsia="Cambria Math" w:hAnsi="Cambria Math" w:cs="Cambria Math"/>
                        <w:sz w:val="24"/>
                        <w:szCs w:val="24"/>
                      </w:rPr>
                      <m:t>∆SALE</m:t>
                    </m:r>
                  </m:den>
                </m:f>
              </m:e>
            </m:d>
          </m:e>
          <m:sub>
            <m:r>
              <w:rPr>
                <w:rFonts w:ascii="Cambria Math" w:eastAsia="Cambria Math" w:hAnsi="Cambria Math" w:cs="Cambria Math"/>
                <w:sz w:val="24"/>
                <w:szCs w:val="24"/>
              </w:rPr>
              <m:t>i,</m:t>
            </m:r>
            <m:bar>
              <m:barPr>
                <m:ctrlPr>
                  <w:rPr>
                    <w:rFonts w:ascii="Cambria Math" w:eastAsia="Cambria Math" w:hAnsi="Cambria Math" w:cs="Cambria Math"/>
                    <w:sz w:val="24"/>
                    <w:szCs w:val="24"/>
                  </w:rPr>
                </m:ctrlPr>
              </m:barPr>
              <m:e>
                <m:r>
                  <w:rPr>
                    <w:rFonts w:ascii="Cambria Math" w:eastAsia="Cambria Math" w:hAnsi="Cambria Math" w:cs="Cambria Math"/>
                    <w:sz w:val="24"/>
                    <w:szCs w:val="24"/>
                  </w:rPr>
                  <m:t>τ</m:t>
                </m:r>
              </m:e>
            </m:bar>
          </m:sub>
        </m:sSub>
        <m:r>
          <w:rPr>
            <w:rFonts w:ascii="Cambria Math" w:eastAsia="Cambria Math" w:hAnsi="Cambria Math" w:cs="Cambria Math"/>
            <w:sz w:val="24"/>
            <w:szCs w:val="24"/>
          </w:rPr>
          <m:t>-log</m:t>
        </m:r>
        <m:sSub>
          <m:sSubPr>
            <m:ctrlPr>
              <w:rPr>
                <w:rFonts w:ascii="Cambria Math" w:eastAsia="Cambria Math" w:hAnsi="Cambria Math" w:cs="Cambria Math"/>
                <w:sz w:val="24"/>
                <w:szCs w:val="24"/>
              </w:rPr>
            </m:ctrlPr>
          </m:sSubPr>
          <m:e>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∆COST</m:t>
                    </m:r>
                  </m:num>
                  <m:den>
                    <m:r>
                      <w:rPr>
                        <w:rFonts w:ascii="Cambria Math" w:eastAsia="Cambria Math" w:hAnsi="Cambria Math" w:cs="Cambria Math"/>
                        <w:sz w:val="24"/>
                        <w:szCs w:val="24"/>
                      </w:rPr>
                      <m:t>∆SALE</m:t>
                    </m:r>
                  </m:den>
                </m:f>
              </m:e>
            </m:d>
          </m:e>
          <m:sub>
            <m:r>
              <w:rPr>
                <w:rFonts w:ascii="Cambria Math" w:eastAsia="Cambria Math" w:hAnsi="Cambria Math" w:cs="Cambria Math"/>
                <w:sz w:val="24"/>
                <w:szCs w:val="24"/>
              </w:rPr>
              <m:t>i,</m:t>
            </m:r>
            <m:bar>
              <m:barPr>
                <m:ctrlPr>
                  <w:rPr>
                    <w:rFonts w:ascii="Cambria Math" w:eastAsia="Cambria Math" w:hAnsi="Cambria Math" w:cs="Cambria Math"/>
                    <w:sz w:val="24"/>
                    <w:szCs w:val="24"/>
                  </w:rPr>
                </m:ctrlPr>
              </m:barPr>
              <m:e>
                <m:r>
                  <w:rPr>
                    <w:rFonts w:ascii="Cambria Math" w:eastAsia="Cambria Math" w:hAnsi="Cambria Math" w:cs="Cambria Math"/>
                    <w:sz w:val="24"/>
                    <w:szCs w:val="24"/>
                  </w:rPr>
                  <m:t>τ</m:t>
                </m:r>
              </m:e>
            </m:bar>
          </m:sub>
        </m:sSub>
        <m:bar>
          <m:barPr>
            <m:ctrlPr>
              <w:rPr>
                <w:rFonts w:ascii="Cambria Math" w:eastAsia="Cambria Math" w:hAnsi="Cambria Math" w:cs="Cambria Math"/>
                <w:sz w:val="24"/>
                <w:szCs w:val="24"/>
              </w:rPr>
            </m:ctrlPr>
          </m:barPr>
          <m:e>
            <m:r>
              <w:rPr>
                <w:rFonts w:ascii="Cambria Math" w:eastAsia="Cambria Math" w:hAnsi="Cambria Math" w:cs="Cambria Math"/>
                <w:sz w:val="24"/>
                <w:szCs w:val="24"/>
              </w:rPr>
              <m:t>τ</m:t>
            </m:r>
          </m:e>
        </m:bar>
        <m:r>
          <w:rPr>
            <w:rFonts w:ascii="Cambria Math" w:eastAsia="Cambria Math" w:hAnsi="Cambria Math" w:cs="Cambria Math"/>
            <w:sz w:val="24"/>
            <w:szCs w:val="24"/>
          </w:rPr>
          <m:t>,</m:t>
        </m:r>
        <m:bar>
          <m:barPr>
            <m:ctrlPr>
              <w:rPr>
                <w:rFonts w:ascii="Cambria Math" w:eastAsia="Cambria Math" w:hAnsi="Cambria Math" w:cs="Cambria Math"/>
                <w:sz w:val="24"/>
                <w:szCs w:val="24"/>
              </w:rPr>
            </m:ctrlPr>
          </m:barPr>
          <m:e>
            <m:r>
              <w:rPr>
                <w:rFonts w:ascii="Cambria Math" w:eastAsia="Cambria Math" w:hAnsi="Cambria Math" w:cs="Cambria Math"/>
                <w:sz w:val="24"/>
                <w:szCs w:val="24"/>
              </w:rPr>
              <m:t>τ</m:t>
            </m:r>
          </m:e>
        </m:bar>
        <m:r>
          <w:rPr>
            <w:rFonts w:ascii="Cambria Math" w:eastAsia="Cambria Math" w:hAnsi="Cambria Math" w:cs="Cambria Math"/>
            <w:sz w:val="24"/>
            <w:szCs w:val="24"/>
          </w:rPr>
          <m:t>∈</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t,…,t-3</m:t>
            </m:r>
          </m:e>
        </m:d>
      </m:oMath>
      <w:sdt>
        <w:sdtPr>
          <w:tag w:val="goog_rdk_242"/>
          <w:id w:val="-46387828"/>
        </w:sdtPr>
        <w:sdtContent>
          <w:r>
            <w:rPr>
              <w:rFonts w:ascii="Gungsuh" w:eastAsia="Gungsuh" w:hAnsi="Gungsuh" w:cs="Gungsuh"/>
              <w:sz w:val="24"/>
              <w:szCs w:val="24"/>
            </w:rPr>
            <w:t xml:space="preserve">　</w:t>
          </w:r>
        </w:sdtContent>
      </w:sdt>
    </w:p>
    <w:p w14:paraId="08A7A2EA"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Here, </w:t>
      </w:r>
      <m:oMath>
        <m:bar>
          <m:barPr>
            <m:ctrlPr>
              <w:rPr>
                <w:rFonts w:ascii="Cambria Math" w:hAnsi="Cambria Math"/>
              </w:rPr>
            </m:ctrlPr>
          </m:barPr>
          <m:e>
            <m:r>
              <w:rPr>
                <w:rFonts w:ascii="Cambria Math" w:hAnsi="Cambria Math"/>
              </w:rPr>
              <m:t>τ</m:t>
            </m:r>
          </m:e>
        </m:bar>
      </m:oMath>
      <w:r>
        <w:rPr>
          <w:rFonts w:ascii="Times New Roman" w:eastAsia="Times New Roman" w:hAnsi="Times New Roman" w:cs="Times New Roman"/>
          <w:sz w:val="24"/>
          <w:szCs w:val="24"/>
        </w:rPr>
        <w:t xml:space="preserve"> represents the most recent quarter of sales decline within the last four quarters, and </w:t>
      </w:r>
      <m:oMath>
        <m:bar>
          <m:barPr>
            <m:ctrlPr>
              <w:rPr>
                <w:rFonts w:ascii="Cambria Math" w:hAnsi="Cambria Math"/>
              </w:rPr>
            </m:ctrlPr>
          </m:barPr>
          <m:e>
            <m:r>
              <w:rPr>
                <w:rFonts w:ascii="Cambria Math" w:hAnsi="Cambria Math"/>
              </w:rPr>
              <m:t>τ</m:t>
            </m:r>
          </m:e>
        </m:bar>
      </m:oMath>
      <w:r>
        <w:rPr>
          <w:rFonts w:ascii="Times New Roman" w:eastAsia="Times New Roman" w:hAnsi="Times New Roman" w:cs="Times New Roman"/>
          <w:sz w:val="24"/>
          <w:szCs w:val="24"/>
        </w:rPr>
        <w:t xml:space="preserve"> represents the most recent quarter of sales increase within the last four quarters.</w:t>
      </w:r>
    </w:p>
    <w:p w14:paraId="22219066" w14:textId="77777777" w:rsidR="007373F6" w:rsidRDefault="00000000">
      <w:pPr>
        <w:spacing w:before="240" w:after="12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Regression Models</w:t>
      </w:r>
    </w:p>
    <w:p w14:paraId="7CAD6507" w14:textId="77777777" w:rsidR="007373F6" w:rsidRDefault="00000000">
      <w:pPr>
        <w:spacing w:before="240" w:after="12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The Impact of Cost Stickiness on the Cost of Equity Capital</w:t>
      </w:r>
    </w:p>
    <w:p w14:paraId="2309C4CA"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study empirically investigates the effect of cost stickiness on the cost of equity capital, following the analytical framework employed by Hasebe (2022).</w:t>
      </w:r>
    </w:p>
    <w:p w14:paraId="48CF4DFA" w14:textId="77777777" w:rsidR="007373F6" w:rsidRDefault="00000000" w:rsidP="00856618">
      <w:pPr>
        <w:widowControl w:val="0"/>
        <w:numPr>
          <w:ilvl w:val="0"/>
          <w:numId w:val="19"/>
        </w:numPr>
        <w:spacing w:after="0" w:line="240" w:lineRule="auto"/>
        <w:ind w:left="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Impact of Operating Expense Stickiness on the Cost of Equity Capital</w:t>
      </w:r>
    </w:p>
    <w:p w14:paraId="53EF4C6E"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regression model examines how stickiness in operating expenses influences the implied cost of equity capital. This analysis allows for assessing whether inefficiencies or rigidity in adjusting operational costs contribute to higher expected returns required by investors.</w:t>
      </w:r>
    </w:p>
    <w:p w14:paraId="1E540549"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e</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OJ</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0</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1</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OEsticky</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2</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3</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Lev</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4</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ROE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5</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βMarket</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6</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βTOPIX</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7</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Growth</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8</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logAssets</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9</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ε</m:t>
              </m:r>
            </m:e>
            <m:sub>
              <m:r>
                <w:rPr>
                  <w:rFonts w:ascii="Cambria Math" w:eastAsia="Cambria Math" w:hAnsi="Cambria Math" w:cs="Cambria Math"/>
                  <w:sz w:val="24"/>
                  <w:szCs w:val="24"/>
                </w:rPr>
                <m:t>i,t</m:t>
              </m:r>
            </m:sub>
          </m:sSub>
        </m:oMath>
      </m:oMathPara>
    </w:p>
    <w:p w14:paraId="185B7586"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e</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MPEG</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0</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1</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OEsticky</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2</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3</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Lev</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4</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ROE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5</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βMarket</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6</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βTOPIX</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7</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Growth</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8</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logAssets</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9</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ε</m:t>
              </m:r>
            </m:e>
            <m:sub>
              <m:r>
                <w:rPr>
                  <w:rFonts w:ascii="Cambria Math" w:eastAsia="Cambria Math" w:hAnsi="Cambria Math" w:cs="Cambria Math"/>
                  <w:sz w:val="24"/>
                  <w:szCs w:val="24"/>
                </w:rPr>
                <m:t>i,t</m:t>
              </m:r>
            </m:sub>
          </m:sSub>
        </m:oMath>
      </m:oMathPara>
    </w:p>
    <w:p w14:paraId="07B84B68"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e</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PEG</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0</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1</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OEsticky</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2</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3</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Lev</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4</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ROE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5</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βMarket</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6</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βTOPIX</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7</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Growth</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8</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logAssets</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9</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ε</m:t>
              </m:r>
            </m:e>
            <m:sub>
              <m:r>
                <w:rPr>
                  <w:rFonts w:ascii="Cambria Math" w:eastAsia="Cambria Math" w:hAnsi="Cambria Math" w:cs="Cambria Math"/>
                  <w:sz w:val="24"/>
                  <w:szCs w:val="24"/>
                </w:rPr>
                <m:t>i,t</m:t>
              </m:r>
            </m:sub>
          </m:sSub>
        </m:oMath>
      </m:oMathPara>
    </w:p>
    <w:p w14:paraId="44319153"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e</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0</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1</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OEsticky</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2</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3</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Lev</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4</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ROE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5</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βMarket</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6</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βTOPIX</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7</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Growth</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8</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logAssets</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9</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ε</m:t>
              </m:r>
            </m:e>
            <m:sub>
              <m:r>
                <w:rPr>
                  <w:rFonts w:ascii="Cambria Math" w:eastAsia="Cambria Math" w:hAnsi="Cambria Math" w:cs="Cambria Math"/>
                  <w:sz w:val="24"/>
                  <w:szCs w:val="24"/>
                </w:rPr>
                <m:t>i,t</m:t>
              </m:r>
            </m:sub>
          </m:sSub>
        </m:oMath>
      </m:oMathPara>
    </w:p>
    <w:p w14:paraId="3CA0EE00" w14:textId="77777777" w:rsidR="007373F6" w:rsidRDefault="00000000">
      <w:pPr>
        <w:widowControl w:val="0"/>
        <w:spacing w:after="0" w:line="240" w:lineRule="auto"/>
        <w:ind w:left="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Impact of SG&amp;A Expense Stickiness on the Cost of Equity Capital</w:t>
      </w:r>
    </w:p>
    <w:p w14:paraId="04D74F78"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second model focuses on the relationship between SG&amp;A expense stickiness and the cost of equity capital. Given that SG&amp;A expenses often involve managerial discretion and long-term commitments, their rigidity may have distinct implications for investors' risk perceptions and expected returns.</w:t>
      </w:r>
    </w:p>
    <w:p w14:paraId="53105D6C"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e</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OJ</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0</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1</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SGAsticky</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2</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3</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Lev</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4</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ROE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5</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βMarket</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6</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βTOPIX</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7</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Growth</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8</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logAssets</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9</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ε</m:t>
              </m:r>
            </m:e>
            <m:sub>
              <m:r>
                <w:rPr>
                  <w:rFonts w:ascii="Cambria Math" w:eastAsia="Cambria Math" w:hAnsi="Cambria Math" w:cs="Cambria Math"/>
                  <w:sz w:val="24"/>
                  <w:szCs w:val="24"/>
                </w:rPr>
                <m:t>i,t</m:t>
              </m:r>
            </m:sub>
          </m:sSub>
        </m:oMath>
      </m:oMathPara>
    </w:p>
    <w:p w14:paraId="35DCE63B"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e</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MPEG</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0</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1</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SGAsticky</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2</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3</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Lev</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4</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ROE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5</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βMarket</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6</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βTOPIX</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7</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Growth</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8</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logAssets</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9</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ε</m:t>
              </m:r>
            </m:e>
            <m:sub>
              <m:r>
                <w:rPr>
                  <w:rFonts w:ascii="Cambria Math" w:eastAsia="Cambria Math" w:hAnsi="Cambria Math" w:cs="Cambria Math"/>
                  <w:sz w:val="24"/>
                  <w:szCs w:val="24"/>
                </w:rPr>
                <m:t>i,t</m:t>
              </m:r>
            </m:sub>
          </m:sSub>
        </m:oMath>
      </m:oMathPara>
    </w:p>
    <w:p w14:paraId="767931C8"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e</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PEG</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0</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1</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SGAsticky</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2</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3</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Lev</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4</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ROE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5</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βMarket</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6</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βTOPIX</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7</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Growth</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8</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logAssets</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9</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ε</m:t>
              </m:r>
            </m:e>
            <m:sub>
              <m:r>
                <w:rPr>
                  <w:rFonts w:ascii="Cambria Math" w:eastAsia="Cambria Math" w:hAnsi="Cambria Math" w:cs="Cambria Math"/>
                  <w:sz w:val="24"/>
                  <w:szCs w:val="24"/>
                </w:rPr>
                <m:t>i,t</m:t>
              </m:r>
            </m:sub>
          </m:sSub>
        </m:oMath>
      </m:oMathPara>
    </w:p>
    <w:p w14:paraId="2277C962"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e</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0</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1</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SGAsticky</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2</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3</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Lev</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4</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ROE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5</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βMarket</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6</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βTOPIX</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7</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Growth</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8</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logAssets</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9</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ε</m:t>
              </m:r>
            </m:e>
            <m:sub>
              <m:r>
                <w:rPr>
                  <w:rFonts w:ascii="Cambria Math" w:eastAsia="Cambria Math" w:hAnsi="Cambria Math" w:cs="Cambria Math"/>
                  <w:sz w:val="24"/>
                  <w:szCs w:val="24"/>
                </w:rPr>
                <m:t>i,t</m:t>
              </m:r>
            </m:sub>
          </m:sSub>
        </m:oMath>
      </m:oMathPara>
    </w:p>
    <w:p w14:paraId="687574AA" w14:textId="77777777" w:rsidR="007373F6" w:rsidRDefault="00000000">
      <w:pPr>
        <w:spacing w:before="240" w:after="12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The Impact of Cost Stickiness on Corporate Performance</w:t>
      </w:r>
    </w:p>
    <w:p w14:paraId="7D098335" w14:textId="77777777" w:rsidR="007373F6" w:rsidRDefault="00000000" w:rsidP="00856618">
      <w:pPr>
        <w:widowControl w:val="0"/>
        <w:numPr>
          <w:ilvl w:val="0"/>
          <w:numId w:val="6"/>
        </w:numPr>
        <w:spacing w:after="0" w:line="240" w:lineRule="auto"/>
        <w:ind w:left="99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Impact of Operating Expense Stickiness on Corporate Performance</w:t>
      </w:r>
    </w:p>
    <w:p w14:paraId="70FB8635" w14:textId="77777777" w:rsidR="007373F6" w:rsidRDefault="00000000">
      <w:pPr>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model </w:t>
      </w:r>
      <w:proofErr w:type="spellStart"/>
      <w:r>
        <w:rPr>
          <w:rFonts w:ascii="Times New Roman" w:eastAsia="Times New Roman" w:hAnsi="Times New Roman" w:cs="Times New Roman"/>
          <w:sz w:val="24"/>
          <w:szCs w:val="24"/>
        </w:rPr>
        <w:t>analyzes</w:t>
      </w:r>
      <w:proofErr w:type="spellEnd"/>
      <w:r>
        <w:rPr>
          <w:rFonts w:ascii="Times New Roman" w:eastAsia="Times New Roman" w:hAnsi="Times New Roman" w:cs="Times New Roman"/>
          <w:sz w:val="24"/>
          <w:szCs w:val="24"/>
        </w:rPr>
        <w:t xml:space="preserve"> how operating expense stickiness affects corporate performance indicators such as ROE and EBITDA. Since operating expenses are directly linked to core business activities, their inflexibility during periods of declining sales may reflect cost inefficiency, thereby negatively influencing profitability and operational effectiveness.</w:t>
      </w:r>
    </w:p>
    <w:p w14:paraId="7C588621"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ROE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0</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1</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OEsticky</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2</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3</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Lev</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4</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βMarket</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5</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βTOPIX</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6</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Growth</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7</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logAssets</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8</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ε</m:t>
              </m:r>
            </m:e>
            <m:sub>
              <m:r>
                <w:rPr>
                  <w:rFonts w:ascii="Cambria Math" w:eastAsia="Cambria Math" w:hAnsi="Cambria Math" w:cs="Cambria Math"/>
                  <w:sz w:val="24"/>
                  <w:szCs w:val="24"/>
                </w:rPr>
                <m:t>i,t</m:t>
              </m:r>
            </m:sub>
          </m:sSub>
        </m:oMath>
      </m:oMathPara>
    </w:p>
    <w:p w14:paraId="6B1E88F6"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EBITDA</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0</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1</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OEsticky</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2</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3</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Lev</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4</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βMarket</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5</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βTOPIX</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6</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Growth</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7</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logAssets</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8</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ε</m:t>
              </m:r>
            </m:e>
            <m:sub>
              <m:r>
                <w:rPr>
                  <w:rFonts w:ascii="Cambria Math" w:eastAsia="Cambria Math" w:hAnsi="Cambria Math" w:cs="Cambria Math"/>
                  <w:sz w:val="24"/>
                  <w:szCs w:val="24"/>
                </w:rPr>
                <m:t>i,t</m:t>
              </m:r>
            </m:sub>
          </m:sSub>
        </m:oMath>
      </m:oMathPara>
    </w:p>
    <w:p w14:paraId="0D7931A4"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TobinQ</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0</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1</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OEsticky</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2</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3</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Lev</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4</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βMarket</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5</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βTOPIX</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6</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Growth</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7</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logAssets</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8</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ε</m:t>
              </m:r>
            </m:e>
            <m:sub>
              <m:r>
                <w:rPr>
                  <w:rFonts w:ascii="Cambria Math" w:eastAsia="Cambria Math" w:hAnsi="Cambria Math" w:cs="Cambria Math"/>
                  <w:sz w:val="24"/>
                  <w:szCs w:val="24"/>
                </w:rPr>
                <m:t>i,t</m:t>
              </m:r>
            </m:sub>
          </m:sSub>
        </m:oMath>
      </m:oMathPara>
    </w:p>
    <w:p w14:paraId="7D72262F" w14:textId="77777777" w:rsidR="007373F6" w:rsidRDefault="00000000">
      <w:pPr>
        <w:widowControl w:val="0"/>
        <w:spacing w:after="0" w:line="240" w:lineRule="auto"/>
        <w:ind w:left="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Impact of SG&amp;A Expense Stickiness on Corporate Performance</w:t>
      </w:r>
    </w:p>
    <w:p w14:paraId="1F2FCF77" w14:textId="77777777" w:rsidR="007373F6" w:rsidRDefault="00000000">
      <w:pPr>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model examines the effect of SG&amp;A expense stickiness on corporate performance metrics such as ROE and EBITDA. Since SG&amp;A expenses often involve discretionary spending related to administration, marketing, and R&amp;D, excessive rigidity in adjusting these costs may reflect inefficiencies or agency-related </w:t>
      </w:r>
      <w:proofErr w:type="spellStart"/>
      <w:r>
        <w:rPr>
          <w:rFonts w:ascii="Times New Roman" w:eastAsia="Times New Roman" w:hAnsi="Times New Roman" w:cs="Times New Roman"/>
          <w:sz w:val="24"/>
          <w:szCs w:val="24"/>
        </w:rPr>
        <w:t>behaviors</w:t>
      </w:r>
      <w:proofErr w:type="spellEnd"/>
      <w:r>
        <w:rPr>
          <w:rFonts w:ascii="Times New Roman" w:eastAsia="Times New Roman" w:hAnsi="Times New Roman" w:cs="Times New Roman"/>
          <w:sz w:val="24"/>
          <w:szCs w:val="24"/>
        </w:rPr>
        <w:t>, potentially leading to diminished profitability and resource misallocation.</w:t>
      </w:r>
    </w:p>
    <w:p w14:paraId="0836BB69"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ROE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0</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1</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SGAsticky</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2</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3</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Lev</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4</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βMarket</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5</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βTOPIX</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6</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Growth</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7</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logAssets</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8</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ε</m:t>
              </m:r>
            </m:e>
            <m:sub>
              <m:r>
                <w:rPr>
                  <w:rFonts w:ascii="Cambria Math" w:eastAsia="Cambria Math" w:hAnsi="Cambria Math" w:cs="Cambria Math"/>
                  <w:sz w:val="24"/>
                  <w:szCs w:val="24"/>
                </w:rPr>
                <m:t>i,t</m:t>
              </m:r>
            </m:sub>
          </m:sSub>
        </m:oMath>
      </m:oMathPara>
    </w:p>
    <w:p w14:paraId="36C060F2"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EBITDA</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0</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1</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SGAsticky</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2</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3</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Lev</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4</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βMarket</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5</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βTOPIX</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6</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Growth</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7</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logAssets</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8</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ε</m:t>
              </m:r>
            </m:e>
            <m:sub>
              <m:r>
                <w:rPr>
                  <w:rFonts w:ascii="Cambria Math" w:eastAsia="Cambria Math" w:hAnsi="Cambria Math" w:cs="Cambria Math"/>
                  <w:sz w:val="24"/>
                  <w:szCs w:val="24"/>
                </w:rPr>
                <m:t>i,t</m:t>
              </m:r>
            </m:sub>
          </m:sSub>
        </m:oMath>
      </m:oMathPara>
    </w:p>
    <w:p w14:paraId="0D53E76E"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TobinQ</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0</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1</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SGAsticky</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2</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DE</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3</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Lev</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4</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βMarket</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5</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βTOPIX</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6</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Growth</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7</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logAssets</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t>
              </m:r>
            </m:e>
            <m:sub>
              <m:r>
                <w:rPr>
                  <w:rFonts w:ascii="Cambria Math" w:eastAsia="Cambria Math" w:hAnsi="Cambria Math" w:cs="Cambria Math"/>
                  <w:sz w:val="24"/>
                  <w:szCs w:val="24"/>
                </w:rPr>
                <m:t>8</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m:t>
              </m:r>
            </m:e>
            <m:sub>
              <m:r>
                <w:rPr>
                  <w:rFonts w:ascii="Cambria Math" w:eastAsia="Cambria Math" w:hAnsi="Cambria Math" w:cs="Cambria Math"/>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ε</m:t>
              </m:r>
            </m:e>
            <m:sub>
              <m:r>
                <w:rPr>
                  <w:rFonts w:ascii="Cambria Math" w:eastAsia="Cambria Math" w:hAnsi="Cambria Math" w:cs="Cambria Math"/>
                  <w:sz w:val="24"/>
                  <w:szCs w:val="24"/>
                </w:rPr>
                <m:t>i,t</m:t>
              </m:r>
            </m:sub>
          </m:sSub>
        </m:oMath>
      </m:oMathPara>
    </w:p>
    <w:p w14:paraId="66E20D52"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Here, the control variables are defined as follows:</w:t>
      </w:r>
    </w:p>
    <w:sdt>
      <w:sdtPr>
        <w:rPr>
          <w:sz w:val="22"/>
          <w:szCs w:val="22"/>
        </w:rPr>
        <w:tag w:val="goog_rdk_252"/>
        <w:id w:val="636719970"/>
        <w:lock w:val="contentLocked"/>
      </w:sdtPr>
      <w:sdtContent>
        <w:tbl>
          <w:tblPr>
            <w:tblStyle w:val="affb"/>
            <w:tblW w:w="9050" w:type="dxa"/>
            <w:tblBorders>
              <w:top w:val="nil"/>
              <w:left w:val="nil"/>
              <w:bottom w:val="nil"/>
              <w:right w:val="nil"/>
              <w:insideH w:val="nil"/>
              <w:insideV w:val="nil"/>
            </w:tblBorders>
            <w:tblLayout w:type="fixed"/>
            <w:tblLook w:val="0400" w:firstRow="0" w:lastRow="0" w:firstColumn="0" w:lastColumn="0" w:noHBand="0" w:noVBand="1"/>
          </w:tblPr>
          <w:tblGrid>
            <w:gridCol w:w="1449"/>
            <w:gridCol w:w="7601"/>
          </w:tblGrid>
          <w:tr w:rsidR="007373F6" w14:paraId="46646C4E" w14:textId="77777777">
            <w:tc>
              <w:tcPr>
                <w:tcW w:w="1449" w:type="dxa"/>
              </w:tcPr>
              <w:p w14:paraId="092602FF" w14:textId="77777777" w:rsidR="007373F6" w:rsidRDefault="00000000">
                <w:pPr>
                  <w:jc w:val="both"/>
                  <w:rPr>
                    <w:rFonts w:ascii="Cambria Math" w:eastAsia="Cambria Math" w:hAnsi="Cambria Math" w:cs="Cambria Math"/>
                    <w:sz w:val="24"/>
                    <w:szCs w:val="24"/>
                  </w:rPr>
                </w:pP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DE</m:t>
                      </m:r>
                    </m:e>
                    <m:sub>
                      <m:r>
                        <w:rPr>
                          <w:rFonts w:ascii="Cambria Math" w:eastAsia="Cambria Math" w:hAnsi="Cambria Math" w:cs="Cambria Math"/>
                          <w:sz w:val="24"/>
                          <w:szCs w:val="24"/>
                        </w:rPr>
                        <m:t>i,t</m:t>
                      </m:r>
                    </m:sub>
                  </m:sSub>
                </m:oMath>
              </w:p>
            </w:tc>
            <w:tc>
              <w:tcPr>
                <w:tcW w:w="7601" w:type="dxa"/>
              </w:tcPr>
              <w:p w14:paraId="124D9BF3" w14:textId="77777777" w:rsidR="007373F6" w:rsidRDefault="00000000">
                <w:pPr>
                  <w:widowControl w:val="0"/>
                  <w:jc w:val="both"/>
                  <w:rPr>
                    <w:rFonts w:ascii="Times New Roman" w:eastAsia="Times New Roman" w:hAnsi="Times New Roman" w:cs="Times New Roman"/>
                    <w:sz w:val="24"/>
                    <w:szCs w:val="24"/>
                  </w:rPr>
                </w:pPr>
                <w:sdt>
                  <w:sdtPr>
                    <w:tag w:val="goog_rdk_243"/>
                    <w:id w:val="679654984"/>
                  </w:sdtPr>
                  <w:sdtContent>
                    <w:r>
                      <w:rPr>
                        <w:rFonts w:ascii="Gungsuh" w:eastAsia="Gungsuh" w:hAnsi="Gungsuh" w:cs="Gungsuh"/>
                        <w:sz w:val="24"/>
                        <w:szCs w:val="24"/>
                      </w:rPr>
                      <w:t xml:space="preserve">：Debt Ratio. Total liabilities of firm </w:t>
                    </w:r>
                    <w:proofErr w:type="spellStart"/>
                    <w:r>
                      <w:rPr>
                        <w:rFonts w:ascii="Gungsuh" w:eastAsia="Gungsuh" w:hAnsi="Gungsuh" w:cs="Gungsuh"/>
                        <w:sz w:val="24"/>
                        <w:szCs w:val="24"/>
                      </w:rPr>
                      <w:t>i</w:t>
                    </w:r>
                    <w:proofErr w:type="spellEnd"/>
                    <w:r>
                      <w:rPr>
                        <w:rFonts w:ascii="Gungsuh" w:eastAsia="Gungsuh" w:hAnsi="Gungsuh" w:cs="Gungsuh"/>
                        <w:sz w:val="24"/>
                        <w:szCs w:val="24"/>
                      </w:rPr>
                      <w:t xml:space="preserve"> in period t divided by total equity, multiplied by 100%.</w:t>
                    </w:r>
                  </w:sdtContent>
                </w:sdt>
              </w:p>
            </w:tc>
          </w:tr>
          <w:tr w:rsidR="007373F6" w14:paraId="46634227" w14:textId="77777777">
            <w:tc>
              <w:tcPr>
                <w:tcW w:w="1449" w:type="dxa"/>
              </w:tcPr>
              <w:p w14:paraId="159BBA90"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Lev</m:t>
                        </m:r>
                      </m:e>
                      <m:sub>
                        <m:r>
                          <w:rPr>
                            <w:rFonts w:ascii="Cambria Math" w:eastAsia="Cambria Math" w:hAnsi="Cambria Math" w:cs="Cambria Math"/>
                            <w:sz w:val="24"/>
                            <w:szCs w:val="24"/>
                          </w:rPr>
                          <m:t>i,t</m:t>
                        </m:r>
                      </m:sub>
                    </m:sSub>
                  </m:oMath>
                </m:oMathPara>
              </w:p>
            </w:tc>
            <w:tc>
              <w:tcPr>
                <w:tcW w:w="7601" w:type="dxa"/>
              </w:tcPr>
              <w:p w14:paraId="1250F211" w14:textId="77777777" w:rsidR="007373F6" w:rsidRDefault="00000000">
                <w:pPr>
                  <w:widowControl w:val="0"/>
                  <w:jc w:val="both"/>
                  <w:rPr>
                    <w:rFonts w:ascii="Times New Roman" w:eastAsia="Times New Roman" w:hAnsi="Times New Roman" w:cs="Times New Roman"/>
                    <w:sz w:val="24"/>
                    <w:szCs w:val="24"/>
                  </w:rPr>
                </w:pPr>
                <w:sdt>
                  <w:sdtPr>
                    <w:tag w:val="goog_rdk_244"/>
                    <w:id w:val="2140135261"/>
                  </w:sdtPr>
                  <w:sdtContent>
                    <w:r>
                      <w:rPr>
                        <w:rFonts w:ascii="Gungsuh" w:eastAsia="Gungsuh" w:hAnsi="Gungsuh" w:cs="Gungsuh"/>
                        <w:sz w:val="24"/>
                        <w:szCs w:val="24"/>
                      </w:rPr>
                      <w:t xml:space="preserve">：Leverage Ratio. Return on equity (ROE) of firm </w:t>
                    </w:r>
                    <w:proofErr w:type="spellStart"/>
                    <w:r>
                      <w:rPr>
                        <w:rFonts w:ascii="Gungsuh" w:eastAsia="Gungsuh" w:hAnsi="Gungsuh" w:cs="Gungsuh"/>
                        <w:sz w:val="24"/>
                        <w:szCs w:val="24"/>
                      </w:rPr>
                      <w:t>i</w:t>
                    </w:r>
                    <w:proofErr w:type="spellEnd"/>
                    <w:r>
                      <w:rPr>
                        <w:rFonts w:ascii="Gungsuh" w:eastAsia="Gungsuh" w:hAnsi="Gungsuh" w:cs="Gungsuh"/>
                        <w:sz w:val="24"/>
                        <w:szCs w:val="24"/>
                      </w:rPr>
                      <w:t xml:space="preserve"> in </w:t>
                    </w:r>
                    <w:r>
                      <w:rPr>
                        <w:rFonts w:ascii="Gungsuh" w:eastAsia="Gungsuh" w:hAnsi="Gungsuh" w:cs="Gungsuh"/>
                        <w:sz w:val="24"/>
                        <w:szCs w:val="24"/>
                      </w:rPr>
                      <w:lastRenderedPageBreak/>
                      <w:t>period t divided by the firm's overall profitability.</w:t>
                    </w:r>
                  </w:sdtContent>
                </w:sdt>
              </w:p>
            </w:tc>
          </w:tr>
          <w:tr w:rsidR="007373F6" w14:paraId="0DC6F62B" w14:textId="77777777">
            <w:tc>
              <w:tcPr>
                <w:tcW w:w="1449" w:type="dxa"/>
              </w:tcPr>
              <w:p w14:paraId="68EDB30C"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ROE</m:t>
                        </m:r>
                      </m:e>
                      <m:sub>
                        <m:r>
                          <w:rPr>
                            <w:rFonts w:ascii="Cambria Math" w:eastAsia="Cambria Math" w:hAnsi="Cambria Math" w:cs="Cambria Math"/>
                            <w:sz w:val="24"/>
                            <w:szCs w:val="24"/>
                          </w:rPr>
                          <m:t>i,t</m:t>
                        </m:r>
                      </m:sub>
                    </m:sSub>
                  </m:oMath>
                </m:oMathPara>
              </w:p>
            </w:tc>
            <w:tc>
              <w:tcPr>
                <w:tcW w:w="7601" w:type="dxa"/>
              </w:tcPr>
              <w:p w14:paraId="01FACE3F" w14:textId="77777777" w:rsidR="007373F6" w:rsidRDefault="00000000">
                <w:pPr>
                  <w:widowControl w:val="0"/>
                  <w:jc w:val="both"/>
                  <w:rPr>
                    <w:rFonts w:ascii="Times New Roman" w:eastAsia="Times New Roman" w:hAnsi="Times New Roman" w:cs="Times New Roman"/>
                    <w:sz w:val="24"/>
                    <w:szCs w:val="24"/>
                  </w:rPr>
                </w:pPr>
                <w:sdt>
                  <w:sdtPr>
                    <w:tag w:val="goog_rdk_245"/>
                    <w:id w:val="1487225668"/>
                  </w:sdtPr>
                  <w:sdtContent>
                    <w:r>
                      <w:rPr>
                        <w:rFonts w:ascii="Gungsuh" w:eastAsia="Gungsuh" w:hAnsi="Gungsuh" w:cs="Gungsuh"/>
                        <w:sz w:val="24"/>
                        <w:szCs w:val="24"/>
                      </w:rPr>
                      <w:t xml:space="preserve">：Return on Equity. Net income of firm </w:t>
                    </w:r>
                    <w:proofErr w:type="spellStart"/>
                    <w:r>
                      <w:rPr>
                        <w:rFonts w:ascii="Gungsuh" w:eastAsia="Gungsuh" w:hAnsi="Gungsuh" w:cs="Gungsuh"/>
                        <w:sz w:val="24"/>
                        <w:szCs w:val="24"/>
                      </w:rPr>
                      <w:t>i</w:t>
                    </w:r>
                    <w:proofErr w:type="spellEnd"/>
                    <w:r>
                      <w:rPr>
                        <w:rFonts w:ascii="Gungsuh" w:eastAsia="Gungsuh" w:hAnsi="Gungsuh" w:cs="Gungsuh"/>
                        <w:sz w:val="24"/>
                        <w:szCs w:val="24"/>
                      </w:rPr>
                      <w:t xml:space="preserve"> in period t divided by total equity, multiplied by 100%.</w:t>
                    </w:r>
                  </w:sdtContent>
                </w:sdt>
              </w:p>
            </w:tc>
          </w:tr>
          <w:tr w:rsidR="007373F6" w14:paraId="1010B45D" w14:textId="77777777">
            <w:tc>
              <w:tcPr>
                <w:tcW w:w="1449" w:type="dxa"/>
              </w:tcPr>
              <w:p w14:paraId="24DE9AB4"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βMarket</m:t>
                        </m:r>
                      </m:e>
                      <m:sub>
                        <m:r>
                          <w:rPr>
                            <w:rFonts w:ascii="Cambria Math" w:eastAsia="Cambria Math" w:hAnsi="Cambria Math" w:cs="Cambria Math"/>
                            <w:sz w:val="24"/>
                            <w:szCs w:val="24"/>
                          </w:rPr>
                          <m:t>i,t</m:t>
                        </m:r>
                      </m:sub>
                    </m:sSub>
                  </m:oMath>
                </m:oMathPara>
              </w:p>
            </w:tc>
            <w:tc>
              <w:tcPr>
                <w:tcW w:w="7601" w:type="dxa"/>
              </w:tcPr>
              <w:p w14:paraId="0AE1B606" w14:textId="77777777" w:rsidR="007373F6" w:rsidRDefault="00000000">
                <w:pPr>
                  <w:widowControl w:val="0"/>
                  <w:ind w:left="269" w:hanging="240"/>
                  <w:jc w:val="both"/>
                  <w:rPr>
                    <w:rFonts w:ascii="Times New Roman" w:eastAsia="Times New Roman" w:hAnsi="Times New Roman" w:cs="Times New Roman"/>
                    <w:sz w:val="24"/>
                    <w:szCs w:val="24"/>
                  </w:rPr>
                </w:pPr>
                <w:sdt>
                  <w:sdtPr>
                    <w:tag w:val="goog_rdk_246"/>
                    <w:id w:val="-1991456970"/>
                  </w:sdtPr>
                  <w:sdtContent>
                    <w:r>
                      <w:rPr>
                        <w:rFonts w:ascii="Gungsuh" w:eastAsia="Gungsuh" w:hAnsi="Gungsuh" w:cs="Gungsuh"/>
                        <w:sz w:val="24"/>
                        <w:szCs w:val="24"/>
                        <w:highlight w:val="white"/>
                      </w:rPr>
                      <w:t xml:space="preserve">：Market Beta (3-year). Beta coefficient calculated by regressing the monthly return of firm </w:t>
                    </w:r>
                    <w:proofErr w:type="spellStart"/>
                    <w:r>
                      <w:rPr>
                        <w:rFonts w:ascii="Gungsuh" w:eastAsia="Gungsuh" w:hAnsi="Gungsuh" w:cs="Gungsuh"/>
                        <w:sz w:val="24"/>
                        <w:szCs w:val="24"/>
                        <w:highlight w:val="white"/>
                      </w:rPr>
                      <w:t>i</w:t>
                    </w:r>
                    <w:proofErr w:type="spellEnd"/>
                    <w:r>
                      <w:rPr>
                        <w:rFonts w:ascii="Gungsuh" w:eastAsia="Gungsuh" w:hAnsi="Gungsuh" w:cs="Gungsuh"/>
                        <w:sz w:val="24"/>
                        <w:szCs w:val="24"/>
                        <w:highlight w:val="white"/>
                      </w:rPr>
                      <w:t xml:space="preserve"> over the past 36 months on the monthly returns of the Nikkei 500 index.</w:t>
                    </w:r>
                  </w:sdtContent>
                </w:sdt>
              </w:p>
            </w:tc>
          </w:tr>
          <w:tr w:rsidR="007373F6" w14:paraId="64564908" w14:textId="77777777">
            <w:tc>
              <w:tcPr>
                <w:tcW w:w="1449" w:type="dxa"/>
              </w:tcPr>
              <w:p w14:paraId="6BE3FF64"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βTOPIX</m:t>
                        </m:r>
                      </m:e>
                      <m:sub>
                        <m:r>
                          <w:rPr>
                            <w:rFonts w:ascii="Cambria Math" w:eastAsia="Cambria Math" w:hAnsi="Cambria Math" w:cs="Cambria Math"/>
                            <w:sz w:val="24"/>
                            <w:szCs w:val="24"/>
                          </w:rPr>
                          <m:t>i,t</m:t>
                        </m:r>
                      </m:sub>
                    </m:sSub>
                  </m:oMath>
                </m:oMathPara>
              </w:p>
            </w:tc>
            <w:tc>
              <w:tcPr>
                <w:tcW w:w="7601" w:type="dxa"/>
              </w:tcPr>
              <w:p w14:paraId="24C99498" w14:textId="77777777" w:rsidR="007373F6" w:rsidRDefault="00000000">
                <w:pPr>
                  <w:widowControl w:val="0"/>
                  <w:ind w:left="269" w:hanging="240"/>
                  <w:jc w:val="both"/>
                  <w:rPr>
                    <w:rFonts w:ascii="Times New Roman" w:eastAsia="Times New Roman" w:hAnsi="Times New Roman" w:cs="Times New Roman"/>
                    <w:sz w:val="24"/>
                    <w:szCs w:val="24"/>
                  </w:rPr>
                </w:pPr>
                <w:sdt>
                  <w:sdtPr>
                    <w:tag w:val="goog_rdk_247"/>
                    <w:id w:val="-1669719046"/>
                  </w:sdtPr>
                  <w:sdtContent>
                    <w:r>
                      <w:rPr>
                        <w:rFonts w:ascii="Gungsuh" w:eastAsia="Gungsuh" w:hAnsi="Gungsuh" w:cs="Gungsuh"/>
                        <w:sz w:val="24"/>
                        <w:szCs w:val="24"/>
                        <w:highlight w:val="white"/>
                      </w:rPr>
                      <w:t xml:space="preserve">：TOPIX Beta (3-year). Beta coefficient calculated by regressing the monthly return of firm </w:t>
                    </w:r>
                    <w:proofErr w:type="spellStart"/>
                    <w:r>
                      <w:rPr>
                        <w:rFonts w:ascii="Gungsuh" w:eastAsia="Gungsuh" w:hAnsi="Gungsuh" w:cs="Gungsuh"/>
                        <w:sz w:val="24"/>
                        <w:szCs w:val="24"/>
                        <w:highlight w:val="white"/>
                      </w:rPr>
                      <w:t>i</w:t>
                    </w:r>
                    <w:proofErr w:type="spellEnd"/>
                    <w:r>
                      <w:rPr>
                        <w:rFonts w:ascii="Gungsuh" w:eastAsia="Gungsuh" w:hAnsi="Gungsuh" w:cs="Gungsuh"/>
                        <w:sz w:val="24"/>
                        <w:szCs w:val="24"/>
                        <w:highlight w:val="white"/>
                      </w:rPr>
                      <w:t xml:space="preserve"> over the past 36 months on the monthly returns of the TOPIX index.</w:t>
                    </w:r>
                  </w:sdtContent>
                </w:sdt>
              </w:p>
            </w:tc>
          </w:tr>
          <w:tr w:rsidR="007373F6" w14:paraId="78B0C10E" w14:textId="77777777">
            <w:tc>
              <w:tcPr>
                <w:tcW w:w="1449" w:type="dxa"/>
              </w:tcPr>
              <w:p w14:paraId="5D3CB27D"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Growth</m:t>
                        </m:r>
                      </m:e>
                      <m:sub>
                        <m:r>
                          <w:rPr>
                            <w:rFonts w:ascii="Cambria Math" w:eastAsia="Cambria Math" w:hAnsi="Cambria Math" w:cs="Cambria Math"/>
                            <w:sz w:val="24"/>
                            <w:szCs w:val="24"/>
                          </w:rPr>
                          <m:t>i,t</m:t>
                        </m:r>
                      </m:sub>
                    </m:sSub>
                  </m:oMath>
                </m:oMathPara>
              </w:p>
            </w:tc>
            <w:tc>
              <w:tcPr>
                <w:tcW w:w="7601" w:type="dxa"/>
              </w:tcPr>
              <w:p w14:paraId="7C98458A" w14:textId="77777777" w:rsidR="007373F6" w:rsidRDefault="00000000">
                <w:pPr>
                  <w:widowControl w:val="0"/>
                  <w:ind w:left="269" w:hanging="240"/>
                  <w:jc w:val="both"/>
                  <w:rPr>
                    <w:rFonts w:ascii="Times New Roman" w:eastAsia="Times New Roman" w:hAnsi="Times New Roman" w:cs="Times New Roman"/>
                    <w:sz w:val="24"/>
                    <w:szCs w:val="24"/>
                    <w:highlight w:val="white"/>
                  </w:rPr>
                </w:pPr>
                <w:sdt>
                  <w:sdtPr>
                    <w:tag w:val="goog_rdk_248"/>
                    <w:id w:val="-939537145"/>
                  </w:sdtPr>
                  <w:sdtContent>
                    <w:r>
                      <w:rPr>
                        <w:rFonts w:ascii="Gungsuh" w:eastAsia="Gungsuh" w:hAnsi="Gungsuh" w:cs="Gungsuh"/>
                        <w:sz w:val="24"/>
                        <w:szCs w:val="24"/>
                        <w:highlight w:val="white"/>
                      </w:rPr>
                      <w:t>：Revenue Growth Rate. (Sales  in period </w:t>
                    </w:r>
                  </w:sdtContent>
                </w:sdt>
                <w:r>
                  <w:rPr>
                    <w:rFonts w:ascii="Cambria Math" w:eastAsia="Cambria Math" w:hAnsi="Cambria Math" w:cs="Cambria Math"/>
                    <w:sz w:val="24"/>
                    <w:szCs w:val="24"/>
                    <w:highlight w:val="white"/>
                  </w:rPr>
                  <w:t>𝑡</w:t>
                </w:r>
                <w:r>
                  <w:rPr>
                    <w:rFonts w:ascii="Times New Roman" w:eastAsia="Times New Roman" w:hAnsi="Times New Roman" w:cs="Times New Roman"/>
                    <w:sz w:val="24"/>
                    <w:szCs w:val="24"/>
                    <w:highlight w:val="white"/>
                  </w:rPr>
                  <w:t>÷Sales in period (</w:t>
                </w:r>
                <w:r>
                  <w:rPr>
                    <w:rFonts w:ascii="Cambria Math" w:eastAsia="Cambria Math" w:hAnsi="Cambria Math" w:cs="Cambria Math"/>
                    <w:sz w:val="24"/>
                    <w:szCs w:val="24"/>
                    <w:highlight w:val="white"/>
                  </w:rPr>
                  <w:t>𝑡</w:t>
                </w:r>
                <w:sdt>
                  <w:sdtPr>
                    <w:tag w:val="goog_rdk_249"/>
                    <w:id w:val="1176233090"/>
                  </w:sdtPr>
                  <w:sdtContent>
                    <w:r>
                      <w:rPr>
                        <w:rFonts w:ascii="Gungsuh" w:eastAsia="Gungsuh" w:hAnsi="Gungsuh" w:cs="Gungsuh"/>
                        <w:sz w:val="24"/>
                        <w:szCs w:val="24"/>
                        <w:highlight w:val="white"/>
                      </w:rPr>
                      <w:t>−1))−1×100%</w:t>
                    </w:r>
                  </w:sdtContent>
                </w:sdt>
              </w:p>
            </w:tc>
          </w:tr>
          <w:tr w:rsidR="007373F6" w14:paraId="2B691099" w14:textId="77777777">
            <w:tc>
              <w:tcPr>
                <w:tcW w:w="1449" w:type="dxa"/>
              </w:tcPr>
              <w:p w14:paraId="2FEB3517"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logAssets</m:t>
                        </m:r>
                      </m:e>
                      <m:sub>
                        <m:r>
                          <w:rPr>
                            <w:rFonts w:ascii="Cambria Math" w:eastAsia="Cambria Math" w:hAnsi="Cambria Math" w:cs="Cambria Math"/>
                            <w:sz w:val="24"/>
                            <w:szCs w:val="24"/>
                          </w:rPr>
                          <m:t>i,t</m:t>
                        </m:r>
                      </m:sub>
                    </m:sSub>
                  </m:oMath>
                </m:oMathPara>
              </w:p>
            </w:tc>
            <w:tc>
              <w:tcPr>
                <w:tcW w:w="7601" w:type="dxa"/>
              </w:tcPr>
              <w:p w14:paraId="6D6088B2" w14:textId="77777777" w:rsidR="007373F6" w:rsidRDefault="00000000">
                <w:pPr>
                  <w:widowControl w:val="0"/>
                  <w:jc w:val="both"/>
                  <w:rPr>
                    <w:rFonts w:ascii="Times New Roman" w:eastAsia="Times New Roman" w:hAnsi="Times New Roman" w:cs="Times New Roman"/>
                    <w:sz w:val="24"/>
                    <w:szCs w:val="24"/>
                  </w:rPr>
                </w:pPr>
                <w:sdt>
                  <w:sdtPr>
                    <w:tag w:val="goog_rdk_250"/>
                    <w:id w:val="249866373"/>
                  </w:sdtPr>
                  <w:sdtContent>
                    <w:r>
                      <w:rPr>
                        <w:rFonts w:ascii="Gungsuh" w:eastAsia="Gungsuh" w:hAnsi="Gungsuh" w:cs="Gungsuh"/>
                        <w:sz w:val="24"/>
                        <w:szCs w:val="24"/>
                      </w:rPr>
                      <w:t xml:space="preserve">：Firm Size. Natural logarithm of the total assets of firm </w:t>
                    </w:r>
                    <w:proofErr w:type="spellStart"/>
                    <w:r>
                      <w:rPr>
                        <w:rFonts w:ascii="Gungsuh" w:eastAsia="Gungsuh" w:hAnsi="Gungsuh" w:cs="Gungsuh"/>
                        <w:sz w:val="24"/>
                        <w:szCs w:val="24"/>
                      </w:rPr>
                      <w:t>i</w:t>
                    </w:r>
                    <w:proofErr w:type="spellEnd"/>
                    <w:r>
                      <w:rPr>
                        <w:rFonts w:ascii="Gungsuh" w:eastAsia="Gungsuh" w:hAnsi="Gungsuh" w:cs="Gungsuh"/>
                        <w:sz w:val="24"/>
                        <w:szCs w:val="24"/>
                      </w:rPr>
                      <w:t xml:space="preserve"> in period t.</w:t>
                    </w:r>
                  </w:sdtContent>
                </w:sdt>
              </w:p>
            </w:tc>
          </w:tr>
          <w:tr w:rsidR="007373F6" w14:paraId="03110C50" w14:textId="77777777">
            <w:tc>
              <w:tcPr>
                <w:tcW w:w="1449" w:type="dxa"/>
              </w:tcPr>
              <w:p w14:paraId="78AE81D7"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m:t>
                        </m:r>
                      </m:e>
                      <m:sub>
                        <m:r>
                          <w:rPr>
                            <w:rFonts w:ascii="Cambria Math" w:eastAsia="Cambria Math" w:hAnsi="Cambria Math" w:cs="Cambria Math"/>
                            <w:sz w:val="24"/>
                            <w:szCs w:val="24"/>
                          </w:rPr>
                          <m:t>i,t</m:t>
                        </m:r>
                      </m:sub>
                    </m:sSub>
                  </m:oMath>
                </m:oMathPara>
              </w:p>
            </w:tc>
            <w:tc>
              <w:tcPr>
                <w:tcW w:w="7601" w:type="dxa"/>
              </w:tcPr>
              <w:p w14:paraId="59B80127" w14:textId="77777777" w:rsidR="007373F6" w:rsidRDefault="00000000">
                <w:pPr>
                  <w:jc w:val="both"/>
                  <w:rPr>
                    <w:rFonts w:ascii="Times New Roman" w:eastAsia="Times New Roman" w:hAnsi="Times New Roman" w:cs="Times New Roman"/>
                    <w:sz w:val="24"/>
                    <w:szCs w:val="24"/>
                  </w:rPr>
                </w:pPr>
                <w:sdt>
                  <w:sdtPr>
                    <w:tag w:val="goog_rdk_251"/>
                    <w:id w:val="1661956489"/>
                  </w:sdtPr>
                  <w:sdtContent>
                    <w:r>
                      <w:rPr>
                        <w:rFonts w:ascii="Gungsuh" w:eastAsia="Gungsuh" w:hAnsi="Gungsuh" w:cs="Gungsuh"/>
                        <w:sz w:val="24"/>
                        <w:szCs w:val="24"/>
                      </w:rPr>
                      <w:t>：Book-to-Market Ratio. Total assets divided by (shares outstanding at fiscal year-end × year-end closing stock price of the parent company).</w:t>
                    </w:r>
                  </w:sdtContent>
                </w:sdt>
              </w:p>
            </w:tc>
          </w:tr>
        </w:tbl>
      </w:sdtContent>
    </w:sdt>
    <w:p w14:paraId="4012160E" w14:textId="77777777" w:rsidR="007373F6" w:rsidRDefault="00000000">
      <w:pPr>
        <w:spacing w:before="240" w:after="12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Sample</w:t>
      </w:r>
    </w:p>
    <w:p w14:paraId="10E4EB63" w14:textId="77777777" w:rsidR="007373F6" w:rsidRDefault="00000000">
      <w:pPr>
        <w:spacing w:before="240" w:after="12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Sample Selection</w:t>
      </w:r>
    </w:p>
    <w:p w14:paraId="3926E658"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study conducts an empirical analysis using financial data from Japanese firms to test the proposed hypotheses. The sample comprises firms listed on the Tokyo Stock Exchange (TSE) Prime and Standard markets during the fiscal years 2007 to 2021. Following common practice, firms classified under banking, securities, insurance, and other financial sectors—based on TSE industry classifications—are excluded from the analysis.</w:t>
      </w:r>
    </w:p>
    <w:p w14:paraId="245F8C59"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ensure data consistency, the sample is further limited to firms whose fiscal year ends in March and whose fiscal year duration is exactly 12 months. The initial sample selection criteria are summarized as follows:</w:t>
      </w:r>
    </w:p>
    <w:sdt>
      <w:sdtPr>
        <w:rPr>
          <w:sz w:val="22"/>
          <w:szCs w:val="22"/>
        </w:rPr>
        <w:tag w:val="goog_rdk_258"/>
        <w:id w:val="1667472738"/>
        <w:lock w:val="contentLocked"/>
      </w:sdtPr>
      <w:sdtContent>
        <w:tbl>
          <w:tblPr>
            <w:tblStyle w:val="affc"/>
            <w:tblW w:w="9050" w:type="dxa"/>
            <w:tblBorders>
              <w:top w:val="nil"/>
              <w:left w:val="nil"/>
              <w:bottom w:val="nil"/>
              <w:right w:val="nil"/>
              <w:insideH w:val="nil"/>
              <w:insideV w:val="nil"/>
            </w:tblBorders>
            <w:tblLayout w:type="fixed"/>
            <w:tblLook w:val="0400" w:firstRow="0" w:lastRow="0" w:firstColumn="0" w:lastColumn="0" w:noHBand="0" w:noVBand="1"/>
          </w:tblPr>
          <w:tblGrid>
            <w:gridCol w:w="1397"/>
            <w:gridCol w:w="7653"/>
          </w:tblGrid>
          <w:tr w:rsidR="007373F6" w14:paraId="1BB2DBB4" w14:textId="77777777">
            <w:tc>
              <w:tcPr>
                <w:tcW w:w="1397" w:type="dxa"/>
              </w:tcPr>
              <w:p w14:paraId="0097E5AA" w14:textId="77777777" w:rsidR="007373F6" w:rsidRDefault="00000000">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Period</w:t>
                </w:r>
              </w:p>
            </w:tc>
            <w:tc>
              <w:tcPr>
                <w:tcW w:w="7653" w:type="dxa"/>
              </w:tcPr>
              <w:p w14:paraId="5E524821" w14:textId="77777777" w:rsidR="007373F6" w:rsidRDefault="00000000">
                <w:pPr>
                  <w:widowControl w:val="0"/>
                  <w:ind w:left="269" w:hanging="240"/>
                  <w:jc w:val="both"/>
                  <w:rPr>
                    <w:rFonts w:ascii="Times New Roman" w:eastAsia="Times New Roman" w:hAnsi="Times New Roman" w:cs="Times New Roman"/>
                    <w:sz w:val="24"/>
                    <w:szCs w:val="24"/>
                    <w:highlight w:val="white"/>
                  </w:rPr>
                </w:pPr>
                <w:sdt>
                  <w:sdtPr>
                    <w:tag w:val="goog_rdk_253"/>
                    <w:id w:val="-1017777746"/>
                  </w:sdtPr>
                  <w:sdtContent>
                    <w:r>
                      <w:rPr>
                        <w:rFonts w:ascii="Gungsuh" w:eastAsia="Gungsuh" w:hAnsi="Gungsuh" w:cs="Gungsuh"/>
                        <w:sz w:val="24"/>
                        <w:szCs w:val="24"/>
                        <w:highlight w:val="white"/>
                      </w:rPr>
                      <w:t>：Fiscal Year 2007 to Fiscal Year 2021</w:t>
                    </w:r>
                  </w:sdtContent>
                </w:sdt>
              </w:p>
              <w:p w14:paraId="15A5FBA0" w14:textId="77777777" w:rsidR="007373F6" w:rsidRDefault="00000000">
                <w:pPr>
                  <w:widowControl w:val="0"/>
                  <w:ind w:left="249"/>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(Note: To calculate cost stickiness, data on sales, operating revenue, operating expenses, and SG&amp;A expenses from Q3 FY2006 to Q1 FY2022 are used.)</w:t>
                </w:r>
              </w:p>
            </w:tc>
          </w:tr>
          <w:tr w:rsidR="007373F6" w14:paraId="005E182E" w14:textId="77777777">
            <w:tc>
              <w:tcPr>
                <w:tcW w:w="1397" w:type="dxa"/>
              </w:tcPr>
              <w:p w14:paraId="37A3532B" w14:textId="77777777" w:rsidR="007373F6" w:rsidRDefault="00000000">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Target Firms</w:t>
                </w:r>
              </w:p>
            </w:tc>
            <w:tc>
              <w:tcPr>
                <w:tcW w:w="7653" w:type="dxa"/>
              </w:tcPr>
              <w:p w14:paraId="0FBA7D1A" w14:textId="77777777" w:rsidR="007373F6" w:rsidRDefault="00000000">
                <w:pPr>
                  <w:widowControl w:val="0"/>
                  <w:ind w:left="269" w:hanging="240"/>
                  <w:jc w:val="both"/>
                  <w:rPr>
                    <w:rFonts w:ascii="Times New Roman" w:eastAsia="Times New Roman" w:hAnsi="Times New Roman" w:cs="Times New Roman"/>
                    <w:sz w:val="24"/>
                    <w:szCs w:val="24"/>
                  </w:rPr>
                </w:pPr>
                <w:sdt>
                  <w:sdtPr>
                    <w:tag w:val="goog_rdk_254"/>
                    <w:id w:val="327784315"/>
                  </w:sdtPr>
                  <w:sdtContent>
                    <w:r>
                      <w:rPr>
                        <w:rFonts w:ascii="Gungsuh" w:eastAsia="Gungsuh" w:hAnsi="Gungsuh" w:cs="Gungsuh"/>
                        <w:sz w:val="24"/>
                        <w:szCs w:val="24"/>
                        <w:highlight w:val="white"/>
                      </w:rPr>
                      <w:t>：Companies listed on the TSE Prime and Standard markets, excluding those classified under banking, securities, insurance, and other financial industries based on TSE classifications.</w:t>
                    </w:r>
                  </w:sdtContent>
                </w:sdt>
              </w:p>
            </w:tc>
          </w:tr>
          <w:tr w:rsidR="007373F6" w14:paraId="4290BFD1" w14:textId="77777777">
            <w:tc>
              <w:tcPr>
                <w:tcW w:w="1397" w:type="dxa"/>
              </w:tcPr>
              <w:p w14:paraId="34D245FF" w14:textId="77777777" w:rsidR="007373F6" w:rsidRDefault="00000000">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Financial Data</w:t>
                </w:r>
              </w:p>
            </w:tc>
            <w:tc>
              <w:tcPr>
                <w:tcW w:w="7653" w:type="dxa"/>
              </w:tcPr>
              <w:p w14:paraId="01D424B4" w14:textId="77777777" w:rsidR="007373F6" w:rsidRDefault="00000000">
                <w:pPr>
                  <w:widowControl w:val="0"/>
                  <w:jc w:val="both"/>
                  <w:rPr>
                    <w:rFonts w:ascii="Times New Roman" w:eastAsia="Times New Roman" w:hAnsi="Times New Roman" w:cs="Times New Roman"/>
                    <w:sz w:val="24"/>
                    <w:szCs w:val="24"/>
                  </w:rPr>
                </w:pPr>
                <w:sdt>
                  <w:sdtPr>
                    <w:tag w:val="goog_rdk_255"/>
                    <w:id w:val="-335302700"/>
                  </w:sdtPr>
                  <w:sdtContent>
                    <w:r>
                      <w:rPr>
                        <w:rFonts w:ascii="Gungsuh" w:eastAsia="Gungsuh" w:hAnsi="Gungsuh" w:cs="Gungsuh"/>
                        <w:sz w:val="24"/>
                        <w:szCs w:val="24"/>
                        <w:highlight w:val="white"/>
                      </w:rPr>
                      <w:t>：Consolidated financial statements prepared under Japanese GAAP.</w:t>
                    </w:r>
                  </w:sdtContent>
                </w:sdt>
              </w:p>
            </w:tc>
          </w:tr>
          <w:tr w:rsidR="007373F6" w14:paraId="6DEE8564" w14:textId="77777777">
            <w:tc>
              <w:tcPr>
                <w:tcW w:w="1397" w:type="dxa"/>
              </w:tcPr>
              <w:p w14:paraId="461B9822" w14:textId="77777777" w:rsidR="007373F6" w:rsidRDefault="00000000">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Fiscal Year-End</w:t>
                </w:r>
              </w:p>
            </w:tc>
            <w:tc>
              <w:tcPr>
                <w:tcW w:w="7653" w:type="dxa"/>
              </w:tcPr>
              <w:p w14:paraId="2BA82DB7" w14:textId="77777777" w:rsidR="007373F6" w:rsidRDefault="00000000">
                <w:pPr>
                  <w:widowControl w:val="0"/>
                  <w:jc w:val="both"/>
                  <w:rPr>
                    <w:rFonts w:ascii="Times New Roman" w:eastAsia="Times New Roman" w:hAnsi="Times New Roman" w:cs="Times New Roman"/>
                    <w:sz w:val="24"/>
                    <w:szCs w:val="24"/>
                  </w:rPr>
                </w:pPr>
                <w:sdt>
                  <w:sdtPr>
                    <w:tag w:val="goog_rdk_256"/>
                    <w:id w:val="-2058290035"/>
                  </w:sdtPr>
                  <w:sdtContent>
                    <w:r>
                      <w:rPr>
                        <w:rFonts w:ascii="Gungsuh" w:eastAsia="Gungsuh" w:hAnsi="Gungsuh" w:cs="Gungsuh"/>
                        <w:sz w:val="24"/>
                        <w:szCs w:val="24"/>
                      </w:rPr>
                      <w:t>：March</w:t>
                    </w:r>
                  </w:sdtContent>
                </w:sdt>
              </w:p>
            </w:tc>
          </w:tr>
          <w:tr w:rsidR="007373F6" w14:paraId="1BC0021F" w14:textId="77777777">
            <w:tc>
              <w:tcPr>
                <w:tcW w:w="1397" w:type="dxa"/>
              </w:tcPr>
              <w:p w14:paraId="72804B34" w14:textId="77777777" w:rsidR="007373F6" w:rsidRDefault="00000000">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Fiscal Year Duration</w:t>
                </w:r>
              </w:p>
            </w:tc>
            <w:tc>
              <w:tcPr>
                <w:tcW w:w="7653" w:type="dxa"/>
              </w:tcPr>
              <w:p w14:paraId="3ED21016" w14:textId="77777777" w:rsidR="007373F6" w:rsidRDefault="00000000">
                <w:pPr>
                  <w:widowControl w:val="0"/>
                  <w:jc w:val="both"/>
                  <w:rPr>
                    <w:rFonts w:ascii="Times New Roman" w:eastAsia="Times New Roman" w:hAnsi="Times New Roman" w:cs="Times New Roman"/>
                    <w:sz w:val="24"/>
                    <w:szCs w:val="24"/>
                  </w:rPr>
                </w:pPr>
                <w:sdt>
                  <w:sdtPr>
                    <w:tag w:val="goog_rdk_257"/>
                    <w:id w:val="1952878755"/>
                  </w:sdtPr>
                  <w:sdtContent>
                    <w:r>
                      <w:rPr>
                        <w:rFonts w:ascii="Gungsuh" w:eastAsia="Gungsuh" w:hAnsi="Gungsuh" w:cs="Gungsuh"/>
                        <w:sz w:val="24"/>
                        <w:szCs w:val="24"/>
                      </w:rPr>
                      <w:t>：12 months</w:t>
                    </w:r>
                  </w:sdtContent>
                </w:sdt>
              </w:p>
            </w:tc>
          </w:tr>
        </w:tbl>
      </w:sdtContent>
    </w:sdt>
    <w:p w14:paraId="301E28D8" w14:textId="77777777" w:rsidR="007373F6" w:rsidRDefault="00000000">
      <w:pPr>
        <w:spacing w:before="240" w:after="12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Sample Extraction Procedure</w:t>
      </w:r>
    </w:p>
    <w:p w14:paraId="1011A82F"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financial data used for the analysis were obtained from Nikkei NEEDS-Financial </w:t>
      </w:r>
      <w:r>
        <w:rPr>
          <w:rFonts w:ascii="Times New Roman" w:eastAsia="Times New Roman" w:hAnsi="Times New Roman" w:cs="Times New Roman"/>
          <w:sz w:val="24"/>
          <w:szCs w:val="24"/>
        </w:rPr>
        <w:lastRenderedPageBreak/>
        <w:t>QUEST and the Bloomberg Terminal. After data collection, pooled regression analysis was conducted using IBM SPSS Statistics 24 to test the proposed hypotheses.</w:t>
      </w:r>
    </w:p>
    <w:p w14:paraId="106DD204"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number of firm-year observations remaining after applying the sample selection criteria is summarized as follows:</w:t>
      </w:r>
    </w:p>
    <w:sdt>
      <w:sdtPr>
        <w:rPr>
          <w:sz w:val="22"/>
          <w:szCs w:val="22"/>
        </w:rPr>
        <w:tag w:val="goog_rdk_264"/>
        <w:id w:val="-1751417231"/>
        <w:lock w:val="contentLocked"/>
      </w:sdtPr>
      <w:sdtContent>
        <w:tbl>
          <w:tblPr>
            <w:tblStyle w:val="affd"/>
            <w:tblW w:w="9050" w:type="dxa"/>
            <w:tblBorders>
              <w:top w:val="nil"/>
              <w:left w:val="nil"/>
              <w:bottom w:val="nil"/>
              <w:right w:val="nil"/>
              <w:insideH w:val="nil"/>
              <w:insideV w:val="nil"/>
            </w:tblBorders>
            <w:tblLayout w:type="fixed"/>
            <w:tblLook w:val="0400" w:firstRow="0" w:lastRow="0" w:firstColumn="0" w:lastColumn="0" w:noHBand="0" w:noVBand="1"/>
          </w:tblPr>
          <w:tblGrid>
            <w:gridCol w:w="7278"/>
            <w:gridCol w:w="1772"/>
          </w:tblGrid>
          <w:tr w:rsidR="007373F6" w14:paraId="26433361" w14:textId="77777777">
            <w:tc>
              <w:tcPr>
                <w:tcW w:w="7278" w:type="dxa"/>
              </w:tcPr>
              <w:p w14:paraId="601EAD1B" w14:textId="77777777" w:rsidR="007373F6" w:rsidRDefault="00000000" w:rsidP="00856618">
                <w:pPr>
                  <w:widowControl w:val="0"/>
                  <w:numPr>
                    <w:ilvl w:val="0"/>
                    <w:numId w:val="4"/>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Total firm-year observations (FY2007 to FY2021) of companies listed on the TSE Prime and Standard markets, excluding those classified under banking, securities, insurance, and other financial sectors based on TSE industry classifications</w:t>
                </w:r>
              </w:p>
            </w:tc>
            <w:tc>
              <w:tcPr>
                <w:tcW w:w="1772" w:type="dxa"/>
              </w:tcPr>
              <w:p w14:paraId="13E3D3DB" w14:textId="77777777" w:rsidR="007373F6" w:rsidRDefault="00000000">
                <w:pPr>
                  <w:widowControl w:val="0"/>
                  <w:jc w:val="both"/>
                  <w:rPr>
                    <w:rFonts w:ascii="Times New Roman" w:eastAsia="Times New Roman" w:hAnsi="Times New Roman" w:cs="Times New Roman"/>
                    <w:sz w:val="24"/>
                    <w:szCs w:val="24"/>
                  </w:rPr>
                </w:pPr>
                <w:sdt>
                  <w:sdtPr>
                    <w:tag w:val="goog_rdk_259"/>
                    <w:id w:val="-1881822443"/>
                  </w:sdtPr>
                  <w:sdtContent>
                    <w:r>
                      <w:rPr>
                        <w:rFonts w:ascii="Gungsuh" w:eastAsia="Gungsuh" w:hAnsi="Gungsuh" w:cs="Gungsuh"/>
                        <w:sz w:val="24"/>
                        <w:szCs w:val="24"/>
                        <w:highlight w:val="white"/>
                      </w:rPr>
                      <w:t>：48,795 firm-years</w:t>
                    </w:r>
                  </w:sdtContent>
                </w:sdt>
              </w:p>
            </w:tc>
          </w:tr>
          <w:tr w:rsidR="007373F6" w14:paraId="0A85D3BA" w14:textId="77777777">
            <w:tc>
              <w:tcPr>
                <w:tcW w:w="7278" w:type="dxa"/>
              </w:tcPr>
              <w:p w14:paraId="7B16DA44" w14:textId="77777777" w:rsidR="007373F6" w:rsidRDefault="00000000" w:rsidP="00856618">
                <w:pPr>
                  <w:widowControl w:val="0"/>
                  <w:numPr>
                    <w:ilvl w:val="0"/>
                    <w:numId w:val="4"/>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Firm-year observations with March fiscal year-end and 12-month accounting period</w:t>
                </w:r>
              </w:p>
            </w:tc>
            <w:tc>
              <w:tcPr>
                <w:tcW w:w="1772" w:type="dxa"/>
              </w:tcPr>
              <w:p w14:paraId="36C04E3A" w14:textId="77777777" w:rsidR="007373F6" w:rsidRDefault="00000000">
                <w:pPr>
                  <w:widowControl w:val="0"/>
                  <w:jc w:val="both"/>
                  <w:rPr>
                    <w:rFonts w:ascii="Times New Roman" w:eastAsia="Times New Roman" w:hAnsi="Times New Roman" w:cs="Times New Roman"/>
                    <w:sz w:val="24"/>
                    <w:szCs w:val="24"/>
                  </w:rPr>
                </w:pPr>
                <w:sdt>
                  <w:sdtPr>
                    <w:tag w:val="goog_rdk_260"/>
                    <w:id w:val="-1476845583"/>
                  </w:sdtPr>
                  <w:sdtContent>
                    <w:r>
                      <w:rPr>
                        <w:rFonts w:ascii="Gungsuh" w:eastAsia="Gungsuh" w:hAnsi="Gungsuh" w:cs="Gungsuh"/>
                        <w:sz w:val="24"/>
                        <w:szCs w:val="24"/>
                        <w:highlight w:val="white"/>
                      </w:rPr>
                      <w:t>：</w:t>
                    </w:r>
                  </w:sdtContent>
                </w:sdt>
                <w:r>
                  <w:rPr>
                    <w:rFonts w:ascii="Times New Roman" w:eastAsia="Times New Roman" w:hAnsi="Times New Roman" w:cs="Times New Roman"/>
                    <w:sz w:val="24"/>
                    <w:szCs w:val="24"/>
                  </w:rPr>
                  <w:t>25,446</w:t>
                </w:r>
                <w:r>
                  <w:rPr>
                    <w:rFonts w:ascii="Times New Roman" w:eastAsia="Times New Roman" w:hAnsi="Times New Roman" w:cs="Times New Roman"/>
                    <w:sz w:val="24"/>
                    <w:szCs w:val="24"/>
                    <w:highlight w:val="white"/>
                  </w:rPr>
                  <w:t xml:space="preserve"> firm-years</w:t>
                </w:r>
              </w:p>
            </w:tc>
          </w:tr>
          <w:tr w:rsidR="007373F6" w14:paraId="2A148477" w14:textId="77777777">
            <w:tc>
              <w:tcPr>
                <w:tcW w:w="7278" w:type="dxa"/>
              </w:tcPr>
              <w:p w14:paraId="4B183314" w14:textId="77777777" w:rsidR="007373F6" w:rsidRDefault="00000000" w:rsidP="00856618">
                <w:pPr>
                  <w:widowControl w:val="0"/>
                  <w:numPr>
                    <w:ilvl w:val="0"/>
                    <w:numId w:val="4"/>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Firm-year observations with available EPS and DPS forecasts for computing the dependent variable</w:t>
                </w:r>
              </w:p>
            </w:tc>
            <w:tc>
              <w:tcPr>
                <w:tcW w:w="1772" w:type="dxa"/>
              </w:tcPr>
              <w:p w14:paraId="7A6C5C0E" w14:textId="77777777" w:rsidR="007373F6" w:rsidRDefault="00000000">
                <w:pPr>
                  <w:widowControl w:val="0"/>
                  <w:jc w:val="both"/>
                  <w:rPr>
                    <w:rFonts w:ascii="Times New Roman" w:eastAsia="Times New Roman" w:hAnsi="Times New Roman" w:cs="Times New Roman"/>
                    <w:sz w:val="24"/>
                    <w:szCs w:val="24"/>
                  </w:rPr>
                </w:pPr>
                <w:sdt>
                  <w:sdtPr>
                    <w:tag w:val="goog_rdk_261"/>
                    <w:id w:val="1140172530"/>
                  </w:sdtPr>
                  <w:sdtContent>
                    <w:r>
                      <w:rPr>
                        <w:rFonts w:ascii="Gungsuh" w:eastAsia="Gungsuh" w:hAnsi="Gungsuh" w:cs="Gungsuh"/>
                        <w:sz w:val="24"/>
                        <w:szCs w:val="24"/>
                        <w:highlight w:val="white"/>
                      </w:rPr>
                      <w:t xml:space="preserve">： </w:t>
                    </w:r>
                  </w:sdtContent>
                </w:sdt>
                <w:r>
                  <w:rPr>
                    <w:rFonts w:ascii="Times New Roman" w:eastAsia="Times New Roman" w:hAnsi="Times New Roman" w:cs="Times New Roman"/>
                    <w:sz w:val="24"/>
                    <w:szCs w:val="24"/>
                  </w:rPr>
                  <w:t>5,284</w:t>
                </w:r>
                <w:r>
                  <w:rPr>
                    <w:rFonts w:ascii="Times New Roman" w:eastAsia="Times New Roman" w:hAnsi="Times New Roman" w:cs="Times New Roman"/>
                    <w:sz w:val="24"/>
                    <w:szCs w:val="24"/>
                    <w:highlight w:val="white"/>
                  </w:rPr>
                  <w:t xml:space="preserve"> firm-years</w:t>
                </w:r>
              </w:p>
            </w:tc>
          </w:tr>
          <w:tr w:rsidR="007373F6" w14:paraId="606C33F7" w14:textId="77777777">
            <w:tc>
              <w:tcPr>
                <w:tcW w:w="7278" w:type="dxa"/>
              </w:tcPr>
              <w:p w14:paraId="702A9AFA" w14:textId="77777777" w:rsidR="007373F6" w:rsidRDefault="00000000" w:rsidP="00856618">
                <w:pPr>
                  <w:widowControl w:val="0"/>
                  <w:numPr>
                    <w:ilvl w:val="0"/>
                    <w:numId w:val="4"/>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Firm-year observations where cost stickiness or anti-stickiness is identifiable as an explanatory variable</w:t>
                </w:r>
              </w:p>
            </w:tc>
            <w:tc>
              <w:tcPr>
                <w:tcW w:w="1772" w:type="dxa"/>
              </w:tcPr>
              <w:p w14:paraId="2D88492E" w14:textId="77777777" w:rsidR="007373F6" w:rsidRDefault="00000000">
                <w:pPr>
                  <w:widowControl w:val="0"/>
                  <w:jc w:val="both"/>
                  <w:rPr>
                    <w:rFonts w:ascii="Times New Roman" w:eastAsia="Times New Roman" w:hAnsi="Times New Roman" w:cs="Times New Roman"/>
                    <w:sz w:val="24"/>
                    <w:szCs w:val="24"/>
                  </w:rPr>
                </w:pPr>
                <w:sdt>
                  <w:sdtPr>
                    <w:tag w:val="goog_rdk_262"/>
                    <w:id w:val="1519345245"/>
                  </w:sdtPr>
                  <w:sdtContent>
                    <w:r>
                      <w:rPr>
                        <w:rFonts w:ascii="Gungsuh" w:eastAsia="Gungsuh" w:hAnsi="Gungsuh" w:cs="Gungsuh"/>
                        <w:sz w:val="24"/>
                        <w:szCs w:val="24"/>
                      </w:rPr>
                      <w:t>： 3,588</w:t>
                    </w:r>
                  </w:sdtContent>
                </w:sdt>
                <w:r>
                  <w:rPr>
                    <w:rFonts w:ascii="Times New Roman" w:eastAsia="Times New Roman" w:hAnsi="Times New Roman" w:cs="Times New Roman"/>
                    <w:sz w:val="24"/>
                    <w:szCs w:val="24"/>
                    <w:highlight w:val="white"/>
                  </w:rPr>
                  <w:t xml:space="preserve"> firm-years</w:t>
                </w:r>
              </w:p>
            </w:tc>
          </w:tr>
          <w:tr w:rsidR="007373F6" w14:paraId="68468B2D" w14:textId="77777777">
            <w:tc>
              <w:tcPr>
                <w:tcW w:w="7278" w:type="dxa"/>
              </w:tcPr>
              <w:p w14:paraId="321264CC" w14:textId="77777777" w:rsidR="007373F6" w:rsidRDefault="00000000" w:rsidP="00856618">
                <w:pPr>
                  <w:widowControl w:val="0"/>
                  <w:numPr>
                    <w:ilvl w:val="0"/>
                    <w:numId w:val="4"/>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Firm-year observations after excluding outliers and anomalies</w:t>
                </w:r>
              </w:p>
            </w:tc>
            <w:tc>
              <w:tcPr>
                <w:tcW w:w="1772" w:type="dxa"/>
              </w:tcPr>
              <w:p w14:paraId="06B1A654" w14:textId="77777777" w:rsidR="007373F6" w:rsidRDefault="00000000">
                <w:pPr>
                  <w:widowControl w:val="0"/>
                  <w:jc w:val="both"/>
                  <w:rPr>
                    <w:rFonts w:ascii="Times New Roman" w:eastAsia="Times New Roman" w:hAnsi="Times New Roman" w:cs="Times New Roman"/>
                    <w:sz w:val="24"/>
                    <w:szCs w:val="24"/>
                  </w:rPr>
                </w:pPr>
                <w:sdt>
                  <w:sdtPr>
                    <w:tag w:val="goog_rdk_263"/>
                    <w:id w:val="-1982612071"/>
                  </w:sdtPr>
                  <w:sdtContent>
                    <w:r>
                      <w:rPr>
                        <w:rFonts w:ascii="Gungsuh" w:eastAsia="Gungsuh" w:hAnsi="Gungsuh" w:cs="Gungsuh"/>
                        <w:sz w:val="24"/>
                        <w:szCs w:val="24"/>
                        <w:highlight w:val="white"/>
                      </w:rPr>
                      <w:t xml:space="preserve">： </w:t>
                    </w:r>
                  </w:sdtContent>
                </w:sdt>
                <w:r>
                  <w:rPr>
                    <w:rFonts w:ascii="Times New Roman" w:eastAsia="Times New Roman" w:hAnsi="Times New Roman" w:cs="Times New Roman"/>
                    <w:sz w:val="24"/>
                    <w:szCs w:val="24"/>
                  </w:rPr>
                  <w:t>3,179</w:t>
                </w:r>
                <w:r>
                  <w:rPr>
                    <w:rFonts w:ascii="Times New Roman" w:eastAsia="Times New Roman" w:hAnsi="Times New Roman" w:cs="Times New Roman"/>
                    <w:sz w:val="24"/>
                    <w:szCs w:val="24"/>
                    <w:highlight w:val="white"/>
                  </w:rPr>
                  <w:t xml:space="preserve"> firm-years</w:t>
                </w:r>
              </w:p>
            </w:tc>
          </w:tr>
        </w:tbl>
      </w:sdtContent>
    </w:sdt>
    <w:p w14:paraId="7556330F" w14:textId="77777777" w:rsidR="007373F6" w:rsidRDefault="00000000" w:rsidP="00856618">
      <w:pPr>
        <w:numPr>
          <w:ilvl w:val="0"/>
          <w:numId w:val="22"/>
        </w:numPr>
        <w:spacing w:before="240" w:after="12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FINDINGS</w:t>
      </w:r>
    </w:p>
    <w:p w14:paraId="06F1AE01" w14:textId="77777777" w:rsidR="007373F6" w:rsidRDefault="00000000">
      <w:pPr>
        <w:spacing w:before="240" w:after="12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The Impact of Cost Stickiness on the Cost of Equity Capital</w:t>
      </w:r>
    </w:p>
    <w:p w14:paraId="00AD110B" w14:textId="77777777" w:rsidR="007373F6" w:rsidRDefault="00000000">
      <w:pPr>
        <w:spacing w:before="240" w:after="12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The Impact of Operating Expense Stickiness on the Cost of Equity Capital</w:t>
      </w:r>
    </w:p>
    <w:p w14:paraId="0A737AB6"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Table 1 presents the results of the regression analysis examining the relationship between operating expense stickiness and the implied cost of equity capital. The model includes control variables commonly used in prior literature to account for firm characteristics.</w:t>
      </w:r>
    </w:p>
    <w:p w14:paraId="0B3755F0"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Model 1 presents the empirical results for testing Hypothesis H1, focusing on the relationship between operating expense stickiness and the cost of equity capital estimated using the Ohlson–Juettner-Nauroth (OJ) model. The estimated coefficient for operating expense stickiness, </w:t>
      </w:r>
      <m:oMath>
        <m:sSub>
          <m:sSubPr>
            <m:ctrlPr>
              <w:rPr>
                <w:rFonts w:ascii="Cambria Math" w:eastAsia="Cambria Math" w:hAnsi="Cambria Math" w:cs="Cambria Math"/>
                <w:sz w:val="24"/>
                <w:szCs w:val="24"/>
              </w:rPr>
            </m:ctrlPr>
          </m:sSubPr>
          <m:e>
            <m:acc>
              <m:accPr>
                <m:ctrlPr>
                  <w:rPr>
                    <w:rFonts w:ascii="Cambria Math" w:hAnsi="Cambria Math"/>
                  </w:rPr>
                </m:ctrlPr>
              </m:accPr>
              <m:e>
                <m:r>
                  <w:rPr>
                    <w:rFonts w:ascii="Cambria Math" w:hAnsi="Cambria Math"/>
                  </w:rPr>
                  <m:t>β</m:t>
                </m:r>
              </m:e>
            </m:acc>
          </m:e>
          <m:sub>
            <m:r>
              <w:rPr>
                <w:rFonts w:ascii="Cambria Math" w:eastAsia="Cambria Math" w:hAnsi="Cambria Math" w:cs="Cambria Math"/>
                <w:sz w:val="24"/>
                <w:szCs w:val="24"/>
              </w:rPr>
              <m:t>1</m:t>
            </m:r>
          </m:sub>
        </m:sSub>
      </m:oMath>
      <w:r>
        <w:rPr>
          <w:rFonts w:ascii="Times New Roman" w:eastAsia="Times New Roman" w:hAnsi="Times New Roman" w:cs="Times New Roman"/>
          <w:sz w:val="24"/>
          <w:szCs w:val="24"/>
        </w:rPr>
        <w:t xml:space="preserve">=0.054, is statistically significant at the 0.1% level. This indicates that a one-unit increase in operating expense stickiness is associated with an average increase of 0.054 in the implied cost of equity capital. However, since more negative values of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sticky</m:t>
            </m:r>
          </m:e>
          <m:sub>
            <m:r>
              <w:rPr>
                <w:rFonts w:ascii="Cambria Math" w:eastAsia="Cambria Math" w:hAnsi="Cambria Math" w:cs="Cambria Math"/>
                <w:sz w:val="24"/>
                <w:szCs w:val="24"/>
              </w:rPr>
              <m:t>i,t</m:t>
            </m:r>
          </m:sub>
        </m:sSub>
      </m:oMath>
      <w:r>
        <w:rPr>
          <w:rFonts w:ascii="Times New Roman" w:eastAsia="Times New Roman" w:hAnsi="Times New Roman" w:cs="Times New Roman"/>
          <w:sz w:val="24"/>
          <w:szCs w:val="24"/>
        </w:rPr>
        <w:t xml:space="preserve"> represent stronger cost stickiness, the result implies that greater operating expense stickiness is associated with a lower cost of equity capital.</w:t>
      </w:r>
    </w:p>
    <w:p w14:paraId="64E8918B"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Model 2 also tests Hypothesis H1, using the cost of equity capital estimated by the Modified PEG (MPEG) model as the dependent variable. The coefficient for operating expense stickiness remains </w:t>
      </w:r>
      <m:oMath>
        <m:sSub>
          <m:sSubPr>
            <m:ctrlPr>
              <w:rPr>
                <w:rFonts w:ascii="Cambria Math" w:eastAsia="Cambria Math" w:hAnsi="Cambria Math" w:cs="Cambria Math"/>
                <w:sz w:val="24"/>
                <w:szCs w:val="24"/>
              </w:rPr>
            </m:ctrlPr>
          </m:sSubPr>
          <m:e>
            <m:acc>
              <m:accPr>
                <m:ctrlPr>
                  <w:rPr>
                    <w:rFonts w:ascii="Cambria Math" w:hAnsi="Cambria Math"/>
                  </w:rPr>
                </m:ctrlPr>
              </m:accPr>
              <m:e>
                <m:r>
                  <w:rPr>
                    <w:rFonts w:ascii="Cambria Math" w:hAnsi="Cambria Math"/>
                  </w:rPr>
                  <m:t>β</m:t>
                </m:r>
              </m:e>
            </m:acc>
          </m:e>
          <m:sub>
            <m:r>
              <w:rPr>
                <w:rFonts w:ascii="Cambria Math" w:eastAsia="Cambria Math" w:hAnsi="Cambria Math" w:cs="Cambria Math"/>
                <w:sz w:val="24"/>
                <w:szCs w:val="24"/>
              </w:rPr>
              <m:t>1</m:t>
            </m:r>
          </m:sub>
        </m:sSub>
      </m:oMath>
      <w:r>
        <w:rPr>
          <w:rFonts w:ascii="Times New Roman" w:eastAsia="Times New Roman" w:hAnsi="Times New Roman" w:cs="Times New Roman"/>
          <w:sz w:val="24"/>
          <w:szCs w:val="24"/>
        </w:rPr>
        <w:t xml:space="preserve">=0.054, again statistically significant at the 0.1% level. Consistent with Model 1, this finding suggests that stronger operating expense stickiness (i.e., more negative values of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sticky</m:t>
            </m:r>
          </m:e>
          <m:sub>
            <m:r>
              <w:rPr>
                <w:rFonts w:ascii="Cambria Math" w:eastAsia="Cambria Math" w:hAnsi="Cambria Math" w:cs="Cambria Math"/>
                <w:sz w:val="24"/>
                <w:szCs w:val="24"/>
              </w:rPr>
              <m:t>i,t</m:t>
            </m:r>
          </m:sub>
        </m:sSub>
      </m:oMath>
      <w:r>
        <w:rPr>
          <w:rFonts w:ascii="Times New Roman" w:eastAsia="Times New Roman" w:hAnsi="Times New Roman" w:cs="Times New Roman"/>
          <w:sz w:val="24"/>
          <w:szCs w:val="24"/>
        </w:rPr>
        <w:t>​) leads to a decrease in the cost of equity capital estimated by the MPEG model.</w:t>
      </w:r>
    </w:p>
    <w:p w14:paraId="49247047"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Model 3 employs the PEG model to estimate the cost of equity capital. The coefficient for operating expense stickiness is also </w:t>
      </w:r>
      <m:oMath>
        <m:sSub>
          <m:sSubPr>
            <m:ctrlPr>
              <w:rPr>
                <w:rFonts w:ascii="Cambria Math" w:eastAsia="Cambria Math" w:hAnsi="Cambria Math" w:cs="Cambria Math"/>
                <w:sz w:val="24"/>
                <w:szCs w:val="24"/>
              </w:rPr>
            </m:ctrlPr>
          </m:sSubPr>
          <m:e>
            <m:acc>
              <m:accPr>
                <m:ctrlPr>
                  <w:rPr>
                    <w:rFonts w:ascii="Cambria Math" w:hAnsi="Cambria Math"/>
                  </w:rPr>
                </m:ctrlPr>
              </m:accPr>
              <m:e>
                <m:r>
                  <w:rPr>
                    <w:rFonts w:ascii="Cambria Math" w:hAnsi="Cambria Math"/>
                  </w:rPr>
                  <m:t>β</m:t>
                </m:r>
              </m:e>
            </m:acc>
          </m:e>
          <m:sub>
            <m:r>
              <w:rPr>
                <w:rFonts w:ascii="Cambria Math" w:eastAsia="Cambria Math" w:hAnsi="Cambria Math" w:cs="Cambria Math"/>
                <w:sz w:val="24"/>
                <w:szCs w:val="24"/>
              </w:rPr>
              <m:t>1</m:t>
            </m:r>
          </m:sub>
        </m:sSub>
      </m:oMath>
      <w:r>
        <w:rPr>
          <w:rFonts w:ascii="Times New Roman" w:eastAsia="Times New Roman" w:hAnsi="Times New Roman" w:cs="Times New Roman"/>
          <w:sz w:val="24"/>
          <w:szCs w:val="24"/>
        </w:rPr>
        <w:t>=0.054, with statistical significance at the 0.1% level. As in the previous models, a one-unit increase in stickiness corresponds to a 0.054 increase in the cost of equity capital. Interpreting this in light of the measurement scale, the result again implies a negative relationship between cost stickiness and the cost of equity capital.</w:t>
      </w:r>
    </w:p>
    <w:p w14:paraId="15F42FCF"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Model 4 utilizes the Price-to-Earnings (PE) model to estimate the cost of equity capital. In this model, the t-value for the estimated coefficient is 0.624, indicating that the effect of operating expense stickiness on the cost of equity capital is not statistically significant. Thus, the result for the PE model remains inconclusive.</w:t>
      </w:r>
    </w:p>
    <w:p w14:paraId="53DACDC6" w14:textId="77777777" w:rsidR="007373F6" w:rsidRDefault="007373F6">
      <w:pPr>
        <w:widowControl w:val="0"/>
        <w:spacing w:after="0" w:line="240" w:lineRule="auto"/>
        <w:ind w:firstLine="240"/>
        <w:jc w:val="both"/>
        <w:rPr>
          <w:rFonts w:ascii="Times New Roman" w:eastAsia="Times New Roman" w:hAnsi="Times New Roman" w:cs="Times New Roman"/>
          <w:sz w:val="24"/>
          <w:szCs w:val="24"/>
        </w:rPr>
      </w:pPr>
    </w:p>
    <w:p w14:paraId="0C14F9E7" w14:textId="77777777" w:rsidR="007373F6" w:rsidRDefault="00000000">
      <w:pPr>
        <w:widowControl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Table 1. The Impact of Operating Expense Stickiness on the Cost of Equity Capital</w:t>
      </w:r>
    </w:p>
    <w:sdt>
      <w:sdtPr>
        <w:rPr>
          <w:b w:val="0"/>
          <w:sz w:val="22"/>
          <w:szCs w:val="22"/>
        </w:rPr>
        <w:tag w:val="goog_rdk_271"/>
        <w:id w:val="529467774"/>
        <w:lock w:val="contentLocked"/>
      </w:sdtPr>
      <w:sdtContent>
        <w:tbl>
          <w:tblPr>
            <w:tblStyle w:val="affe"/>
            <w:tblW w:w="9781" w:type="dxa"/>
            <w:tblBorders>
              <w:top w:val="single" w:sz="4" w:space="0" w:color="7F7F7F"/>
              <w:bottom w:val="single" w:sz="4" w:space="0" w:color="7F7F7F"/>
            </w:tblBorders>
            <w:tblLayout w:type="fixed"/>
            <w:tblLook w:val="04A0" w:firstRow="1" w:lastRow="0" w:firstColumn="1" w:lastColumn="0" w:noHBand="0" w:noVBand="1"/>
          </w:tblPr>
          <w:tblGrid>
            <w:gridCol w:w="1957"/>
            <w:gridCol w:w="1956"/>
            <w:gridCol w:w="1956"/>
            <w:gridCol w:w="1956"/>
            <w:gridCol w:w="1956"/>
          </w:tblGrid>
          <w:tr w:rsidR="007373F6" w14:paraId="00F42F86" w14:textId="77777777" w:rsidTr="007373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7" w:type="dxa"/>
                <w:vAlign w:val="center"/>
              </w:tcPr>
              <w:p w14:paraId="1BC3C5A6" w14:textId="77777777" w:rsidR="007373F6" w:rsidRDefault="00000000">
                <w:pPr>
                  <w:widowControl w:val="0"/>
                  <w:ind w:firstLine="241"/>
                  <w:jc w:val="both"/>
                  <w:rPr>
                    <w:rFonts w:ascii="Times New Roman" w:eastAsia="Times New Roman" w:hAnsi="Times New Roman" w:cs="Times New Roman"/>
                    <w:sz w:val="24"/>
                    <w:szCs w:val="24"/>
                  </w:rPr>
                </w:pPr>
                <w:sdt>
                  <w:sdtPr>
                    <w:tag w:val="goog_rdk_265"/>
                    <w:id w:val="32737532"/>
                  </w:sdtPr>
                  <w:sdtContent>
                    <w:r>
                      <w:rPr>
                        <w:rFonts w:ascii="Gungsuh" w:eastAsia="Gungsuh" w:hAnsi="Gungsuh" w:cs="Gungsuh"/>
                        <w:sz w:val="24"/>
                        <w:szCs w:val="24"/>
                      </w:rPr>
                      <w:t>Model 1～4</w:t>
                    </w:r>
                  </w:sdtContent>
                </w:sdt>
              </w:p>
            </w:tc>
            <w:tc>
              <w:tcPr>
                <w:tcW w:w="1956" w:type="dxa"/>
                <w:vAlign w:val="center"/>
              </w:tcPr>
              <w:p w14:paraId="408223A8"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r</m:t>
                        </m:r>
                      </m:e>
                      <m:sub>
                        <m:r>
                          <m:rPr>
                            <m:sty m:val="bi"/>
                          </m:rPr>
                          <w:rPr>
                            <w:rFonts w:ascii="Cambria Math" w:eastAsia="Cambria Math" w:hAnsi="Cambria Math" w:cs="Cambria Math"/>
                            <w:sz w:val="24"/>
                            <w:szCs w:val="24"/>
                          </w:rPr>
                          <m:t>e</m:t>
                        </m:r>
                      </m:sub>
                    </m:sSub>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OJ</m:t>
                        </m:r>
                      </m:e>
                      <m:sub>
                        <m:r>
                          <m:rPr>
                            <m:sty m:val="bi"/>
                          </m:rPr>
                          <w:rPr>
                            <w:rFonts w:ascii="Cambria Math" w:eastAsia="Cambria Math" w:hAnsi="Cambria Math" w:cs="Cambria Math"/>
                            <w:sz w:val="24"/>
                            <w:szCs w:val="24"/>
                          </w:rPr>
                          <m:t>i,t</m:t>
                        </m:r>
                      </m:sub>
                    </m:sSub>
                  </m:oMath>
                </m:oMathPara>
              </w:p>
            </w:tc>
            <w:tc>
              <w:tcPr>
                <w:tcW w:w="1956" w:type="dxa"/>
                <w:vAlign w:val="center"/>
              </w:tcPr>
              <w:p w14:paraId="5B9EC044"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r</m:t>
                        </m:r>
                      </m:e>
                      <m:sub>
                        <m:r>
                          <m:rPr>
                            <m:sty m:val="bi"/>
                          </m:rPr>
                          <w:rPr>
                            <w:rFonts w:ascii="Cambria Math" w:eastAsia="Cambria Math" w:hAnsi="Cambria Math" w:cs="Cambria Math"/>
                            <w:sz w:val="24"/>
                            <w:szCs w:val="24"/>
                          </w:rPr>
                          <m:t>e</m:t>
                        </m:r>
                      </m:sub>
                    </m:sSub>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MPEG</m:t>
                        </m:r>
                      </m:e>
                      <m:sub>
                        <m:r>
                          <m:rPr>
                            <m:sty m:val="bi"/>
                          </m:rPr>
                          <w:rPr>
                            <w:rFonts w:ascii="Cambria Math" w:eastAsia="Cambria Math" w:hAnsi="Cambria Math" w:cs="Cambria Math"/>
                            <w:sz w:val="24"/>
                            <w:szCs w:val="24"/>
                          </w:rPr>
                          <m:t>i,t</m:t>
                        </m:r>
                      </m:sub>
                    </m:sSub>
                  </m:oMath>
                </m:oMathPara>
              </w:p>
            </w:tc>
            <w:tc>
              <w:tcPr>
                <w:tcW w:w="1956" w:type="dxa"/>
                <w:vAlign w:val="center"/>
              </w:tcPr>
              <w:p w14:paraId="7442E18B"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r</m:t>
                        </m:r>
                      </m:e>
                      <m:sub>
                        <m:r>
                          <m:rPr>
                            <m:sty m:val="bi"/>
                          </m:rPr>
                          <w:rPr>
                            <w:rFonts w:ascii="Cambria Math" w:eastAsia="Cambria Math" w:hAnsi="Cambria Math" w:cs="Cambria Math"/>
                            <w:sz w:val="24"/>
                            <w:szCs w:val="24"/>
                          </w:rPr>
                          <m:t>e</m:t>
                        </m:r>
                      </m:sub>
                    </m:sSub>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PEG</m:t>
                        </m:r>
                      </m:e>
                      <m:sub>
                        <m:r>
                          <m:rPr>
                            <m:sty m:val="bi"/>
                          </m:rPr>
                          <w:rPr>
                            <w:rFonts w:ascii="Cambria Math" w:eastAsia="Cambria Math" w:hAnsi="Cambria Math" w:cs="Cambria Math"/>
                            <w:sz w:val="24"/>
                            <w:szCs w:val="24"/>
                          </w:rPr>
                          <m:t>i,t</m:t>
                        </m:r>
                      </m:sub>
                    </m:sSub>
                  </m:oMath>
                </m:oMathPara>
              </w:p>
            </w:tc>
            <w:tc>
              <w:tcPr>
                <w:tcW w:w="1956" w:type="dxa"/>
                <w:vAlign w:val="center"/>
              </w:tcPr>
              <w:p w14:paraId="44D38077"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r</m:t>
                        </m:r>
                      </m:e>
                      <m:sub>
                        <m:r>
                          <m:rPr>
                            <m:sty m:val="bi"/>
                          </m:rPr>
                          <w:rPr>
                            <w:rFonts w:ascii="Cambria Math" w:eastAsia="Cambria Math" w:hAnsi="Cambria Math" w:cs="Cambria Math"/>
                            <w:sz w:val="24"/>
                            <w:szCs w:val="24"/>
                          </w:rPr>
                          <m:t>e</m:t>
                        </m:r>
                      </m:sub>
                    </m:sSub>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PE</m:t>
                        </m:r>
                      </m:e>
                      <m:sub>
                        <m:r>
                          <m:rPr>
                            <m:sty m:val="bi"/>
                          </m:rPr>
                          <w:rPr>
                            <w:rFonts w:ascii="Cambria Math" w:eastAsia="Cambria Math" w:hAnsi="Cambria Math" w:cs="Cambria Math"/>
                            <w:sz w:val="24"/>
                            <w:szCs w:val="24"/>
                          </w:rPr>
                          <m:t>i,t</m:t>
                        </m:r>
                      </m:sub>
                    </m:sSub>
                  </m:oMath>
                </m:oMathPara>
              </w:p>
            </w:tc>
          </w:tr>
          <w:tr w:rsidR="007373F6" w14:paraId="5BDFA42F"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7" w:type="dxa"/>
                <w:vMerge w:val="restart"/>
                <w:vAlign w:val="center"/>
              </w:tcPr>
              <w:p w14:paraId="32CFD670" w14:textId="77777777" w:rsidR="007373F6" w:rsidRDefault="00000000">
                <w:pPr>
                  <w:widowControl w:val="0"/>
                  <w:jc w:val="both"/>
                  <w:rPr>
                    <w:rFonts w:ascii="Times New Roman" w:eastAsia="Times New Roman" w:hAnsi="Times New Roman" w:cs="Times New Roman"/>
                    <w:sz w:val="24"/>
                    <w:szCs w:val="24"/>
                  </w:rPr>
                </w:pPr>
                <w:sdt>
                  <w:sdtPr>
                    <w:tag w:val="goog_rdk_266"/>
                    <w:id w:val="834042857"/>
                  </w:sdtPr>
                  <w:sdtContent>
                    <w:r>
                      <w:rPr>
                        <w:rFonts w:ascii="Gungsuh" w:eastAsia="Gungsuh" w:hAnsi="Gungsuh" w:cs="Gungsuh"/>
                        <w:sz w:val="24"/>
                        <w:szCs w:val="24"/>
                      </w:rPr>
                      <w:t>（Constant）</w:t>
                    </w:r>
                  </w:sdtContent>
                </w:sdt>
              </w:p>
            </w:tc>
            <w:tc>
              <w:tcPr>
                <w:tcW w:w="1956" w:type="dxa"/>
                <w:vAlign w:val="center"/>
              </w:tcPr>
              <w:p w14:paraId="6A624759"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sdt>
                  <w:sdtPr>
                    <w:tag w:val="goog_rdk_267"/>
                    <w:id w:val="109706699"/>
                  </w:sdtPr>
                  <w:sdtContent>
                    <w:r>
                      <w:rPr>
                        <w:rFonts w:ascii="Gungsuh" w:eastAsia="Gungsuh" w:hAnsi="Gungsuh" w:cs="Gungsuh"/>
                        <w:sz w:val="24"/>
                        <w:szCs w:val="24"/>
                      </w:rPr>
                      <w:t xml:space="preserve">　</w:t>
                    </w:r>
                  </w:sdtContent>
                </w:sdt>
              </w:p>
            </w:tc>
            <w:tc>
              <w:tcPr>
                <w:tcW w:w="1956" w:type="dxa"/>
                <w:vAlign w:val="center"/>
              </w:tcPr>
              <w:p w14:paraId="575823AB"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sdt>
                  <w:sdtPr>
                    <w:tag w:val="goog_rdk_268"/>
                    <w:id w:val="253767343"/>
                  </w:sdtPr>
                  <w:sdtContent>
                    <w:r>
                      <w:rPr>
                        <w:rFonts w:ascii="Gungsuh" w:eastAsia="Gungsuh" w:hAnsi="Gungsuh" w:cs="Gungsuh"/>
                        <w:sz w:val="24"/>
                        <w:szCs w:val="24"/>
                      </w:rPr>
                      <w:t xml:space="preserve">　</w:t>
                    </w:r>
                  </w:sdtContent>
                </w:sdt>
              </w:p>
            </w:tc>
            <w:tc>
              <w:tcPr>
                <w:tcW w:w="1956" w:type="dxa"/>
                <w:vAlign w:val="center"/>
              </w:tcPr>
              <w:p w14:paraId="6B5D42B7"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sdt>
                  <w:sdtPr>
                    <w:tag w:val="goog_rdk_269"/>
                    <w:id w:val="1977760384"/>
                  </w:sdtPr>
                  <w:sdtContent>
                    <w:r>
                      <w:rPr>
                        <w:rFonts w:ascii="Gungsuh" w:eastAsia="Gungsuh" w:hAnsi="Gungsuh" w:cs="Gungsuh"/>
                        <w:sz w:val="24"/>
                        <w:szCs w:val="24"/>
                      </w:rPr>
                      <w:t xml:space="preserve">　</w:t>
                    </w:r>
                  </w:sdtContent>
                </w:sdt>
              </w:p>
            </w:tc>
            <w:tc>
              <w:tcPr>
                <w:tcW w:w="1956" w:type="dxa"/>
                <w:vAlign w:val="center"/>
              </w:tcPr>
              <w:p w14:paraId="73D56063"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sdt>
                  <w:sdtPr>
                    <w:tag w:val="goog_rdk_270"/>
                    <w:id w:val="-1969223383"/>
                  </w:sdtPr>
                  <w:sdtContent>
                    <w:r>
                      <w:rPr>
                        <w:rFonts w:ascii="Gungsuh" w:eastAsia="Gungsuh" w:hAnsi="Gungsuh" w:cs="Gungsuh"/>
                        <w:sz w:val="24"/>
                        <w:szCs w:val="24"/>
                      </w:rPr>
                      <w:t xml:space="preserve">　</w:t>
                    </w:r>
                  </w:sdtContent>
                </w:sdt>
              </w:p>
            </w:tc>
          </w:tr>
          <w:tr w:rsidR="007373F6" w14:paraId="37AFAC7F" w14:textId="77777777" w:rsidTr="007373F6">
            <w:tc>
              <w:tcPr>
                <w:cnfStyle w:val="001000000000" w:firstRow="0" w:lastRow="0" w:firstColumn="1" w:lastColumn="0" w:oddVBand="0" w:evenVBand="0" w:oddHBand="0" w:evenHBand="0" w:firstRowFirstColumn="0" w:firstRowLastColumn="0" w:lastRowFirstColumn="0" w:lastRowLastColumn="0"/>
                <w:tcW w:w="1957" w:type="dxa"/>
                <w:vMerge/>
                <w:vAlign w:val="center"/>
              </w:tcPr>
              <w:p w14:paraId="2DAA8068"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1956" w:type="dxa"/>
                <w:vAlign w:val="center"/>
              </w:tcPr>
              <w:p w14:paraId="010CEDC0"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(17.383)</w:t>
                </w:r>
              </w:p>
            </w:tc>
            <w:tc>
              <w:tcPr>
                <w:tcW w:w="1956" w:type="dxa"/>
                <w:vAlign w:val="center"/>
              </w:tcPr>
              <w:p w14:paraId="68099BAA"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(16.577)</w:t>
                </w:r>
              </w:p>
            </w:tc>
            <w:tc>
              <w:tcPr>
                <w:tcW w:w="1956" w:type="dxa"/>
                <w:vAlign w:val="center"/>
              </w:tcPr>
              <w:p w14:paraId="53A5BC73"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(16.141)</w:t>
                </w:r>
              </w:p>
            </w:tc>
            <w:tc>
              <w:tcPr>
                <w:tcW w:w="1956" w:type="dxa"/>
                <w:vAlign w:val="center"/>
              </w:tcPr>
              <w:p w14:paraId="183B581A"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(6.218)</w:t>
                </w:r>
              </w:p>
            </w:tc>
          </w:tr>
          <w:tr w:rsidR="007373F6" w14:paraId="0A282849"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7" w:type="dxa"/>
                <w:vMerge w:val="restart"/>
                <w:vAlign w:val="center"/>
              </w:tcPr>
              <w:p w14:paraId="69794FD0"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OEsticky</m:t>
                        </m:r>
                      </m:e>
                      <m:sub>
                        <m:r>
                          <m:rPr>
                            <m:sty m:val="bi"/>
                          </m:rPr>
                          <w:rPr>
                            <w:rFonts w:ascii="Cambria Math" w:eastAsia="Cambria Math" w:hAnsi="Cambria Math" w:cs="Cambria Math"/>
                            <w:sz w:val="24"/>
                            <w:szCs w:val="24"/>
                          </w:rPr>
                          <m:t>i,t</m:t>
                        </m:r>
                      </m:sub>
                    </m:sSub>
                  </m:oMath>
                </m:oMathPara>
              </w:p>
            </w:tc>
            <w:tc>
              <w:tcPr>
                <w:tcW w:w="1956" w:type="dxa"/>
                <w:vAlign w:val="center"/>
              </w:tcPr>
              <w:p w14:paraId="6DF7C9EF"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0.054***</w:t>
                </w:r>
              </w:p>
            </w:tc>
            <w:tc>
              <w:tcPr>
                <w:tcW w:w="1956" w:type="dxa"/>
                <w:vAlign w:val="center"/>
              </w:tcPr>
              <w:p w14:paraId="560ABAD4"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0.054***</w:t>
                </w:r>
              </w:p>
            </w:tc>
            <w:tc>
              <w:tcPr>
                <w:tcW w:w="1956" w:type="dxa"/>
                <w:vAlign w:val="center"/>
              </w:tcPr>
              <w:p w14:paraId="74AE2B28"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0.054***</w:t>
                </w:r>
              </w:p>
            </w:tc>
            <w:tc>
              <w:tcPr>
                <w:tcW w:w="1956" w:type="dxa"/>
                <w:vAlign w:val="center"/>
              </w:tcPr>
              <w:p w14:paraId="58BA9D0F"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0.010</w:t>
                </w:r>
              </w:p>
            </w:tc>
          </w:tr>
          <w:tr w:rsidR="007373F6" w14:paraId="04888DD5" w14:textId="77777777" w:rsidTr="007373F6">
            <w:tc>
              <w:tcPr>
                <w:cnfStyle w:val="001000000000" w:firstRow="0" w:lastRow="0" w:firstColumn="1" w:lastColumn="0" w:oddVBand="0" w:evenVBand="0" w:oddHBand="0" w:evenHBand="0" w:firstRowFirstColumn="0" w:firstRowLastColumn="0" w:lastRowFirstColumn="0" w:lastRowLastColumn="0"/>
                <w:tcW w:w="1957" w:type="dxa"/>
                <w:vMerge/>
                <w:vAlign w:val="center"/>
              </w:tcPr>
              <w:p w14:paraId="419E3835"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1956" w:type="dxa"/>
                <w:vAlign w:val="center"/>
              </w:tcPr>
              <w:p w14:paraId="6DDF323A"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(3.428)</w:t>
                </w:r>
              </w:p>
            </w:tc>
            <w:tc>
              <w:tcPr>
                <w:tcW w:w="1956" w:type="dxa"/>
                <w:vAlign w:val="center"/>
              </w:tcPr>
              <w:p w14:paraId="2696C745"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(3.407)</w:t>
                </w:r>
              </w:p>
            </w:tc>
            <w:tc>
              <w:tcPr>
                <w:tcW w:w="1956" w:type="dxa"/>
                <w:vAlign w:val="center"/>
              </w:tcPr>
              <w:p w14:paraId="016760A3"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(3.420)</w:t>
                </w:r>
              </w:p>
            </w:tc>
            <w:tc>
              <w:tcPr>
                <w:tcW w:w="1956" w:type="dxa"/>
                <w:vAlign w:val="center"/>
              </w:tcPr>
              <w:p w14:paraId="75F2F406"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(0.624)</w:t>
                </w:r>
              </w:p>
            </w:tc>
          </w:tr>
          <w:tr w:rsidR="007373F6" w14:paraId="7E27356A"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7" w:type="dxa"/>
                <w:vMerge w:val="restart"/>
                <w:vAlign w:val="center"/>
              </w:tcPr>
              <w:p w14:paraId="05B5E8F1"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DE</m:t>
                        </m:r>
                      </m:e>
                      <m:sub>
                        <m:r>
                          <m:rPr>
                            <m:sty m:val="bi"/>
                          </m:rPr>
                          <w:rPr>
                            <w:rFonts w:ascii="Cambria Math" w:eastAsia="Cambria Math" w:hAnsi="Cambria Math" w:cs="Cambria Math"/>
                            <w:sz w:val="24"/>
                            <w:szCs w:val="24"/>
                          </w:rPr>
                          <m:t>i,t</m:t>
                        </m:r>
                      </m:sub>
                    </m:sSub>
                  </m:oMath>
                </m:oMathPara>
              </w:p>
            </w:tc>
            <w:tc>
              <w:tcPr>
                <w:tcW w:w="1956" w:type="dxa"/>
                <w:vAlign w:val="center"/>
              </w:tcPr>
              <w:p w14:paraId="2EB620BF"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0.238***</w:t>
                </w:r>
              </w:p>
            </w:tc>
            <w:tc>
              <w:tcPr>
                <w:tcW w:w="1956" w:type="dxa"/>
                <w:vAlign w:val="center"/>
              </w:tcPr>
              <w:p w14:paraId="1C1305E6"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0.249***</w:t>
                </w:r>
              </w:p>
            </w:tc>
            <w:tc>
              <w:tcPr>
                <w:tcW w:w="1956" w:type="dxa"/>
                <w:vAlign w:val="center"/>
              </w:tcPr>
              <w:p w14:paraId="20D5F91C"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0.250***</w:t>
                </w:r>
              </w:p>
            </w:tc>
            <w:tc>
              <w:tcPr>
                <w:tcW w:w="1956" w:type="dxa"/>
                <w:vAlign w:val="center"/>
              </w:tcPr>
              <w:p w14:paraId="4BC2759F"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0.040*</w:t>
                </w:r>
              </w:p>
            </w:tc>
          </w:tr>
          <w:tr w:rsidR="007373F6" w14:paraId="0886DAB7" w14:textId="77777777" w:rsidTr="007373F6">
            <w:tc>
              <w:tcPr>
                <w:cnfStyle w:val="001000000000" w:firstRow="0" w:lastRow="0" w:firstColumn="1" w:lastColumn="0" w:oddVBand="0" w:evenVBand="0" w:oddHBand="0" w:evenHBand="0" w:firstRowFirstColumn="0" w:firstRowLastColumn="0" w:lastRowFirstColumn="0" w:lastRowLastColumn="0"/>
                <w:tcW w:w="1957" w:type="dxa"/>
                <w:vMerge/>
                <w:vAlign w:val="center"/>
              </w:tcPr>
              <w:p w14:paraId="41392FD9"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1956" w:type="dxa"/>
                <w:vAlign w:val="center"/>
              </w:tcPr>
              <w:p w14:paraId="49ED79EA"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(13.629)</w:t>
                </w:r>
              </w:p>
            </w:tc>
            <w:tc>
              <w:tcPr>
                <w:tcW w:w="1956" w:type="dxa"/>
                <w:vAlign w:val="center"/>
              </w:tcPr>
              <w:p w14:paraId="366AD6EE"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(14.206)</w:t>
                </w:r>
              </w:p>
            </w:tc>
            <w:tc>
              <w:tcPr>
                <w:tcW w:w="1956" w:type="dxa"/>
                <w:vAlign w:val="center"/>
              </w:tcPr>
              <w:p w14:paraId="3BC448E5"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(14.310)</w:t>
                </w:r>
              </w:p>
            </w:tc>
            <w:tc>
              <w:tcPr>
                <w:tcW w:w="1956" w:type="dxa"/>
                <w:vAlign w:val="center"/>
              </w:tcPr>
              <w:p w14:paraId="742D4A43"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(2.314)</w:t>
                </w:r>
              </w:p>
            </w:tc>
          </w:tr>
          <w:tr w:rsidR="007373F6" w14:paraId="2483AFF8"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7" w:type="dxa"/>
                <w:vMerge w:val="restart"/>
                <w:vAlign w:val="center"/>
              </w:tcPr>
              <w:p w14:paraId="38814106"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Lev</m:t>
                        </m:r>
                      </m:e>
                      <m:sub>
                        <m:r>
                          <m:rPr>
                            <m:sty m:val="bi"/>
                          </m:rPr>
                          <w:rPr>
                            <w:rFonts w:ascii="Cambria Math" w:eastAsia="Cambria Math" w:hAnsi="Cambria Math" w:cs="Cambria Math"/>
                            <w:sz w:val="24"/>
                            <w:szCs w:val="24"/>
                          </w:rPr>
                          <m:t>i,t</m:t>
                        </m:r>
                      </m:sub>
                    </m:sSub>
                  </m:oMath>
                </m:oMathPara>
              </w:p>
            </w:tc>
            <w:tc>
              <w:tcPr>
                <w:tcW w:w="1956" w:type="dxa"/>
                <w:vAlign w:val="center"/>
              </w:tcPr>
              <w:p w14:paraId="51A852E7"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-0.059***</w:t>
                </w:r>
              </w:p>
            </w:tc>
            <w:tc>
              <w:tcPr>
                <w:tcW w:w="1956" w:type="dxa"/>
                <w:vAlign w:val="center"/>
              </w:tcPr>
              <w:p w14:paraId="41814BF3"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-0.062***</w:t>
                </w:r>
              </w:p>
            </w:tc>
            <w:tc>
              <w:tcPr>
                <w:tcW w:w="1956" w:type="dxa"/>
                <w:vAlign w:val="center"/>
              </w:tcPr>
              <w:p w14:paraId="184B6F90"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-0.061***</w:t>
                </w:r>
              </w:p>
            </w:tc>
            <w:tc>
              <w:tcPr>
                <w:tcW w:w="1956" w:type="dxa"/>
                <w:vAlign w:val="center"/>
              </w:tcPr>
              <w:p w14:paraId="2103A954"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0.176***</w:t>
                </w:r>
              </w:p>
            </w:tc>
          </w:tr>
          <w:tr w:rsidR="007373F6" w14:paraId="5379E18A" w14:textId="77777777" w:rsidTr="007373F6">
            <w:tc>
              <w:tcPr>
                <w:cnfStyle w:val="001000000000" w:firstRow="0" w:lastRow="0" w:firstColumn="1" w:lastColumn="0" w:oddVBand="0" w:evenVBand="0" w:oddHBand="0" w:evenHBand="0" w:firstRowFirstColumn="0" w:firstRowLastColumn="0" w:lastRowFirstColumn="0" w:lastRowLastColumn="0"/>
                <w:tcW w:w="1957" w:type="dxa"/>
                <w:vMerge/>
                <w:vAlign w:val="center"/>
              </w:tcPr>
              <w:p w14:paraId="6B027643"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1956" w:type="dxa"/>
                <w:vAlign w:val="center"/>
              </w:tcPr>
              <w:p w14:paraId="587FD8E2"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(-3.550)</w:t>
                </w:r>
              </w:p>
            </w:tc>
            <w:tc>
              <w:tcPr>
                <w:tcW w:w="1956" w:type="dxa"/>
                <w:vAlign w:val="center"/>
              </w:tcPr>
              <w:p w14:paraId="3BB02959"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(-3.732)</w:t>
                </w:r>
              </w:p>
            </w:tc>
            <w:tc>
              <w:tcPr>
                <w:tcW w:w="1956" w:type="dxa"/>
                <w:vAlign w:val="center"/>
              </w:tcPr>
              <w:p w14:paraId="702F0D9A"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(-3.651)</w:t>
                </w:r>
              </w:p>
            </w:tc>
            <w:tc>
              <w:tcPr>
                <w:tcW w:w="1956" w:type="dxa"/>
                <w:vAlign w:val="center"/>
              </w:tcPr>
              <w:p w14:paraId="5829B7B8"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(10.772)</w:t>
                </w:r>
              </w:p>
            </w:tc>
          </w:tr>
          <w:tr w:rsidR="007373F6" w14:paraId="443E4BAC"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7" w:type="dxa"/>
                <w:vMerge w:val="restart"/>
                <w:vAlign w:val="center"/>
              </w:tcPr>
              <w:p w14:paraId="05CE40DB"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ROE</m:t>
                        </m:r>
                      </m:e>
                      <m:sub>
                        <m:r>
                          <m:rPr>
                            <m:sty m:val="bi"/>
                          </m:rPr>
                          <w:rPr>
                            <w:rFonts w:ascii="Cambria Math" w:eastAsia="Cambria Math" w:hAnsi="Cambria Math" w:cs="Cambria Math"/>
                            <w:sz w:val="24"/>
                            <w:szCs w:val="24"/>
                          </w:rPr>
                          <m:t>i,t</m:t>
                        </m:r>
                      </m:sub>
                    </m:sSub>
                  </m:oMath>
                </m:oMathPara>
              </w:p>
            </w:tc>
            <w:tc>
              <w:tcPr>
                <w:tcW w:w="1956" w:type="dxa"/>
                <w:vAlign w:val="center"/>
              </w:tcPr>
              <w:p w14:paraId="549ABD3E"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-0.210***</w:t>
                </w:r>
              </w:p>
            </w:tc>
            <w:tc>
              <w:tcPr>
                <w:tcW w:w="1956" w:type="dxa"/>
                <w:vAlign w:val="center"/>
              </w:tcPr>
              <w:p w14:paraId="4F5AC964"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-0.184***</w:t>
                </w:r>
              </w:p>
            </w:tc>
            <w:tc>
              <w:tcPr>
                <w:tcW w:w="1956" w:type="dxa"/>
                <w:vAlign w:val="center"/>
              </w:tcPr>
              <w:p w14:paraId="68ECE14F"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-0.192***</w:t>
                </w:r>
              </w:p>
            </w:tc>
            <w:tc>
              <w:tcPr>
                <w:tcW w:w="1956" w:type="dxa"/>
                <w:vAlign w:val="center"/>
              </w:tcPr>
              <w:p w14:paraId="628C87B0"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0.400***</w:t>
                </w:r>
              </w:p>
            </w:tc>
          </w:tr>
          <w:tr w:rsidR="007373F6" w14:paraId="78A17E09" w14:textId="77777777" w:rsidTr="007373F6">
            <w:tc>
              <w:tcPr>
                <w:cnfStyle w:val="001000000000" w:firstRow="0" w:lastRow="0" w:firstColumn="1" w:lastColumn="0" w:oddVBand="0" w:evenVBand="0" w:oddHBand="0" w:evenHBand="0" w:firstRowFirstColumn="0" w:firstRowLastColumn="0" w:lastRowFirstColumn="0" w:lastRowLastColumn="0"/>
                <w:tcW w:w="1957" w:type="dxa"/>
                <w:vMerge/>
                <w:vAlign w:val="center"/>
              </w:tcPr>
              <w:p w14:paraId="24E9CC12"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1956" w:type="dxa"/>
                <w:vAlign w:val="center"/>
              </w:tcPr>
              <w:p w14:paraId="38468610"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(-11.997)</w:t>
                </w:r>
              </w:p>
            </w:tc>
            <w:tc>
              <w:tcPr>
                <w:tcW w:w="1956" w:type="dxa"/>
                <w:vAlign w:val="center"/>
              </w:tcPr>
              <w:p w14:paraId="0491DE25"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(-10.469)</w:t>
                </w:r>
              </w:p>
            </w:tc>
            <w:tc>
              <w:tcPr>
                <w:tcW w:w="1956" w:type="dxa"/>
                <w:vAlign w:val="center"/>
              </w:tcPr>
              <w:p w14:paraId="6B03EC1C"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(-10.971)</w:t>
                </w:r>
              </w:p>
            </w:tc>
            <w:tc>
              <w:tcPr>
                <w:tcW w:w="1956" w:type="dxa"/>
                <w:vAlign w:val="center"/>
              </w:tcPr>
              <w:p w14:paraId="1085D0A2"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(23.248)</w:t>
                </w:r>
              </w:p>
            </w:tc>
          </w:tr>
          <w:tr w:rsidR="007373F6" w14:paraId="35985FDB"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7" w:type="dxa"/>
                <w:vMerge w:val="restart"/>
                <w:vAlign w:val="center"/>
              </w:tcPr>
              <w:p w14:paraId="666D1F65"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βMarket</m:t>
                        </m:r>
                      </m:e>
                      <m:sub>
                        <m:r>
                          <m:rPr>
                            <m:sty m:val="bi"/>
                          </m:rPr>
                          <w:rPr>
                            <w:rFonts w:ascii="Cambria Math" w:eastAsia="Cambria Math" w:hAnsi="Cambria Math" w:cs="Cambria Math"/>
                            <w:sz w:val="24"/>
                            <w:szCs w:val="24"/>
                          </w:rPr>
                          <m:t>i,t</m:t>
                        </m:r>
                      </m:sub>
                    </m:sSub>
                  </m:oMath>
                </m:oMathPara>
              </w:p>
            </w:tc>
            <w:tc>
              <w:tcPr>
                <w:tcW w:w="1956" w:type="dxa"/>
                <w:vAlign w:val="center"/>
              </w:tcPr>
              <w:p w14:paraId="035A56E9"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-0.202***</w:t>
                </w:r>
              </w:p>
            </w:tc>
            <w:tc>
              <w:tcPr>
                <w:tcW w:w="1956" w:type="dxa"/>
                <w:vAlign w:val="center"/>
              </w:tcPr>
              <w:p w14:paraId="3BC4EDBB"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-0.207***</w:t>
                </w:r>
              </w:p>
            </w:tc>
            <w:tc>
              <w:tcPr>
                <w:tcW w:w="1956" w:type="dxa"/>
                <w:vAlign w:val="center"/>
              </w:tcPr>
              <w:p w14:paraId="0CE0E48C"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-0.197***</w:t>
                </w:r>
              </w:p>
            </w:tc>
            <w:tc>
              <w:tcPr>
                <w:tcW w:w="1956" w:type="dxa"/>
                <w:vAlign w:val="center"/>
              </w:tcPr>
              <w:p w14:paraId="2AAC7885"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-0.127***</w:t>
                </w:r>
              </w:p>
            </w:tc>
          </w:tr>
          <w:tr w:rsidR="007373F6" w14:paraId="1E49F713" w14:textId="77777777" w:rsidTr="007373F6">
            <w:tc>
              <w:tcPr>
                <w:cnfStyle w:val="001000000000" w:firstRow="0" w:lastRow="0" w:firstColumn="1" w:lastColumn="0" w:oddVBand="0" w:evenVBand="0" w:oddHBand="0" w:evenHBand="0" w:firstRowFirstColumn="0" w:firstRowLastColumn="0" w:lastRowFirstColumn="0" w:lastRowLastColumn="0"/>
                <w:tcW w:w="1957" w:type="dxa"/>
                <w:vMerge/>
                <w:vAlign w:val="center"/>
              </w:tcPr>
              <w:p w14:paraId="31A230B9"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1956" w:type="dxa"/>
                <w:vAlign w:val="center"/>
              </w:tcPr>
              <w:p w14:paraId="3633ECB8"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(-8.414)</w:t>
                </w:r>
              </w:p>
            </w:tc>
            <w:tc>
              <w:tcPr>
                <w:tcW w:w="1956" w:type="dxa"/>
                <w:vAlign w:val="center"/>
              </w:tcPr>
              <w:p w14:paraId="010D1B93"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(-8.607)</w:t>
                </w:r>
              </w:p>
            </w:tc>
            <w:tc>
              <w:tcPr>
                <w:tcW w:w="1956" w:type="dxa"/>
                <w:vAlign w:val="center"/>
              </w:tcPr>
              <w:p w14:paraId="6EE789E0"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(-8.192)</w:t>
                </w:r>
              </w:p>
            </w:tc>
            <w:tc>
              <w:tcPr>
                <w:tcW w:w="1956" w:type="dxa"/>
                <w:vAlign w:val="center"/>
              </w:tcPr>
              <w:p w14:paraId="43A14E69"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(-5.357)</w:t>
                </w:r>
              </w:p>
            </w:tc>
          </w:tr>
          <w:tr w:rsidR="007373F6" w14:paraId="42B2EAB7"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7" w:type="dxa"/>
                <w:vMerge w:val="restart"/>
                <w:vAlign w:val="center"/>
              </w:tcPr>
              <w:p w14:paraId="16986115"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βTOPIX</m:t>
                        </m:r>
                      </m:e>
                      <m:sub>
                        <m:r>
                          <m:rPr>
                            <m:sty m:val="bi"/>
                          </m:rPr>
                          <w:rPr>
                            <w:rFonts w:ascii="Cambria Math" w:eastAsia="Cambria Math" w:hAnsi="Cambria Math" w:cs="Cambria Math"/>
                            <w:sz w:val="24"/>
                            <w:szCs w:val="24"/>
                          </w:rPr>
                          <m:t>i,t</m:t>
                        </m:r>
                      </m:sub>
                    </m:sSub>
                  </m:oMath>
                </m:oMathPara>
              </w:p>
            </w:tc>
            <w:tc>
              <w:tcPr>
                <w:tcW w:w="1956" w:type="dxa"/>
                <w:vAlign w:val="center"/>
              </w:tcPr>
              <w:p w14:paraId="6ED1198C"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0.382***</w:t>
                </w:r>
              </w:p>
            </w:tc>
            <w:tc>
              <w:tcPr>
                <w:tcW w:w="1956" w:type="dxa"/>
                <w:vAlign w:val="center"/>
              </w:tcPr>
              <w:p w14:paraId="66CE1588"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0.390***</w:t>
                </w:r>
              </w:p>
            </w:tc>
            <w:tc>
              <w:tcPr>
                <w:tcW w:w="1956" w:type="dxa"/>
                <w:vAlign w:val="center"/>
              </w:tcPr>
              <w:p w14:paraId="0B1CDE0C"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0.382***</w:t>
                </w:r>
              </w:p>
            </w:tc>
            <w:tc>
              <w:tcPr>
                <w:tcW w:w="1956" w:type="dxa"/>
                <w:vAlign w:val="center"/>
              </w:tcPr>
              <w:p w14:paraId="6D7F2B74"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0.105***</w:t>
                </w:r>
              </w:p>
            </w:tc>
          </w:tr>
          <w:tr w:rsidR="007373F6" w14:paraId="774FA7FD" w14:textId="77777777" w:rsidTr="007373F6">
            <w:tc>
              <w:tcPr>
                <w:cnfStyle w:val="001000000000" w:firstRow="0" w:lastRow="0" w:firstColumn="1" w:lastColumn="0" w:oddVBand="0" w:evenVBand="0" w:oddHBand="0" w:evenHBand="0" w:firstRowFirstColumn="0" w:firstRowLastColumn="0" w:lastRowFirstColumn="0" w:lastRowLastColumn="0"/>
                <w:tcW w:w="1957" w:type="dxa"/>
                <w:vMerge/>
                <w:vAlign w:val="center"/>
              </w:tcPr>
              <w:p w14:paraId="64E345C5"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1956" w:type="dxa"/>
                <w:vAlign w:val="center"/>
              </w:tcPr>
              <w:p w14:paraId="7DF887DB"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(15.852)</w:t>
                </w:r>
              </w:p>
            </w:tc>
            <w:tc>
              <w:tcPr>
                <w:tcW w:w="1956" w:type="dxa"/>
                <w:vAlign w:val="center"/>
              </w:tcPr>
              <w:p w14:paraId="4280CEF9"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(16.153)</w:t>
                </w:r>
              </w:p>
            </w:tc>
            <w:tc>
              <w:tcPr>
                <w:tcW w:w="1956" w:type="dxa"/>
                <w:vAlign w:val="center"/>
              </w:tcPr>
              <w:p w14:paraId="62910E61"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(15.868)</w:t>
                </w:r>
              </w:p>
            </w:tc>
            <w:tc>
              <w:tcPr>
                <w:tcW w:w="1956" w:type="dxa"/>
                <w:vAlign w:val="center"/>
              </w:tcPr>
              <w:p w14:paraId="71E19CF7"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(4.422)</w:t>
                </w:r>
              </w:p>
            </w:tc>
          </w:tr>
          <w:tr w:rsidR="007373F6" w14:paraId="4527F07D"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7" w:type="dxa"/>
                <w:vMerge w:val="restart"/>
                <w:vAlign w:val="center"/>
              </w:tcPr>
              <w:p w14:paraId="45EC8348"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Growth</m:t>
                        </m:r>
                      </m:e>
                      <m:sub>
                        <m:r>
                          <m:rPr>
                            <m:sty m:val="bi"/>
                          </m:rPr>
                          <w:rPr>
                            <w:rFonts w:ascii="Cambria Math" w:eastAsia="Cambria Math" w:hAnsi="Cambria Math" w:cs="Cambria Math"/>
                            <w:sz w:val="24"/>
                            <w:szCs w:val="24"/>
                          </w:rPr>
                          <m:t>i,t</m:t>
                        </m:r>
                      </m:sub>
                    </m:sSub>
                  </m:oMath>
                </m:oMathPara>
              </w:p>
            </w:tc>
            <w:tc>
              <w:tcPr>
                <w:tcW w:w="1956" w:type="dxa"/>
                <w:vAlign w:val="center"/>
              </w:tcPr>
              <w:p w14:paraId="1D752A10"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-0.080***</w:t>
                </w:r>
              </w:p>
            </w:tc>
            <w:tc>
              <w:tcPr>
                <w:tcW w:w="1956" w:type="dxa"/>
                <w:vAlign w:val="center"/>
              </w:tcPr>
              <w:p w14:paraId="32DB778A"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-0.076***</w:t>
                </w:r>
              </w:p>
            </w:tc>
            <w:tc>
              <w:tcPr>
                <w:tcW w:w="1956" w:type="dxa"/>
                <w:vAlign w:val="center"/>
              </w:tcPr>
              <w:p w14:paraId="2885A6CD"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-0.075***</w:t>
                </w:r>
              </w:p>
            </w:tc>
            <w:tc>
              <w:tcPr>
                <w:tcW w:w="1956" w:type="dxa"/>
                <w:vAlign w:val="center"/>
              </w:tcPr>
              <w:p w14:paraId="2A5CCCC2"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0.007</w:t>
                </w:r>
              </w:p>
            </w:tc>
          </w:tr>
          <w:tr w:rsidR="007373F6" w14:paraId="4A58CAD2" w14:textId="77777777" w:rsidTr="007373F6">
            <w:tc>
              <w:tcPr>
                <w:cnfStyle w:val="001000000000" w:firstRow="0" w:lastRow="0" w:firstColumn="1" w:lastColumn="0" w:oddVBand="0" w:evenVBand="0" w:oddHBand="0" w:evenHBand="0" w:firstRowFirstColumn="0" w:firstRowLastColumn="0" w:lastRowFirstColumn="0" w:lastRowLastColumn="0"/>
                <w:tcW w:w="1957" w:type="dxa"/>
                <w:vMerge/>
                <w:vAlign w:val="center"/>
              </w:tcPr>
              <w:p w14:paraId="2841C63A"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1956" w:type="dxa"/>
                <w:vAlign w:val="center"/>
              </w:tcPr>
              <w:p w14:paraId="7E5E583D"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(-4.735)</w:t>
                </w:r>
              </w:p>
            </w:tc>
            <w:tc>
              <w:tcPr>
                <w:tcW w:w="1956" w:type="dxa"/>
                <w:vAlign w:val="center"/>
              </w:tcPr>
              <w:p w14:paraId="046C0CB5"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(-4.497)</w:t>
                </w:r>
              </w:p>
            </w:tc>
            <w:tc>
              <w:tcPr>
                <w:tcW w:w="1956" w:type="dxa"/>
                <w:vAlign w:val="center"/>
              </w:tcPr>
              <w:p w14:paraId="403028A3"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(-4.448)</w:t>
                </w:r>
              </w:p>
            </w:tc>
            <w:tc>
              <w:tcPr>
                <w:tcW w:w="1956" w:type="dxa"/>
                <w:vAlign w:val="center"/>
              </w:tcPr>
              <w:p w14:paraId="1293C77D"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(0.428)</w:t>
                </w:r>
              </w:p>
            </w:tc>
          </w:tr>
          <w:tr w:rsidR="007373F6" w14:paraId="24C64253"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7" w:type="dxa"/>
                <w:vMerge w:val="restart"/>
                <w:vAlign w:val="center"/>
              </w:tcPr>
              <w:p w14:paraId="4B69ADE9"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logAssets</m:t>
                        </m:r>
                      </m:e>
                      <m:sub>
                        <m:r>
                          <m:rPr>
                            <m:sty m:val="bi"/>
                          </m:rPr>
                          <w:rPr>
                            <w:rFonts w:ascii="Cambria Math" w:eastAsia="Cambria Math" w:hAnsi="Cambria Math" w:cs="Cambria Math"/>
                            <w:sz w:val="24"/>
                            <w:szCs w:val="24"/>
                          </w:rPr>
                          <m:t>i,t</m:t>
                        </m:r>
                      </m:sub>
                    </m:sSub>
                  </m:oMath>
                </m:oMathPara>
              </w:p>
            </w:tc>
            <w:tc>
              <w:tcPr>
                <w:tcW w:w="1956" w:type="dxa"/>
                <w:vAlign w:val="center"/>
              </w:tcPr>
              <w:p w14:paraId="30419265"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-0.145***</w:t>
                </w:r>
              </w:p>
            </w:tc>
            <w:tc>
              <w:tcPr>
                <w:tcW w:w="1956" w:type="dxa"/>
                <w:vAlign w:val="center"/>
              </w:tcPr>
              <w:p w14:paraId="5E9A02DB"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-0.143***</w:t>
                </w:r>
              </w:p>
            </w:tc>
            <w:tc>
              <w:tcPr>
                <w:tcW w:w="1956" w:type="dxa"/>
                <w:vAlign w:val="center"/>
              </w:tcPr>
              <w:p w14:paraId="556C876A"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-0.144***</w:t>
                </w:r>
              </w:p>
            </w:tc>
            <w:tc>
              <w:tcPr>
                <w:tcW w:w="1956" w:type="dxa"/>
                <w:vAlign w:val="center"/>
              </w:tcPr>
              <w:p w14:paraId="3F93D103"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-0.005</w:t>
                </w:r>
              </w:p>
            </w:tc>
          </w:tr>
          <w:tr w:rsidR="007373F6" w14:paraId="6BFA21C9" w14:textId="77777777" w:rsidTr="007373F6">
            <w:tc>
              <w:tcPr>
                <w:cnfStyle w:val="001000000000" w:firstRow="0" w:lastRow="0" w:firstColumn="1" w:lastColumn="0" w:oddVBand="0" w:evenVBand="0" w:oddHBand="0" w:evenHBand="0" w:firstRowFirstColumn="0" w:firstRowLastColumn="0" w:lastRowFirstColumn="0" w:lastRowLastColumn="0"/>
                <w:tcW w:w="1957" w:type="dxa"/>
                <w:vMerge/>
                <w:vAlign w:val="center"/>
              </w:tcPr>
              <w:p w14:paraId="64EB22A5"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1956" w:type="dxa"/>
                <w:vAlign w:val="center"/>
              </w:tcPr>
              <w:p w14:paraId="2B9D127F"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(-8.168)</w:t>
                </w:r>
              </w:p>
            </w:tc>
            <w:tc>
              <w:tcPr>
                <w:tcW w:w="1956" w:type="dxa"/>
                <w:vAlign w:val="center"/>
              </w:tcPr>
              <w:p w14:paraId="43DB63F5"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(-8.040)</w:t>
                </w:r>
              </w:p>
            </w:tc>
            <w:tc>
              <w:tcPr>
                <w:tcW w:w="1956" w:type="dxa"/>
                <w:vAlign w:val="center"/>
              </w:tcPr>
              <w:p w14:paraId="52969554"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(-8.133)</w:t>
                </w:r>
              </w:p>
            </w:tc>
            <w:tc>
              <w:tcPr>
                <w:tcW w:w="1956" w:type="dxa"/>
                <w:vAlign w:val="center"/>
              </w:tcPr>
              <w:p w14:paraId="75EBA3DC"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(-0.293)</w:t>
                </w:r>
              </w:p>
            </w:tc>
          </w:tr>
          <w:tr w:rsidR="007373F6" w14:paraId="2557DB3F"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7" w:type="dxa"/>
                <w:vMerge w:val="restart"/>
                <w:vAlign w:val="center"/>
              </w:tcPr>
              <w:p w14:paraId="75EF0764"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BM</m:t>
                        </m:r>
                      </m:e>
                      <m:sub>
                        <m:r>
                          <m:rPr>
                            <m:sty m:val="bi"/>
                          </m:rPr>
                          <w:rPr>
                            <w:rFonts w:ascii="Cambria Math" w:eastAsia="Cambria Math" w:hAnsi="Cambria Math" w:cs="Cambria Math"/>
                            <w:sz w:val="24"/>
                            <w:szCs w:val="24"/>
                          </w:rPr>
                          <m:t>i,t</m:t>
                        </m:r>
                      </m:sub>
                    </m:sSub>
                  </m:oMath>
                </m:oMathPara>
              </w:p>
            </w:tc>
            <w:tc>
              <w:tcPr>
                <w:tcW w:w="1956" w:type="dxa"/>
                <w:vAlign w:val="center"/>
              </w:tcPr>
              <w:p w14:paraId="6DFB6C67"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0.015</w:t>
                </w:r>
              </w:p>
            </w:tc>
            <w:tc>
              <w:tcPr>
                <w:tcW w:w="1956" w:type="dxa"/>
                <w:vAlign w:val="center"/>
              </w:tcPr>
              <w:p w14:paraId="617AACF8"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0.012</w:t>
                </w:r>
              </w:p>
            </w:tc>
            <w:tc>
              <w:tcPr>
                <w:tcW w:w="1956" w:type="dxa"/>
                <w:vAlign w:val="center"/>
              </w:tcPr>
              <w:p w14:paraId="3A4A822E"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0.010</w:t>
                </w:r>
              </w:p>
            </w:tc>
            <w:tc>
              <w:tcPr>
                <w:tcW w:w="1956" w:type="dxa"/>
                <w:vAlign w:val="center"/>
              </w:tcPr>
              <w:p w14:paraId="5771019D"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0.036*</w:t>
                </w:r>
              </w:p>
            </w:tc>
          </w:tr>
          <w:tr w:rsidR="007373F6" w14:paraId="38D0CFAB" w14:textId="77777777" w:rsidTr="007373F6">
            <w:tc>
              <w:tcPr>
                <w:cnfStyle w:val="001000000000" w:firstRow="0" w:lastRow="0" w:firstColumn="1" w:lastColumn="0" w:oddVBand="0" w:evenVBand="0" w:oddHBand="0" w:evenHBand="0" w:firstRowFirstColumn="0" w:firstRowLastColumn="0" w:lastRowFirstColumn="0" w:lastRowLastColumn="0"/>
                <w:tcW w:w="1957" w:type="dxa"/>
                <w:vMerge/>
                <w:vAlign w:val="center"/>
              </w:tcPr>
              <w:p w14:paraId="3682D95A"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1956" w:type="dxa"/>
                <w:vAlign w:val="center"/>
              </w:tcPr>
              <w:p w14:paraId="54D926E3"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(0.928)</w:t>
                </w:r>
              </w:p>
            </w:tc>
            <w:tc>
              <w:tcPr>
                <w:tcW w:w="1956" w:type="dxa"/>
                <w:vAlign w:val="center"/>
              </w:tcPr>
              <w:p w14:paraId="29B5C076"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(0.773)</w:t>
                </w:r>
              </w:p>
            </w:tc>
            <w:tc>
              <w:tcPr>
                <w:tcW w:w="1956" w:type="dxa"/>
                <w:vAlign w:val="center"/>
              </w:tcPr>
              <w:p w14:paraId="3CA53B38"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(0.604)</w:t>
                </w:r>
              </w:p>
            </w:tc>
            <w:tc>
              <w:tcPr>
                <w:tcW w:w="1956" w:type="dxa"/>
                <w:vAlign w:val="center"/>
              </w:tcPr>
              <w:p w14:paraId="29DDB0B5"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(2.286)</w:t>
                </w:r>
              </w:p>
            </w:tc>
          </w:tr>
          <w:tr w:rsidR="007373F6" w14:paraId="638E0F0C"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81" w:type="dxa"/>
                <w:gridSpan w:val="5"/>
                <w:vAlign w:val="center"/>
              </w:tcPr>
              <w:p w14:paraId="3DBBAAA3" w14:textId="77777777" w:rsidR="007373F6" w:rsidRDefault="00000000">
                <w:pPr>
                  <w:widowControl w:val="0"/>
                  <w:ind w:firstLine="2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*p&lt;0.05, **p&lt;0.01, ***p&lt;0.001</w:t>
                </w:r>
              </w:p>
            </w:tc>
          </w:tr>
          <w:tr w:rsidR="007373F6" w14:paraId="5A7C161E" w14:textId="77777777" w:rsidTr="007373F6">
            <w:tc>
              <w:tcPr>
                <w:cnfStyle w:val="001000000000" w:firstRow="0" w:lastRow="0" w:firstColumn="1" w:lastColumn="0" w:oddVBand="0" w:evenVBand="0" w:oddHBand="0" w:evenHBand="0" w:firstRowFirstColumn="0" w:firstRowLastColumn="0" w:lastRowFirstColumn="0" w:lastRowLastColumn="0"/>
                <w:tcW w:w="9781" w:type="dxa"/>
                <w:gridSpan w:val="5"/>
                <w:vAlign w:val="center"/>
              </w:tcPr>
              <w:p w14:paraId="5BE42569" w14:textId="77777777" w:rsidR="007373F6" w:rsidRDefault="00000000">
                <w:pPr>
                  <w:widowControl w:val="0"/>
                  <w:ind w:firstLine="2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Figures in parentheses indicate t-values.</w:t>
                </w:r>
              </w:p>
            </w:tc>
          </w:tr>
        </w:tbl>
      </w:sdtContent>
    </w:sdt>
    <w:p w14:paraId="65696918" w14:textId="77777777" w:rsidR="007373F6" w:rsidRDefault="007373F6">
      <w:pPr>
        <w:keepNext/>
        <w:widowControl w:val="0"/>
        <w:spacing w:after="0" w:line="240" w:lineRule="auto"/>
        <w:jc w:val="both"/>
        <w:rPr>
          <w:rFonts w:ascii="Times New Roman" w:eastAsia="Times New Roman" w:hAnsi="Times New Roman" w:cs="Times New Roman"/>
          <w:b/>
          <w:i/>
          <w:sz w:val="24"/>
          <w:szCs w:val="24"/>
        </w:rPr>
      </w:pPr>
    </w:p>
    <w:p w14:paraId="17F1A2A6" w14:textId="77777777" w:rsidR="007373F6" w:rsidRDefault="00000000">
      <w:pPr>
        <w:spacing w:before="240" w:after="12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The Impact of SG&amp;A Expense Stickiness on the Cost of Equity Capital</w:t>
      </w:r>
    </w:p>
    <w:p w14:paraId="2BF9877B"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Table 2 presents the regression results for testing Hypothesis H1, focusing on the relationship between SG&amp;A expense stickiness and the implied cost of equity capital. Four estimation models are employed: the Ohlson–Juettner-Nauroth (OJ) model, the Modified PEG (MPEG) model, the PEG model, and the Price-to-Earnings (PE) model. The key explanatory variable is SG&amp;A expense stickiness, with control variables included to account for firm characteristics.</w:t>
      </w:r>
    </w:p>
    <w:p w14:paraId="1ECF56F9"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Model 5 presents the empirical results for testing Hypothesis H1, focusing on SG&amp;A expense stickiness and the cost of equity capital estimated using the Ohlson–Juettner-Nauroth (OJ) model. The estimated coefficient, </w:t>
      </w:r>
      <m:oMath>
        <m:sSub>
          <m:sSubPr>
            <m:ctrlPr>
              <w:rPr>
                <w:rFonts w:ascii="Cambria Math" w:eastAsia="Cambria Math" w:hAnsi="Cambria Math" w:cs="Cambria Math"/>
                <w:sz w:val="24"/>
                <w:szCs w:val="24"/>
              </w:rPr>
            </m:ctrlPr>
          </m:sSubPr>
          <m:e>
            <m:acc>
              <m:accPr>
                <m:ctrlPr>
                  <w:rPr>
                    <w:rFonts w:ascii="Cambria Math" w:hAnsi="Cambria Math"/>
                  </w:rPr>
                </m:ctrlPr>
              </m:accPr>
              <m:e>
                <m:r>
                  <w:rPr>
                    <w:rFonts w:ascii="Cambria Math" w:hAnsi="Cambria Math"/>
                  </w:rPr>
                  <m:t>β</m:t>
                </m:r>
              </m:e>
            </m:acc>
          </m:e>
          <m:sub>
            <m:r>
              <w:rPr>
                <w:rFonts w:ascii="Cambria Math" w:eastAsia="Cambria Math" w:hAnsi="Cambria Math" w:cs="Cambria Math"/>
                <w:sz w:val="24"/>
                <w:szCs w:val="24"/>
              </w:rPr>
              <m:t>1</m:t>
            </m:r>
          </m:sub>
        </m:sSub>
      </m:oMath>
      <w:r>
        <w:rPr>
          <w:rFonts w:ascii="Times New Roman" w:eastAsia="Times New Roman" w:hAnsi="Times New Roman" w:cs="Times New Roman"/>
          <w:sz w:val="24"/>
          <w:szCs w:val="24"/>
        </w:rPr>
        <w:t xml:space="preserve">=0.048, is statistically significant at the 1% level. This implies that a one-unit increase in SG&amp;A expense stickiness is associated with an average increase of 0.048 in the cost of equity capital. However, since more negative values of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sticky</m:t>
            </m:r>
          </m:e>
          <m:sub>
            <m:r>
              <w:rPr>
                <w:rFonts w:ascii="Cambria Math" w:eastAsia="Cambria Math" w:hAnsi="Cambria Math" w:cs="Cambria Math"/>
                <w:sz w:val="24"/>
                <w:szCs w:val="24"/>
              </w:rPr>
              <m:t>i,t</m:t>
            </m:r>
          </m:sub>
        </m:sSub>
      </m:oMath>
      <w:r>
        <w:rPr>
          <w:rFonts w:ascii="Times New Roman" w:eastAsia="Times New Roman" w:hAnsi="Times New Roman" w:cs="Times New Roman"/>
          <w:sz w:val="24"/>
          <w:szCs w:val="24"/>
        </w:rPr>
        <w:t>​ represent greater cost stickiness, the result suggests that stronger SG&amp;A expense stickiness is associated with a lower cost of equity capital.</w:t>
      </w:r>
    </w:p>
    <w:p w14:paraId="13484768"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Model 6 also tests Hypothesis H1, using the Modified PEG (MPEG) model to estimate the cost of equity capital. The estimated coefficient remains </w:t>
      </w:r>
      <m:oMath>
        <m:sSub>
          <m:sSubPr>
            <m:ctrlPr>
              <w:rPr>
                <w:rFonts w:ascii="Cambria Math" w:eastAsia="Cambria Math" w:hAnsi="Cambria Math" w:cs="Cambria Math"/>
                <w:sz w:val="24"/>
                <w:szCs w:val="24"/>
              </w:rPr>
            </m:ctrlPr>
          </m:sSubPr>
          <m:e>
            <m:acc>
              <m:accPr>
                <m:ctrlPr>
                  <w:rPr>
                    <w:rFonts w:ascii="Cambria Math" w:hAnsi="Cambria Math"/>
                  </w:rPr>
                </m:ctrlPr>
              </m:accPr>
              <m:e>
                <m:r>
                  <w:rPr>
                    <w:rFonts w:ascii="Cambria Math" w:hAnsi="Cambria Math"/>
                  </w:rPr>
                  <m:t>β</m:t>
                </m:r>
              </m:e>
            </m:acc>
          </m:e>
          <m:sub>
            <m:r>
              <w:rPr>
                <w:rFonts w:ascii="Cambria Math" w:eastAsia="Cambria Math" w:hAnsi="Cambria Math" w:cs="Cambria Math"/>
                <w:sz w:val="24"/>
                <w:szCs w:val="24"/>
              </w:rPr>
              <m:t>1</m:t>
            </m:r>
          </m:sub>
        </m:sSub>
      </m:oMath>
      <w:r>
        <w:rPr>
          <w:rFonts w:ascii="Times New Roman" w:eastAsia="Times New Roman" w:hAnsi="Times New Roman" w:cs="Times New Roman"/>
          <w:sz w:val="24"/>
          <w:szCs w:val="24"/>
        </w:rPr>
        <w:t>=0.048, with statistical significance at the 1% level. This indicates that SG&amp;A expense stickiness negatively affects the cost of equity capital estimated by the MPEG model, consistent with the result from Model 5.</w:t>
      </w:r>
    </w:p>
    <w:p w14:paraId="56E8160E"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Model 7 examines the relationship between SG&amp;A expense stickiness and the cost of equity capital using the PEG model. The estimated coefficient is </w:t>
      </w:r>
      <m:oMath>
        <m:sSub>
          <m:sSubPr>
            <m:ctrlPr>
              <w:rPr>
                <w:rFonts w:ascii="Cambria Math" w:eastAsia="Cambria Math" w:hAnsi="Cambria Math" w:cs="Cambria Math"/>
                <w:sz w:val="24"/>
                <w:szCs w:val="24"/>
              </w:rPr>
            </m:ctrlPr>
          </m:sSubPr>
          <m:e>
            <m:acc>
              <m:accPr>
                <m:ctrlPr>
                  <w:rPr>
                    <w:rFonts w:ascii="Cambria Math" w:hAnsi="Cambria Math"/>
                  </w:rPr>
                </m:ctrlPr>
              </m:accPr>
              <m:e>
                <m:r>
                  <w:rPr>
                    <w:rFonts w:ascii="Cambria Math" w:hAnsi="Cambria Math"/>
                  </w:rPr>
                  <m:t>β</m:t>
                </m:r>
              </m:e>
            </m:acc>
          </m:e>
          <m:sub>
            <m:r>
              <w:rPr>
                <w:rFonts w:ascii="Cambria Math" w:eastAsia="Cambria Math" w:hAnsi="Cambria Math" w:cs="Cambria Math"/>
                <w:sz w:val="24"/>
                <w:szCs w:val="24"/>
              </w:rPr>
              <m:t>1</m:t>
            </m:r>
          </m:sub>
        </m:sSub>
      </m:oMath>
      <w:r>
        <w:rPr>
          <w:rFonts w:ascii="Times New Roman" w:eastAsia="Times New Roman" w:hAnsi="Times New Roman" w:cs="Times New Roman"/>
          <w:sz w:val="24"/>
          <w:szCs w:val="24"/>
        </w:rPr>
        <w:t xml:space="preserve">=0.049, which is statistically significant at the 1% level. This result supports the finding that stronger SG&amp;A cost stickiness (i.e., more negative values of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sticky</m:t>
            </m:r>
          </m:e>
          <m:sub>
            <m:r>
              <w:rPr>
                <w:rFonts w:ascii="Cambria Math" w:eastAsia="Cambria Math" w:hAnsi="Cambria Math" w:cs="Cambria Math"/>
                <w:sz w:val="24"/>
                <w:szCs w:val="24"/>
              </w:rPr>
              <m:t>i,t</m:t>
            </m:r>
          </m:sub>
        </m:sSub>
      </m:oMath>
      <w:r>
        <w:rPr>
          <w:rFonts w:ascii="Times New Roman" w:eastAsia="Times New Roman" w:hAnsi="Times New Roman" w:cs="Times New Roman"/>
          <w:sz w:val="24"/>
          <w:szCs w:val="24"/>
        </w:rPr>
        <w:t>​) is associated with a decrease in the cost of equity capital.</w:t>
      </w:r>
    </w:p>
    <w:p w14:paraId="20A2F68C"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Model 8 presents the result from the regression using the Price-to-Earnings (PE) model. The </w:t>
      </w:r>
      <w:r>
        <w:rPr>
          <w:rFonts w:ascii="Times New Roman" w:eastAsia="Times New Roman" w:hAnsi="Times New Roman" w:cs="Times New Roman"/>
          <w:sz w:val="24"/>
          <w:szCs w:val="24"/>
        </w:rPr>
        <w:lastRenderedPageBreak/>
        <w:t>t-value for the estimated coefficient is –0.771, which indicates that the relationship between SG&amp;A expense stickiness and the cost of equity capital is not statistically significant in this specification. Therefore, the result from Model 8 is inconclusive.</w:t>
      </w:r>
    </w:p>
    <w:p w14:paraId="26D91C12" w14:textId="77777777" w:rsidR="007373F6" w:rsidRDefault="007373F6">
      <w:pPr>
        <w:widowControl w:val="0"/>
        <w:spacing w:after="0" w:line="240" w:lineRule="auto"/>
        <w:ind w:firstLine="240"/>
        <w:jc w:val="both"/>
        <w:rPr>
          <w:rFonts w:ascii="Times New Roman" w:eastAsia="Times New Roman" w:hAnsi="Times New Roman" w:cs="Times New Roman"/>
          <w:sz w:val="24"/>
          <w:szCs w:val="24"/>
        </w:rPr>
      </w:pPr>
    </w:p>
    <w:p w14:paraId="7216B5C1" w14:textId="77777777" w:rsidR="007373F6" w:rsidRDefault="00000000">
      <w:pPr>
        <w:widowControl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Table 2. The Impact of SG&amp;A Expense Stickiness on the Cost of Equity Capital</w:t>
      </w:r>
    </w:p>
    <w:sdt>
      <w:sdtPr>
        <w:rPr>
          <w:b w:val="0"/>
          <w:sz w:val="22"/>
          <w:szCs w:val="22"/>
        </w:rPr>
        <w:tag w:val="goog_rdk_279"/>
        <w:id w:val="851916086"/>
        <w:lock w:val="contentLocked"/>
      </w:sdtPr>
      <w:sdtContent>
        <w:tbl>
          <w:tblPr>
            <w:tblStyle w:val="afff"/>
            <w:tblW w:w="9781" w:type="dxa"/>
            <w:jc w:val="center"/>
            <w:tblBorders>
              <w:top w:val="single" w:sz="4" w:space="0" w:color="7F7F7F"/>
              <w:bottom w:val="single" w:sz="4" w:space="0" w:color="7F7F7F"/>
            </w:tblBorders>
            <w:tblLayout w:type="fixed"/>
            <w:tblLook w:val="04A0" w:firstRow="1" w:lastRow="0" w:firstColumn="1" w:lastColumn="0" w:noHBand="0" w:noVBand="1"/>
          </w:tblPr>
          <w:tblGrid>
            <w:gridCol w:w="1957"/>
            <w:gridCol w:w="1956"/>
            <w:gridCol w:w="1956"/>
            <w:gridCol w:w="1956"/>
            <w:gridCol w:w="1956"/>
          </w:tblGrid>
          <w:tr w:rsidR="007373F6" w14:paraId="1255BBE3" w14:textId="77777777" w:rsidTr="007373F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7" w:type="dxa"/>
                <w:vAlign w:val="center"/>
              </w:tcPr>
              <w:p w14:paraId="6C47976F" w14:textId="77777777" w:rsidR="007373F6" w:rsidRDefault="00000000">
                <w:pPr>
                  <w:widowControl w:val="0"/>
                  <w:ind w:firstLine="241"/>
                  <w:jc w:val="both"/>
                  <w:rPr>
                    <w:rFonts w:ascii="Times New Roman" w:eastAsia="Times New Roman" w:hAnsi="Times New Roman" w:cs="Times New Roman"/>
                    <w:sz w:val="24"/>
                    <w:szCs w:val="24"/>
                  </w:rPr>
                </w:pPr>
                <w:sdt>
                  <w:sdtPr>
                    <w:tag w:val="goog_rdk_272"/>
                    <w:id w:val="-243590624"/>
                  </w:sdtPr>
                  <w:sdtContent>
                    <w:r>
                      <w:rPr>
                        <w:rFonts w:ascii="Gungsuh" w:eastAsia="Gungsuh" w:hAnsi="Gungsuh" w:cs="Gungsuh"/>
                        <w:sz w:val="24"/>
                        <w:szCs w:val="24"/>
                      </w:rPr>
                      <w:t>Model 5～8</w:t>
                    </w:r>
                  </w:sdtContent>
                </w:sdt>
              </w:p>
            </w:tc>
            <w:tc>
              <w:tcPr>
                <w:tcW w:w="1956" w:type="dxa"/>
                <w:vAlign w:val="center"/>
              </w:tcPr>
              <w:p w14:paraId="118973F0"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r</m:t>
                        </m:r>
                      </m:e>
                      <m:sub>
                        <m:r>
                          <m:rPr>
                            <m:sty m:val="bi"/>
                          </m:rPr>
                          <w:rPr>
                            <w:rFonts w:ascii="Cambria Math" w:eastAsia="Cambria Math" w:hAnsi="Cambria Math" w:cs="Cambria Math"/>
                            <w:sz w:val="24"/>
                            <w:szCs w:val="24"/>
                          </w:rPr>
                          <m:t>e</m:t>
                        </m:r>
                      </m:sub>
                    </m:sSub>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OJ</m:t>
                        </m:r>
                      </m:e>
                      <m:sub>
                        <m:r>
                          <m:rPr>
                            <m:sty m:val="bi"/>
                          </m:rPr>
                          <w:rPr>
                            <w:rFonts w:ascii="Cambria Math" w:eastAsia="Cambria Math" w:hAnsi="Cambria Math" w:cs="Cambria Math"/>
                            <w:sz w:val="24"/>
                            <w:szCs w:val="24"/>
                          </w:rPr>
                          <m:t>i,t</m:t>
                        </m:r>
                      </m:sub>
                    </m:sSub>
                  </m:oMath>
                </m:oMathPara>
              </w:p>
            </w:tc>
            <w:tc>
              <w:tcPr>
                <w:tcW w:w="1956" w:type="dxa"/>
                <w:vAlign w:val="center"/>
              </w:tcPr>
              <w:p w14:paraId="61318657"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r</m:t>
                        </m:r>
                      </m:e>
                      <m:sub>
                        <m:r>
                          <m:rPr>
                            <m:sty m:val="bi"/>
                          </m:rPr>
                          <w:rPr>
                            <w:rFonts w:ascii="Cambria Math" w:eastAsia="Cambria Math" w:hAnsi="Cambria Math" w:cs="Cambria Math"/>
                            <w:sz w:val="24"/>
                            <w:szCs w:val="24"/>
                          </w:rPr>
                          <m:t>e</m:t>
                        </m:r>
                      </m:sub>
                    </m:sSub>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MPEG</m:t>
                        </m:r>
                      </m:e>
                      <m:sub>
                        <m:r>
                          <m:rPr>
                            <m:sty m:val="bi"/>
                          </m:rPr>
                          <w:rPr>
                            <w:rFonts w:ascii="Cambria Math" w:eastAsia="Cambria Math" w:hAnsi="Cambria Math" w:cs="Cambria Math"/>
                            <w:sz w:val="24"/>
                            <w:szCs w:val="24"/>
                          </w:rPr>
                          <m:t>i,t</m:t>
                        </m:r>
                      </m:sub>
                    </m:sSub>
                  </m:oMath>
                </m:oMathPara>
              </w:p>
            </w:tc>
            <w:tc>
              <w:tcPr>
                <w:tcW w:w="1956" w:type="dxa"/>
                <w:vAlign w:val="center"/>
              </w:tcPr>
              <w:p w14:paraId="43FBB4BC" w14:textId="77777777" w:rsidR="007373F6" w:rsidRDefault="00000000">
                <w:pPr>
                  <w:widowControl w:val="0"/>
                  <w:ind w:firstLine="241"/>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r</m:t>
                      </m:r>
                    </m:e>
                    <m:sub>
                      <m:r>
                        <m:rPr>
                          <m:sty m:val="bi"/>
                        </m:rPr>
                        <w:rPr>
                          <w:rFonts w:ascii="Cambria Math" w:eastAsia="Cambria Math" w:hAnsi="Cambria Math" w:cs="Cambria Math"/>
                          <w:sz w:val="24"/>
                          <w:szCs w:val="24"/>
                        </w:rPr>
                        <m:t>e</m:t>
                      </m:r>
                    </m:sub>
                  </m:sSub>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PEG</m:t>
                      </m:r>
                    </m:e>
                    <m:sub>
                      <m:r>
                        <m:rPr>
                          <m:sty m:val="bi"/>
                        </m:rPr>
                        <w:rPr>
                          <w:rFonts w:ascii="Cambria Math" w:eastAsia="Cambria Math" w:hAnsi="Cambria Math" w:cs="Cambria Math"/>
                          <w:sz w:val="24"/>
                          <w:szCs w:val="24"/>
                        </w:rPr>
                        <m:t>i,t</m:t>
                      </m:r>
                    </m:sub>
                  </m:sSub>
                </m:oMath>
                <w:sdt>
                  <w:sdtPr>
                    <w:tag w:val="goog_rdk_273"/>
                    <w:id w:val="198590401"/>
                  </w:sdtPr>
                  <w:sdtContent>
                    <w:r>
                      <w:rPr>
                        <w:rFonts w:ascii="Gungsuh" w:eastAsia="Gungsuh" w:hAnsi="Gungsuh" w:cs="Gungsuh"/>
                        <w:sz w:val="24"/>
                        <w:szCs w:val="24"/>
                      </w:rPr>
                      <w:t xml:space="preserve">　</w:t>
                    </w:r>
                  </w:sdtContent>
                </w:sdt>
              </w:p>
            </w:tc>
            <w:tc>
              <w:tcPr>
                <w:tcW w:w="1956" w:type="dxa"/>
                <w:vAlign w:val="center"/>
              </w:tcPr>
              <w:p w14:paraId="2A51772D"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r</m:t>
                        </m:r>
                      </m:e>
                      <m:sub>
                        <m:r>
                          <m:rPr>
                            <m:sty m:val="bi"/>
                          </m:rPr>
                          <w:rPr>
                            <w:rFonts w:ascii="Cambria Math" w:eastAsia="Cambria Math" w:hAnsi="Cambria Math" w:cs="Cambria Math"/>
                            <w:sz w:val="24"/>
                            <w:szCs w:val="24"/>
                          </w:rPr>
                          <m:t>e</m:t>
                        </m:r>
                      </m:sub>
                    </m:sSub>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PE</m:t>
                        </m:r>
                      </m:e>
                      <m:sub>
                        <m:r>
                          <m:rPr>
                            <m:sty m:val="bi"/>
                          </m:rPr>
                          <w:rPr>
                            <w:rFonts w:ascii="Cambria Math" w:eastAsia="Cambria Math" w:hAnsi="Cambria Math" w:cs="Cambria Math"/>
                            <w:sz w:val="24"/>
                            <w:szCs w:val="24"/>
                          </w:rPr>
                          <m:t>i,t</m:t>
                        </m:r>
                      </m:sub>
                    </m:sSub>
                  </m:oMath>
                </m:oMathPara>
              </w:p>
            </w:tc>
          </w:tr>
          <w:tr w:rsidR="007373F6" w14:paraId="2A1ED84E" w14:textId="77777777" w:rsidTr="007373F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7" w:type="dxa"/>
                <w:vMerge w:val="restart"/>
                <w:vAlign w:val="center"/>
              </w:tcPr>
              <w:p w14:paraId="7E15B254" w14:textId="77777777" w:rsidR="007373F6" w:rsidRDefault="00000000">
                <w:pPr>
                  <w:widowControl w:val="0"/>
                  <w:ind w:firstLine="241"/>
                  <w:jc w:val="both"/>
                  <w:rPr>
                    <w:rFonts w:ascii="Times New Roman" w:eastAsia="Times New Roman" w:hAnsi="Times New Roman" w:cs="Times New Roman"/>
                    <w:sz w:val="24"/>
                    <w:szCs w:val="24"/>
                  </w:rPr>
                </w:pPr>
                <w:sdt>
                  <w:sdtPr>
                    <w:tag w:val="goog_rdk_274"/>
                    <w:id w:val="-1649733566"/>
                  </w:sdtPr>
                  <w:sdtContent>
                    <w:r>
                      <w:rPr>
                        <w:rFonts w:ascii="Gungsuh" w:eastAsia="Gungsuh" w:hAnsi="Gungsuh" w:cs="Gungsuh"/>
                        <w:sz w:val="24"/>
                        <w:szCs w:val="24"/>
                      </w:rPr>
                      <w:t>（Constant）</w:t>
                    </w:r>
                  </w:sdtContent>
                </w:sdt>
              </w:p>
            </w:tc>
            <w:tc>
              <w:tcPr>
                <w:tcW w:w="1956" w:type="dxa"/>
                <w:vAlign w:val="center"/>
              </w:tcPr>
              <w:p w14:paraId="21672991"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sdt>
                  <w:sdtPr>
                    <w:tag w:val="goog_rdk_275"/>
                    <w:id w:val="-68068598"/>
                  </w:sdtPr>
                  <w:sdtContent>
                    <w:r>
                      <w:rPr>
                        <w:rFonts w:ascii="Gungsuh" w:eastAsia="Gungsuh" w:hAnsi="Gungsuh" w:cs="Gungsuh"/>
                        <w:sz w:val="24"/>
                        <w:szCs w:val="24"/>
                      </w:rPr>
                      <w:t xml:space="preserve">　</w:t>
                    </w:r>
                  </w:sdtContent>
                </w:sdt>
              </w:p>
            </w:tc>
            <w:tc>
              <w:tcPr>
                <w:tcW w:w="1956" w:type="dxa"/>
                <w:vAlign w:val="center"/>
              </w:tcPr>
              <w:p w14:paraId="0DB26CA1"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sdt>
                  <w:sdtPr>
                    <w:tag w:val="goog_rdk_276"/>
                    <w:id w:val="200952100"/>
                  </w:sdtPr>
                  <w:sdtContent>
                    <w:r>
                      <w:rPr>
                        <w:rFonts w:ascii="Gungsuh" w:eastAsia="Gungsuh" w:hAnsi="Gungsuh" w:cs="Gungsuh"/>
                        <w:sz w:val="24"/>
                        <w:szCs w:val="24"/>
                      </w:rPr>
                      <w:t xml:space="preserve">　</w:t>
                    </w:r>
                  </w:sdtContent>
                </w:sdt>
              </w:p>
            </w:tc>
            <w:tc>
              <w:tcPr>
                <w:tcW w:w="1956" w:type="dxa"/>
                <w:vAlign w:val="center"/>
              </w:tcPr>
              <w:p w14:paraId="10FE24DF"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sdt>
                  <w:sdtPr>
                    <w:tag w:val="goog_rdk_277"/>
                    <w:id w:val="1167130039"/>
                  </w:sdtPr>
                  <w:sdtContent>
                    <w:r>
                      <w:rPr>
                        <w:rFonts w:ascii="Gungsuh" w:eastAsia="Gungsuh" w:hAnsi="Gungsuh" w:cs="Gungsuh"/>
                        <w:sz w:val="24"/>
                        <w:szCs w:val="24"/>
                      </w:rPr>
                      <w:t xml:space="preserve">　</w:t>
                    </w:r>
                  </w:sdtContent>
                </w:sdt>
              </w:p>
            </w:tc>
            <w:tc>
              <w:tcPr>
                <w:tcW w:w="1956" w:type="dxa"/>
                <w:vAlign w:val="center"/>
              </w:tcPr>
              <w:p w14:paraId="00D94453"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sdt>
                  <w:sdtPr>
                    <w:tag w:val="goog_rdk_278"/>
                    <w:id w:val="-714790977"/>
                  </w:sdtPr>
                  <w:sdtContent>
                    <w:r>
                      <w:rPr>
                        <w:rFonts w:ascii="Gungsuh" w:eastAsia="Gungsuh" w:hAnsi="Gungsuh" w:cs="Gungsuh"/>
                        <w:sz w:val="24"/>
                        <w:szCs w:val="24"/>
                      </w:rPr>
                      <w:t xml:space="preserve">　</w:t>
                    </w:r>
                  </w:sdtContent>
                </w:sdt>
              </w:p>
            </w:tc>
          </w:tr>
          <w:tr w:rsidR="007373F6" w14:paraId="397FF39A" w14:textId="77777777" w:rsidTr="007373F6">
            <w:trPr>
              <w:jc w:val="center"/>
            </w:trPr>
            <w:tc>
              <w:tcPr>
                <w:cnfStyle w:val="001000000000" w:firstRow="0" w:lastRow="0" w:firstColumn="1" w:lastColumn="0" w:oddVBand="0" w:evenVBand="0" w:oddHBand="0" w:evenHBand="0" w:firstRowFirstColumn="0" w:firstRowLastColumn="0" w:lastRowFirstColumn="0" w:lastRowLastColumn="0"/>
                <w:tcW w:w="1957" w:type="dxa"/>
                <w:vMerge/>
                <w:vAlign w:val="center"/>
              </w:tcPr>
              <w:p w14:paraId="7C5CEBFE"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1956" w:type="dxa"/>
                <w:vAlign w:val="center"/>
              </w:tcPr>
              <w:p w14:paraId="13D67BCE"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(17.352)</w:t>
                </w:r>
              </w:p>
            </w:tc>
            <w:tc>
              <w:tcPr>
                <w:tcW w:w="1956" w:type="dxa"/>
                <w:vAlign w:val="center"/>
              </w:tcPr>
              <w:p w14:paraId="265847C2"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(16.547)</w:t>
                </w:r>
              </w:p>
            </w:tc>
            <w:tc>
              <w:tcPr>
                <w:tcW w:w="1956" w:type="dxa"/>
                <w:vAlign w:val="center"/>
              </w:tcPr>
              <w:p w14:paraId="23C5A09D"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(16.111)</w:t>
                </w:r>
              </w:p>
            </w:tc>
            <w:tc>
              <w:tcPr>
                <w:tcW w:w="1956" w:type="dxa"/>
                <w:vAlign w:val="center"/>
              </w:tcPr>
              <w:p w14:paraId="6FAF7748"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(6.234)</w:t>
                </w:r>
              </w:p>
            </w:tc>
          </w:tr>
          <w:tr w:rsidR="007373F6" w14:paraId="0BA98FEC" w14:textId="77777777" w:rsidTr="007373F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7" w:type="dxa"/>
                <w:vMerge w:val="restart"/>
                <w:vAlign w:val="center"/>
              </w:tcPr>
              <w:p w14:paraId="7CB12AE4"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SGAsticky</m:t>
                        </m:r>
                      </m:e>
                      <m:sub>
                        <m:r>
                          <m:rPr>
                            <m:sty m:val="bi"/>
                          </m:rPr>
                          <w:rPr>
                            <w:rFonts w:ascii="Cambria Math" w:eastAsia="Cambria Math" w:hAnsi="Cambria Math" w:cs="Cambria Math"/>
                            <w:sz w:val="24"/>
                            <w:szCs w:val="24"/>
                          </w:rPr>
                          <m:t>i,t</m:t>
                        </m:r>
                      </m:sub>
                    </m:sSub>
                  </m:oMath>
                </m:oMathPara>
              </w:p>
            </w:tc>
            <w:tc>
              <w:tcPr>
                <w:tcW w:w="1956" w:type="dxa"/>
                <w:vAlign w:val="center"/>
              </w:tcPr>
              <w:p w14:paraId="33C765C3"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0.048**</w:t>
                </w:r>
              </w:p>
            </w:tc>
            <w:tc>
              <w:tcPr>
                <w:tcW w:w="1956" w:type="dxa"/>
                <w:vAlign w:val="center"/>
              </w:tcPr>
              <w:p w14:paraId="0397CA47"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0.048**</w:t>
                </w:r>
              </w:p>
            </w:tc>
            <w:tc>
              <w:tcPr>
                <w:tcW w:w="1956" w:type="dxa"/>
                <w:vAlign w:val="center"/>
              </w:tcPr>
              <w:p w14:paraId="7137B080"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0.049**</w:t>
                </w:r>
              </w:p>
            </w:tc>
            <w:tc>
              <w:tcPr>
                <w:tcW w:w="1956" w:type="dxa"/>
                <w:vAlign w:val="center"/>
              </w:tcPr>
              <w:p w14:paraId="007B0CE0"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-0.012</w:t>
                </w:r>
              </w:p>
            </w:tc>
          </w:tr>
          <w:tr w:rsidR="007373F6" w14:paraId="7AE8CA22" w14:textId="77777777" w:rsidTr="007373F6">
            <w:trPr>
              <w:jc w:val="center"/>
            </w:trPr>
            <w:tc>
              <w:tcPr>
                <w:cnfStyle w:val="001000000000" w:firstRow="0" w:lastRow="0" w:firstColumn="1" w:lastColumn="0" w:oddVBand="0" w:evenVBand="0" w:oddHBand="0" w:evenHBand="0" w:firstRowFirstColumn="0" w:firstRowLastColumn="0" w:lastRowFirstColumn="0" w:lastRowLastColumn="0"/>
                <w:tcW w:w="1957" w:type="dxa"/>
                <w:vMerge/>
                <w:vAlign w:val="center"/>
              </w:tcPr>
              <w:p w14:paraId="0302FA1A"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1956" w:type="dxa"/>
                <w:vAlign w:val="center"/>
              </w:tcPr>
              <w:p w14:paraId="24415A40"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(3.000)</w:t>
                </w:r>
              </w:p>
            </w:tc>
            <w:tc>
              <w:tcPr>
                <w:tcW w:w="1956" w:type="dxa"/>
                <w:vAlign w:val="center"/>
              </w:tcPr>
              <w:p w14:paraId="7A301E2E"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(3.020)</w:t>
                </w:r>
              </w:p>
            </w:tc>
            <w:tc>
              <w:tcPr>
                <w:tcW w:w="1956" w:type="dxa"/>
                <w:vAlign w:val="center"/>
              </w:tcPr>
              <w:p w14:paraId="2302CA81"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(3.092)</w:t>
                </w:r>
              </w:p>
            </w:tc>
            <w:tc>
              <w:tcPr>
                <w:tcW w:w="1956" w:type="dxa"/>
                <w:vAlign w:val="center"/>
              </w:tcPr>
              <w:p w14:paraId="3D1F756E"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(-0.771)</w:t>
                </w:r>
              </w:p>
            </w:tc>
          </w:tr>
          <w:tr w:rsidR="007373F6" w14:paraId="15858F89" w14:textId="77777777" w:rsidTr="007373F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7" w:type="dxa"/>
                <w:vMerge w:val="restart"/>
                <w:vAlign w:val="center"/>
              </w:tcPr>
              <w:p w14:paraId="4F9F7E00"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DE</m:t>
                        </m:r>
                      </m:e>
                      <m:sub>
                        <m:r>
                          <m:rPr>
                            <m:sty m:val="bi"/>
                          </m:rPr>
                          <w:rPr>
                            <w:rFonts w:ascii="Cambria Math" w:eastAsia="Cambria Math" w:hAnsi="Cambria Math" w:cs="Cambria Math"/>
                            <w:sz w:val="24"/>
                            <w:szCs w:val="24"/>
                          </w:rPr>
                          <m:t>i,t</m:t>
                        </m:r>
                      </m:sub>
                    </m:sSub>
                  </m:oMath>
                </m:oMathPara>
              </w:p>
            </w:tc>
            <w:tc>
              <w:tcPr>
                <w:tcW w:w="1956" w:type="dxa"/>
                <w:vAlign w:val="center"/>
              </w:tcPr>
              <w:p w14:paraId="34B1A562"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0.241***</w:t>
                </w:r>
              </w:p>
            </w:tc>
            <w:tc>
              <w:tcPr>
                <w:tcW w:w="1956" w:type="dxa"/>
                <w:vAlign w:val="center"/>
              </w:tcPr>
              <w:p w14:paraId="1E228336"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0.251***</w:t>
                </w:r>
              </w:p>
            </w:tc>
            <w:tc>
              <w:tcPr>
                <w:tcW w:w="1956" w:type="dxa"/>
                <w:vAlign w:val="center"/>
              </w:tcPr>
              <w:p w14:paraId="2D106398"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0.253***</w:t>
                </w:r>
              </w:p>
            </w:tc>
            <w:tc>
              <w:tcPr>
                <w:tcW w:w="1956" w:type="dxa"/>
                <w:vAlign w:val="center"/>
              </w:tcPr>
              <w:p w14:paraId="68C981CD"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0.040*</w:t>
                </w:r>
              </w:p>
            </w:tc>
          </w:tr>
          <w:tr w:rsidR="007373F6" w14:paraId="01B6A97B" w14:textId="77777777" w:rsidTr="007373F6">
            <w:trPr>
              <w:jc w:val="center"/>
            </w:trPr>
            <w:tc>
              <w:tcPr>
                <w:cnfStyle w:val="001000000000" w:firstRow="0" w:lastRow="0" w:firstColumn="1" w:lastColumn="0" w:oddVBand="0" w:evenVBand="0" w:oddHBand="0" w:evenHBand="0" w:firstRowFirstColumn="0" w:firstRowLastColumn="0" w:lastRowFirstColumn="0" w:lastRowLastColumn="0"/>
                <w:tcW w:w="1957" w:type="dxa"/>
                <w:vMerge/>
                <w:vAlign w:val="center"/>
              </w:tcPr>
              <w:p w14:paraId="3FE02A20"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1956" w:type="dxa"/>
                <w:vAlign w:val="center"/>
              </w:tcPr>
              <w:p w14:paraId="15BCDFAD"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(13.782)</w:t>
                </w:r>
              </w:p>
            </w:tc>
            <w:tc>
              <w:tcPr>
                <w:tcW w:w="1956" w:type="dxa"/>
                <w:vAlign w:val="center"/>
              </w:tcPr>
              <w:p w14:paraId="09DD9F5B"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(14.359)</w:t>
                </w:r>
              </w:p>
            </w:tc>
            <w:tc>
              <w:tcPr>
                <w:tcW w:w="1956" w:type="dxa"/>
                <w:vAlign w:val="center"/>
              </w:tcPr>
              <w:p w14:paraId="16371FAE"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(14.465)</w:t>
                </w:r>
              </w:p>
            </w:tc>
            <w:tc>
              <w:tcPr>
                <w:tcW w:w="1956" w:type="dxa"/>
                <w:vAlign w:val="center"/>
              </w:tcPr>
              <w:p w14:paraId="5BC723D6"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(2.328)</w:t>
                </w:r>
              </w:p>
            </w:tc>
          </w:tr>
          <w:tr w:rsidR="007373F6" w14:paraId="1E243555" w14:textId="77777777" w:rsidTr="007373F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7" w:type="dxa"/>
                <w:vMerge w:val="restart"/>
                <w:vAlign w:val="center"/>
              </w:tcPr>
              <w:p w14:paraId="579073E7"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Lev</m:t>
                        </m:r>
                      </m:e>
                      <m:sub>
                        <m:r>
                          <m:rPr>
                            <m:sty m:val="bi"/>
                          </m:rPr>
                          <w:rPr>
                            <w:rFonts w:ascii="Cambria Math" w:eastAsia="Cambria Math" w:hAnsi="Cambria Math" w:cs="Cambria Math"/>
                            <w:sz w:val="24"/>
                            <w:szCs w:val="24"/>
                          </w:rPr>
                          <m:t>i,t</m:t>
                        </m:r>
                      </m:sub>
                    </m:sSub>
                  </m:oMath>
                </m:oMathPara>
              </w:p>
            </w:tc>
            <w:tc>
              <w:tcPr>
                <w:tcW w:w="1956" w:type="dxa"/>
                <w:vAlign w:val="center"/>
              </w:tcPr>
              <w:p w14:paraId="5BBB42CE"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-0.060***</w:t>
                </w:r>
              </w:p>
            </w:tc>
            <w:tc>
              <w:tcPr>
                <w:tcW w:w="1956" w:type="dxa"/>
                <w:vAlign w:val="center"/>
              </w:tcPr>
              <w:p w14:paraId="39FEBA2B"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-0.063***</w:t>
                </w:r>
              </w:p>
            </w:tc>
            <w:tc>
              <w:tcPr>
                <w:tcW w:w="1956" w:type="dxa"/>
                <w:vAlign w:val="center"/>
              </w:tcPr>
              <w:p w14:paraId="7C38DB95"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-0.061***</w:t>
                </w:r>
              </w:p>
            </w:tc>
            <w:tc>
              <w:tcPr>
                <w:tcW w:w="1956" w:type="dxa"/>
                <w:vAlign w:val="center"/>
              </w:tcPr>
              <w:p w14:paraId="2C4CECC6"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0.176***</w:t>
                </w:r>
              </w:p>
            </w:tc>
          </w:tr>
          <w:tr w:rsidR="007373F6" w14:paraId="6DFE3B0B" w14:textId="77777777" w:rsidTr="007373F6">
            <w:trPr>
              <w:jc w:val="center"/>
            </w:trPr>
            <w:tc>
              <w:tcPr>
                <w:cnfStyle w:val="001000000000" w:firstRow="0" w:lastRow="0" w:firstColumn="1" w:lastColumn="0" w:oddVBand="0" w:evenVBand="0" w:oddHBand="0" w:evenHBand="0" w:firstRowFirstColumn="0" w:firstRowLastColumn="0" w:lastRowFirstColumn="0" w:lastRowLastColumn="0"/>
                <w:tcW w:w="1957" w:type="dxa"/>
                <w:vMerge/>
                <w:vAlign w:val="center"/>
              </w:tcPr>
              <w:p w14:paraId="6E1EC9B4"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1956" w:type="dxa"/>
                <w:vAlign w:val="center"/>
              </w:tcPr>
              <w:p w14:paraId="2E2CF7B3"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(-3.594)</w:t>
                </w:r>
              </w:p>
            </w:tc>
            <w:tc>
              <w:tcPr>
                <w:tcW w:w="1956" w:type="dxa"/>
                <w:vAlign w:val="center"/>
              </w:tcPr>
              <w:p w14:paraId="0E276ADE"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(-3.775)</w:t>
                </w:r>
              </w:p>
            </w:tc>
            <w:tc>
              <w:tcPr>
                <w:tcW w:w="1956" w:type="dxa"/>
                <w:vAlign w:val="center"/>
              </w:tcPr>
              <w:p w14:paraId="193B7C26"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(-3.694)</w:t>
                </w:r>
              </w:p>
            </w:tc>
            <w:tc>
              <w:tcPr>
                <w:tcW w:w="1956" w:type="dxa"/>
                <w:vAlign w:val="center"/>
              </w:tcPr>
              <w:p w14:paraId="1A168BCF"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(10.753)</w:t>
                </w:r>
              </w:p>
            </w:tc>
          </w:tr>
          <w:tr w:rsidR="007373F6" w14:paraId="690AA675" w14:textId="77777777" w:rsidTr="007373F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7" w:type="dxa"/>
                <w:vMerge w:val="restart"/>
                <w:vAlign w:val="center"/>
              </w:tcPr>
              <w:p w14:paraId="4D2C13B3"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ROE</m:t>
                        </m:r>
                      </m:e>
                      <m:sub>
                        <m:r>
                          <m:rPr>
                            <m:sty m:val="bi"/>
                          </m:rPr>
                          <w:rPr>
                            <w:rFonts w:ascii="Cambria Math" w:eastAsia="Cambria Math" w:hAnsi="Cambria Math" w:cs="Cambria Math"/>
                            <w:sz w:val="24"/>
                            <w:szCs w:val="24"/>
                          </w:rPr>
                          <m:t>i,t</m:t>
                        </m:r>
                      </m:sub>
                    </m:sSub>
                  </m:oMath>
                </m:oMathPara>
              </w:p>
            </w:tc>
            <w:tc>
              <w:tcPr>
                <w:tcW w:w="1956" w:type="dxa"/>
                <w:vAlign w:val="center"/>
              </w:tcPr>
              <w:p w14:paraId="2EFC99DD"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-0.213***</w:t>
                </w:r>
              </w:p>
            </w:tc>
            <w:tc>
              <w:tcPr>
                <w:tcW w:w="1956" w:type="dxa"/>
                <w:vAlign w:val="center"/>
              </w:tcPr>
              <w:p w14:paraId="2BA772FA"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-0.186***</w:t>
                </w:r>
              </w:p>
            </w:tc>
            <w:tc>
              <w:tcPr>
                <w:tcW w:w="1956" w:type="dxa"/>
                <w:vAlign w:val="center"/>
              </w:tcPr>
              <w:p w14:paraId="51F2A36E"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-0.195***</w:t>
                </w:r>
              </w:p>
            </w:tc>
            <w:tc>
              <w:tcPr>
                <w:tcW w:w="1956" w:type="dxa"/>
                <w:vAlign w:val="center"/>
              </w:tcPr>
              <w:p w14:paraId="64749F28"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0.401***</w:t>
                </w:r>
              </w:p>
            </w:tc>
          </w:tr>
          <w:tr w:rsidR="007373F6" w14:paraId="20737B89" w14:textId="77777777" w:rsidTr="007373F6">
            <w:trPr>
              <w:jc w:val="center"/>
            </w:trPr>
            <w:tc>
              <w:tcPr>
                <w:cnfStyle w:val="001000000000" w:firstRow="0" w:lastRow="0" w:firstColumn="1" w:lastColumn="0" w:oddVBand="0" w:evenVBand="0" w:oddHBand="0" w:evenHBand="0" w:firstRowFirstColumn="0" w:firstRowLastColumn="0" w:lastRowFirstColumn="0" w:lastRowLastColumn="0"/>
                <w:tcW w:w="1957" w:type="dxa"/>
                <w:vMerge/>
                <w:vAlign w:val="center"/>
              </w:tcPr>
              <w:p w14:paraId="58A0CA0B"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1956" w:type="dxa"/>
                <w:vAlign w:val="center"/>
              </w:tcPr>
              <w:p w14:paraId="2B73E549"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(-12.123)</w:t>
                </w:r>
              </w:p>
            </w:tc>
            <w:tc>
              <w:tcPr>
                <w:tcW w:w="1956" w:type="dxa"/>
                <w:vAlign w:val="center"/>
              </w:tcPr>
              <w:p w14:paraId="182FDA78"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(-10.600)</w:t>
                </w:r>
              </w:p>
            </w:tc>
            <w:tc>
              <w:tcPr>
                <w:tcW w:w="1956" w:type="dxa"/>
                <w:vAlign w:val="center"/>
              </w:tcPr>
              <w:p w14:paraId="7EDCE2DD"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(-11.106)</w:t>
                </w:r>
              </w:p>
            </w:tc>
            <w:tc>
              <w:tcPr>
                <w:tcW w:w="1956" w:type="dxa"/>
                <w:vAlign w:val="center"/>
              </w:tcPr>
              <w:p w14:paraId="7AF83E1B"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(23.259)</w:t>
                </w:r>
              </w:p>
            </w:tc>
          </w:tr>
          <w:tr w:rsidR="007373F6" w14:paraId="0962CF1D" w14:textId="77777777" w:rsidTr="007373F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7" w:type="dxa"/>
                <w:vMerge w:val="restart"/>
                <w:vAlign w:val="center"/>
              </w:tcPr>
              <w:p w14:paraId="0956F5A3"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βMarket</m:t>
                        </m:r>
                      </m:e>
                      <m:sub>
                        <m:r>
                          <m:rPr>
                            <m:sty m:val="bi"/>
                          </m:rPr>
                          <w:rPr>
                            <w:rFonts w:ascii="Cambria Math" w:eastAsia="Cambria Math" w:hAnsi="Cambria Math" w:cs="Cambria Math"/>
                            <w:sz w:val="24"/>
                            <w:szCs w:val="24"/>
                          </w:rPr>
                          <m:t>i,t</m:t>
                        </m:r>
                      </m:sub>
                    </m:sSub>
                  </m:oMath>
                </m:oMathPara>
              </w:p>
            </w:tc>
            <w:tc>
              <w:tcPr>
                <w:tcW w:w="1956" w:type="dxa"/>
                <w:vAlign w:val="center"/>
              </w:tcPr>
              <w:p w14:paraId="681A30E6"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-0.202***</w:t>
                </w:r>
              </w:p>
            </w:tc>
            <w:tc>
              <w:tcPr>
                <w:tcW w:w="1956" w:type="dxa"/>
                <w:vAlign w:val="center"/>
              </w:tcPr>
              <w:p w14:paraId="4FD2DAB8"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-0.207***</w:t>
                </w:r>
              </w:p>
            </w:tc>
            <w:tc>
              <w:tcPr>
                <w:tcW w:w="1956" w:type="dxa"/>
                <w:vAlign w:val="center"/>
              </w:tcPr>
              <w:p w14:paraId="671DA5A6"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-0.197***</w:t>
                </w:r>
              </w:p>
            </w:tc>
            <w:tc>
              <w:tcPr>
                <w:tcW w:w="1956" w:type="dxa"/>
                <w:vAlign w:val="center"/>
              </w:tcPr>
              <w:p w14:paraId="7768C537"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-0.126***</w:t>
                </w:r>
              </w:p>
            </w:tc>
          </w:tr>
          <w:tr w:rsidR="007373F6" w14:paraId="0BF23992" w14:textId="77777777" w:rsidTr="007373F6">
            <w:trPr>
              <w:jc w:val="center"/>
            </w:trPr>
            <w:tc>
              <w:tcPr>
                <w:cnfStyle w:val="001000000000" w:firstRow="0" w:lastRow="0" w:firstColumn="1" w:lastColumn="0" w:oddVBand="0" w:evenVBand="0" w:oddHBand="0" w:evenHBand="0" w:firstRowFirstColumn="0" w:firstRowLastColumn="0" w:lastRowFirstColumn="0" w:lastRowLastColumn="0"/>
                <w:tcW w:w="1957" w:type="dxa"/>
                <w:vMerge/>
                <w:vAlign w:val="center"/>
              </w:tcPr>
              <w:p w14:paraId="2EB03007"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1956" w:type="dxa"/>
                <w:vAlign w:val="center"/>
              </w:tcPr>
              <w:p w14:paraId="382F41A1"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(-8.393)</w:t>
                </w:r>
              </w:p>
            </w:tc>
            <w:tc>
              <w:tcPr>
                <w:tcW w:w="1956" w:type="dxa"/>
                <w:vAlign w:val="center"/>
              </w:tcPr>
              <w:p w14:paraId="07F5831A"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(-8.587)</w:t>
                </w:r>
              </w:p>
            </w:tc>
            <w:tc>
              <w:tcPr>
                <w:tcW w:w="1956" w:type="dxa"/>
                <w:vAlign w:val="center"/>
              </w:tcPr>
              <w:p w14:paraId="70B3261A"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(-8.173)</w:t>
                </w:r>
              </w:p>
            </w:tc>
            <w:tc>
              <w:tcPr>
                <w:tcW w:w="1956" w:type="dxa"/>
                <w:vAlign w:val="center"/>
              </w:tcPr>
              <w:p w14:paraId="23C9B35A"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(-5.335)</w:t>
                </w:r>
              </w:p>
            </w:tc>
          </w:tr>
          <w:tr w:rsidR="007373F6" w14:paraId="3FC2307C" w14:textId="77777777" w:rsidTr="007373F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7" w:type="dxa"/>
                <w:vMerge w:val="restart"/>
                <w:vAlign w:val="center"/>
              </w:tcPr>
              <w:p w14:paraId="66976084"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βTOPIX</m:t>
                        </m:r>
                      </m:e>
                      <m:sub>
                        <m:r>
                          <m:rPr>
                            <m:sty m:val="bi"/>
                          </m:rPr>
                          <w:rPr>
                            <w:rFonts w:ascii="Cambria Math" w:eastAsia="Cambria Math" w:hAnsi="Cambria Math" w:cs="Cambria Math"/>
                            <w:sz w:val="24"/>
                            <w:szCs w:val="24"/>
                          </w:rPr>
                          <m:t>i,t</m:t>
                        </m:r>
                      </m:sub>
                    </m:sSub>
                  </m:oMath>
                </m:oMathPara>
              </w:p>
            </w:tc>
            <w:tc>
              <w:tcPr>
                <w:tcW w:w="1956" w:type="dxa"/>
                <w:vAlign w:val="center"/>
              </w:tcPr>
              <w:p w14:paraId="585E96EC"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0.382***</w:t>
                </w:r>
              </w:p>
            </w:tc>
            <w:tc>
              <w:tcPr>
                <w:tcW w:w="1956" w:type="dxa"/>
                <w:vAlign w:val="center"/>
              </w:tcPr>
              <w:p w14:paraId="3FD0B5F3"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0.390***</w:t>
                </w:r>
              </w:p>
            </w:tc>
            <w:tc>
              <w:tcPr>
                <w:tcW w:w="1956" w:type="dxa"/>
                <w:vAlign w:val="center"/>
              </w:tcPr>
              <w:p w14:paraId="44E0F96D"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0.383***</w:t>
                </w:r>
              </w:p>
            </w:tc>
            <w:tc>
              <w:tcPr>
                <w:tcW w:w="1956" w:type="dxa"/>
                <w:vAlign w:val="center"/>
              </w:tcPr>
              <w:p w14:paraId="05CDB5C0"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0.104***</w:t>
                </w:r>
              </w:p>
            </w:tc>
          </w:tr>
          <w:tr w:rsidR="007373F6" w14:paraId="2CB243D5" w14:textId="77777777" w:rsidTr="007373F6">
            <w:trPr>
              <w:jc w:val="center"/>
            </w:trPr>
            <w:tc>
              <w:tcPr>
                <w:cnfStyle w:val="001000000000" w:firstRow="0" w:lastRow="0" w:firstColumn="1" w:lastColumn="0" w:oddVBand="0" w:evenVBand="0" w:oddHBand="0" w:evenHBand="0" w:firstRowFirstColumn="0" w:firstRowLastColumn="0" w:lastRowFirstColumn="0" w:lastRowLastColumn="0"/>
                <w:tcW w:w="1957" w:type="dxa"/>
                <w:vMerge/>
                <w:vAlign w:val="center"/>
              </w:tcPr>
              <w:p w14:paraId="17CAE58F"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1956" w:type="dxa"/>
                <w:vAlign w:val="center"/>
              </w:tcPr>
              <w:p w14:paraId="5DD550A0"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(15.852)</w:t>
                </w:r>
              </w:p>
            </w:tc>
            <w:tc>
              <w:tcPr>
                <w:tcW w:w="1956" w:type="dxa"/>
                <w:vAlign w:val="center"/>
              </w:tcPr>
              <w:p w14:paraId="5B82F45F"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(16.154)</w:t>
                </w:r>
              </w:p>
            </w:tc>
            <w:tc>
              <w:tcPr>
                <w:tcW w:w="1956" w:type="dxa"/>
                <w:vAlign w:val="center"/>
              </w:tcPr>
              <w:p w14:paraId="49E5D014"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(15.871)</w:t>
                </w:r>
              </w:p>
            </w:tc>
            <w:tc>
              <w:tcPr>
                <w:tcW w:w="1956" w:type="dxa"/>
                <w:vAlign w:val="center"/>
              </w:tcPr>
              <w:p w14:paraId="106C7ADE"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(4.401)</w:t>
                </w:r>
              </w:p>
            </w:tc>
          </w:tr>
          <w:tr w:rsidR="007373F6" w14:paraId="05474F66" w14:textId="77777777" w:rsidTr="007373F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7" w:type="dxa"/>
                <w:vMerge w:val="restart"/>
                <w:vAlign w:val="center"/>
              </w:tcPr>
              <w:p w14:paraId="4DE10A29"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Growth</m:t>
                        </m:r>
                      </m:e>
                      <m:sub>
                        <m:r>
                          <m:rPr>
                            <m:sty m:val="bi"/>
                          </m:rPr>
                          <w:rPr>
                            <w:rFonts w:ascii="Cambria Math" w:eastAsia="Cambria Math" w:hAnsi="Cambria Math" w:cs="Cambria Math"/>
                            <w:sz w:val="24"/>
                            <w:szCs w:val="24"/>
                          </w:rPr>
                          <m:t>i,t</m:t>
                        </m:r>
                      </m:sub>
                    </m:sSub>
                  </m:oMath>
                </m:oMathPara>
              </w:p>
            </w:tc>
            <w:tc>
              <w:tcPr>
                <w:tcW w:w="1956" w:type="dxa"/>
                <w:vAlign w:val="center"/>
              </w:tcPr>
              <w:p w14:paraId="4D4FA12F"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-0.081***</w:t>
                </w:r>
              </w:p>
            </w:tc>
            <w:tc>
              <w:tcPr>
                <w:tcW w:w="1956" w:type="dxa"/>
                <w:vAlign w:val="center"/>
              </w:tcPr>
              <w:p w14:paraId="02E75D32"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-0.077***</w:t>
                </w:r>
              </w:p>
            </w:tc>
            <w:tc>
              <w:tcPr>
                <w:tcW w:w="1956" w:type="dxa"/>
                <w:vAlign w:val="center"/>
              </w:tcPr>
              <w:p w14:paraId="00EF07D5"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-0.076***</w:t>
                </w:r>
              </w:p>
            </w:tc>
            <w:tc>
              <w:tcPr>
                <w:tcW w:w="1956" w:type="dxa"/>
                <w:vAlign w:val="center"/>
              </w:tcPr>
              <w:p w14:paraId="6D0C207D"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0.006</w:t>
                </w:r>
              </w:p>
            </w:tc>
          </w:tr>
          <w:tr w:rsidR="007373F6" w14:paraId="5E9EBECF" w14:textId="77777777" w:rsidTr="007373F6">
            <w:trPr>
              <w:jc w:val="center"/>
            </w:trPr>
            <w:tc>
              <w:tcPr>
                <w:cnfStyle w:val="001000000000" w:firstRow="0" w:lastRow="0" w:firstColumn="1" w:lastColumn="0" w:oddVBand="0" w:evenVBand="0" w:oddHBand="0" w:evenHBand="0" w:firstRowFirstColumn="0" w:firstRowLastColumn="0" w:lastRowFirstColumn="0" w:lastRowLastColumn="0"/>
                <w:tcW w:w="1957" w:type="dxa"/>
                <w:vMerge/>
                <w:vAlign w:val="center"/>
              </w:tcPr>
              <w:p w14:paraId="1BBDA365"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1956" w:type="dxa"/>
                <w:vAlign w:val="center"/>
              </w:tcPr>
              <w:p w14:paraId="55321B07"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(-4.837)</w:t>
                </w:r>
              </w:p>
            </w:tc>
            <w:tc>
              <w:tcPr>
                <w:tcW w:w="1956" w:type="dxa"/>
                <w:vAlign w:val="center"/>
              </w:tcPr>
              <w:p w14:paraId="7E43C45D"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(-4.597)</w:t>
                </w:r>
              </w:p>
            </w:tc>
            <w:tc>
              <w:tcPr>
                <w:tcW w:w="1956" w:type="dxa"/>
                <w:vAlign w:val="center"/>
              </w:tcPr>
              <w:p w14:paraId="08D12869"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(-4.548)</w:t>
                </w:r>
              </w:p>
            </w:tc>
            <w:tc>
              <w:tcPr>
                <w:tcW w:w="1956" w:type="dxa"/>
                <w:vAlign w:val="center"/>
              </w:tcPr>
              <w:p w14:paraId="5B080B1A"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(0.391)</w:t>
                </w:r>
              </w:p>
            </w:tc>
          </w:tr>
          <w:tr w:rsidR="007373F6" w14:paraId="496D2E75" w14:textId="77777777" w:rsidTr="007373F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7" w:type="dxa"/>
                <w:vMerge w:val="restart"/>
                <w:vAlign w:val="center"/>
              </w:tcPr>
              <w:p w14:paraId="0B0AE74A"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logAssets</m:t>
                        </m:r>
                      </m:e>
                      <m:sub>
                        <m:r>
                          <m:rPr>
                            <m:sty m:val="bi"/>
                          </m:rPr>
                          <w:rPr>
                            <w:rFonts w:ascii="Cambria Math" w:eastAsia="Cambria Math" w:hAnsi="Cambria Math" w:cs="Cambria Math"/>
                            <w:sz w:val="24"/>
                            <w:szCs w:val="24"/>
                          </w:rPr>
                          <m:t>i,t</m:t>
                        </m:r>
                      </m:sub>
                    </m:sSub>
                  </m:oMath>
                </m:oMathPara>
              </w:p>
            </w:tc>
            <w:tc>
              <w:tcPr>
                <w:tcW w:w="1956" w:type="dxa"/>
                <w:vAlign w:val="center"/>
              </w:tcPr>
              <w:p w14:paraId="3C57BE6D"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-0.145***</w:t>
                </w:r>
              </w:p>
            </w:tc>
            <w:tc>
              <w:tcPr>
                <w:tcW w:w="1956" w:type="dxa"/>
                <w:vAlign w:val="center"/>
              </w:tcPr>
              <w:p w14:paraId="0D312C73"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-0.143***</w:t>
                </w:r>
              </w:p>
            </w:tc>
            <w:tc>
              <w:tcPr>
                <w:tcW w:w="1956" w:type="dxa"/>
                <w:vAlign w:val="center"/>
              </w:tcPr>
              <w:p w14:paraId="3282EAE1"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-0.145***</w:t>
                </w:r>
              </w:p>
            </w:tc>
            <w:tc>
              <w:tcPr>
                <w:tcW w:w="1956" w:type="dxa"/>
                <w:vAlign w:val="center"/>
              </w:tcPr>
              <w:p w14:paraId="63798EEE"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-0.006</w:t>
                </w:r>
              </w:p>
            </w:tc>
          </w:tr>
          <w:tr w:rsidR="007373F6" w14:paraId="5E40B3B8" w14:textId="77777777" w:rsidTr="007373F6">
            <w:trPr>
              <w:jc w:val="center"/>
            </w:trPr>
            <w:tc>
              <w:tcPr>
                <w:cnfStyle w:val="001000000000" w:firstRow="0" w:lastRow="0" w:firstColumn="1" w:lastColumn="0" w:oddVBand="0" w:evenVBand="0" w:oddHBand="0" w:evenHBand="0" w:firstRowFirstColumn="0" w:firstRowLastColumn="0" w:lastRowFirstColumn="0" w:lastRowLastColumn="0"/>
                <w:tcW w:w="1957" w:type="dxa"/>
                <w:vMerge/>
                <w:vAlign w:val="center"/>
              </w:tcPr>
              <w:p w14:paraId="7C9C0ADA"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1956" w:type="dxa"/>
                <w:vAlign w:val="center"/>
              </w:tcPr>
              <w:p w14:paraId="095950EC"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(-8.192)</w:t>
                </w:r>
              </w:p>
            </w:tc>
            <w:tc>
              <w:tcPr>
                <w:tcW w:w="1956" w:type="dxa"/>
                <w:vAlign w:val="center"/>
              </w:tcPr>
              <w:p w14:paraId="42822DCC"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(-8.062)</w:t>
                </w:r>
              </w:p>
            </w:tc>
            <w:tc>
              <w:tcPr>
                <w:tcW w:w="1956" w:type="dxa"/>
                <w:vAlign w:val="center"/>
              </w:tcPr>
              <w:p w14:paraId="1723D091"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(-8.154)</w:t>
                </w:r>
              </w:p>
            </w:tc>
            <w:tc>
              <w:tcPr>
                <w:tcW w:w="1956" w:type="dxa"/>
                <w:vAlign w:val="center"/>
              </w:tcPr>
              <w:p w14:paraId="5404FBE7"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(-0.329)</w:t>
                </w:r>
              </w:p>
            </w:tc>
          </w:tr>
          <w:tr w:rsidR="007373F6" w14:paraId="560F2C22" w14:textId="77777777" w:rsidTr="007373F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7" w:type="dxa"/>
                <w:vMerge w:val="restart"/>
                <w:vAlign w:val="center"/>
              </w:tcPr>
              <w:p w14:paraId="733B7BC6"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BM</m:t>
                        </m:r>
                      </m:e>
                      <m:sub>
                        <m:r>
                          <m:rPr>
                            <m:sty m:val="bi"/>
                          </m:rPr>
                          <w:rPr>
                            <w:rFonts w:ascii="Cambria Math" w:eastAsia="Cambria Math" w:hAnsi="Cambria Math" w:cs="Cambria Math"/>
                            <w:sz w:val="24"/>
                            <w:szCs w:val="24"/>
                          </w:rPr>
                          <m:t>i,t</m:t>
                        </m:r>
                      </m:sub>
                    </m:sSub>
                  </m:oMath>
                </m:oMathPara>
              </w:p>
            </w:tc>
            <w:tc>
              <w:tcPr>
                <w:tcW w:w="1956" w:type="dxa"/>
                <w:vAlign w:val="center"/>
              </w:tcPr>
              <w:p w14:paraId="4C084447"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0.015</w:t>
                </w:r>
              </w:p>
            </w:tc>
            <w:tc>
              <w:tcPr>
                <w:tcW w:w="1956" w:type="dxa"/>
                <w:vAlign w:val="center"/>
              </w:tcPr>
              <w:p w14:paraId="7430409D"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0.012</w:t>
                </w:r>
              </w:p>
            </w:tc>
            <w:tc>
              <w:tcPr>
                <w:tcW w:w="1956" w:type="dxa"/>
                <w:vAlign w:val="center"/>
              </w:tcPr>
              <w:p w14:paraId="7A2BCBA8"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0.010</w:t>
                </w:r>
              </w:p>
            </w:tc>
            <w:tc>
              <w:tcPr>
                <w:tcW w:w="1956" w:type="dxa"/>
                <w:vAlign w:val="center"/>
              </w:tcPr>
              <w:p w14:paraId="7D30D959"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0.036*</w:t>
                </w:r>
              </w:p>
            </w:tc>
          </w:tr>
          <w:tr w:rsidR="007373F6" w14:paraId="51E6DCC4" w14:textId="77777777" w:rsidTr="007373F6">
            <w:trPr>
              <w:jc w:val="center"/>
            </w:trPr>
            <w:tc>
              <w:tcPr>
                <w:cnfStyle w:val="001000000000" w:firstRow="0" w:lastRow="0" w:firstColumn="1" w:lastColumn="0" w:oddVBand="0" w:evenVBand="0" w:oddHBand="0" w:evenHBand="0" w:firstRowFirstColumn="0" w:firstRowLastColumn="0" w:lastRowFirstColumn="0" w:lastRowLastColumn="0"/>
                <w:tcW w:w="1957" w:type="dxa"/>
                <w:vMerge/>
                <w:vAlign w:val="center"/>
              </w:tcPr>
              <w:p w14:paraId="1F1CF77C"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1956" w:type="dxa"/>
                <w:vAlign w:val="center"/>
              </w:tcPr>
              <w:p w14:paraId="354F0F70"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(0.930)</w:t>
                </w:r>
              </w:p>
            </w:tc>
            <w:tc>
              <w:tcPr>
                <w:tcW w:w="1956" w:type="dxa"/>
                <w:vAlign w:val="center"/>
              </w:tcPr>
              <w:p w14:paraId="351008CA"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(0.774)</w:t>
                </w:r>
              </w:p>
            </w:tc>
            <w:tc>
              <w:tcPr>
                <w:tcW w:w="1956" w:type="dxa"/>
                <w:vAlign w:val="center"/>
              </w:tcPr>
              <w:p w14:paraId="432E03B3"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(0.603)</w:t>
                </w:r>
              </w:p>
            </w:tc>
            <w:tc>
              <w:tcPr>
                <w:tcW w:w="1956" w:type="dxa"/>
                <w:vAlign w:val="center"/>
              </w:tcPr>
              <w:p w14:paraId="5750CD75"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(2.321)</w:t>
                </w:r>
              </w:p>
            </w:tc>
          </w:tr>
          <w:tr w:rsidR="007373F6" w14:paraId="21E898E4" w14:textId="77777777" w:rsidTr="007373F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81" w:type="dxa"/>
                <w:gridSpan w:val="5"/>
                <w:vAlign w:val="center"/>
              </w:tcPr>
              <w:p w14:paraId="20B02E30" w14:textId="77777777" w:rsidR="007373F6" w:rsidRDefault="00000000">
                <w:pPr>
                  <w:widowControl w:val="0"/>
                  <w:ind w:firstLine="2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*p&lt;0.05, **p&lt;0.01, ***p&lt;0.001</w:t>
                </w:r>
              </w:p>
            </w:tc>
          </w:tr>
          <w:tr w:rsidR="007373F6" w14:paraId="34FDC58E" w14:textId="77777777" w:rsidTr="007373F6">
            <w:trPr>
              <w:jc w:val="center"/>
            </w:trPr>
            <w:tc>
              <w:tcPr>
                <w:cnfStyle w:val="001000000000" w:firstRow="0" w:lastRow="0" w:firstColumn="1" w:lastColumn="0" w:oddVBand="0" w:evenVBand="0" w:oddHBand="0" w:evenHBand="0" w:firstRowFirstColumn="0" w:firstRowLastColumn="0" w:lastRowFirstColumn="0" w:lastRowLastColumn="0"/>
                <w:tcW w:w="9781" w:type="dxa"/>
                <w:gridSpan w:val="5"/>
                <w:vAlign w:val="center"/>
              </w:tcPr>
              <w:p w14:paraId="733E382B" w14:textId="77777777" w:rsidR="007373F6" w:rsidRDefault="00000000">
                <w:pPr>
                  <w:widowControl w:val="0"/>
                  <w:ind w:firstLine="2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Figures in parentheses indicate t-values.</w:t>
                </w:r>
              </w:p>
            </w:tc>
          </w:tr>
        </w:tbl>
      </w:sdtContent>
    </w:sdt>
    <w:p w14:paraId="06909CD9" w14:textId="77777777" w:rsidR="007373F6" w:rsidRDefault="00000000">
      <w:pPr>
        <w:spacing w:before="240" w:after="12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The Impact of Cost Stickiness on Corporate Performance</w:t>
      </w:r>
    </w:p>
    <w:p w14:paraId="74DDF683" w14:textId="77777777" w:rsidR="007373F6" w:rsidRDefault="00000000">
      <w:pPr>
        <w:spacing w:before="240" w:after="12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The Impact of Operating Expense Stickiness on Corporate Performance</w:t>
      </w:r>
    </w:p>
    <w:p w14:paraId="0246FCF3"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Table 3 reports the regression results for testing Hypotheses H2-1, focusing on the relationship between operating expense stickiness and corporate performance. The analysis uses ROE and EBITDA as dependent variables to evaluate profitability and operating efficiency. Control variables are included to account for firm-specific factors such as size, leverage, and capital intensity.</w:t>
      </w:r>
    </w:p>
    <w:p w14:paraId="7862A567"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Model 9 presents the empirical results for testing Hypothesis H2-1, using ROE as the dependent variable. The t-value for the estimated coefficient </w:t>
      </w:r>
      <m:oMath>
        <m:sSub>
          <m:sSubPr>
            <m:ctrlPr>
              <w:rPr>
                <w:rFonts w:ascii="Cambria Math" w:eastAsia="Cambria Math" w:hAnsi="Cambria Math" w:cs="Cambria Math"/>
                <w:sz w:val="24"/>
                <w:szCs w:val="24"/>
              </w:rPr>
            </m:ctrlPr>
          </m:sSubPr>
          <m:e>
            <m:acc>
              <m:accPr>
                <m:ctrlPr>
                  <w:rPr>
                    <w:rFonts w:ascii="Cambria Math" w:hAnsi="Cambria Math"/>
                  </w:rPr>
                </m:ctrlPr>
              </m:accPr>
              <m:e>
                <m:r>
                  <w:rPr>
                    <w:rFonts w:ascii="Cambria Math" w:hAnsi="Cambria Math"/>
                  </w:rPr>
                  <m:t>β</m:t>
                </m:r>
              </m:e>
            </m:acc>
          </m:e>
          <m:sub>
            <m:r>
              <w:rPr>
                <w:rFonts w:ascii="Cambria Math" w:eastAsia="Cambria Math" w:hAnsi="Cambria Math" w:cs="Cambria Math"/>
                <w:sz w:val="24"/>
                <w:szCs w:val="24"/>
              </w:rPr>
              <m:t>1</m:t>
            </m:r>
          </m:sub>
        </m:sSub>
      </m:oMath>
      <w:r>
        <w:rPr>
          <w:rFonts w:ascii="Times New Roman" w:eastAsia="Times New Roman" w:hAnsi="Times New Roman" w:cs="Times New Roman"/>
          <w:sz w:val="24"/>
          <w:szCs w:val="24"/>
        </w:rPr>
        <w:t xml:space="preserve"> is 0.250, indicating that the effect of operating expense stickiness on ROE is not statistically significant. Thus, no clear relationship is found between operating expense stickiness and return on equity in this specification.</w:t>
      </w:r>
    </w:p>
    <w:p w14:paraId="7B706A49"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Model 10 also tests Hypothesis H2-1, using EBITDA as the performance indicator. The estimated coefficient for operating expense stickiness is </w:t>
      </w:r>
      <m:oMath>
        <m:sSub>
          <m:sSubPr>
            <m:ctrlPr>
              <w:rPr>
                <w:rFonts w:ascii="Cambria Math" w:eastAsia="Cambria Math" w:hAnsi="Cambria Math" w:cs="Cambria Math"/>
                <w:sz w:val="24"/>
                <w:szCs w:val="24"/>
              </w:rPr>
            </m:ctrlPr>
          </m:sSubPr>
          <m:e>
            <m:acc>
              <m:accPr>
                <m:ctrlPr>
                  <w:rPr>
                    <w:rFonts w:ascii="Cambria Math" w:hAnsi="Cambria Math"/>
                  </w:rPr>
                </m:ctrlPr>
              </m:accPr>
              <m:e>
                <m:r>
                  <w:rPr>
                    <w:rFonts w:ascii="Cambria Math" w:hAnsi="Cambria Math"/>
                  </w:rPr>
                  <m:t>β</m:t>
                </m:r>
              </m:e>
            </m:acc>
          </m:e>
          <m:sub>
            <m:r>
              <w:rPr>
                <w:rFonts w:ascii="Cambria Math" w:eastAsia="Cambria Math" w:hAnsi="Cambria Math" w:cs="Cambria Math"/>
                <w:sz w:val="24"/>
                <w:szCs w:val="24"/>
              </w:rPr>
              <m:t>1</m:t>
            </m:r>
          </m:sub>
        </m:sSub>
      </m:oMath>
      <w:r>
        <w:rPr>
          <w:rFonts w:ascii="Times New Roman" w:eastAsia="Times New Roman" w:hAnsi="Times New Roman" w:cs="Times New Roman"/>
          <w:sz w:val="24"/>
          <w:szCs w:val="24"/>
        </w:rPr>
        <w:t xml:space="preserve">=-0.036, which is statistically significant at the 1% level. This suggests that a one-unit increase in operating expense stickiness is associated with an average decrease of 0.036 in EBITDA. However, since more negative values of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sticky</m:t>
            </m:r>
          </m:e>
          <m:sub>
            <m:r>
              <w:rPr>
                <w:rFonts w:ascii="Cambria Math" w:eastAsia="Cambria Math" w:hAnsi="Cambria Math" w:cs="Cambria Math"/>
                <w:sz w:val="24"/>
                <w:szCs w:val="24"/>
              </w:rPr>
              <m:t>i,t</m:t>
            </m:r>
          </m:sub>
        </m:sSub>
      </m:oMath>
      <w:r>
        <w:rPr>
          <w:rFonts w:ascii="Times New Roman" w:eastAsia="Times New Roman" w:hAnsi="Times New Roman" w:cs="Times New Roman"/>
          <w:sz w:val="24"/>
          <w:szCs w:val="24"/>
        </w:rPr>
        <w:t xml:space="preserve">​ indicate greater cost stickiness, the result implies that stronger operating expense stickiness is associated with higher EBITDA—supporting Hypothesis H2-1 </w:t>
      </w:r>
      <w:r>
        <w:rPr>
          <w:rFonts w:ascii="Times New Roman" w:eastAsia="Times New Roman" w:hAnsi="Times New Roman" w:cs="Times New Roman"/>
          <w:sz w:val="24"/>
          <w:szCs w:val="24"/>
        </w:rPr>
        <w:lastRenderedPageBreak/>
        <w:t>in terms of a positive performance impact.</w:t>
      </w:r>
    </w:p>
    <w:p w14:paraId="22AA6BD5" w14:textId="77777777" w:rsidR="007373F6" w:rsidRDefault="00000000">
      <w:pPr>
        <w:widowControl w:val="0"/>
        <w:spacing w:after="0" w:line="240" w:lineRule="auto"/>
        <w:ind w:firstLine="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Model 11 examines the effect of operating expense stickiness on Tobin’s Q. The t-value for </w:t>
      </w:r>
      <m:oMath>
        <m:sSub>
          <m:sSubPr>
            <m:ctrlPr>
              <w:rPr>
                <w:rFonts w:ascii="Cambria Math" w:eastAsia="Cambria Math" w:hAnsi="Cambria Math" w:cs="Cambria Math"/>
                <w:sz w:val="24"/>
                <w:szCs w:val="24"/>
              </w:rPr>
            </m:ctrlPr>
          </m:sSubPr>
          <m:e>
            <m:acc>
              <m:accPr>
                <m:ctrlPr>
                  <w:rPr>
                    <w:rFonts w:ascii="Cambria Math" w:hAnsi="Cambria Math"/>
                  </w:rPr>
                </m:ctrlPr>
              </m:accPr>
              <m:e>
                <m:r>
                  <w:rPr>
                    <w:rFonts w:ascii="Cambria Math" w:hAnsi="Cambria Math"/>
                  </w:rPr>
                  <m:t>β</m:t>
                </m:r>
              </m:e>
            </m:acc>
          </m:e>
          <m:sub>
            <m:r>
              <w:rPr>
                <w:rFonts w:ascii="Cambria Math" w:eastAsia="Cambria Math" w:hAnsi="Cambria Math" w:cs="Cambria Math"/>
                <w:sz w:val="24"/>
                <w:szCs w:val="24"/>
              </w:rPr>
              <m:t>1</m:t>
            </m:r>
          </m:sub>
        </m:sSub>
      </m:oMath>
      <w:r>
        <w:rPr>
          <w:rFonts w:ascii="Times New Roman" w:eastAsia="Times New Roman" w:hAnsi="Times New Roman" w:cs="Times New Roman"/>
          <w:sz w:val="24"/>
          <w:szCs w:val="24"/>
        </w:rPr>
        <w:t>​ is 0.828, indicating that the relationship is not statistically significant. Therefore, the impact of operating expense stickiness on Tobin’s Q remains inconclusive.</w:t>
      </w:r>
    </w:p>
    <w:p w14:paraId="7EF780D9" w14:textId="77777777" w:rsidR="007373F6" w:rsidRDefault="007373F6">
      <w:pPr>
        <w:widowControl w:val="0"/>
        <w:spacing w:after="0" w:line="240" w:lineRule="auto"/>
        <w:ind w:firstLine="120"/>
        <w:jc w:val="both"/>
        <w:rPr>
          <w:rFonts w:ascii="Times New Roman" w:eastAsia="Times New Roman" w:hAnsi="Times New Roman" w:cs="Times New Roman"/>
          <w:sz w:val="24"/>
          <w:szCs w:val="24"/>
        </w:rPr>
      </w:pPr>
    </w:p>
    <w:p w14:paraId="7817070E" w14:textId="77777777" w:rsidR="007373F6" w:rsidRDefault="00000000">
      <w:pPr>
        <w:widowControl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Table 3. The Impact of Operating Expense Stickiness on Corporate Performance</w:t>
      </w:r>
    </w:p>
    <w:sdt>
      <w:sdtPr>
        <w:rPr>
          <w:b w:val="0"/>
          <w:sz w:val="22"/>
          <w:szCs w:val="22"/>
        </w:rPr>
        <w:tag w:val="goog_rdk_284"/>
        <w:id w:val="2070112767"/>
        <w:lock w:val="contentLocked"/>
      </w:sdtPr>
      <w:sdtContent>
        <w:tbl>
          <w:tblPr>
            <w:tblStyle w:val="afff0"/>
            <w:tblW w:w="9781" w:type="dxa"/>
            <w:tblBorders>
              <w:top w:val="single" w:sz="4" w:space="0" w:color="7F7F7F"/>
              <w:bottom w:val="single" w:sz="4" w:space="0" w:color="7F7F7F"/>
            </w:tblBorders>
            <w:tblLayout w:type="fixed"/>
            <w:tblLook w:val="04A0" w:firstRow="1" w:lastRow="0" w:firstColumn="1" w:lastColumn="0" w:noHBand="0" w:noVBand="1"/>
          </w:tblPr>
          <w:tblGrid>
            <w:gridCol w:w="2446"/>
            <w:gridCol w:w="2445"/>
            <w:gridCol w:w="2445"/>
            <w:gridCol w:w="2445"/>
          </w:tblGrid>
          <w:tr w:rsidR="007373F6" w14:paraId="5AD347D3" w14:textId="77777777" w:rsidTr="007373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Align w:val="center"/>
              </w:tcPr>
              <w:p w14:paraId="2676989A" w14:textId="77777777" w:rsidR="007373F6" w:rsidRDefault="00000000">
                <w:pPr>
                  <w:widowControl w:val="0"/>
                  <w:ind w:firstLine="2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Model 9~11</w:t>
                </w:r>
              </w:p>
            </w:tc>
            <w:tc>
              <w:tcPr>
                <w:tcW w:w="2445" w:type="dxa"/>
                <w:vAlign w:val="center"/>
              </w:tcPr>
              <w:p w14:paraId="2EC910CE"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ROE</m:t>
                        </m:r>
                      </m:e>
                      <m:sub>
                        <m:r>
                          <m:rPr>
                            <m:sty m:val="bi"/>
                          </m:rPr>
                          <w:rPr>
                            <w:rFonts w:ascii="Cambria Math" w:eastAsia="Cambria Math" w:hAnsi="Cambria Math" w:cs="Cambria Math"/>
                            <w:sz w:val="24"/>
                            <w:szCs w:val="24"/>
                          </w:rPr>
                          <m:t>i,t</m:t>
                        </m:r>
                      </m:sub>
                    </m:sSub>
                  </m:oMath>
                </m:oMathPara>
              </w:p>
            </w:tc>
            <w:tc>
              <w:tcPr>
                <w:tcW w:w="2445" w:type="dxa"/>
                <w:vAlign w:val="center"/>
              </w:tcPr>
              <w:p w14:paraId="729685E6"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EBITDA</m:t>
                        </m:r>
                      </m:e>
                      <m:sub>
                        <m:r>
                          <m:rPr>
                            <m:sty m:val="bi"/>
                          </m:rPr>
                          <w:rPr>
                            <w:rFonts w:ascii="Cambria Math" w:eastAsia="Cambria Math" w:hAnsi="Cambria Math" w:cs="Cambria Math"/>
                            <w:sz w:val="24"/>
                            <w:szCs w:val="24"/>
                          </w:rPr>
                          <m:t>i,t</m:t>
                        </m:r>
                      </m:sub>
                    </m:sSub>
                  </m:oMath>
                </m:oMathPara>
              </w:p>
            </w:tc>
            <w:tc>
              <w:tcPr>
                <w:tcW w:w="2445" w:type="dxa"/>
                <w:vAlign w:val="center"/>
              </w:tcPr>
              <w:p w14:paraId="139BCB4F"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TobinQ</m:t>
                        </m:r>
                      </m:e>
                      <m:sub>
                        <m:r>
                          <m:rPr>
                            <m:sty m:val="bi"/>
                          </m:rPr>
                          <w:rPr>
                            <w:rFonts w:ascii="Cambria Math" w:eastAsia="Cambria Math" w:hAnsi="Cambria Math" w:cs="Cambria Math"/>
                            <w:sz w:val="24"/>
                            <w:szCs w:val="24"/>
                          </w:rPr>
                          <m:t>i,t</m:t>
                        </m:r>
                      </m:sub>
                    </m:sSub>
                  </m:oMath>
                </m:oMathPara>
              </w:p>
            </w:tc>
          </w:tr>
          <w:tr w:rsidR="007373F6" w14:paraId="1D5F753E"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vAlign w:val="center"/>
              </w:tcPr>
              <w:p w14:paraId="76775758" w14:textId="77777777" w:rsidR="007373F6" w:rsidRDefault="00000000">
                <w:pPr>
                  <w:widowControl w:val="0"/>
                  <w:jc w:val="both"/>
                  <w:rPr>
                    <w:rFonts w:ascii="Times New Roman" w:eastAsia="Times New Roman" w:hAnsi="Times New Roman" w:cs="Times New Roman"/>
                    <w:sz w:val="24"/>
                    <w:szCs w:val="24"/>
                  </w:rPr>
                </w:pPr>
                <w:sdt>
                  <w:sdtPr>
                    <w:tag w:val="goog_rdk_280"/>
                    <w:id w:val="1382105076"/>
                  </w:sdtPr>
                  <w:sdtContent>
                    <w:r>
                      <w:rPr>
                        <w:rFonts w:ascii="Gungsuh" w:eastAsia="Gungsuh" w:hAnsi="Gungsuh" w:cs="Gungsuh"/>
                        <w:sz w:val="24"/>
                        <w:szCs w:val="24"/>
                      </w:rPr>
                      <w:t>（Constant）</w:t>
                    </w:r>
                  </w:sdtContent>
                </w:sdt>
              </w:p>
            </w:tc>
            <w:tc>
              <w:tcPr>
                <w:tcW w:w="2445" w:type="dxa"/>
                <w:vAlign w:val="center"/>
              </w:tcPr>
              <w:p w14:paraId="5B5EC82C"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sdt>
                  <w:sdtPr>
                    <w:tag w:val="goog_rdk_281"/>
                    <w:id w:val="592882102"/>
                  </w:sdtPr>
                  <w:sdtContent>
                    <w:r>
                      <w:rPr>
                        <w:rFonts w:ascii="Gungsuh" w:eastAsia="Gungsuh" w:hAnsi="Gungsuh" w:cs="Gungsuh"/>
                        <w:sz w:val="24"/>
                        <w:szCs w:val="24"/>
                      </w:rPr>
                      <w:t xml:space="preserve">　</w:t>
                    </w:r>
                  </w:sdtContent>
                </w:sdt>
              </w:p>
            </w:tc>
            <w:tc>
              <w:tcPr>
                <w:tcW w:w="2445" w:type="dxa"/>
                <w:vAlign w:val="center"/>
              </w:tcPr>
              <w:p w14:paraId="5E322DE7"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sdt>
                  <w:sdtPr>
                    <w:tag w:val="goog_rdk_282"/>
                    <w:id w:val="1504646079"/>
                  </w:sdtPr>
                  <w:sdtContent>
                    <w:r>
                      <w:rPr>
                        <w:rFonts w:ascii="Gungsuh" w:eastAsia="Gungsuh" w:hAnsi="Gungsuh" w:cs="Gungsuh"/>
                        <w:sz w:val="24"/>
                        <w:szCs w:val="24"/>
                      </w:rPr>
                      <w:t xml:space="preserve">　</w:t>
                    </w:r>
                  </w:sdtContent>
                </w:sdt>
              </w:p>
            </w:tc>
            <w:tc>
              <w:tcPr>
                <w:tcW w:w="2445" w:type="dxa"/>
                <w:vAlign w:val="center"/>
              </w:tcPr>
              <w:p w14:paraId="4617E2AA"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sdt>
                  <w:sdtPr>
                    <w:tag w:val="goog_rdk_283"/>
                    <w:id w:val="-73197161"/>
                  </w:sdtPr>
                  <w:sdtContent>
                    <w:r>
                      <w:rPr>
                        <w:rFonts w:ascii="Gungsuh" w:eastAsia="Gungsuh" w:hAnsi="Gungsuh" w:cs="Gungsuh"/>
                        <w:sz w:val="24"/>
                        <w:szCs w:val="24"/>
                      </w:rPr>
                      <w:t xml:space="preserve">　</w:t>
                    </w:r>
                  </w:sdtContent>
                </w:sdt>
              </w:p>
            </w:tc>
          </w:tr>
          <w:tr w:rsidR="007373F6" w14:paraId="4133D9FF" w14:textId="77777777" w:rsidTr="007373F6">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72218B0F"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2445" w:type="dxa"/>
                <w:vAlign w:val="center"/>
              </w:tcPr>
              <w:p w14:paraId="0BE0BFDB"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(19.099)</w:t>
                </w:r>
              </w:p>
            </w:tc>
            <w:tc>
              <w:tcPr>
                <w:tcW w:w="2445" w:type="dxa"/>
                <w:vAlign w:val="center"/>
              </w:tcPr>
              <w:p w14:paraId="482CDC58"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(-39.568)</w:t>
                </w:r>
              </w:p>
            </w:tc>
            <w:tc>
              <w:tcPr>
                <w:tcW w:w="2445" w:type="dxa"/>
                <w:vAlign w:val="center"/>
              </w:tcPr>
              <w:p w14:paraId="7C0E071D"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(11.493)</w:t>
                </w:r>
              </w:p>
            </w:tc>
          </w:tr>
          <w:tr w:rsidR="007373F6" w14:paraId="5FD05474"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vAlign w:val="center"/>
              </w:tcPr>
              <w:p w14:paraId="7D3EEC37"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OEsticky</m:t>
                        </m:r>
                      </m:e>
                      <m:sub>
                        <m:r>
                          <m:rPr>
                            <m:sty m:val="bi"/>
                          </m:rPr>
                          <w:rPr>
                            <w:rFonts w:ascii="Cambria Math" w:eastAsia="Cambria Math" w:hAnsi="Cambria Math" w:cs="Cambria Math"/>
                            <w:sz w:val="24"/>
                            <w:szCs w:val="24"/>
                          </w:rPr>
                          <m:t>i,t</m:t>
                        </m:r>
                      </m:sub>
                    </m:sSub>
                  </m:oMath>
                </m:oMathPara>
              </w:p>
            </w:tc>
            <w:tc>
              <w:tcPr>
                <w:tcW w:w="2445" w:type="dxa"/>
                <w:vAlign w:val="center"/>
              </w:tcPr>
              <w:p w14:paraId="71F8FF5A"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0.004</w:t>
                </w:r>
              </w:p>
            </w:tc>
            <w:tc>
              <w:tcPr>
                <w:tcW w:w="2445" w:type="dxa"/>
                <w:vAlign w:val="center"/>
              </w:tcPr>
              <w:p w14:paraId="786905D2"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-0.036**</w:t>
                </w:r>
              </w:p>
            </w:tc>
            <w:tc>
              <w:tcPr>
                <w:tcW w:w="2445" w:type="dxa"/>
                <w:vAlign w:val="center"/>
              </w:tcPr>
              <w:p w14:paraId="7011394E"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0.014</w:t>
                </w:r>
              </w:p>
            </w:tc>
          </w:tr>
          <w:tr w:rsidR="007373F6" w14:paraId="35348E77" w14:textId="77777777" w:rsidTr="007373F6">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5644CE5D"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2445" w:type="dxa"/>
                <w:vAlign w:val="center"/>
              </w:tcPr>
              <w:p w14:paraId="28ADB907"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(0.250)</w:t>
                </w:r>
              </w:p>
            </w:tc>
            <w:tc>
              <w:tcPr>
                <w:tcW w:w="2445" w:type="dxa"/>
                <w:vAlign w:val="center"/>
              </w:tcPr>
              <w:p w14:paraId="2BA002F5"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(-2.640)</w:t>
                </w:r>
              </w:p>
            </w:tc>
            <w:tc>
              <w:tcPr>
                <w:tcW w:w="2445" w:type="dxa"/>
                <w:vAlign w:val="center"/>
              </w:tcPr>
              <w:p w14:paraId="349E3A6F"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(0.828)</w:t>
                </w:r>
              </w:p>
            </w:tc>
          </w:tr>
          <w:tr w:rsidR="007373F6" w14:paraId="238F7584"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vAlign w:val="center"/>
              </w:tcPr>
              <w:p w14:paraId="3C4A326A"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DE</m:t>
                        </m:r>
                      </m:e>
                      <m:sub>
                        <m:r>
                          <m:rPr>
                            <m:sty m:val="bi"/>
                          </m:rPr>
                          <w:rPr>
                            <w:rFonts w:ascii="Cambria Math" w:eastAsia="Cambria Math" w:hAnsi="Cambria Math" w:cs="Cambria Math"/>
                            <w:sz w:val="24"/>
                            <w:szCs w:val="24"/>
                          </w:rPr>
                          <m:t>i,t</m:t>
                        </m:r>
                      </m:sub>
                    </m:sSub>
                  </m:oMath>
                </m:oMathPara>
              </w:p>
            </w:tc>
            <w:tc>
              <w:tcPr>
                <w:tcW w:w="2445" w:type="dxa"/>
                <w:vAlign w:val="center"/>
              </w:tcPr>
              <w:p w14:paraId="057CD56B"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0.059***</w:t>
                </w:r>
              </w:p>
            </w:tc>
            <w:tc>
              <w:tcPr>
                <w:tcW w:w="2445" w:type="dxa"/>
                <w:vAlign w:val="center"/>
              </w:tcPr>
              <w:p w14:paraId="2114133C"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0.009</w:t>
                </w:r>
              </w:p>
            </w:tc>
            <w:tc>
              <w:tcPr>
                <w:tcW w:w="2445" w:type="dxa"/>
                <w:vAlign w:val="center"/>
              </w:tcPr>
              <w:p w14:paraId="1A32A277"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0.072***</w:t>
                </w:r>
              </w:p>
            </w:tc>
          </w:tr>
          <w:tr w:rsidR="007373F6" w14:paraId="1DE0DC17" w14:textId="77777777" w:rsidTr="007373F6">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519C0AF7"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2445" w:type="dxa"/>
                <w:vAlign w:val="center"/>
              </w:tcPr>
              <w:p w14:paraId="6A5D808B"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(3.362)</w:t>
                </w:r>
              </w:p>
            </w:tc>
            <w:tc>
              <w:tcPr>
                <w:tcW w:w="2445" w:type="dxa"/>
                <w:vAlign w:val="center"/>
              </w:tcPr>
              <w:p w14:paraId="20193408"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(0.619)</w:t>
                </w:r>
              </w:p>
            </w:tc>
            <w:tc>
              <w:tcPr>
                <w:tcW w:w="2445" w:type="dxa"/>
                <w:vAlign w:val="center"/>
              </w:tcPr>
              <w:p w14:paraId="01EDE117"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(3.778)</w:t>
                </w:r>
              </w:p>
            </w:tc>
          </w:tr>
          <w:tr w:rsidR="007373F6" w14:paraId="6F7BE8BC"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vAlign w:val="center"/>
              </w:tcPr>
              <w:p w14:paraId="566822B1"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Lev</m:t>
                        </m:r>
                      </m:e>
                      <m:sub>
                        <m:r>
                          <m:rPr>
                            <m:sty m:val="bi"/>
                          </m:rPr>
                          <w:rPr>
                            <w:rFonts w:ascii="Cambria Math" w:eastAsia="Cambria Math" w:hAnsi="Cambria Math" w:cs="Cambria Math"/>
                            <w:sz w:val="24"/>
                            <w:szCs w:val="24"/>
                          </w:rPr>
                          <m:t>i,t</m:t>
                        </m:r>
                      </m:sub>
                    </m:sSub>
                  </m:oMath>
                </m:oMathPara>
              </w:p>
            </w:tc>
            <w:tc>
              <w:tcPr>
                <w:tcW w:w="2445" w:type="dxa"/>
                <w:vAlign w:val="center"/>
              </w:tcPr>
              <w:p w14:paraId="7407C3F4"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0.220***</w:t>
                </w:r>
              </w:p>
            </w:tc>
            <w:tc>
              <w:tcPr>
                <w:tcW w:w="2445" w:type="dxa"/>
                <w:vAlign w:val="center"/>
              </w:tcPr>
              <w:p w14:paraId="68F557CE"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0.018</w:t>
                </w:r>
              </w:p>
            </w:tc>
            <w:tc>
              <w:tcPr>
                <w:tcW w:w="2445" w:type="dxa"/>
                <w:vAlign w:val="center"/>
              </w:tcPr>
              <w:p w14:paraId="273676E5"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r>
          <w:tr w:rsidR="007373F6" w14:paraId="62AA46D4" w14:textId="77777777" w:rsidTr="007373F6">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7F9C6150"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2445" w:type="dxa"/>
                <w:vAlign w:val="center"/>
              </w:tcPr>
              <w:p w14:paraId="2D4E455B"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(13.422)</w:t>
                </w:r>
              </w:p>
            </w:tc>
            <w:tc>
              <w:tcPr>
                <w:tcW w:w="2445" w:type="dxa"/>
                <w:vAlign w:val="center"/>
              </w:tcPr>
              <w:p w14:paraId="2EC78150"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(1.288)</w:t>
                </w:r>
              </w:p>
            </w:tc>
            <w:tc>
              <w:tcPr>
                <w:tcW w:w="2445" w:type="dxa"/>
                <w:vAlign w:val="center"/>
              </w:tcPr>
              <w:p w14:paraId="36B897F4"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(0.010)</w:t>
                </w:r>
              </w:p>
            </w:tc>
          </w:tr>
          <w:tr w:rsidR="007373F6" w14:paraId="4BCF5BB1"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vAlign w:val="center"/>
              </w:tcPr>
              <w:p w14:paraId="396C0F07"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βMarket</m:t>
                        </m:r>
                      </m:e>
                      <m:sub>
                        <m:r>
                          <m:rPr>
                            <m:sty m:val="bi"/>
                          </m:rPr>
                          <w:rPr>
                            <w:rFonts w:ascii="Cambria Math" w:eastAsia="Cambria Math" w:hAnsi="Cambria Math" w:cs="Cambria Math"/>
                            <w:sz w:val="24"/>
                            <w:szCs w:val="24"/>
                          </w:rPr>
                          <m:t>i,t</m:t>
                        </m:r>
                      </m:sub>
                    </m:sSub>
                  </m:oMath>
                </m:oMathPara>
              </w:p>
            </w:tc>
            <w:tc>
              <w:tcPr>
                <w:tcW w:w="2445" w:type="dxa"/>
                <w:vAlign w:val="center"/>
              </w:tcPr>
              <w:p w14:paraId="01895B7C"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0.068**</w:t>
                </w:r>
              </w:p>
            </w:tc>
            <w:tc>
              <w:tcPr>
                <w:tcW w:w="2445" w:type="dxa"/>
                <w:vAlign w:val="center"/>
              </w:tcPr>
              <w:p w14:paraId="0D8752A8"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0.066**</w:t>
                </w:r>
              </w:p>
            </w:tc>
            <w:tc>
              <w:tcPr>
                <w:tcW w:w="2445" w:type="dxa"/>
                <w:vAlign w:val="center"/>
              </w:tcPr>
              <w:p w14:paraId="1B7AA9C3"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0.184***</w:t>
                </w:r>
              </w:p>
            </w:tc>
          </w:tr>
          <w:tr w:rsidR="007373F6" w14:paraId="0F0913A4" w14:textId="77777777" w:rsidTr="007373F6">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6CFD802F"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2445" w:type="dxa"/>
                <w:vAlign w:val="center"/>
              </w:tcPr>
              <w:p w14:paraId="542B7C5D"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(2.809)</w:t>
                </w:r>
              </w:p>
            </w:tc>
            <w:tc>
              <w:tcPr>
                <w:tcW w:w="2445" w:type="dxa"/>
                <w:vAlign w:val="center"/>
              </w:tcPr>
              <w:p w14:paraId="234EEE34"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(3.166)</w:t>
                </w:r>
              </w:p>
            </w:tc>
            <w:tc>
              <w:tcPr>
                <w:tcW w:w="2445" w:type="dxa"/>
                <w:vAlign w:val="center"/>
              </w:tcPr>
              <w:p w14:paraId="26150261"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(6.981)</w:t>
                </w:r>
              </w:p>
            </w:tc>
          </w:tr>
          <w:tr w:rsidR="007373F6" w14:paraId="2F69A24F"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vAlign w:val="center"/>
              </w:tcPr>
              <w:p w14:paraId="6A432A3B"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βTOPIX</m:t>
                        </m:r>
                      </m:e>
                      <m:sub>
                        <m:r>
                          <m:rPr>
                            <m:sty m:val="bi"/>
                          </m:rPr>
                          <w:rPr>
                            <w:rFonts w:ascii="Cambria Math" w:eastAsia="Cambria Math" w:hAnsi="Cambria Math" w:cs="Cambria Math"/>
                            <w:sz w:val="24"/>
                            <w:szCs w:val="24"/>
                          </w:rPr>
                          <m:t>i,t</m:t>
                        </m:r>
                      </m:sub>
                    </m:sSub>
                  </m:oMath>
                </m:oMathPara>
              </w:p>
            </w:tc>
            <w:tc>
              <w:tcPr>
                <w:tcW w:w="2445" w:type="dxa"/>
                <w:vAlign w:val="center"/>
              </w:tcPr>
              <w:p w14:paraId="2DB8075B"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-0.060*</w:t>
                </w:r>
              </w:p>
            </w:tc>
            <w:tc>
              <w:tcPr>
                <w:tcW w:w="2445" w:type="dxa"/>
                <w:vAlign w:val="center"/>
              </w:tcPr>
              <w:p w14:paraId="07FEF372"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-0.027</w:t>
                </w:r>
              </w:p>
            </w:tc>
            <w:tc>
              <w:tcPr>
                <w:tcW w:w="2445" w:type="dxa"/>
                <w:vAlign w:val="center"/>
              </w:tcPr>
              <w:p w14:paraId="5ACE1788"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-0.125***</w:t>
                </w:r>
              </w:p>
            </w:tc>
          </w:tr>
          <w:tr w:rsidR="007373F6" w14:paraId="7606DD8F" w14:textId="77777777" w:rsidTr="007373F6">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02848BBE"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2445" w:type="dxa"/>
                <w:vAlign w:val="center"/>
              </w:tcPr>
              <w:p w14:paraId="31F19FBD"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(-2.442)</w:t>
                </w:r>
              </w:p>
            </w:tc>
            <w:tc>
              <w:tcPr>
                <w:tcW w:w="2445" w:type="dxa"/>
                <w:vAlign w:val="center"/>
              </w:tcPr>
              <w:p w14:paraId="1D89D37B"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(-1.300)</w:t>
                </w:r>
              </w:p>
            </w:tc>
            <w:tc>
              <w:tcPr>
                <w:tcW w:w="2445" w:type="dxa"/>
                <w:vAlign w:val="center"/>
              </w:tcPr>
              <w:p w14:paraId="4B82DA8B"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(-4.729)</w:t>
                </w:r>
              </w:p>
            </w:tc>
          </w:tr>
          <w:tr w:rsidR="007373F6" w14:paraId="0D2AAD8D"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vAlign w:val="center"/>
              </w:tcPr>
              <w:p w14:paraId="006EB9B4"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Growth</m:t>
                        </m:r>
                      </m:e>
                      <m:sub>
                        <m:r>
                          <m:rPr>
                            <m:sty m:val="bi"/>
                          </m:rPr>
                          <w:rPr>
                            <w:rFonts w:ascii="Cambria Math" w:eastAsia="Cambria Math" w:hAnsi="Cambria Math" w:cs="Cambria Math"/>
                            <w:sz w:val="24"/>
                            <w:szCs w:val="24"/>
                          </w:rPr>
                          <m:t>i,t</m:t>
                        </m:r>
                      </m:sub>
                    </m:sSub>
                  </m:oMath>
                </m:oMathPara>
              </w:p>
            </w:tc>
            <w:tc>
              <w:tcPr>
                <w:tcW w:w="2445" w:type="dxa"/>
                <w:vAlign w:val="center"/>
              </w:tcPr>
              <w:p w14:paraId="32D6E085"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0.277***</w:t>
                </w:r>
              </w:p>
            </w:tc>
            <w:tc>
              <w:tcPr>
                <w:tcW w:w="2445" w:type="dxa"/>
                <w:vAlign w:val="center"/>
              </w:tcPr>
              <w:p w14:paraId="787015A5"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0.069***</w:t>
                </w:r>
              </w:p>
            </w:tc>
            <w:tc>
              <w:tcPr>
                <w:tcW w:w="2445" w:type="dxa"/>
                <w:vAlign w:val="center"/>
              </w:tcPr>
              <w:p w14:paraId="7EFB63A5"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0.060***</w:t>
                </w:r>
              </w:p>
            </w:tc>
          </w:tr>
          <w:tr w:rsidR="007373F6" w14:paraId="27936C1F" w14:textId="77777777" w:rsidTr="007373F6">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3950B066"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2445" w:type="dxa"/>
                <w:vAlign w:val="center"/>
              </w:tcPr>
              <w:p w14:paraId="678BF90B"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(16.951)</w:t>
                </w:r>
              </w:p>
            </w:tc>
            <w:tc>
              <w:tcPr>
                <w:tcW w:w="2445" w:type="dxa"/>
                <w:vAlign w:val="center"/>
              </w:tcPr>
              <w:p w14:paraId="7FDDF97A"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(4.935)</w:t>
                </w:r>
              </w:p>
            </w:tc>
            <w:tc>
              <w:tcPr>
                <w:tcW w:w="2445" w:type="dxa"/>
                <w:vAlign w:val="center"/>
              </w:tcPr>
              <w:p w14:paraId="01B8BF66"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(3.396)</w:t>
                </w:r>
              </w:p>
            </w:tc>
          </w:tr>
          <w:tr w:rsidR="007373F6" w14:paraId="29037370"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vAlign w:val="center"/>
              </w:tcPr>
              <w:p w14:paraId="5DA7A05A"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logAssets</m:t>
                        </m:r>
                      </m:e>
                      <m:sub>
                        <m:r>
                          <m:rPr>
                            <m:sty m:val="bi"/>
                          </m:rPr>
                          <w:rPr>
                            <w:rFonts w:ascii="Cambria Math" w:eastAsia="Cambria Math" w:hAnsi="Cambria Math" w:cs="Cambria Math"/>
                            <w:sz w:val="24"/>
                            <w:szCs w:val="24"/>
                          </w:rPr>
                          <m:t>i,t</m:t>
                        </m:r>
                      </m:sub>
                    </m:sSub>
                  </m:oMath>
                </m:oMathPara>
              </w:p>
            </w:tc>
            <w:tc>
              <w:tcPr>
                <w:tcW w:w="2445" w:type="dxa"/>
                <w:vAlign w:val="center"/>
              </w:tcPr>
              <w:p w14:paraId="02BF8B4B"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-0.198***</w:t>
                </w:r>
              </w:p>
            </w:tc>
            <w:tc>
              <w:tcPr>
                <w:tcW w:w="2445" w:type="dxa"/>
                <w:vAlign w:val="center"/>
              </w:tcPr>
              <w:p w14:paraId="094F739F"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0.631***</w:t>
                </w:r>
              </w:p>
            </w:tc>
            <w:tc>
              <w:tcPr>
                <w:tcW w:w="2445" w:type="dxa"/>
                <w:vAlign w:val="center"/>
              </w:tcPr>
              <w:p w14:paraId="48135728"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-0.095***</w:t>
                </w:r>
              </w:p>
            </w:tc>
          </w:tr>
          <w:tr w:rsidR="007373F6" w14:paraId="64B6B1BB" w14:textId="77777777" w:rsidTr="007373F6">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0470590C"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2445" w:type="dxa"/>
                <w:vAlign w:val="center"/>
              </w:tcPr>
              <w:p w14:paraId="6514CE2A"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(-11.245)</w:t>
                </w:r>
              </w:p>
            </w:tc>
            <w:tc>
              <w:tcPr>
                <w:tcW w:w="2445" w:type="dxa"/>
                <w:vAlign w:val="center"/>
              </w:tcPr>
              <w:p w14:paraId="6A3612EC"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(41.838)</w:t>
                </w:r>
              </w:p>
            </w:tc>
            <w:tc>
              <w:tcPr>
                <w:tcW w:w="2445" w:type="dxa"/>
                <w:vAlign w:val="center"/>
              </w:tcPr>
              <w:p w14:paraId="3780D6A1"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(-4.970)</w:t>
                </w:r>
              </w:p>
            </w:tc>
          </w:tr>
          <w:tr w:rsidR="007373F6" w14:paraId="03D34B02"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vAlign w:val="center"/>
              </w:tcPr>
              <w:p w14:paraId="4FCD4B91"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BM</m:t>
                        </m:r>
                      </m:e>
                      <m:sub>
                        <m:r>
                          <m:rPr>
                            <m:sty m:val="bi"/>
                          </m:rPr>
                          <w:rPr>
                            <w:rFonts w:ascii="Cambria Math" w:eastAsia="Cambria Math" w:hAnsi="Cambria Math" w:cs="Cambria Math"/>
                            <w:sz w:val="24"/>
                            <w:szCs w:val="24"/>
                          </w:rPr>
                          <m:t>i,t</m:t>
                        </m:r>
                      </m:sub>
                    </m:sSub>
                  </m:oMath>
                </m:oMathPara>
              </w:p>
            </w:tc>
            <w:tc>
              <w:tcPr>
                <w:tcW w:w="2445" w:type="dxa"/>
                <w:vAlign w:val="center"/>
              </w:tcPr>
              <w:p w14:paraId="11D8E474"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-0.015</w:t>
                </w:r>
              </w:p>
            </w:tc>
            <w:tc>
              <w:tcPr>
                <w:tcW w:w="2445" w:type="dxa"/>
                <w:vAlign w:val="center"/>
              </w:tcPr>
              <w:p w14:paraId="48C0E366"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0.040**</w:t>
                </w:r>
              </w:p>
            </w:tc>
            <w:tc>
              <w:tcPr>
                <w:tcW w:w="2445" w:type="dxa"/>
                <w:vAlign w:val="center"/>
              </w:tcPr>
              <w:p w14:paraId="2AE08ECE"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-0.080***</w:t>
                </w:r>
              </w:p>
            </w:tc>
          </w:tr>
          <w:tr w:rsidR="007373F6" w14:paraId="20C608C0" w14:textId="77777777" w:rsidTr="007373F6">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5BF13ADB"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2445" w:type="dxa"/>
                <w:vAlign w:val="center"/>
              </w:tcPr>
              <w:p w14:paraId="506BC710"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(-0.951)</w:t>
                </w:r>
              </w:p>
            </w:tc>
            <w:tc>
              <w:tcPr>
                <w:tcW w:w="2445" w:type="dxa"/>
                <w:vAlign w:val="center"/>
              </w:tcPr>
              <w:p w14:paraId="51C0930B"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(2.902)</w:t>
                </w:r>
              </w:p>
            </w:tc>
            <w:tc>
              <w:tcPr>
                <w:tcW w:w="2445" w:type="dxa"/>
                <w:vAlign w:val="center"/>
              </w:tcPr>
              <w:p w14:paraId="63D5EBDA"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(-4.552)</w:t>
                </w:r>
              </w:p>
            </w:tc>
          </w:tr>
          <w:tr w:rsidR="007373F6" w14:paraId="0D0CEB5E"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81" w:type="dxa"/>
                <w:gridSpan w:val="4"/>
                <w:vAlign w:val="center"/>
              </w:tcPr>
              <w:p w14:paraId="684A7F92" w14:textId="77777777" w:rsidR="007373F6" w:rsidRDefault="00000000">
                <w:pPr>
                  <w:widowControl w:val="0"/>
                  <w:ind w:firstLine="2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*p&lt;0.05, **p&lt;0.01, ***p&lt;0.001</w:t>
                </w:r>
              </w:p>
            </w:tc>
          </w:tr>
          <w:tr w:rsidR="007373F6" w14:paraId="0E1F53DB" w14:textId="77777777" w:rsidTr="007373F6">
            <w:tc>
              <w:tcPr>
                <w:cnfStyle w:val="001000000000" w:firstRow="0" w:lastRow="0" w:firstColumn="1" w:lastColumn="0" w:oddVBand="0" w:evenVBand="0" w:oddHBand="0" w:evenHBand="0" w:firstRowFirstColumn="0" w:firstRowLastColumn="0" w:lastRowFirstColumn="0" w:lastRowLastColumn="0"/>
                <w:tcW w:w="9781" w:type="dxa"/>
                <w:gridSpan w:val="4"/>
                <w:vAlign w:val="center"/>
              </w:tcPr>
              <w:p w14:paraId="43AE3B22" w14:textId="77777777" w:rsidR="007373F6" w:rsidRDefault="00000000">
                <w:pPr>
                  <w:widowControl w:val="0"/>
                  <w:ind w:firstLine="2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Figures in parentheses indicate t-values.</w:t>
                </w:r>
              </w:p>
            </w:tc>
          </w:tr>
        </w:tbl>
      </w:sdtContent>
    </w:sdt>
    <w:p w14:paraId="62E0BD7E" w14:textId="77777777" w:rsidR="007373F6" w:rsidRDefault="00000000">
      <w:pPr>
        <w:spacing w:before="240" w:after="12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The Impact of SG&amp;A Expense Stickiness on Corporate Performance</w:t>
      </w:r>
    </w:p>
    <w:p w14:paraId="62D268CF"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Table 4 presents the regression results for testing Hypothesis H2-2, which examines the relationship between SG&amp;A expense stickiness and corporate performance. As in the previous section, ROE, EBITDA, and Tobin’s Q are used as dependent variables to capture different dimensions of firm performance—namely profitability, operational efficiency, and market-based valuation. The regressions include standard firm-level controls to account for heterogeneity across observations.</w:t>
      </w:r>
    </w:p>
    <w:p w14:paraId="3D0BA577"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Model 12 presents the empirical results for testing Hypothesis H2-2, using ROE as the dependent variable. The estimated coefficient for SG&amp;A expense stickiness is </w:t>
      </w:r>
      <m:oMath>
        <m:sSub>
          <m:sSubPr>
            <m:ctrlPr>
              <w:rPr>
                <w:rFonts w:ascii="Cambria Math" w:eastAsia="Cambria Math" w:hAnsi="Cambria Math" w:cs="Cambria Math"/>
                <w:sz w:val="24"/>
                <w:szCs w:val="24"/>
              </w:rPr>
            </m:ctrlPr>
          </m:sSubPr>
          <m:e>
            <m:acc>
              <m:accPr>
                <m:ctrlPr>
                  <w:rPr>
                    <w:rFonts w:ascii="Cambria Math" w:hAnsi="Cambria Math"/>
                  </w:rPr>
                </m:ctrlPr>
              </m:accPr>
              <m:e>
                <m:r>
                  <w:rPr>
                    <w:rFonts w:ascii="Cambria Math" w:hAnsi="Cambria Math"/>
                  </w:rPr>
                  <m:t>β</m:t>
                </m:r>
              </m:e>
            </m:acc>
          </m:e>
          <m:sub>
            <m:r>
              <w:rPr>
                <w:rFonts w:ascii="Cambria Math" w:eastAsia="Cambria Math" w:hAnsi="Cambria Math" w:cs="Cambria Math"/>
                <w:sz w:val="24"/>
                <w:szCs w:val="24"/>
              </w:rPr>
              <m:t>1</m:t>
            </m:r>
          </m:sub>
        </m:sSub>
      </m:oMath>
      <w:r>
        <w:rPr>
          <w:rFonts w:ascii="Times New Roman" w:eastAsia="Times New Roman" w:hAnsi="Times New Roman" w:cs="Times New Roman"/>
          <w:sz w:val="24"/>
          <w:szCs w:val="24"/>
        </w:rPr>
        <w:t xml:space="preserve">=0.050, which is statistically significant at the 1% level. This suggests that a one-unit increase in SG&amp;A expense stickiness is associated with an average increase of 0.050 in ROE. However, because more negative values of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sticky</m:t>
            </m:r>
          </m:e>
          <m:sub>
            <m:r>
              <w:rPr>
                <w:rFonts w:ascii="Cambria Math" w:eastAsia="Cambria Math" w:hAnsi="Cambria Math" w:cs="Cambria Math"/>
                <w:sz w:val="24"/>
                <w:szCs w:val="24"/>
              </w:rPr>
              <m:t>i,t</m:t>
            </m:r>
          </m:sub>
        </m:sSub>
      </m:oMath>
      <w:r>
        <w:rPr>
          <w:rFonts w:ascii="Times New Roman" w:eastAsia="Times New Roman" w:hAnsi="Times New Roman" w:cs="Times New Roman"/>
          <w:sz w:val="24"/>
          <w:szCs w:val="24"/>
        </w:rPr>
        <w:t>​ indicate greater stickiness, this result implies that stronger SG&amp;A expense stickiness is associated with lower ROE. This finding supports Hypothesis H2-2, suggesting a negative impact of SG&amp;A expense stickiness on profitability.</w:t>
      </w:r>
    </w:p>
    <w:p w14:paraId="02D79F06"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bookmarkStart w:id="72" w:name="_heading=h.myphbobpjxck" w:colFirst="0" w:colLast="0"/>
      <w:bookmarkEnd w:id="72"/>
      <w:r>
        <w:rPr>
          <w:rFonts w:ascii="Times New Roman" w:eastAsia="Times New Roman" w:hAnsi="Times New Roman" w:cs="Times New Roman"/>
          <w:sz w:val="24"/>
          <w:szCs w:val="24"/>
        </w:rPr>
        <w:t xml:space="preserve">Model 13 also tests Hypothesis H2-2, using EBITDA as the dependent variable. The t-value for </w:t>
      </w:r>
      <m:oMath>
        <m:sSub>
          <m:sSubPr>
            <m:ctrlPr>
              <w:rPr>
                <w:rFonts w:ascii="Cambria Math" w:eastAsia="Cambria Math" w:hAnsi="Cambria Math" w:cs="Cambria Math"/>
                <w:sz w:val="24"/>
                <w:szCs w:val="24"/>
              </w:rPr>
            </m:ctrlPr>
          </m:sSubPr>
          <m:e>
            <m:acc>
              <m:accPr>
                <m:ctrlPr>
                  <w:rPr>
                    <w:rFonts w:ascii="Cambria Math" w:hAnsi="Cambria Math"/>
                  </w:rPr>
                </m:ctrlPr>
              </m:accPr>
              <m:e>
                <m:r>
                  <w:rPr>
                    <w:rFonts w:ascii="Cambria Math" w:hAnsi="Cambria Math"/>
                  </w:rPr>
                  <m:t>β</m:t>
                </m:r>
              </m:e>
            </m:acc>
          </m:e>
          <m:sub>
            <m:r>
              <w:rPr>
                <w:rFonts w:ascii="Cambria Math" w:eastAsia="Cambria Math" w:hAnsi="Cambria Math" w:cs="Cambria Math"/>
                <w:sz w:val="24"/>
                <w:szCs w:val="24"/>
              </w:rPr>
              <m:t>1</m:t>
            </m:r>
          </m:sub>
        </m:sSub>
      </m:oMath>
      <w:r>
        <w:rPr>
          <w:rFonts w:ascii="Times New Roman" w:eastAsia="Times New Roman" w:hAnsi="Times New Roman" w:cs="Times New Roman"/>
          <w:sz w:val="24"/>
          <w:szCs w:val="24"/>
        </w:rPr>
        <w:t xml:space="preserve"> is –0.329, indicating that the relationship between SG&amp;A expense stickiness and EBITDA is not statistically significant. Therefore, the effect of SG&amp;A expense stickiness on operating performance remains unclear in this model.</w:t>
      </w:r>
    </w:p>
    <w:p w14:paraId="24FC6606" w14:textId="77777777" w:rsidR="007373F6" w:rsidRDefault="00000000">
      <w:pPr>
        <w:widowControl w:val="0"/>
        <w:spacing w:after="0" w:line="240" w:lineRule="auto"/>
        <w:ind w:firstLin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Model 14 examines the effect of SG&amp;A expense stickiness on Tobin’s Q. The t-value for the estimated coefficient is 0.923, again suggesting that the relationship is not statistically </w:t>
      </w:r>
      <w:r>
        <w:rPr>
          <w:rFonts w:ascii="Times New Roman" w:eastAsia="Times New Roman" w:hAnsi="Times New Roman" w:cs="Times New Roman"/>
          <w:sz w:val="24"/>
          <w:szCs w:val="24"/>
        </w:rPr>
        <w:lastRenderedPageBreak/>
        <w:t>significant. Thus, no conclusive evidence is found regarding the impact of SG&amp;A expense stickiness on market valuation.</w:t>
      </w:r>
    </w:p>
    <w:p w14:paraId="01E2BA8B" w14:textId="77777777" w:rsidR="007373F6" w:rsidRDefault="007373F6">
      <w:pPr>
        <w:widowControl w:val="0"/>
        <w:spacing w:after="0" w:line="240" w:lineRule="auto"/>
        <w:ind w:firstLine="240"/>
        <w:jc w:val="both"/>
        <w:rPr>
          <w:rFonts w:ascii="Times New Roman" w:eastAsia="Times New Roman" w:hAnsi="Times New Roman" w:cs="Times New Roman"/>
          <w:sz w:val="24"/>
          <w:szCs w:val="24"/>
        </w:rPr>
      </w:pPr>
    </w:p>
    <w:p w14:paraId="721B201D" w14:textId="77777777" w:rsidR="007373F6" w:rsidRDefault="00000000">
      <w:pPr>
        <w:widowControl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Table 4. The Impact of SG&amp;A Expense Stickiness on Corporate Performance</w:t>
      </w:r>
    </w:p>
    <w:sdt>
      <w:sdtPr>
        <w:rPr>
          <w:b w:val="0"/>
          <w:sz w:val="22"/>
          <w:szCs w:val="22"/>
        </w:rPr>
        <w:tag w:val="goog_rdk_289"/>
        <w:id w:val="-921285557"/>
        <w:lock w:val="contentLocked"/>
      </w:sdtPr>
      <w:sdtContent>
        <w:tbl>
          <w:tblPr>
            <w:tblStyle w:val="afff1"/>
            <w:tblW w:w="9781" w:type="dxa"/>
            <w:tblBorders>
              <w:top w:val="single" w:sz="4" w:space="0" w:color="7F7F7F"/>
              <w:bottom w:val="single" w:sz="4" w:space="0" w:color="7F7F7F"/>
            </w:tblBorders>
            <w:tblLayout w:type="fixed"/>
            <w:tblLook w:val="04A0" w:firstRow="1" w:lastRow="0" w:firstColumn="1" w:lastColumn="0" w:noHBand="0" w:noVBand="1"/>
          </w:tblPr>
          <w:tblGrid>
            <w:gridCol w:w="2446"/>
            <w:gridCol w:w="2445"/>
            <w:gridCol w:w="2445"/>
            <w:gridCol w:w="2445"/>
          </w:tblGrid>
          <w:tr w:rsidR="007373F6" w14:paraId="705B890B" w14:textId="77777777" w:rsidTr="007373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Align w:val="center"/>
              </w:tcPr>
              <w:p w14:paraId="15ABEC88" w14:textId="77777777" w:rsidR="007373F6" w:rsidRDefault="00000000">
                <w:pPr>
                  <w:widowControl w:val="0"/>
                  <w:ind w:firstLine="2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Model 12~14</w:t>
                </w:r>
              </w:p>
            </w:tc>
            <w:tc>
              <w:tcPr>
                <w:tcW w:w="2445" w:type="dxa"/>
                <w:vAlign w:val="center"/>
              </w:tcPr>
              <w:p w14:paraId="7F9DC87D"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ROE</m:t>
                        </m:r>
                      </m:e>
                      <m:sub>
                        <m:r>
                          <m:rPr>
                            <m:sty m:val="bi"/>
                          </m:rPr>
                          <w:rPr>
                            <w:rFonts w:ascii="Cambria Math" w:eastAsia="Cambria Math" w:hAnsi="Cambria Math" w:cs="Cambria Math"/>
                            <w:sz w:val="24"/>
                            <w:szCs w:val="24"/>
                          </w:rPr>
                          <m:t>i,t</m:t>
                        </m:r>
                      </m:sub>
                    </m:sSub>
                  </m:oMath>
                </m:oMathPara>
              </w:p>
            </w:tc>
            <w:tc>
              <w:tcPr>
                <w:tcW w:w="2445" w:type="dxa"/>
                <w:vAlign w:val="center"/>
              </w:tcPr>
              <w:p w14:paraId="63214E42"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EBITDA</m:t>
                        </m:r>
                      </m:e>
                      <m:sub>
                        <m:r>
                          <m:rPr>
                            <m:sty m:val="bi"/>
                          </m:rPr>
                          <w:rPr>
                            <w:rFonts w:ascii="Cambria Math" w:eastAsia="Cambria Math" w:hAnsi="Cambria Math" w:cs="Cambria Math"/>
                            <w:sz w:val="24"/>
                            <w:szCs w:val="24"/>
                          </w:rPr>
                          <m:t>i,t</m:t>
                        </m:r>
                      </m:sub>
                    </m:sSub>
                  </m:oMath>
                </m:oMathPara>
              </w:p>
            </w:tc>
            <w:tc>
              <w:tcPr>
                <w:tcW w:w="2445" w:type="dxa"/>
                <w:vAlign w:val="center"/>
              </w:tcPr>
              <w:p w14:paraId="0FC414B8" w14:textId="77777777" w:rsidR="007373F6" w:rsidRDefault="00000000">
                <w:pPr>
                  <w:jc w:val="both"/>
                  <w:cnfStyle w:val="100000000000" w:firstRow="1" w:lastRow="0" w:firstColumn="0" w:lastColumn="0" w:oddVBand="0" w:evenVBand="0" w:oddHBand="0" w:evenHBand="0" w:firstRowFirstColumn="0" w:firstRowLastColumn="0" w:lastRowFirstColumn="0" w:lastRowLastColumn="0"/>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TobinQ</m:t>
                        </m:r>
                      </m:e>
                      <m:sub>
                        <m:r>
                          <m:rPr>
                            <m:sty m:val="bi"/>
                          </m:rPr>
                          <w:rPr>
                            <w:rFonts w:ascii="Cambria Math" w:eastAsia="Cambria Math" w:hAnsi="Cambria Math" w:cs="Cambria Math"/>
                            <w:sz w:val="24"/>
                            <w:szCs w:val="24"/>
                          </w:rPr>
                          <m:t>i,t</m:t>
                        </m:r>
                      </m:sub>
                    </m:sSub>
                  </m:oMath>
                </m:oMathPara>
              </w:p>
            </w:tc>
          </w:tr>
          <w:tr w:rsidR="007373F6" w14:paraId="295F9203"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vAlign w:val="center"/>
              </w:tcPr>
              <w:p w14:paraId="02A55FAA" w14:textId="77777777" w:rsidR="007373F6" w:rsidRDefault="00000000">
                <w:pPr>
                  <w:widowControl w:val="0"/>
                  <w:jc w:val="both"/>
                  <w:rPr>
                    <w:rFonts w:ascii="Times New Roman" w:eastAsia="Times New Roman" w:hAnsi="Times New Roman" w:cs="Times New Roman"/>
                    <w:sz w:val="24"/>
                    <w:szCs w:val="24"/>
                  </w:rPr>
                </w:pPr>
                <w:sdt>
                  <w:sdtPr>
                    <w:tag w:val="goog_rdk_285"/>
                    <w:id w:val="-899560589"/>
                  </w:sdtPr>
                  <w:sdtContent>
                    <w:r>
                      <w:rPr>
                        <w:rFonts w:ascii="Gungsuh" w:eastAsia="Gungsuh" w:hAnsi="Gungsuh" w:cs="Gungsuh"/>
                        <w:sz w:val="24"/>
                        <w:szCs w:val="24"/>
                      </w:rPr>
                      <w:t>（Constant）</w:t>
                    </w:r>
                  </w:sdtContent>
                </w:sdt>
              </w:p>
            </w:tc>
            <w:tc>
              <w:tcPr>
                <w:tcW w:w="2445" w:type="dxa"/>
                <w:vAlign w:val="center"/>
              </w:tcPr>
              <w:p w14:paraId="1D53A931"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sdt>
                  <w:sdtPr>
                    <w:tag w:val="goog_rdk_286"/>
                    <w:id w:val="136412965"/>
                  </w:sdtPr>
                  <w:sdtContent>
                    <w:r>
                      <w:rPr>
                        <w:rFonts w:ascii="Gungsuh" w:eastAsia="Gungsuh" w:hAnsi="Gungsuh" w:cs="Gungsuh"/>
                        <w:sz w:val="24"/>
                        <w:szCs w:val="24"/>
                      </w:rPr>
                      <w:t xml:space="preserve">　</w:t>
                    </w:r>
                  </w:sdtContent>
                </w:sdt>
              </w:p>
            </w:tc>
            <w:tc>
              <w:tcPr>
                <w:tcW w:w="2445" w:type="dxa"/>
                <w:vAlign w:val="center"/>
              </w:tcPr>
              <w:p w14:paraId="2D8E8BA1"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sdt>
                  <w:sdtPr>
                    <w:tag w:val="goog_rdk_287"/>
                    <w:id w:val="-1360080491"/>
                  </w:sdtPr>
                  <w:sdtContent>
                    <w:r>
                      <w:rPr>
                        <w:rFonts w:ascii="Gungsuh" w:eastAsia="Gungsuh" w:hAnsi="Gungsuh" w:cs="Gungsuh"/>
                        <w:sz w:val="24"/>
                        <w:szCs w:val="24"/>
                      </w:rPr>
                      <w:t xml:space="preserve">　</w:t>
                    </w:r>
                  </w:sdtContent>
                </w:sdt>
              </w:p>
            </w:tc>
            <w:tc>
              <w:tcPr>
                <w:tcW w:w="2445" w:type="dxa"/>
                <w:vAlign w:val="center"/>
              </w:tcPr>
              <w:p w14:paraId="508F6D43"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sdt>
                  <w:sdtPr>
                    <w:tag w:val="goog_rdk_288"/>
                    <w:id w:val="1682937920"/>
                  </w:sdtPr>
                  <w:sdtContent>
                    <w:r>
                      <w:rPr>
                        <w:rFonts w:ascii="Gungsuh" w:eastAsia="Gungsuh" w:hAnsi="Gungsuh" w:cs="Gungsuh"/>
                        <w:sz w:val="24"/>
                        <w:szCs w:val="24"/>
                      </w:rPr>
                      <w:t xml:space="preserve">　</w:t>
                    </w:r>
                  </w:sdtContent>
                </w:sdt>
              </w:p>
            </w:tc>
          </w:tr>
          <w:tr w:rsidR="007373F6" w14:paraId="2D014895" w14:textId="77777777" w:rsidTr="007373F6">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52713B6E"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2445" w:type="dxa"/>
                <w:vAlign w:val="center"/>
              </w:tcPr>
              <w:p w14:paraId="5D01C998"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(19.010)</w:t>
                </w:r>
              </w:p>
            </w:tc>
            <w:tc>
              <w:tcPr>
                <w:tcW w:w="2445" w:type="dxa"/>
                <w:vAlign w:val="center"/>
              </w:tcPr>
              <w:p w14:paraId="289FB5DF"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(-39.515)</w:t>
                </w:r>
              </w:p>
            </w:tc>
            <w:tc>
              <w:tcPr>
                <w:tcW w:w="2445" w:type="dxa"/>
                <w:vAlign w:val="center"/>
              </w:tcPr>
              <w:p w14:paraId="1210E3D6"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(11.462)</w:t>
                </w:r>
              </w:p>
            </w:tc>
          </w:tr>
          <w:tr w:rsidR="007373F6" w14:paraId="3FB2F469"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vAlign w:val="center"/>
              </w:tcPr>
              <w:p w14:paraId="254A4CAE"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SGAsticky</m:t>
                        </m:r>
                      </m:e>
                      <m:sub>
                        <m:r>
                          <m:rPr>
                            <m:sty m:val="bi"/>
                          </m:rPr>
                          <w:rPr>
                            <w:rFonts w:ascii="Cambria Math" w:eastAsia="Cambria Math" w:hAnsi="Cambria Math" w:cs="Cambria Math"/>
                            <w:sz w:val="24"/>
                            <w:szCs w:val="24"/>
                          </w:rPr>
                          <m:t>i,t</m:t>
                        </m:r>
                      </m:sub>
                    </m:sSub>
                  </m:oMath>
                </m:oMathPara>
              </w:p>
            </w:tc>
            <w:tc>
              <w:tcPr>
                <w:tcW w:w="2445" w:type="dxa"/>
                <w:vAlign w:val="center"/>
              </w:tcPr>
              <w:p w14:paraId="2E6C6CCE"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0.050**</w:t>
                </w:r>
              </w:p>
            </w:tc>
            <w:tc>
              <w:tcPr>
                <w:tcW w:w="2445" w:type="dxa"/>
                <w:vAlign w:val="center"/>
              </w:tcPr>
              <w:p w14:paraId="1096DA27"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-0.005</w:t>
                </w:r>
              </w:p>
            </w:tc>
            <w:tc>
              <w:tcPr>
                <w:tcW w:w="2445" w:type="dxa"/>
                <w:vAlign w:val="center"/>
              </w:tcPr>
              <w:p w14:paraId="063BD04E"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0.016</w:t>
                </w:r>
              </w:p>
            </w:tc>
          </w:tr>
          <w:tr w:rsidR="007373F6" w14:paraId="0BA683D2" w14:textId="77777777" w:rsidTr="007373F6">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4F574333"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2445" w:type="dxa"/>
                <w:vAlign w:val="center"/>
              </w:tcPr>
              <w:p w14:paraId="61B9DA4F"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(3.095)</w:t>
                </w:r>
              </w:p>
            </w:tc>
            <w:tc>
              <w:tcPr>
                <w:tcW w:w="2445" w:type="dxa"/>
                <w:vAlign w:val="center"/>
              </w:tcPr>
              <w:p w14:paraId="31F90049"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(-0.329)</w:t>
                </w:r>
              </w:p>
            </w:tc>
            <w:tc>
              <w:tcPr>
                <w:tcW w:w="2445" w:type="dxa"/>
                <w:vAlign w:val="center"/>
              </w:tcPr>
              <w:p w14:paraId="388CC677"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(0.923)</w:t>
                </w:r>
              </w:p>
            </w:tc>
          </w:tr>
          <w:tr w:rsidR="007373F6" w14:paraId="07928334"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vAlign w:val="center"/>
              </w:tcPr>
              <w:p w14:paraId="0E1BD8CC"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DE</m:t>
                        </m:r>
                      </m:e>
                      <m:sub>
                        <m:r>
                          <m:rPr>
                            <m:sty m:val="bi"/>
                          </m:rPr>
                          <w:rPr>
                            <w:rFonts w:ascii="Cambria Math" w:eastAsia="Cambria Math" w:hAnsi="Cambria Math" w:cs="Cambria Math"/>
                            <w:sz w:val="24"/>
                            <w:szCs w:val="24"/>
                          </w:rPr>
                          <m:t>i,t</m:t>
                        </m:r>
                      </m:sub>
                    </m:sSub>
                  </m:oMath>
                </m:oMathPara>
              </w:p>
            </w:tc>
            <w:tc>
              <w:tcPr>
                <w:tcW w:w="2445" w:type="dxa"/>
                <w:vAlign w:val="center"/>
              </w:tcPr>
              <w:p w14:paraId="5D58C4DA"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0.060***</w:t>
                </w:r>
              </w:p>
            </w:tc>
            <w:tc>
              <w:tcPr>
                <w:tcW w:w="2445" w:type="dxa"/>
                <w:vAlign w:val="center"/>
              </w:tcPr>
              <w:p w14:paraId="3184C89F"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0.008</w:t>
                </w:r>
              </w:p>
            </w:tc>
            <w:tc>
              <w:tcPr>
                <w:tcW w:w="2445" w:type="dxa"/>
                <w:vAlign w:val="center"/>
              </w:tcPr>
              <w:p w14:paraId="4E11450B"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0.073***</w:t>
                </w:r>
              </w:p>
            </w:tc>
          </w:tr>
          <w:tr w:rsidR="007373F6" w14:paraId="5129A226" w14:textId="77777777" w:rsidTr="007373F6">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1AC00AF4"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2445" w:type="dxa"/>
                <w:vAlign w:val="center"/>
              </w:tcPr>
              <w:p w14:paraId="5470FACC"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(3.402)</w:t>
                </w:r>
              </w:p>
            </w:tc>
            <w:tc>
              <w:tcPr>
                <w:tcW w:w="2445" w:type="dxa"/>
                <w:vAlign w:val="center"/>
              </w:tcPr>
              <w:p w14:paraId="0D523AE1"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(0.525)</w:t>
                </w:r>
              </w:p>
            </w:tc>
            <w:tc>
              <w:tcPr>
                <w:tcW w:w="2445" w:type="dxa"/>
                <w:vAlign w:val="center"/>
              </w:tcPr>
              <w:p w14:paraId="26A98A41"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(3.816)</w:t>
                </w:r>
              </w:p>
            </w:tc>
          </w:tr>
          <w:tr w:rsidR="007373F6" w14:paraId="31CA8D7E"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vAlign w:val="center"/>
              </w:tcPr>
              <w:p w14:paraId="453E7108"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Lev</m:t>
                        </m:r>
                      </m:e>
                      <m:sub>
                        <m:r>
                          <m:rPr>
                            <m:sty m:val="bi"/>
                          </m:rPr>
                          <w:rPr>
                            <w:rFonts w:ascii="Cambria Math" w:eastAsia="Cambria Math" w:hAnsi="Cambria Math" w:cs="Cambria Math"/>
                            <w:sz w:val="24"/>
                            <w:szCs w:val="24"/>
                          </w:rPr>
                          <m:t>i,t</m:t>
                        </m:r>
                      </m:sub>
                    </m:sSub>
                  </m:oMath>
                </m:oMathPara>
              </w:p>
            </w:tc>
            <w:tc>
              <w:tcPr>
                <w:tcW w:w="2445" w:type="dxa"/>
                <w:vAlign w:val="center"/>
              </w:tcPr>
              <w:p w14:paraId="078328F6"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0.220***</w:t>
                </w:r>
              </w:p>
            </w:tc>
            <w:tc>
              <w:tcPr>
                <w:tcW w:w="2445" w:type="dxa"/>
                <w:vAlign w:val="center"/>
              </w:tcPr>
              <w:p w14:paraId="4DC70BCE"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0.019</w:t>
                </w:r>
              </w:p>
            </w:tc>
            <w:tc>
              <w:tcPr>
                <w:tcW w:w="2445" w:type="dxa"/>
                <w:vAlign w:val="center"/>
              </w:tcPr>
              <w:p w14:paraId="681CBEA4"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0.000</w:t>
                </w:r>
              </w:p>
            </w:tc>
          </w:tr>
          <w:tr w:rsidR="007373F6" w14:paraId="2B486202" w14:textId="77777777" w:rsidTr="007373F6">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42A2F48A"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2445" w:type="dxa"/>
                <w:vAlign w:val="center"/>
              </w:tcPr>
              <w:p w14:paraId="008C1CD7"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(13.430)</w:t>
                </w:r>
              </w:p>
            </w:tc>
            <w:tc>
              <w:tcPr>
                <w:tcW w:w="2445" w:type="dxa"/>
                <w:vAlign w:val="center"/>
              </w:tcPr>
              <w:p w14:paraId="1A3B1B41"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(1.343)</w:t>
                </w:r>
              </w:p>
            </w:tc>
            <w:tc>
              <w:tcPr>
                <w:tcW w:w="2445" w:type="dxa"/>
                <w:vAlign w:val="center"/>
              </w:tcPr>
              <w:p w14:paraId="68915A76"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(-0.010)</w:t>
                </w:r>
              </w:p>
            </w:tc>
          </w:tr>
          <w:tr w:rsidR="007373F6" w14:paraId="2890E351"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vAlign w:val="center"/>
              </w:tcPr>
              <w:p w14:paraId="12E4AF8F"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βMarket</m:t>
                        </m:r>
                      </m:e>
                      <m:sub>
                        <m:r>
                          <m:rPr>
                            <m:sty m:val="bi"/>
                          </m:rPr>
                          <w:rPr>
                            <w:rFonts w:ascii="Cambria Math" w:eastAsia="Cambria Math" w:hAnsi="Cambria Math" w:cs="Cambria Math"/>
                            <w:sz w:val="24"/>
                            <w:szCs w:val="24"/>
                          </w:rPr>
                          <m:t>i,t</m:t>
                        </m:r>
                      </m:sub>
                    </m:sSub>
                  </m:oMath>
                </m:oMathPara>
              </w:p>
            </w:tc>
            <w:tc>
              <w:tcPr>
                <w:tcW w:w="2445" w:type="dxa"/>
                <w:vAlign w:val="center"/>
              </w:tcPr>
              <w:p w14:paraId="6A2FC9B4"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0.067**</w:t>
                </w:r>
              </w:p>
            </w:tc>
            <w:tc>
              <w:tcPr>
                <w:tcW w:w="2445" w:type="dxa"/>
                <w:vAlign w:val="center"/>
              </w:tcPr>
              <w:p w14:paraId="4659E68A"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0.065**</w:t>
                </w:r>
              </w:p>
            </w:tc>
            <w:tc>
              <w:tcPr>
                <w:tcW w:w="2445" w:type="dxa"/>
                <w:vAlign w:val="center"/>
              </w:tcPr>
              <w:p w14:paraId="01EE2869"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0.184***</w:t>
                </w:r>
              </w:p>
            </w:tc>
          </w:tr>
          <w:tr w:rsidR="007373F6" w14:paraId="5EBF51E2" w14:textId="77777777" w:rsidTr="007373F6">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596D637B"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2445" w:type="dxa"/>
                <w:vAlign w:val="center"/>
              </w:tcPr>
              <w:p w14:paraId="548E5A59"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(2.765)</w:t>
                </w:r>
              </w:p>
            </w:tc>
            <w:tc>
              <w:tcPr>
                <w:tcW w:w="2445" w:type="dxa"/>
                <w:vAlign w:val="center"/>
              </w:tcPr>
              <w:p w14:paraId="742CDB0D"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(3.120)</w:t>
                </w:r>
              </w:p>
            </w:tc>
            <w:tc>
              <w:tcPr>
                <w:tcW w:w="2445" w:type="dxa"/>
                <w:vAlign w:val="center"/>
              </w:tcPr>
              <w:p w14:paraId="77DC6FF0"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(6.980)</w:t>
                </w:r>
              </w:p>
            </w:tc>
          </w:tr>
          <w:tr w:rsidR="007373F6" w14:paraId="2E2FF140"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vAlign w:val="center"/>
              </w:tcPr>
              <w:p w14:paraId="6CB52324"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βTOPIX</m:t>
                        </m:r>
                      </m:e>
                      <m:sub>
                        <m:r>
                          <m:rPr>
                            <m:sty m:val="bi"/>
                          </m:rPr>
                          <w:rPr>
                            <w:rFonts w:ascii="Cambria Math" w:eastAsia="Cambria Math" w:hAnsi="Cambria Math" w:cs="Cambria Math"/>
                            <w:sz w:val="24"/>
                            <w:szCs w:val="24"/>
                          </w:rPr>
                          <m:t>i,t</m:t>
                        </m:r>
                      </m:sub>
                    </m:sSub>
                  </m:oMath>
                </m:oMathPara>
              </w:p>
            </w:tc>
            <w:tc>
              <w:tcPr>
                <w:tcW w:w="2445" w:type="dxa"/>
                <w:vAlign w:val="center"/>
              </w:tcPr>
              <w:p w14:paraId="7C120653"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-0.058*</w:t>
                </w:r>
              </w:p>
            </w:tc>
            <w:tc>
              <w:tcPr>
                <w:tcW w:w="2445" w:type="dxa"/>
                <w:vAlign w:val="center"/>
              </w:tcPr>
              <w:p w14:paraId="5A898DDE"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-0.027</w:t>
                </w:r>
              </w:p>
            </w:tc>
            <w:tc>
              <w:tcPr>
                <w:tcW w:w="2445" w:type="dxa"/>
                <w:vAlign w:val="center"/>
              </w:tcPr>
              <w:p w14:paraId="6A147741"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-0.125***</w:t>
                </w:r>
              </w:p>
            </w:tc>
          </w:tr>
          <w:tr w:rsidR="007373F6" w14:paraId="7B5C4C1C" w14:textId="77777777" w:rsidTr="007373F6">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0046E8AA"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2445" w:type="dxa"/>
                <w:vAlign w:val="center"/>
              </w:tcPr>
              <w:p w14:paraId="3B586F04"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(-2.390)</w:t>
                </w:r>
              </w:p>
            </w:tc>
            <w:tc>
              <w:tcPr>
                <w:tcW w:w="2445" w:type="dxa"/>
                <w:vAlign w:val="center"/>
              </w:tcPr>
              <w:p w14:paraId="4AA7BB34"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(-1.272)</w:t>
                </w:r>
              </w:p>
            </w:tc>
            <w:tc>
              <w:tcPr>
                <w:tcW w:w="2445" w:type="dxa"/>
                <w:vAlign w:val="center"/>
              </w:tcPr>
              <w:p w14:paraId="1FC59E72"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(-4.721)</w:t>
                </w:r>
              </w:p>
            </w:tc>
          </w:tr>
          <w:tr w:rsidR="007373F6" w14:paraId="52E4BB98"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vAlign w:val="center"/>
              </w:tcPr>
              <w:p w14:paraId="1EE0C011"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Growth</m:t>
                        </m:r>
                      </m:e>
                      <m:sub>
                        <m:r>
                          <m:rPr>
                            <m:sty m:val="bi"/>
                          </m:rPr>
                          <w:rPr>
                            <w:rFonts w:ascii="Cambria Math" w:eastAsia="Cambria Math" w:hAnsi="Cambria Math" w:cs="Cambria Math"/>
                            <w:sz w:val="24"/>
                            <w:szCs w:val="24"/>
                          </w:rPr>
                          <m:t>i,t</m:t>
                        </m:r>
                      </m:sub>
                    </m:sSub>
                  </m:oMath>
                </m:oMathPara>
              </w:p>
            </w:tc>
            <w:tc>
              <w:tcPr>
                <w:tcW w:w="2445" w:type="dxa"/>
                <w:vAlign w:val="center"/>
              </w:tcPr>
              <w:p w14:paraId="2F350340"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0.276***</w:t>
                </w:r>
              </w:p>
            </w:tc>
            <w:tc>
              <w:tcPr>
                <w:tcW w:w="2445" w:type="dxa"/>
                <w:vAlign w:val="center"/>
              </w:tcPr>
              <w:p w14:paraId="1FCA7522"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0.070***</w:t>
                </w:r>
              </w:p>
            </w:tc>
            <w:tc>
              <w:tcPr>
                <w:tcW w:w="2445" w:type="dxa"/>
                <w:vAlign w:val="center"/>
              </w:tcPr>
              <w:p w14:paraId="34FC6CBF"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0.059***</w:t>
                </w:r>
              </w:p>
            </w:tc>
          </w:tr>
          <w:tr w:rsidR="007373F6" w14:paraId="018E8AC0" w14:textId="77777777" w:rsidTr="007373F6">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2BFD98C0"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2445" w:type="dxa"/>
                <w:vAlign w:val="center"/>
              </w:tcPr>
              <w:p w14:paraId="3AD9D21F"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(16.975)</w:t>
                </w:r>
              </w:p>
            </w:tc>
            <w:tc>
              <w:tcPr>
                <w:tcW w:w="2445" w:type="dxa"/>
                <w:vAlign w:val="center"/>
              </w:tcPr>
              <w:p w14:paraId="515EB6F8"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(5.045)</w:t>
                </w:r>
              </w:p>
            </w:tc>
            <w:tc>
              <w:tcPr>
                <w:tcW w:w="2445" w:type="dxa"/>
                <w:vAlign w:val="center"/>
              </w:tcPr>
              <w:p w14:paraId="399E1B6A"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(3.363)</w:t>
                </w:r>
              </w:p>
            </w:tc>
          </w:tr>
          <w:tr w:rsidR="007373F6" w14:paraId="7109846B"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vAlign w:val="center"/>
              </w:tcPr>
              <w:p w14:paraId="546DA80A"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logAssets</m:t>
                        </m:r>
                      </m:e>
                      <m:sub>
                        <m:r>
                          <m:rPr>
                            <m:sty m:val="bi"/>
                          </m:rPr>
                          <w:rPr>
                            <w:rFonts w:ascii="Cambria Math" w:eastAsia="Cambria Math" w:hAnsi="Cambria Math" w:cs="Cambria Math"/>
                            <w:sz w:val="24"/>
                            <w:szCs w:val="24"/>
                          </w:rPr>
                          <m:t>i,t</m:t>
                        </m:r>
                      </m:sub>
                    </m:sSub>
                  </m:oMath>
                </m:oMathPara>
              </w:p>
            </w:tc>
            <w:tc>
              <w:tcPr>
                <w:tcW w:w="2445" w:type="dxa"/>
                <w:vAlign w:val="center"/>
              </w:tcPr>
              <w:p w14:paraId="0DD45BA2"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-0.196***</w:t>
                </w:r>
              </w:p>
            </w:tc>
            <w:tc>
              <w:tcPr>
                <w:tcW w:w="2445" w:type="dxa"/>
                <w:vAlign w:val="center"/>
              </w:tcPr>
              <w:p w14:paraId="26CC062F"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0.632***</w:t>
                </w:r>
              </w:p>
            </w:tc>
            <w:tc>
              <w:tcPr>
                <w:tcW w:w="2445" w:type="dxa"/>
                <w:vAlign w:val="center"/>
              </w:tcPr>
              <w:p w14:paraId="7C15F29E"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-0.095***</w:t>
                </w:r>
              </w:p>
            </w:tc>
          </w:tr>
          <w:tr w:rsidR="007373F6" w14:paraId="56E8BD1A" w14:textId="77777777" w:rsidTr="007373F6">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1529E1CD"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2445" w:type="dxa"/>
                <w:vAlign w:val="center"/>
              </w:tcPr>
              <w:p w14:paraId="02C842BA"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(-11.158)</w:t>
                </w:r>
              </w:p>
            </w:tc>
            <w:tc>
              <w:tcPr>
                <w:tcW w:w="2445" w:type="dxa"/>
                <w:vAlign w:val="center"/>
              </w:tcPr>
              <w:p w14:paraId="57B49776"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(41.853)</w:t>
                </w:r>
              </w:p>
            </w:tc>
            <w:tc>
              <w:tcPr>
                <w:tcW w:w="2445" w:type="dxa"/>
                <w:vAlign w:val="center"/>
              </w:tcPr>
              <w:p w14:paraId="4623650F"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(-4.962)</w:t>
                </w:r>
              </w:p>
            </w:tc>
          </w:tr>
          <w:tr w:rsidR="007373F6" w14:paraId="496B93FB"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vAlign w:val="center"/>
              </w:tcPr>
              <w:p w14:paraId="39AB6151" w14:textId="77777777" w:rsidR="007373F6" w:rsidRDefault="00000000">
                <w:pPr>
                  <w:jc w:val="both"/>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m:rPr>
                            <m:sty m:val="bi"/>
                          </m:rPr>
                          <w:rPr>
                            <w:rFonts w:ascii="Cambria Math" w:eastAsia="Cambria Math" w:hAnsi="Cambria Math" w:cs="Cambria Math"/>
                            <w:sz w:val="24"/>
                            <w:szCs w:val="24"/>
                          </w:rPr>
                          <m:t>BM</m:t>
                        </m:r>
                      </m:e>
                      <m:sub>
                        <m:r>
                          <m:rPr>
                            <m:sty m:val="bi"/>
                          </m:rPr>
                          <w:rPr>
                            <w:rFonts w:ascii="Cambria Math" w:eastAsia="Cambria Math" w:hAnsi="Cambria Math" w:cs="Cambria Math"/>
                            <w:sz w:val="24"/>
                            <w:szCs w:val="24"/>
                          </w:rPr>
                          <m:t>i,t</m:t>
                        </m:r>
                      </m:sub>
                    </m:sSub>
                  </m:oMath>
                </m:oMathPara>
              </w:p>
            </w:tc>
            <w:tc>
              <w:tcPr>
                <w:tcW w:w="2445" w:type="dxa"/>
                <w:vAlign w:val="center"/>
              </w:tcPr>
              <w:p w14:paraId="7EC13637"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-0.017</w:t>
                </w:r>
              </w:p>
            </w:tc>
            <w:tc>
              <w:tcPr>
                <w:tcW w:w="2445" w:type="dxa"/>
                <w:vAlign w:val="center"/>
              </w:tcPr>
              <w:p w14:paraId="5549DB5C"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0.039**</w:t>
                </w:r>
              </w:p>
            </w:tc>
            <w:tc>
              <w:tcPr>
                <w:tcW w:w="2445" w:type="dxa"/>
                <w:vAlign w:val="center"/>
              </w:tcPr>
              <w:p w14:paraId="0D712A2C" w14:textId="77777777" w:rsidR="007373F6"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-0.080***</w:t>
                </w:r>
              </w:p>
            </w:tc>
          </w:tr>
          <w:tr w:rsidR="007373F6" w14:paraId="08C5501C" w14:textId="77777777" w:rsidTr="007373F6">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3F18CE4A" w14:textId="77777777" w:rsidR="007373F6" w:rsidRDefault="007373F6">
                <w:pPr>
                  <w:widowControl w:val="0"/>
                  <w:spacing w:line="276" w:lineRule="auto"/>
                  <w:jc w:val="both"/>
                  <w:rPr>
                    <w:rFonts w:ascii="Times New Roman" w:eastAsia="Times New Roman" w:hAnsi="Times New Roman" w:cs="Times New Roman"/>
                    <w:sz w:val="24"/>
                    <w:szCs w:val="24"/>
                  </w:rPr>
                </w:pPr>
              </w:p>
            </w:tc>
            <w:tc>
              <w:tcPr>
                <w:tcW w:w="2445" w:type="dxa"/>
                <w:vAlign w:val="center"/>
              </w:tcPr>
              <w:p w14:paraId="35AEB903"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(-1.025)</w:t>
                </w:r>
              </w:p>
            </w:tc>
            <w:tc>
              <w:tcPr>
                <w:tcW w:w="2445" w:type="dxa"/>
                <w:vAlign w:val="center"/>
              </w:tcPr>
              <w:p w14:paraId="0AFC708D"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(2.845)</w:t>
                </w:r>
              </w:p>
            </w:tc>
            <w:tc>
              <w:tcPr>
                <w:tcW w:w="2445" w:type="dxa"/>
                <w:vAlign w:val="center"/>
              </w:tcPr>
              <w:p w14:paraId="11767724" w14:textId="77777777" w:rsidR="007373F6"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(-4.556)</w:t>
                </w:r>
              </w:p>
            </w:tc>
          </w:tr>
          <w:tr w:rsidR="007373F6" w14:paraId="33BDF666" w14:textId="77777777" w:rsidTr="00737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81" w:type="dxa"/>
                <w:gridSpan w:val="4"/>
                <w:vAlign w:val="center"/>
              </w:tcPr>
              <w:p w14:paraId="149F0636" w14:textId="77777777" w:rsidR="007373F6" w:rsidRDefault="00000000">
                <w:pPr>
                  <w:widowControl w:val="0"/>
                  <w:ind w:firstLine="2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*p&lt;0.05, **p&lt;0.01, ***p&lt;0.001</w:t>
                </w:r>
              </w:p>
            </w:tc>
          </w:tr>
          <w:tr w:rsidR="007373F6" w14:paraId="05E4F4A8" w14:textId="77777777" w:rsidTr="007373F6">
            <w:tc>
              <w:tcPr>
                <w:cnfStyle w:val="001000000000" w:firstRow="0" w:lastRow="0" w:firstColumn="1" w:lastColumn="0" w:oddVBand="0" w:evenVBand="0" w:oddHBand="0" w:evenHBand="0" w:firstRowFirstColumn="0" w:firstRowLastColumn="0" w:lastRowFirstColumn="0" w:lastRowLastColumn="0"/>
                <w:tcW w:w="9781" w:type="dxa"/>
                <w:gridSpan w:val="4"/>
                <w:vAlign w:val="center"/>
              </w:tcPr>
              <w:p w14:paraId="19A2640D" w14:textId="77777777" w:rsidR="007373F6" w:rsidRDefault="00000000">
                <w:pPr>
                  <w:widowControl w:val="0"/>
                  <w:ind w:firstLine="2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Figures in parentheses indicate t-values.</w:t>
                </w:r>
              </w:p>
            </w:tc>
          </w:tr>
        </w:tbl>
      </w:sdtContent>
    </w:sdt>
    <w:p w14:paraId="3B8A91C5" w14:textId="77777777" w:rsidR="007373F6" w:rsidRDefault="00000000" w:rsidP="008D34F4">
      <w:pPr>
        <w:spacing w:before="240" w:after="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Additional Analysis: The Impact of Cost Stickiness on WACC</w:t>
      </w:r>
    </w:p>
    <w:p w14:paraId="4E070A02" w14:textId="6D0B3C53" w:rsidR="007373F6" w:rsidRPr="008D34F4" w:rsidRDefault="00000000" w:rsidP="008D34F4">
      <w:pPr>
        <w:widowControl w:val="0"/>
        <w:spacing w:after="0" w:line="240" w:lineRule="auto"/>
        <w:ind w:firstLine="426"/>
        <w:jc w:val="both"/>
        <w:rPr>
          <w:rFonts w:asciiTheme="majorBidi" w:eastAsia="Times New Roman" w:hAnsiTheme="majorBidi" w:cstheme="majorBidi"/>
          <w:sz w:val="24"/>
          <w:szCs w:val="24"/>
        </w:rPr>
      </w:pPr>
      <w:r w:rsidRPr="008D34F4">
        <w:rPr>
          <w:rFonts w:asciiTheme="majorBidi" w:eastAsia="Gungsuh" w:hAnsiTheme="majorBidi" w:cstheme="majorBidi"/>
          <w:sz w:val="24"/>
          <w:szCs w:val="24"/>
        </w:rPr>
        <w:t>Section 5.1 empirically demonstrated that cost stickiness has a negative effect on the cost of equity capital. Given that the Weighted Average Cost of Capital (WACC) is calculated as the weighted average of the cost of equity and the cost of debt, based on their respective market values, changes in the cost of equity can influence WACC. Specifically, a decrease in the cost of equity capital—driven by greater cost stickiness—may result in a lower overall WACC, assuming other components remain constant.</w:t>
      </w:r>
    </w:p>
    <w:p w14:paraId="7F17C797" w14:textId="77777777" w:rsidR="007373F6" w:rsidRDefault="00000000" w:rsidP="008D34F4">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further investigate this relationship, the following additional hypothesis is proposed:</w:t>
      </w:r>
    </w:p>
    <w:p w14:paraId="4E50D607" w14:textId="5C8DD6D6" w:rsidR="007373F6" w:rsidRDefault="00000000" w:rsidP="008D34F4">
      <w:pPr>
        <w:widowControl w:val="0"/>
        <w:spacing w:after="0" w:line="240" w:lineRule="auto"/>
        <w:ind w:firstLine="426"/>
        <w:jc w:val="both"/>
        <w:rPr>
          <w:rFonts w:ascii="Times New Roman" w:eastAsia="Times New Roman" w:hAnsi="Times New Roman" w:cs="Times New Roman"/>
          <w:sz w:val="24"/>
          <w:szCs w:val="24"/>
        </w:rPr>
      </w:pPr>
      <w:r w:rsidRPr="008D34F4">
        <w:rPr>
          <w:rFonts w:ascii="Times New Roman" w:eastAsia="Times New Roman" w:hAnsi="Times New Roman" w:cs="Times New Roman"/>
          <w:b/>
          <w:bCs/>
          <w:sz w:val="24"/>
          <w:szCs w:val="24"/>
        </w:rPr>
        <w:t>H</w:t>
      </w:r>
      <w:r w:rsidRPr="008D34F4">
        <w:rPr>
          <w:rFonts w:ascii="Times New Roman" w:eastAsia="Times New Roman" w:hAnsi="Times New Roman" w:cs="Times New Roman"/>
          <w:b/>
          <w:bCs/>
          <w:sz w:val="24"/>
          <w:szCs w:val="24"/>
          <w:vertAlign w:val="subscript"/>
        </w:rPr>
        <w:t>3</w:t>
      </w:r>
      <w:r>
        <w:rPr>
          <w:rFonts w:ascii="Times New Roman" w:eastAsia="Times New Roman" w:hAnsi="Times New Roman" w:cs="Times New Roman"/>
          <w:sz w:val="24"/>
          <w:szCs w:val="24"/>
        </w:rPr>
        <w:t>: Cost stickiness has a negative effect on WACC.</w:t>
      </w:r>
    </w:p>
    <w:p w14:paraId="0E2FB339" w14:textId="77777777" w:rsidR="007373F6" w:rsidRDefault="00000000" w:rsidP="008D34F4">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Model 15 presents the empirical results for testing Additional Hypothesis H3, focusing on the relationship between operating expense stickiness and WACC. The t-value for the estimated coefficient </w:t>
      </w:r>
      <m:oMath>
        <m:sSub>
          <m:sSubPr>
            <m:ctrlPr>
              <w:rPr>
                <w:rFonts w:ascii="Cambria Math" w:eastAsia="Cambria Math" w:hAnsi="Cambria Math" w:cs="Cambria Math"/>
                <w:sz w:val="24"/>
                <w:szCs w:val="24"/>
              </w:rPr>
            </m:ctrlPr>
          </m:sSubPr>
          <m:e>
            <m:acc>
              <m:accPr>
                <m:ctrlPr>
                  <w:rPr>
                    <w:rFonts w:ascii="Cambria Math" w:hAnsi="Cambria Math"/>
                  </w:rPr>
                </m:ctrlPr>
              </m:accPr>
              <m:e>
                <m:r>
                  <w:rPr>
                    <w:rFonts w:ascii="Cambria Math" w:hAnsi="Cambria Math"/>
                  </w:rPr>
                  <m:t>β</m:t>
                </m:r>
              </m:e>
            </m:acc>
          </m:e>
          <m:sub>
            <m:r>
              <w:rPr>
                <w:rFonts w:ascii="Cambria Math" w:eastAsia="Cambria Math" w:hAnsi="Cambria Math" w:cs="Cambria Math"/>
                <w:sz w:val="24"/>
                <w:szCs w:val="24"/>
              </w:rPr>
              <m:t>1</m:t>
            </m:r>
          </m:sub>
        </m:sSub>
      </m:oMath>
      <w:r>
        <w:rPr>
          <w:rFonts w:ascii="Times New Roman" w:eastAsia="Times New Roman" w:hAnsi="Times New Roman" w:cs="Times New Roman"/>
          <w:sz w:val="24"/>
          <w:szCs w:val="24"/>
        </w:rPr>
        <w:t>​ is 1.412, which is not statistically significant at conventional levels. This result indicates that the effect of operating expense stickiness on WACC is inconclusive, and no clear relationship can be established based on the current model.</w:t>
      </w:r>
    </w:p>
    <w:p w14:paraId="56FB3BAA" w14:textId="77777777" w:rsidR="007373F6" w:rsidRDefault="00000000" w:rsidP="008D34F4">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Model 16 tests Hypothesis H3 with respect to SG&amp;A expense stickiness, using WACC as the dependent variable. The t-value for </w:t>
      </w:r>
      <m:oMath>
        <m:sSub>
          <m:sSubPr>
            <m:ctrlPr>
              <w:rPr>
                <w:rFonts w:ascii="Cambria Math" w:eastAsia="Cambria Math" w:hAnsi="Cambria Math" w:cs="Cambria Math"/>
                <w:sz w:val="24"/>
                <w:szCs w:val="24"/>
              </w:rPr>
            </m:ctrlPr>
          </m:sSubPr>
          <m:e>
            <m:acc>
              <m:accPr>
                <m:ctrlPr>
                  <w:rPr>
                    <w:rFonts w:ascii="Cambria Math" w:hAnsi="Cambria Math"/>
                  </w:rPr>
                </m:ctrlPr>
              </m:accPr>
              <m:e>
                <m:r>
                  <w:rPr>
                    <w:rFonts w:ascii="Cambria Math" w:hAnsi="Cambria Math"/>
                  </w:rPr>
                  <m:t>β</m:t>
                </m:r>
              </m:e>
            </m:acc>
          </m:e>
          <m:sub>
            <m:r>
              <w:rPr>
                <w:rFonts w:ascii="Cambria Math" w:eastAsia="Cambria Math" w:hAnsi="Cambria Math" w:cs="Cambria Math"/>
                <w:sz w:val="24"/>
                <w:szCs w:val="24"/>
              </w:rPr>
              <m:t>1</m:t>
            </m:r>
          </m:sub>
        </m:sSub>
      </m:oMath>
      <w:r>
        <w:rPr>
          <w:rFonts w:ascii="Times New Roman" w:eastAsia="Times New Roman" w:hAnsi="Times New Roman" w:cs="Times New Roman"/>
          <w:sz w:val="24"/>
          <w:szCs w:val="24"/>
        </w:rPr>
        <w:t xml:space="preserve"> is 1.333, which is likewise not statistically significant. Therefore, similar to Model 15, this result suggests that the impact of SG&amp;A expense stickiness on WACC is uncertain.</w:t>
      </w:r>
    </w:p>
    <w:p w14:paraId="7F2CDE2B" w14:textId="77777777" w:rsidR="007373F6" w:rsidRDefault="007373F6">
      <w:pPr>
        <w:widowControl w:val="0"/>
        <w:spacing w:after="0" w:line="240" w:lineRule="auto"/>
        <w:ind w:firstLine="240"/>
        <w:jc w:val="both"/>
        <w:rPr>
          <w:rFonts w:ascii="Times New Roman" w:eastAsia="Times New Roman" w:hAnsi="Times New Roman" w:cs="Times New Roman"/>
          <w:sz w:val="24"/>
          <w:szCs w:val="24"/>
        </w:rPr>
      </w:pPr>
    </w:p>
    <w:p w14:paraId="6C9A061D" w14:textId="77777777" w:rsidR="008D34F4" w:rsidRDefault="008D34F4">
      <w:pPr>
        <w:widowControl w:val="0"/>
        <w:spacing w:after="0" w:line="240" w:lineRule="auto"/>
        <w:ind w:firstLine="240"/>
        <w:jc w:val="both"/>
        <w:rPr>
          <w:rFonts w:ascii="Times New Roman" w:eastAsia="Times New Roman" w:hAnsi="Times New Roman" w:cs="Times New Roman"/>
          <w:sz w:val="24"/>
          <w:szCs w:val="24"/>
        </w:rPr>
      </w:pPr>
    </w:p>
    <w:p w14:paraId="7772E2F5" w14:textId="77777777" w:rsidR="008D34F4" w:rsidRDefault="008D34F4">
      <w:pPr>
        <w:widowControl w:val="0"/>
        <w:spacing w:after="0" w:line="240" w:lineRule="auto"/>
        <w:ind w:firstLine="240"/>
        <w:jc w:val="both"/>
        <w:rPr>
          <w:rFonts w:ascii="Times New Roman" w:eastAsia="Times New Roman" w:hAnsi="Times New Roman" w:cs="Times New Roman"/>
          <w:sz w:val="24"/>
          <w:szCs w:val="24"/>
        </w:rPr>
      </w:pPr>
    </w:p>
    <w:p w14:paraId="14E8B52D" w14:textId="77777777" w:rsidR="008D34F4" w:rsidRDefault="008D34F4">
      <w:pPr>
        <w:widowControl w:val="0"/>
        <w:spacing w:after="0" w:line="240" w:lineRule="auto"/>
        <w:ind w:firstLine="240"/>
        <w:jc w:val="both"/>
        <w:rPr>
          <w:rFonts w:ascii="Times New Roman" w:eastAsia="Times New Roman" w:hAnsi="Times New Roman" w:cs="Times New Roman"/>
          <w:sz w:val="24"/>
          <w:szCs w:val="24"/>
        </w:rPr>
      </w:pPr>
    </w:p>
    <w:p w14:paraId="775409A9" w14:textId="77777777" w:rsidR="007373F6" w:rsidRDefault="00000000" w:rsidP="008D34F4">
      <w:pPr>
        <w:widowControl w:val="0"/>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Table 5. The Impact of Cost Stickiness on WACC</w:t>
      </w:r>
    </w:p>
    <w:tbl>
      <w:tblPr>
        <w:tblStyle w:val="afff2"/>
        <w:tblW w:w="9781" w:type="dxa"/>
        <w:tblBorders>
          <w:top w:val="single" w:sz="4" w:space="0" w:color="auto"/>
          <w:bottom w:val="single" w:sz="4" w:space="0" w:color="auto"/>
          <w:insideH w:val="single" w:sz="4" w:space="0" w:color="7F7F7F"/>
        </w:tblBorders>
        <w:tblLayout w:type="fixed"/>
        <w:tblLook w:val="04A0" w:firstRow="1" w:lastRow="0" w:firstColumn="1" w:lastColumn="0" w:noHBand="0" w:noVBand="1"/>
      </w:tblPr>
      <w:tblGrid>
        <w:gridCol w:w="2446"/>
        <w:gridCol w:w="2445"/>
        <w:gridCol w:w="2445"/>
        <w:gridCol w:w="2445"/>
      </w:tblGrid>
      <w:tr w:rsidR="007373F6" w:rsidRPr="008D34F4" w14:paraId="6773FADB" w14:textId="77777777" w:rsidTr="008D34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tcBorders>
              <w:top w:val="single" w:sz="4" w:space="0" w:color="auto"/>
              <w:bottom w:val="single" w:sz="4" w:space="0" w:color="auto"/>
            </w:tcBorders>
            <w:vAlign w:val="center"/>
          </w:tcPr>
          <w:p w14:paraId="6E0383EA" w14:textId="1A089B6B" w:rsidR="007373F6" w:rsidRPr="008D34F4" w:rsidRDefault="00000000" w:rsidP="008D34F4">
            <w:pPr>
              <w:widowControl w:val="0"/>
              <w:ind w:firstLine="241"/>
              <w:jc w:val="center"/>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lastRenderedPageBreak/>
              <w:t>Model 15</w:t>
            </w:r>
          </w:p>
        </w:tc>
        <w:tc>
          <w:tcPr>
            <w:tcW w:w="2445" w:type="dxa"/>
            <w:tcBorders>
              <w:top w:val="single" w:sz="4" w:space="0" w:color="auto"/>
              <w:bottom w:val="single" w:sz="4" w:space="0" w:color="auto"/>
            </w:tcBorders>
            <w:vAlign w:val="center"/>
          </w:tcPr>
          <w:p w14:paraId="17E89B07" w14:textId="77777777" w:rsidR="007373F6" w:rsidRPr="008D34F4" w:rsidRDefault="00000000" w:rsidP="008D34F4">
            <w:pPr>
              <w:jc w:val="center"/>
              <w:cnfStyle w:val="100000000000" w:firstRow="1" w:lastRow="0" w:firstColumn="0" w:lastColumn="0" w:oddVBand="0" w:evenVBand="0" w:oddHBand="0" w:evenHBand="0" w:firstRowFirstColumn="0" w:firstRowLastColumn="0" w:lastRowFirstColumn="0" w:lastRowLastColumn="0"/>
              <w:rPr>
                <w:rFonts w:asciiTheme="majorBidi" w:eastAsia="Cambria Math" w:hAnsiTheme="majorBidi" w:cstheme="majorBidi"/>
                <w:sz w:val="24"/>
                <w:szCs w:val="24"/>
              </w:rPr>
            </w:pPr>
            <m:oMathPara>
              <m:oMath>
                <m:sSub>
                  <m:sSubPr>
                    <m:ctrlPr>
                      <w:rPr>
                        <w:rFonts w:ascii="Cambria Math" w:eastAsia="Cambria Math" w:hAnsi="Cambria Math" w:cstheme="majorBidi"/>
                        <w:sz w:val="24"/>
                        <w:szCs w:val="24"/>
                      </w:rPr>
                    </m:ctrlPr>
                  </m:sSubPr>
                  <m:e>
                    <m:r>
                      <m:rPr>
                        <m:sty m:val="bi"/>
                      </m:rPr>
                      <w:rPr>
                        <w:rFonts w:ascii="Cambria Math" w:eastAsia="Cambria Math" w:hAnsi="Cambria Math" w:cstheme="majorBidi"/>
                        <w:sz w:val="24"/>
                        <w:szCs w:val="24"/>
                      </w:rPr>
                      <m:t>WACC</m:t>
                    </m:r>
                  </m:e>
                  <m:sub>
                    <m:r>
                      <m:rPr>
                        <m:sty m:val="bi"/>
                      </m:rPr>
                      <w:rPr>
                        <w:rFonts w:ascii="Cambria Math" w:eastAsia="Cambria Math" w:hAnsi="Cambria Math" w:cstheme="majorBidi"/>
                        <w:sz w:val="24"/>
                        <w:szCs w:val="24"/>
                      </w:rPr>
                      <m:t>i,t</m:t>
                    </m:r>
                  </m:sub>
                </m:sSub>
              </m:oMath>
            </m:oMathPara>
          </w:p>
        </w:tc>
        <w:tc>
          <w:tcPr>
            <w:tcW w:w="2445" w:type="dxa"/>
            <w:tcBorders>
              <w:top w:val="single" w:sz="4" w:space="0" w:color="auto"/>
              <w:bottom w:val="single" w:sz="4" w:space="0" w:color="auto"/>
            </w:tcBorders>
            <w:vAlign w:val="center"/>
          </w:tcPr>
          <w:p w14:paraId="51900820" w14:textId="77777777" w:rsidR="007373F6" w:rsidRPr="008D34F4" w:rsidRDefault="00000000" w:rsidP="008D34F4">
            <w:pPr>
              <w:widowControl w:val="0"/>
              <w:ind w:firstLine="241"/>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Model 16</w:t>
            </w:r>
          </w:p>
        </w:tc>
        <w:tc>
          <w:tcPr>
            <w:tcW w:w="2445" w:type="dxa"/>
            <w:tcBorders>
              <w:top w:val="single" w:sz="4" w:space="0" w:color="auto"/>
              <w:bottom w:val="single" w:sz="4" w:space="0" w:color="auto"/>
            </w:tcBorders>
            <w:vAlign w:val="center"/>
          </w:tcPr>
          <w:p w14:paraId="1D949063" w14:textId="77777777" w:rsidR="007373F6" w:rsidRPr="008D34F4" w:rsidRDefault="00000000" w:rsidP="008D34F4">
            <w:pPr>
              <w:jc w:val="center"/>
              <w:cnfStyle w:val="100000000000" w:firstRow="1" w:lastRow="0" w:firstColumn="0" w:lastColumn="0" w:oddVBand="0" w:evenVBand="0" w:oddHBand="0" w:evenHBand="0" w:firstRowFirstColumn="0" w:firstRowLastColumn="0" w:lastRowFirstColumn="0" w:lastRowLastColumn="0"/>
              <w:rPr>
                <w:rFonts w:asciiTheme="majorBidi" w:eastAsia="Cambria Math" w:hAnsiTheme="majorBidi" w:cstheme="majorBidi"/>
                <w:sz w:val="24"/>
                <w:szCs w:val="24"/>
              </w:rPr>
            </w:pPr>
            <m:oMathPara>
              <m:oMath>
                <m:sSub>
                  <m:sSubPr>
                    <m:ctrlPr>
                      <w:rPr>
                        <w:rFonts w:ascii="Cambria Math" w:eastAsia="Cambria Math" w:hAnsi="Cambria Math" w:cstheme="majorBidi"/>
                        <w:sz w:val="24"/>
                        <w:szCs w:val="24"/>
                      </w:rPr>
                    </m:ctrlPr>
                  </m:sSubPr>
                  <m:e>
                    <m:r>
                      <m:rPr>
                        <m:sty m:val="bi"/>
                      </m:rPr>
                      <w:rPr>
                        <w:rFonts w:ascii="Cambria Math" w:eastAsia="Cambria Math" w:hAnsi="Cambria Math" w:cstheme="majorBidi"/>
                        <w:sz w:val="24"/>
                        <w:szCs w:val="24"/>
                      </w:rPr>
                      <m:t>WACC</m:t>
                    </m:r>
                  </m:e>
                  <m:sub>
                    <m:r>
                      <m:rPr>
                        <m:sty m:val="bi"/>
                      </m:rPr>
                      <w:rPr>
                        <w:rFonts w:ascii="Cambria Math" w:eastAsia="Cambria Math" w:hAnsi="Cambria Math" w:cstheme="majorBidi"/>
                        <w:sz w:val="24"/>
                        <w:szCs w:val="24"/>
                      </w:rPr>
                      <m:t>i,t</m:t>
                    </m:r>
                  </m:sub>
                </m:sSub>
              </m:oMath>
            </m:oMathPara>
          </w:p>
        </w:tc>
      </w:tr>
      <w:tr w:rsidR="007373F6" w:rsidRPr="008D34F4" w14:paraId="5541CEE4" w14:textId="77777777" w:rsidTr="008D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tcBorders>
              <w:top w:val="single" w:sz="4" w:space="0" w:color="auto"/>
              <w:bottom w:val="none" w:sz="0" w:space="0" w:color="auto"/>
            </w:tcBorders>
            <w:vAlign w:val="center"/>
          </w:tcPr>
          <w:p w14:paraId="676B9C0B" w14:textId="77777777" w:rsidR="007373F6" w:rsidRPr="008D34F4" w:rsidRDefault="00000000" w:rsidP="008D34F4">
            <w:pPr>
              <w:widowControl w:val="0"/>
              <w:jc w:val="center"/>
              <w:rPr>
                <w:rFonts w:asciiTheme="majorBidi" w:eastAsia="Times New Roman" w:hAnsiTheme="majorBidi" w:cstheme="majorBidi"/>
                <w:sz w:val="24"/>
                <w:szCs w:val="24"/>
              </w:rPr>
            </w:pPr>
            <w:sdt>
              <w:sdtPr>
                <w:rPr>
                  <w:rFonts w:asciiTheme="majorBidi" w:hAnsiTheme="majorBidi" w:cstheme="majorBidi"/>
                </w:rPr>
                <w:tag w:val="goog_rdk_291"/>
                <w:id w:val="-1771108518"/>
              </w:sdtPr>
              <w:sdtContent>
                <w:r w:rsidRPr="008D34F4">
                  <w:rPr>
                    <w:rFonts w:asciiTheme="majorBidi" w:eastAsia="Gungsuh" w:hAnsiTheme="majorBidi" w:cstheme="majorBidi"/>
                    <w:sz w:val="24"/>
                    <w:szCs w:val="24"/>
                  </w:rPr>
                  <w:t>（</w:t>
                </w:r>
                <w:r w:rsidRPr="008D34F4">
                  <w:rPr>
                    <w:rFonts w:asciiTheme="majorBidi" w:eastAsia="Gungsuh" w:hAnsiTheme="majorBidi" w:cstheme="majorBidi"/>
                    <w:sz w:val="24"/>
                    <w:szCs w:val="24"/>
                  </w:rPr>
                  <w:t>Constant</w:t>
                </w:r>
                <w:r w:rsidRPr="008D34F4">
                  <w:rPr>
                    <w:rFonts w:asciiTheme="majorBidi" w:eastAsia="Gungsuh" w:hAnsiTheme="majorBidi" w:cstheme="majorBidi"/>
                    <w:sz w:val="24"/>
                    <w:szCs w:val="24"/>
                  </w:rPr>
                  <w:t>）</w:t>
                </w:r>
              </w:sdtContent>
            </w:sdt>
          </w:p>
        </w:tc>
        <w:tc>
          <w:tcPr>
            <w:tcW w:w="2445" w:type="dxa"/>
            <w:tcBorders>
              <w:top w:val="single" w:sz="4" w:space="0" w:color="auto"/>
              <w:bottom w:val="none" w:sz="0" w:space="0" w:color="auto"/>
            </w:tcBorders>
            <w:vAlign w:val="center"/>
          </w:tcPr>
          <w:p w14:paraId="264E2ED6" w14:textId="77777777" w:rsidR="007373F6" w:rsidRPr="008D34F4"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sdt>
              <w:sdtPr>
                <w:rPr>
                  <w:rFonts w:asciiTheme="majorBidi" w:hAnsiTheme="majorBidi" w:cstheme="majorBidi"/>
                </w:rPr>
                <w:tag w:val="goog_rdk_292"/>
                <w:id w:val="-352416792"/>
              </w:sdtPr>
              <w:sdtContent>
                <w:r w:rsidRPr="008D34F4">
                  <w:rPr>
                    <w:rFonts w:asciiTheme="majorBidi" w:eastAsia="Gungsuh" w:hAnsiTheme="majorBidi" w:cstheme="majorBidi"/>
                    <w:sz w:val="24"/>
                    <w:szCs w:val="24"/>
                  </w:rPr>
                  <w:t xml:space="preserve">　</w:t>
                </w:r>
              </w:sdtContent>
            </w:sdt>
          </w:p>
        </w:tc>
        <w:tc>
          <w:tcPr>
            <w:tcW w:w="2445" w:type="dxa"/>
            <w:vMerge w:val="restart"/>
            <w:tcBorders>
              <w:top w:val="single" w:sz="4" w:space="0" w:color="auto"/>
              <w:bottom w:val="none" w:sz="0" w:space="0" w:color="auto"/>
            </w:tcBorders>
            <w:vAlign w:val="center"/>
          </w:tcPr>
          <w:p w14:paraId="20677D3E" w14:textId="77777777" w:rsidR="007373F6" w:rsidRPr="008D34F4" w:rsidRDefault="00000000" w:rsidP="008D34F4">
            <w:pPr>
              <w:widowControl w:val="0"/>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sdt>
              <w:sdtPr>
                <w:rPr>
                  <w:rFonts w:asciiTheme="majorBidi" w:hAnsiTheme="majorBidi" w:cstheme="majorBidi"/>
                </w:rPr>
                <w:tag w:val="goog_rdk_293"/>
                <w:id w:val="2069240178"/>
              </w:sdtPr>
              <w:sdtContent>
                <w:r w:rsidRPr="008D34F4">
                  <w:rPr>
                    <w:rFonts w:asciiTheme="majorBidi" w:eastAsia="Gungsuh" w:hAnsiTheme="majorBidi" w:cstheme="majorBidi"/>
                    <w:sz w:val="24"/>
                    <w:szCs w:val="24"/>
                  </w:rPr>
                  <w:t>（</w:t>
                </w:r>
                <w:r w:rsidRPr="008D34F4">
                  <w:rPr>
                    <w:rFonts w:asciiTheme="majorBidi" w:eastAsia="Gungsuh" w:hAnsiTheme="majorBidi" w:cstheme="majorBidi"/>
                    <w:sz w:val="24"/>
                    <w:szCs w:val="24"/>
                  </w:rPr>
                  <w:t>Constant</w:t>
                </w:r>
                <w:r w:rsidRPr="008D34F4">
                  <w:rPr>
                    <w:rFonts w:asciiTheme="majorBidi" w:eastAsia="Gungsuh" w:hAnsiTheme="majorBidi" w:cstheme="majorBidi"/>
                    <w:sz w:val="24"/>
                    <w:szCs w:val="24"/>
                  </w:rPr>
                  <w:t>）</w:t>
                </w:r>
              </w:sdtContent>
            </w:sdt>
          </w:p>
        </w:tc>
        <w:tc>
          <w:tcPr>
            <w:tcW w:w="2445" w:type="dxa"/>
            <w:tcBorders>
              <w:top w:val="single" w:sz="4" w:space="0" w:color="auto"/>
              <w:bottom w:val="none" w:sz="0" w:space="0" w:color="auto"/>
            </w:tcBorders>
            <w:vAlign w:val="center"/>
          </w:tcPr>
          <w:p w14:paraId="3D3C8186" w14:textId="77777777" w:rsidR="007373F6" w:rsidRPr="008D34F4"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sdt>
              <w:sdtPr>
                <w:rPr>
                  <w:rFonts w:asciiTheme="majorBidi" w:hAnsiTheme="majorBidi" w:cstheme="majorBidi"/>
                </w:rPr>
                <w:tag w:val="goog_rdk_294"/>
                <w:id w:val="1365678091"/>
              </w:sdtPr>
              <w:sdtContent>
                <w:r w:rsidRPr="008D34F4">
                  <w:rPr>
                    <w:rFonts w:asciiTheme="majorBidi" w:eastAsia="Gungsuh" w:hAnsiTheme="majorBidi" w:cstheme="majorBidi"/>
                    <w:sz w:val="24"/>
                    <w:szCs w:val="24"/>
                  </w:rPr>
                  <w:t xml:space="preserve">　</w:t>
                </w:r>
              </w:sdtContent>
            </w:sdt>
          </w:p>
        </w:tc>
      </w:tr>
      <w:tr w:rsidR="007373F6" w:rsidRPr="008D34F4" w14:paraId="701ACDEC" w14:textId="77777777" w:rsidTr="008D34F4">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58AAD92B" w14:textId="77777777" w:rsidR="007373F6" w:rsidRPr="008D34F4" w:rsidRDefault="007373F6">
            <w:pPr>
              <w:widowControl w:val="0"/>
              <w:spacing w:line="276" w:lineRule="auto"/>
              <w:jc w:val="both"/>
              <w:rPr>
                <w:rFonts w:asciiTheme="majorBidi" w:eastAsia="Times New Roman" w:hAnsiTheme="majorBidi" w:cstheme="majorBidi"/>
                <w:sz w:val="24"/>
                <w:szCs w:val="24"/>
              </w:rPr>
            </w:pPr>
          </w:p>
        </w:tc>
        <w:tc>
          <w:tcPr>
            <w:tcW w:w="2445" w:type="dxa"/>
            <w:vAlign w:val="center"/>
          </w:tcPr>
          <w:p w14:paraId="2D5A2662" w14:textId="77777777" w:rsidR="007373F6" w:rsidRPr="008D34F4"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(10.324)</w:t>
            </w:r>
          </w:p>
        </w:tc>
        <w:tc>
          <w:tcPr>
            <w:tcW w:w="2445" w:type="dxa"/>
            <w:vMerge/>
            <w:vAlign w:val="center"/>
          </w:tcPr>
          <w:p w14:paraId="767F3652" w14:textId="77777777" w:rsidR="007373F6" w:rsidRPr="008D34F4" w:rsidRDefault="007373F6">
            <w:pPr>
              <w:widowControl w:val="0"/>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p>
        </w:tc>
        <w:tc>
          <w:tcPr>
            <w:tcW w:w="2445" w:type="dxa"/>
            <w:vAlign w:val="center"/>
          </w:tcPr>
          <w:p w14:paraId="0953D4E3" w14:textId="77777777" w:rsidR="007373F6" w:rsidRPr="008D34F4"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(10.313)</w:t>
            </w:r>
          </w:p>
        </w:tc>
      </w:tr>
      <w:tr w:rsidR="007373F6" w:rsidRPr="008D34F4" w14:paraId="1D664912" w14:textId="77777777" w:rsidTr="008D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tcBorders>
              <w:top w:val="none" w:sz="0" w:space="0" w:color="auto"/>
              <w:bottom w:val="none" w:sz="0" w:space="0" w:color="auto"/>
            </w:tcBorders>
            <w:vAlign w:val="center"/>
          </w:tcPr>
          <w:p w14:paraId="4F5ABF2F" w14:textId="77777777" w:rsidR="007373F6" w:rsidRPr="008D34F4" w:rsidRDefault="00000000">
            <w:pPr>
              <w:jc w:val="both"/>
              <w:rPr>
                <w:rFonts w:asciiTheme="majorBidi" w:eastAsia="Cambria Math" w:hAnsiTheme="majorBidi" w:cstheme="majorBidi"/>
                <w:sz w:val="24"/>
                <w:szCs w:val="24"/>
              </w:rPr>
            </w:pPr>
            <m:oMathPara>
              <m:oMath>
                <m:sSub>
                  <m:sSubPr>
                    <m:ctrlPr>
                      <w:rPr>
                        <w:rFonts w:ascii="Cambria Math" w:eastAsia="Cambria Math" w:hAnsi="Cambria Math" w:cstheme="majorBidi"/>
                        <w:sz w:val="24"/>
                        <w:szCs w:val="24"/>
                      </w:rPr>
                    </m:ctrlPr>
                  </m:sSubPr>
                  <m:e>
                    <m:r>
                      <m:rPr>
                        <m:sty m:val="bi"/>
                      </m:rPr>
                      <w:rPr>
                        <w:rFonts w:ascii="Cambria Math" w:eastAsia="Cambria Math" w:hAnsi="Cambria Math" w:cstheme="majorBidi"/>
                        <w:sz w:val="24"/>
                        <w:szCs w:val="24"/>
                      </w:rPr>
                      <m:t>OEsticky</m:t>
                    </m:r>
                  </m:e>
                  <m:sub>
                    <m:r>
                      <m:rPr>
                        <m:sty m:val="bi"/>
                      </m:rPr>
                      <w:rPr>
                        <w:rFonts w:ascii="Cambria Math" w:eastAsia="Cambria Math" w:hAnsi="Cambria Math" w:cstheme="majorBidi"/>
                        <w:sz w:val="24"/>
                        <w:szCs w:val="24"/>
                      </w:rPr>
                      <m:t>i,t</m:t>
                    </m:r>
                  </m:sub>
                </m:sSub>
              </m:oMath>
            </m:oMathPara>
          </w:p>
        </w:tc>
        <w:tc>
          <w:tcPr>
            <w:tcW w:w="2445" w:type="dxa"/>
            <w:tcBorders>
              <w:top w:val="none" w:sz="0" w:space="0" w:color="auto"/>
              <w:bottom w:val="none" w:sz="0" w:space="0" w:color="auto"/>
            </w:tcBorders>
            <w:vAlign w:val="center"/>
          </w:tcPr>
          <w:p w14:paraId="67655001" w14:textId="77777777" w:rsidR="007373F6" w:rsidRPr="008D34F4"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0.024</w:t>
            </w:r>
          </w:p>
        </w:tc>
        <w:tc>
          <w:tcPr>
            <w:tcW w:w="2445" w:type="dxa"/>
            <w:vMerge w:val="restart"/>
            <w:tcBorders>
              <w:top w:val="none" w:sz="0" w:space="0" w:color="auto"/>
              <w:bottom w:val="none" w:sz="0" w:space="0" w:color="auto"/>
            </w:tcBorders>
            <w:vAlign w:val="center"/>
          </w:tcPr>
          <w:p w14:paraId="34BB1FB7" w14:textId="77777777" w:rsidR="007373F6" w:rsidRPr="008D34F4" w:rsidRDefault="00000000">
            <w:pPr>
              <w:jc w:val="both"/>
              <w:cnfStyle w:val="000000100000" w:firstRow="0" w:lastRow="0" w:firstColumn="0" w:lastColumn="0" w:oddVBand="0" w:evenVBand="0" w:oddHBand="1" w:evenHBand="0" w:firstRowFirstColumn="0" w:firstRowLastColumn="0" w:lastRowFirstColumn="0" w:lastRowLastColumn="0"/>
              <w:rPr>
                <w:rFonts w:asciiTheme="majorBidi" w:eastAsia="Cambria Math" w:hAnsiTheme="majorBidi" w:cstheme="majorBidi"/>
                <w:sz w:val="24"/>
                <w:szCs w:val="24"/>
              </w:rPr>
            </w:pPr>
            <m:oMathPara>
              <m:oMath>
                <m:sSub>
                  <m:sSubPr>
                    <m:ctrlPr>
                      <w:rPr>
                        <w:rFonts w:ascii="Cambria Math" w:eastAsia="Cambria Math" w:hAnsi="Cambria Math" w:cstheme="majorBidi"/>
                        <w:sz w:val="24"/>
                        <w:szCs w:val="24"/>
                      </w:rPr>
                    </m:ctrlPr>
                  </m:sSubPr>
                  <m:e>
                    <m:r>
                      <w:rPr>
                        <w:rFonts w:ascii="Cambria Math" w:eastAsia="Cambria Math" w:hAnsi="Cambria Math" w:cstheme="majorBidi"/>
                        <w:sz w:val="24"/>
                        <w:szCs w:val="24"/>
                      </w:rPr>
                      <m:t>SGAsticky</m:t>
                    </m:r>
                  </m:e>
                  <m:sub>
                    <m:r>
                      <w:rPr>
                        <w:rFonts w:ascii="Cambria Math" w:eastAsia="Cambria Math" w:hAnsi="Cambria Math" w:cstheme="majorBidi"/>
                        <w:sz w:val="24"/>
                        <w:szCs w:val="24"/>
                      </w:rPr>
                      <m:t>i,t</m:t>
                    </m:r>
                  </m:sub>
                </m:sSub>
              </m:oMath>
            </m:oMathPara>
          </w:p>
        </w:tc>
        <w:tc>
          <w:tcPr>
            <w:tcW w:w="2445" w:type="dxa"/>
            <w:tcBorders>
              <w:top w:val="none" w:sz="0" w:space="0" w:color="auto"/>
              <w:bottom w:val="none" w:sz="0" w:space="0" w:color="auto"/>
            </w:tcBorders>
            <w:vAlign w:val="center"/>
          </w:tcPr>
          <w:p w14:paraId="09BC71CC" w14:textId="77777777" w:rsidR="007373F6" w:rsidRPr="008D34F4"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0.022</w:t>
            </w:r>
          </w:p>
        </w:tc>
      </w:tr>
      <w:tr w:rsidR="007373F6" w:rsidRPr="008D34F4" w14:paraId="63823489" w14:textId="77777777" w:rsidTr="008D34F4">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780E0696" w14:textId="77777777" w:rsidR="007373F6" w:rsidRPr="008D34F4" w:rsidRDefault="007373F6">
            <w:pPr>
              <w:widowControl w:val="0"/>
              <w:spacing w:line="276" w:lineRule="auto"/>
              <w:jc w:val="both"/>
              <w:rPr>
                <w:rFonts w:asciiTheme="majorBidi" w:eastAsia="Times New Roman" w:hAnsiTheme="majorBidi" w:cstheme="majorBidi"/>
                <w:sz w:val="24"/>
                <w:szCs w:val="24"/>
              </w:rPr>
            </w:pPr>
          </w:p>
        </w:tc>
        <w:tc>
          <w:tcPr>
            <w:tcW w:w="2445" w:type="dxa"/>
            <w:vAlign w:val="center"/>
          </w:tcPr>
          <w:p w14:paraId="4D1F9A88" w14:textId="77777777" w:rsidR="007373F6" w:rsidRPr="008D34F4"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(1.412)</w:t>
            </w:r>
          </w:p>
        </w:tc>
        <w:tc>
          <w:tcPr>
            <w:tcW w:w="2445" w:type="dxa"/>
            <w:vMerge/>
            <w:vAlign w:val="center"/>
          </w:tcPr>
          <w:p w14:paraId="50783EED" w14:textId="77777777" w:rsidR="007373F6" w:rsidRPr="008D34F4" w:rsidRDefault="007373F6">
            <w:pPr>
              <w:widowControl w:val="0"/>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p>
        </w:tc>
        <w:tc>
          <w:tcPr>
            <w:tcW w:w="2445" w:type="dxa"/>
            <w:vAlign w:val="center"/>
          </w:tcPr>
          <w:p w14:paraId="3012FD0A" w14:textId="77777777" w:rsidR="007373F6" w:rsidRPr="008D34F4"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(1.333)</w:t>
            </w:r>
          </w:p>
        </w:tc>
      </w:tr>
      <w:tr w:rsidR="007373F6" w:rsidRPr="008D34F4" w14:paraId="72BB7E2A" w14:textId="77777777" w:rsidTr="008D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tcBorders>
              <w:top w:val="none" w:sz="0" w:space="0" w:color="auto"/>
              <w:bottom w:val="none" w:sz="0" w:space="0" w:color="auto"/>
            </w:tcBorders>
            <w:vAlign w:val="center"/>
          </w:tcPr>
          <w:p w14:paraId="152645B0" w14:textId="77777777" w:rsidR="007373F6" w:rsidRPr="008D34F4" w:rsidRDefault="00000000">
            <w:pPr>
              <w:jc w:val="both"/>
              <w:rPr>
                <w:rFonts w:asciiTheme="majorBidi" w:eastAsia="Cambria Math" w:hAnsiTheme="majorBidi" w:cstheme="majorBidi"/>
                <w:sz w:val="24"/>
                <w:szCs w:val="24"/>
              </w:rPr>
            </w:pPr>
            <m:oMathPara>
              <m:oMath>
                <m:sSub>
                  <m:sSubPr>
                    <m:ctrlPr>
                      <w:rPr>
                        <w:rFonts w:ascii="Cambria Math" w:eastAsia="Cambria Math" w:hAnsi="Cambria Math" w:cstheme="majorBidi"/>
                        <w:sz w:val="24"/>
                        <w:szCs w:val="24"/>
                      </w:rPr>
                    </m:ctrlPr>
                  </m:sSubPr>
                  <m:e>
                    <m:r>
                      <m:rPr>
                        <m:sty m:val="bi"/>
                      </m:rPr>
                      <w:rPr>
                        <w:rFonts w:ascii="Cambria Math" w:eastAsia="Cambria Math" w:hAnsi="Cambria Math" w:cstheme="majorBidi"/>
                        <w:sz w:val="24"/>
                        <w:szCs w:val="24"/>
                      </w:rPr>
                      <m:t>DE</m:t>
                    </m:r>
                  </m:e>
                  <m:sub>
                    <m:r>
                      <m:rPr>
                        <m:sty m:val="bi"/>
                      </m:rPr>
                      <w:rPr>
                        <w:rFonts w:ascii="Cambria Math" w:eastAsia="Cambria Math" w:hAnsi="Cambria Math" w:cstheme="majorBidi"/>
                        <w:sz w:val="24"/>
                        <w:szCs w:val="24"/>
                      </w:rPr>
                      <m:t>i,t</m:t>
                    </m:r>
                  </m:sub>
                </m:sSub>
              </m:oMath>
            </m:oMathPara>
          </w:p>
        </w:tc>
        <w:tc>
          <w:tcPr>
            <w:tcW w:w="2445" w:type="dxa"/>
            <w:tcBorders>
              <w:top w:val="none" w:sz="0" w:space="0" w:color="auto"/>
              <w:bottom w:val="none" w:sz="0" w:space="0" w:color="auto"/>
            </w:tcBorders>
            <w:vAlign w:val="center"/>
          </w:tcPr>
          <w:p w14:paraId="784C2336" w14:textId="77777777" w:rsidR="007373F6" w:rsidRPr="008D34F4"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-0.285***</w:t>
            </w:r>
          </w:p>
        </w:tc>
        <w:tc>
          <w:tcPr>
            <w:tcW w:w="2445" w:type="dxa"/>
            <w:vMerge w:val="restart"/>
            <w:tcBorders>
              <w:top w:val="none" w:sz="0" w:space="0" w:color="auto"/>
              <w:bottom w:val="none" w:sz="0" w:space="0" w:color="auto"/>
            </w:tcBorders>
            <w:vAlign w:val="center"/>
          </w:tcPr>
          <w:p w14:paraId="1BEFCA40" w14:textId="77777777" w:rsidR="007373F6" w:rsidRPr="008D34F4" w:rsidRDefault="00000000">
            <w:pPr>
              <w:jc w:val="both"/>
              <w:cnfStyle w:val="000000100000" w:firstRow="0" w:lastRow="0" w:firstColumn="0" w:lastColumn="0" w:oddVBand="0" w:evenVBand="0" w:oddHBand="1" w:evenHBand="0" w:firstRowFirstColumn="0" w:firstRowLastColumn="0" w:lastRowFirstColumn="0" w:lastRowLastColumn="0"/>
              <w:rPr>
                <w:rFonts w:asciiTheme="majorBidi" w:eastAsia="Cambria Math" w:hAnsiTheme="majorBidi" w:cstheme="majorBidi"/>
                <w:sz w:val="24"/>
                <w:szCs w:val="24"/>
              </w:rPr>
            </w:pPr>
            <m:oMathPara>
              <m:oMath>
                <m:sSub>
                  <m:sSubPr>
                    <m:ctrlPr>
                      <w:rPr>
                        <w:rFonts w:ascii="Cambria Math" w:eastAsia="Cambria Math" w:hAnsi="Cambria Math" w:cstheme="majorBidi"/>
                        <w:sz w:val="24"/>
                        <w:szCs w:val="24"/>
                      </w:rPr>
                    </m:ctrlPr>
                  </m:sSubPr>
                  <m:e>
                    <m:r>
                      <w:rPr>
                        <w:rFonts w:ascii="Cambria Math" w:eastAsia="Cambria Math" w:hAnsi="Cambria Math" w:cstheme="majorBidi"/>
                        <w:sz w:val="24"/>
                        <w:szCs w:val="24"/>
                      </w:rPr>
                      <m:t>DE</m:t>
                    </m:r>
                  </m:e>
                  <m:sub>
                    <m:r>
                      <w:rPr>
                        <w:rFonts w:ascii="Cambria Math" w:eastAsia="Cambria Math" w:hAnsi="Cambria Math" w:cstheme="majorBidi"/>
                        <w:sz w:val="24"/>
                        <w:szCs w:val="24"/>
                      </w:rPr>
                      <m:t>i,t</m:t>
                    </m:r>
                  </m:sub>
                </m:sSub>
              </m:oMath>
            </m:oMathPara>
          </w:p>
        </w:tc>
        <w:tc>
          <w:tcPr>
            <w:tcW w:w="2445" w:type="dxa"/>
            <w:tcBorders>
              <w:top w:val="none" w:sz="0" w:space="0" w:color="auto"/>
              <w:bottom w:val="none" w:sz="0" w:space="0" w:color="auto"/>
            </w:tcBorders>
            <w:vAlign w:val="center"/>
          </w:tcPr>
          <w:p w14:paraId="592EC800" w14:textId="77777777" w:rsidR="007373F6" w:rsidRPr="008D34F4"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-0.283***</w:t>
            </w:r>
          </w:p>
        </w:tc>
      </w:tr>
      <w:tr w:rsidR="007373F6" w:rsidRPr="008D34F4" w14:paraId="47288ED6" w14:textId="77777777" w:rsidTr="008D34F4">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1DE40D1E" w14:textId="77777777" w:rsidR="007373F6" w:rsidRPr="008D34F4" w:rsidRDefault="007373F6">
            <w:pPr>
              <w:widowControl w:val="0"/>
              <w:spacing w:line="276" w:lineRule="auto"/>
              <w:jc w:val="both"/>
              <w:rPr>
                <w:rFonts w:asciiTheme="majorBidi" w:eastAsia="Times New Roman" w:hAnsiTheme="majorBidi" w:cstheme="majorBidi"/>
                <w:sz w:val="24"/>
                <w:szCs w:val="24"/>
              </w:rPr>
            </w:pPr>
          </w:p>
        </w:tc>
        <w:tc>
          <w:tcPr>
            <w:tcW w:w="2445" w:type="dxa"/>
            <w:vAlign w:val="center"/>
          </w:tcPr>
          <w:p w14:paraId="50D7F51D" w14:textId="77777777" w:rsidR="007373F6" w:rsidRPr="008D34F4"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(-15.458)</w:t>
            </w:r>
          </w:p>
        </w:tc>
        <w:tc>
          <w:tcPr>
            <w:tcW w:w="2445" w:type="dxa"/>
            <w:vMerge/>
            <w:vAlign w:val="center"/>
          </w:tcPr>
          <w:p w14:paraId="07E342BD" w14:textId="77777777" w:rsidR="007373F6" w:rsidRPr="008D34F4" w:rsidRDefault="007373F6">
            <w:pPr>
              <w:widowControl w:val="0"/>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p>
        </w:tc>
        <w:tc>
          <w:tcPr>
            <w:tcW w:w="2445" w:type="dxa"/>
            <w:vAlign w:val="center"/>
          </w:tcPr>
          <w:p w14:paraId="34840109" w14:textId="77777777" w:rsidR="007373F6" w:rsidRPr="008D34F4"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(-15.402)</w:t>
            </w:r>
          </w:p>
        </w:tc>
      </w:tr>
      <w:tr w:rsidR="007373F6" w:rsidRPr="008D34F4" w14:paraId="47FB7D84" w14:textId="77777777" w:rsidTr="008D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tcBorders>
              <w:top w:val="none" w:sz="0" w:space="0" w:color="auto"/>
              <w:bottom w:val="none" w:sz="0" w:space="0" w:color="auto"/>
            </w:tcBorders>
            <w:vAlign w:val="center"/>
          </w:tcPr>
          <w:p w14:paraId="79FC760A" w14:textId="77777777" w:rsidR="007373F6" w:rsidRPr="008D34F4" w:rsidRDefault="00000000">
            <w:pPr>
              <w:jc w:val="both"/>
              <w:rPr>
                <w:rFonts w:asciiTheme="majorBidi" w:eastAsia="Cambria Math" w:hAnsiTheme="majorBidi" w:cstheme="majorBidi"/>
                <w:sz w:val="24"/>
                <w:szCs w:val="24"/>
              </w:rPr>
            </w:pPr>
            <m:oMathPara>
              <m:oMath>
                <m:sSub>
                  <m:sSubPr>
                    <m:ctrlPr>
                      <w:rPr>
                        <w:rFonts w:ascii="Cambria Math" w:eastAsia="Cambria Math" w:hAnsi="Cambria Math" w:cstheme="majorBidi"/>
                        <w:sz w:val="24"/>
                        <w:szCs w:val="24"/>
                      </w:rPr>
                    </m:ctrlPr>
                  </m:sSubPr>
                  <m:e>
                    <m:r>
                      <m:rPr>
                        <m:sty m:val="bi"/>
                      </m:rPr>
                      <w:rPr>
                        <w:rFonts w:ascii="Cambria Math" w:eastAsia="Cambria Math" w:hAnsi="Cambria Math" w:cstheme="majorBidi"/>
                        <w:sz w:val="24"/>
                        <w:szCs w:val="24"/>
                      </w:rPr>
                      <m:t>Lev</m:t>
                    </m:r>
                  </m:e>
                  <m:sub>
                    <m:r>
                      <m:rPr>
                        <m:sty m:val="bi"/>
                      </m:rPr>
                      <w:rPr>
                        <w:rFonts w:ascii="Cambria Math" w:eastAsia="Cambria Math" w:hAnsi="Cambria Math" w:cstheme="majorBidi"/>
                        <w:sz w:val="24"/>
                        <w:szCs w:val="24"/>
                      </w:rPr>
                      <m:t>i,t</m:t>
                    </m:r>
                  </m:sub>
                </m:sSub>
              </m:oMath>
            </m:oMathPara>
          </w:p>
        </w:tc>
        <w:tc>
          <w:tcPr>
            <w:tcW w:w="2445" w:type="dxa"/>
            <w:tcBorders>
              <w:top w:val="none" w:sz="0" w:space="0" w:color="auto"/>
              <w:bottom w:val="none" w:sz="0" w:space="0" w:color="auto"/>
            </w:tcBorders>
            <w:vAlign w:val="center"/>
          </w:tcPr>
          <w:p w14:paraId="654956B7" w14:textId="77777777" w:rsidR="007373F6" w:rsidRPr="008D34F4"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-0.058***</w:t>
            </w:r>
          </w:p>
        </w:tc>
        <w:tc>
          <w:tcPr>
            <w:tcW w:w="2445" w:type="dxa"/>
            <w:vMerge w:val="restart"/>
            <w:tcBorders>
              <w:top w:val="none" w:sz="0" w:space="0" w:color="auto"/>
              <w:bottom w:val="none" w:sz="0" w:space="0" w:color="auto"/>
            </w:tcBorders>
            <w:vAlign w:val="center"/>
          </w:tcPr>
          <w:p w14:paraId="499098B3" w14:textId="77777777" w:rsidR="007373F6" w:rsidRPr="008D34F4" w:rsidRDefault="00000000">
            <w:pPr>
              <w:jc w:val="both"/>
              <w:cnfStyle w:val="000000100000" w:firstRow="0" w:lastRow="0" w:firstColumn="0" w:lastColumn="0" w:oddVBand="0" w:evenVBand="0" w:oddHBand="1" w:evenHBand="0" w:firstRowFirstColumn="0" w:firstRowLastColumn="0" w:lastRowFirstColumn="0" w:lastRowLastColumn="0"/>
              <w:rPr>
                <w:rFonts w:asciiTheme="majorBidi" w:eastAsia="Cambria Math" w:hAnsiTheme="majorBidi" w:cstheme="majorBidi"/>
                <w:sz w:val="24"/>
                <w:szCs w:val="24"/>
              </w:rPr>
            </w:pPr>
            <m:oMathPara>
              <m:oMath>
                <m:sSub>
                  <m:sSubPr>
                    <m:ctrlPr>
                      <w:rPr>
                        <w:rFonts w:ascii="Cambria Math" w:eastAsia="Cambria Math" w:hAnsi="Cambria Math" w:cstheme="majorBidi"/>
                        <w:sz w:val="24"/>
                        <w:szCs w:val="24"/>
                      </w:rPr>
                    </m:ctrlPr>
                  </m:sSubPr>
                  <m:e>
                    <m:r>
                      <w:rPr>
                        <w:rFonts w:ascii="Cambria Math" w:eastAsia="Cambria Math" w:hAnsi="Cambria Math" w:cstheme="majorBidi"/>
                        <w:sz w:val="24"/>
                        <w:szCs w:val="24"/>
                      </w:rPr>
                      <m:t>Lev</m:t>
                    </m:r>
                  </m:e>
                  <m:sub>
                    <m:r>
                      <w:rPr>
                        <w:rFonts w:ascii="Cambria Math" w:eastAsia="Cambria Math" w:hAnsi="Cambria Math" w:cstheme="majorBidi"/>
                        <w:sz w:val="24"/>
                        <w:szCs w:val="24"/>
                      </w:rPr>
                      <m:t>i,t</m:t>
                    </m:r>
                  </m:sub>
                </m:sSub>
              </m:oMath>
            </m:oMathPara>
          </w:p>
        </w:tc>
        <w:tc>
          <w:tcPr>
            <w:tcW w:w="2445" w:type="dxa"/>
            <w:tcBorders>
              <w:top w:val="none" w:sz="0" w:space="0" w:color="auto"/>
              <w:bottom w:val="none" w:sz="0" w:space="0" w:color="auto"/>
            </w:tcBorders>
            <w:vAlign w:val="center"/>
          </w:tcPr>
          <w:p w14:paraId="4B3EEC49" w14:textId="77777777" w:rsidR="007373F6" w:rsidRPr="008D34F4"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-0.058***</w:t>
            </w:r>
          </w:p>
        </w:tc>
      </w:tr>
      <w:tr w:rsidR="007373F6" w:rsidRPr="008D34F4" w14:paraId="07481138" w14:textId="77777777" w:rsidTr="008D34F4">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160B185B" w14:textId="77777777" w:rsidR="007373F6" w:rsidRPr="008D34F4" w:rsidRDefault="007373F6">
            <w:pPr>
              <w:widowControl w:val="0"/>
              <w:spacing w:line="276" w:lineRule="auto"/>
              <w:jc w:val="both"/>
              <w:rPr>
                <w:rFonts w:asciiTheme="majorBidi" w:eastAsia="Times New Roman" w:hAnsiTheme="majorBidi" w:cstheme="majorBidi"/>
                <w:sz w:val="24"/>
                <w:szCs w:val="24"/>
              </w:rPr>
            </w:pPr>
          </w:p>
        </w:tc>
        <w:tc>
          <w:tcPr>
            <w:tcW w:w="2445" w:type="dxa"/>
            <w:vAlign w:val="center"/>
          </w:tcPr>
          <w:p w14:paraId="42B22803" w14:textId="77777777" w:rsidR="007373F6" w:rsidRPr="008D34F4"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(-3.313)</w:t>
            </w:r>
          </w:p>
        </w:tc>
        <w:tc>
          <w:tcPr>
            <w:tcW w:w="2445" w:type="dxa"/>
            <w:vMerge/>
            <w:vAlign w:val="center"/>
          </w:tcPr>
          <w:p w14:paraId="47B5C378" w14:textId="77777777" w:rsidR="007373F6" w:rsidRPr="008D34F4" w:rsidRDefault="007373F6">
            <w:pPr>
              <w:widowControl w:val="0"/>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p>
        </w:tc>
        <w:tc>
          <w:tcPr>
            <w:tcW w:w="2445" w:type="dxa"/>
            <w:vAlign w:val="center"/>
          </w:tcPr>
          <w:p w14:paraId="2318BE45" w14:textId="77777777" w:rsidR="007373F6" w:rsidRPr="008D34F4"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(-3.331)</w:t>
            </w:r>
          </w:p>
        </w:tc>
      </w:tr>
      <w:tr w:rsidR="007373F6" w:rsidRPr="008D34F4" w14:paraId="78D887A0" w14:textId="77777777" w:rsidTr="008D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tcBorders>
              <w:top w:val="none" w:sz="0" w:space="0" w:color="auto"/>
              <w:bottom w:val="none" w:sz="0" w:space="0" w:color="auto"/>
            </w:tcBorders>
            <w:vAlign w:val="center"/>
          </w:tcPr>
          <w:p w14:paraId="72C95500" w14:textId="77777777" w:rsidR="007373F6" w:rsidRPr="008D34F4" w:rsidRDefault="00000000">
            <w:pPr>
              <w:jc w:val="both"/>
              <w:rPr>
                <w:rFonts w:asciiTheme="majorBidi" w:eastAsia="Cambria Math" w:hAnsiTheme="majorBidi" w:cstheme="majorBidi"/>
                <w:sz w:val="24"/>
                <w:szCs w:val="24"/>
              </w:rPr>
            </w:pPr>
            <m:oMathPara>
              <m:oMath>
                <m:sSub>
                  <m:sSubPr>
                    <m:ctrlPr>
                      <w:rPr>
                        <w:rFonts w:ascii="Cambria Math" w:eastAsia="Cambria Math" w:hAnsi="Cambria Math" w:cstheme="majorBidi"/>
                        <w:sz w:val="24"/>
                        <w:szCs w:val="24"/>
                      </w:rPr>
                    </m:ctrlPr>
                  </m:sSubPr>
                  <m:e>
                    <m:r>
                      <m:rPr>
                        <m:sty m:val="bi"/>
                      </m:rPr>
                      <w:rPr>
                        <w:rFonts w:ascii="Cambria Math" w:eastAsia="Cambria Math" w:hAnsi="Cambria Math" w:cstheme="majorBidi"/>
                        <w:sz w:val="24"/>
                        <w:szCs w:val="24"/>
                      </w:rPr>
                      <m:t>ROE</m:t>
                    </m:r>
                  </m:e>
                  <m:sub>
                    <m:r>
                      <m:rPr>
                        <m:sty m:val="bi"/>
                      </m:rPr>
                      <w:rPr>
                        <w:rFonts w:ascii="Cambria Math" w:eastAsia="Cambria Math" w:hAnsi="Cambria Math" w:cstheme="majorBidi"/>
                        <w:sz w:val="24"/>
                        <w:szCs w:val="24"/>
                      </w:rPr>
                      <m:t>i,t</m:t>
                    </m:r>
                  </m:sub>
                </m:sSub>
              </m:oMath>
            </m:oMathPara>
          </w:p>
        </w:tc>
        <w:tc>
          <w:tcPr>
            <w:tcW w:w="2445" w:type="dxa"/>
            <w:tcBorders>
              <w:top w:val="none" w:sz="0" w:space="0" w:color="auto"/>
              <w:bottom w:val="none" w:sz="0" w:space="0" w:color="auto"/>
            </w:tcBorders>
            <w:vAlign w:val="center"/>
          </w:tcPr>
          <w:p w14:paraId="30CEE207" w14:textId="77777777" w:rsidR="007373F6" w:rsidRPr="008D34F4"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0.030</w:t>
            </w:r>
          </w:p>
        </w:tc>
        <w:tc>
          <w:tcPr>
            <w:tcW w:w="2445" w:type="dxa"/>
            <w:vMerge w:val="restart"/>
            <w:tcBorders>
              <w:top w:val="none" w:sz="0" w:space="0" w:color="auto"/>
              <w:bottom w:val="none" w:sz="0" w:space="0" w:color="auto"/>
            </w:tcBorders>
            <w:vAlign w:val="center"/>
          </w:tcPr>
          <w:p w14:paraId="0BC1F84B" w14:textId="77777777" w:rsidR="007373F6" w:rsidRPr="008D34F4" w:rsidRDefault="00000000">
            <w:pPr>
              <w:jc w:val="both"/>
              <w:cnfStyle w:val="000000100000" w:firstRow="0" w:lastRow="0" w:firstColumn="0" w:lastColumn="0" w:oddVBand="0" w:evenVBand="0" w:oddHBand="1" w:evenHBand="0" w:firstRowFirstColumn="0" w:firstRowLastColumn="0" w:lastRowFirstColumn="0" w:lastRowLastColumn="0"/>
              <w:rPr>
                <w:rFonts w:asciiTheme="majorBidi" w:eastAsia="Cambria Math" w:hAnsiTheme="majorBidi" w:cstheme="majorBidi"/>
                <w:sz w:val="24"/>
                <w:szCs w:val="24"/>
              </w:rPr>
            </w:pPr>
            <m:oMathPara>
              <m:oMath>
                <m:sSub>
                  <m:sSubPr>
                    <m:ctrlPr>
                      <w:rPr>
                        <w:rFonts w:ascii="Cambria Math" w:eastAsia="Cambria Math" w:hAnsi="Cambria Math" w:cstheme="majorBidi"/>
                        <w:sz w:val="24"/>
                        <w:szCs w:val="24"/>
                      </w:rPr>
                    </m:ctrlPr>
                  </m:sSubPr>
                  <m:e>
                    <m:r>
                      <w:rPr>
                        <w:rFonts w:ascii="Cambria Math" w:eastAsia="Cambria Math" w:hAnsi="Cambria Math" w:cstheme="majorBidi"/>
                        <w:sz w:val="24"/>
                        <w:szCs w:val="24"/>
                      </w:rPr>
                      <m:t>ROE</m:t>
                    </m:r>
                  </m:e>
                  <m:sub>
                    <m:r>
                      <w:rPr>
                        <w:rFonts w:ascii="Cambria Math" w:eastAsia="Cambria Math" w:hAnsi="Cambria Math" w:cstheme="majorBidi"/>
                        <w:sz w:val="24"/>
                        <w:szCs w:val="24"/>
                      </w:rPr>
                      <m:t>i,t</m:t>
                    </m:r>
                  </m:sub>
                </m:sSub>
              </m:oMath>
            </m:oMathPara>
          </w:p>
        </w:tc>
        <w:tc>
          <w:tcPr>
            <w:tcW w:w="2445" w:type="dxa"/>
            <w:tcBorders>
              <w:top w:val="none" w:sz="0" w:space="0" w:color="auto"/>
              <w:bottom w:val="none" w:sz="0" w:space="0" w:color="auto"/>
            </w:tcBorders>
            <w:vAlign w:val="center"/>
          </w:tcPr>
          <w:p w14:paraId="2B5F0F3E" w14:textId="77777777" w:rsidR="007373F6" w:rsidRPr="008D34F4"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0.028</w:t>
            </w:r>
          </w:p>
        </w:tc>
      </w:tr>
      <w:tr w:rsidR="007373F6" w:rsidRPr="008D34F4" w14:paraId="675B7FBF" w14:textId="77777777" w:rsidTr="008D34F4">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25D7F79E" w14:textId="77777777" w:rsidR="007373F6" w:rsidRPr="008D34F4" w:rsidRDefault="007373F6">
            <w:pPr>
              <w:widowControl w:val="0"/>
              <w:spacing w:line="276" w:lineRule="auto"/>
              <w:jc w:val="both"/>
              <w:rPr>
                <w:rFonts w:asciiTheme="majorBidi" w:eastAsia="Times New Roman" w:hAnsiTheme="majorBidi" w:cstheme="majorBidi"/>
                <w:sz w:val="24"/>
                <w:szCs w:val="24"/>
              </w:rPr>
            </w:pPr>
          </w:p>
        </w:tc>
        <w:tc>
          <w:tcPr>
            <w:tcW w:w="2445" w:type="dxa"/>
            <w:vAlign w:val="center"/>
          </w:tcPr>
          <w:p w14:paraId="694330DA" w14:textId="77777777" w:rsidR="007373F6" w:rsidRPr="008D34F4"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(1.608)</w:t>
            </w:r>
          </w:p>
        </w:tc>
        <w:tc>
          <w:tcPr>
            <w:tcW w:w="2445" w:type="dxa"/>
            <w:vMerge/>
            <w:vAlign w:val="center"/>
          </w:tcPr>
          <w:p w14:paraId="51B60DD6" w14:textId="77777777" w:rsidR="007373F6" w:rsidRPr="008D34F4" w:rsidRDefault="007373F6">
            <w:pPr>
              <w:widowControl w:val="0"/>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p>
        </w:tc>
        <w:tc>
          <w:tcPr>
            <w:tcW w:w="2445" w:type="dxa"/>
            <w:vAlign w:val="center"/>
          </w:tcPr>
          <w:p w14:paraId="503DA122" w14:textId="77777777" w:rsidR="007373F6" w:rsidRPr="008D34F4"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(1.538)</w:t>
            </w:r>
          </w:p>
        </w:tc>
      </w:tr>
      <w:tr w:rsidR="007373F6" w:rsidRPr="008D34F4" w14:paraId="373FA3B1" w14:textId="77777777" w:rsidTr="008D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tcBorders>
              <w:top w:val="none" w:sz="0" w:space="0" w:color="auto"/>
              <w:bottom w:val="none" w:sz="0" w:space="0" w:color="auto"/>
            </w:tcBorders>
            <w:vAlign w:val="center"/>
          </w:tcPr>
          <w:p w14:paraId="3C40BFE4" w14:textId="77777777" w:rsidR="007373F6" w:rsidRPr="008D34F4" w:rsidRDefault="00000000">
            <w:pPr>
              <w:jc w:val="both"/>
              <w:rPr>
                <w:rFonts w:asciiTheme="majorBidi" w:eastAsia="Cambria Math" w:hAnsiTheme="majorBidi" w:cstheme="majorBidi"/>
                <w:sz w:val="24"/>
                <w:szCs w:val="24"/>
              </w:rPr>
            </w:pPr>
            <m:oMathPara>
              <m:oMath>
                <m:sSub>
                  <m:sSubPr>
                    <m:ctrlPr>
                      <w:rPr>
                        <w:rFonts w:ascii="Cambria Math" w:eastAsia="Cambria Math" w:hAnsi="Cambria Math" w:cstheme="majorBidi"/>
                        <w:sz w:val="24"/>
                        <w:szCs w:val="24"/>
                      </w:rPr>
                    </m:ctrlPr>
                  </m:sSubPr>
                  <m:e>
                    <m:r>
                      <m:rPr>
                        <m:sty m:val="bi"/>
                      </m:rPr>
                      <w:rPr>
                        <w:rFonts w:ascii="Cambria Math" w:eastAsia="Cambria Math" w:hAnsi="Cambria Math" w:cstheme="majorBidi"/>
                        <w:sz w:val="24"/>
                        <w:szCs w:val="24"/>
                      </w:rPr>
                      <m:t>βMarket</m:t>
                    </m:r>
                  </m:e>
                  <m:sub>
                    <m:r>
                      <m:rPr>
                        <m:sty m:val="bi"/>
                      </m:rPr>
                      <w:rPr>
                        <w:rFonts w:ascii="Cambria Math" w:eastAsia="Cambria Math" w:hAnsi="Cambria Math" w:cstheme="majorBidi"/>
                        <w:sz w:val="24"/>
                        <w:szCs w:val="24"/>
                      </w:rPr>
                      <m:t>i,t</m:t>
                    </m:r>
                  </m:sub>
                </m:sSub>
              </m:oMath>
            </m:oMathPara>
          </w:p>
        </w:tc>
        <w:tc>
          <w:tcPr>
            <w:tcW w:w="2445" w:type="dxa"/>
            <w:tcBorders>
              <w:top w:val="none" w:sz="0" w:space="0" w:color="auto"/>
              <w:bottom w:val="none" w:sz="0" w:space="0" w:color="auto"/>
            </w:tcBorders>
            <w:vAlign w:val="center"/>
          </w:tcPr>
          <w:p w14:paraId="1B0E7130" w14:textId="77777777" w:rsidR="007373F6" w:rsidRPr="008D34F4"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0.036</w:t>
            </w:r>
          </w:p>
        </w:tc>
        <w:tc>
          <w:tcPr>
            <w:tcW w:w="2445" w:type="dxa"/>
            <w:vMerge w:val="restart"/>
            <w:tcBorders>
              <w:top w:val="none" w:sz="0" w:space="0" w:color="auto"/>
              <w:bottom w:val="none" w:sz="0" w:space="0" w:color="auto"/>
            </w:tcBorders>
            <w:vAlign w:val="center"/>
          </w:tcPr>
          <w:p w14:paraId="1418EC5F" w14:textId="77777777" w:rsidR="007373F6" w:rsidRPr="008D34F4" w:rsidRDefault="00000000">
            <w:pPr>
              <w:jc w:val="both"/>
              <w:cnfStyle w:val="000000100000" w:firstRow="0" w:lastRow="0" w:firstColumn="0" w:lastColumn="0" w:oddVBand="0" w:evenVBand="0" w:oddHBand="1" w:evenHBand="0" w:firstRowFirstColumn="0" w:firstRowLastColumn="0" w:lastRowFirstColumn="0" w:lastRowLastColumn="0"/>
              <w:rPr>
                <w:rFonts w:asciiTheme="majorBidi" w:eastAsia="Cambria Math" w:hAnsiTheme="majorBidi" w:cstheme="majorBidi"/>
                <w:sz w:val="24"/>
                <w:szCs w:val="24"/>
              </w:rPr>
            </w:pPr>
            <m:oMathPara>
              <m:oMath>
                <m:sSub>
                  <m:sSubPr>
                    <m:ctrlPr>
                      <w:rPr>
                        <w:rFonts w:ascii="Cambria Math" w:eastAsia="Cambria Math" w:hAnsi="Cambria Math" w:cstheme="majorBidi"/>
                        <w:sz w:val="24"/>
                        <w:szCs w:val="24"/>
                      </w:rPr>
                    </m:ctrlPr>
                  </m:sSubPr>
                  <m:e>
                    <m:r>
                      <w:rPr>
                        <w:rFonts w:ascii="Cambria Math" w:eastAsia="Cambria Math" w:hAnsi="Cambria Math" w:cstheme="majorBidi"/>
                        <w:sz w:val="24"/>
                        <w:szCs w:val="24"/>
                      </w:rPr>
                      <m:t>βMarket</m:t>
                    </m:r>
                  </m:e>
                  <m:sub>
                    <m:r>
                      <w:rPr>
                        <w:rFonts w:ascii="Cambria Math" w:eastAsia="Cambria Math" w:hAnsi="Cambria Math" w:cstheme="majorBidi"/>
                        <w:sz w:val="24"/>
                        <w:szCs w:val="24"/>
                      </w:rPr>
                      <m:t>i,t</m:t>
                    </m:r>
                  </m:sub>
                </m:sSub>
              </m:oMath>
            </m:oMathPara>
          </w:p>
        </w:tc>
        <w:tc>
          <w:tcPr>
            <w:tcW w:w="2445" w:type="dxa"/>
            <w:tcBorders>
              <w:top w:val="none" w:sz="0" w:space="0" w:color="auto"/>
              <w:bottom w:val="none" w:sz="0" w:space="0" w:color="auto"/>
            </w:tcBorders>
            <w:vAlign w:val="center"/>
          </w:tcPr>
          <w:p w14:paraId="1B30B941" w14:textId="77777777" w:rsidR="007373F6" w:rsidRPr="008D34F4"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0.036</w:t>
            </w:r>
          </w:p>
        </w:tc>
      </w:tr>
      <w:tr w:rsidR="007373F6" w:rsidRPr="008D34F4" w14:paraId="6F1B3F4A" w14:textId="77777777" w:rsidTr="008D34F4">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1F77962B" w14:textId="77777777" w:rsidR="007373F6" w:rsidRPr="008D34F4" w:rsidRDefault="007373F6">
            <w:pPr>
              <w:widowControl w:val="0"/>
              <w:spacing w:line="276" w:lineRule="auto"/>
              <w:jc w:val="both"/>
              <w:rPr>
                <w:rFonts w:asciiTheme="majorBidi" w:eastAsia="Times New Roman" w:hAnsiTheme="majorBidi" w:cstheme="majorBidi"/>
                <w:sz w:val="24"/>
                <w:szCs w:val="24"/>
              </w:rPr>
            </w:pPr>
          </w:p>
        </w:tc>
        <w:tc>
          <w:tcPr>
            <w:tcW w:w="2445" w:type="dxa"/>
            <w:vAlign w:val="center"/>
          </w:tcPr>
          <w:p w14:paraId="49C8B36E" w14:textId="77777777" w:rsidR="007373F6" w:rsidRPr="008D34F4"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(1.428)</w:t>
            </w:r>
          </w:p>
        </w:tc>
        <w:tc>
          <w:tcPr>
            <w:tcW w:w="2445" w:type="dxa"/>
            <w:vMerge/>
            <w:vAlign w:val="center"/>
          </w:tcPr>
          <w:p w14:paraId="33986B90" w14:textId="77777777" w:rsidR="007373F6" w:rsidRPr="008D34F4" w:rsidRDefault="007373F6">
            <w:pPr>
              <w:widowControl w:val="0"/>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p>
        </w:tc>
        <w:tc>
          <w:tcPr>
            <w:tcW w:w="2445" w:type="dxa"/>
            <w:vAlign w:val="center"/>
          </w:tcPr>
          <w:p w14:paraId="79633CAA" w14:textId="77777777" w:rsidR="007373F6" w:rsidRPr="008D34F4"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(1.434)</w:t>
            </w:r>
          </w:p>
        </w:tc>
      </w:tr>
      <w:tr w:rsidR="007373F6" w:rsidRPr="008D34F4" w14:paraId="29311E04" w14:textId="77777777" w:rsidTr="008D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tcBorders>
              <w:top w:val="none" w:sz="0" w:space="0" w:color="auto"/>
              <w:bottom w:val="none" w:sz="0" w:space="0" w:color="auto"/>
            </w:tcBorders>
            <w:vAlign w:val="center"/>
          </w:tcPr>
          <w:p w14:paraId="0357EBB4" w14:textId="77777777" w:rsidR="007373F6" w:rsidRPr="008D34F4" w:rsidRDefault="00000000">
            <w:pPr>
              <w:jc w:val="both"/>
              <w:rPr>
                <w:rFonts w:asciiTheme="majorBidi" w:eastAsia="Cambria Math" w:hAnsiTheme="majorBidi" w:cstheme="majorBidi"/>
                <w:sz w:val="24"/>
                <w:szCs w:val="24"/>
              </w:rPr>
            </w:pPr>
            <m:oMathPara>
              <m:oMath>
                <m:sSub>
                  <m:sSubPr>
                    <m:ctrlPr>
                      <w:rPr>
                        <w:rFonts w:ascii="Cambria Math" w:eastAsia="Cambria Math" w:hAnsi="Cambria Math" w:cstheme="majorBidi"/>
                        <w:sz w:val="24"/>
                        <w:szCs w:val="24"/>
                      </w:rPr>
                    </m:ctrlPr>
                  </m:sSubPr>
                  <m:e>
                    <m:r>
                      <m:rPr>
                        <m:sty m:val="bi"/>
                      </m:rPr>
                      <w:rPr>
                        <w:rFonts w:ascii="Cambria Math" w:eastAsia="Cambria Math" w:hAnsi="Cambria Math" w:cstheme="majorBidi"/>
                        <w:sz w:val="24"/>
                        <w:szCs w:val="24"/>
                      </w:rPr>
                      <m:t>βTOPIX</m:t>
                    </m:r>
                  </m:e>
                  <m:sub>
                    <m:r>
                      <m:rPr>
                        <m:sty m:val="bi"/>
                      </m:rPr>
                      <w:rPr>
                        <w:rFonts w:ascii="Cambria Math" w:eastAsia="Cambria Math" w:hAnsi="Cambria Math" w:cstheme="majorBidi"/>
                        <w:sz w:val="24"/>
                        <w:szCs w:val="24"/>
                      </w:rPr>
                      <m:t>i,t</m:t>
                    </m:r>
                  </m:sub>
                </m:sSub>
              </m:oMath>
            </m:oMathPara>
          </w:p>
        </w:tc>
        <w:tc>
          <w:tcPr>
            <w:tcW w:w="2445" w:type="dxa"/>
            <w:tcBorders>
              <w:top w:val="none" w:sz="0" w:space="0" w:color="auto"/>
              <w:bottom w:val="none" w:sz="0" w:space="0" w:color="auto"/>
            </w:tcBorders>
            <w:vAlign w:val="center"/>
          </w:tcPr>
          <w:p w14:paraId="5EFA0891" w14:textId="77777777" w:rsidR="007373F6" w:rsidRPr="008D34F4"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0.162***</w:t>
            </w:r>
          </w:p>
        </w:tc>
        <w:tc>
          <w:tcPr>
            <w:tcW w:w="2445" w:type="dxa"/>
            <w:vMerge w:val="restart"/>
            <w:tcBorders>
              <w:top w:val="none" w:sz="0" w:space="0" w:color="auto"/>
              <w:bottom w:val="none" w:sz="0" w:space="0" w:color="auto"/>
            </w:tcBorders>
            <w:vAlign w:val="center"/>
          </w:tcPr>
          <w:p w14:paraId="39279B03" w14:textId="77777777" w:rsidR="007373F6" w:rsidRPr="008D34F4" w:rsidRDefault="00000000">
            <w:pPr>
              <w:jc w:val="both"/>
              <w:cnfStyle w:val="000000100000" w:firstRow="0" w:lastRow="0" w:firstColumn="0" w:lastColumn="0" w:oddVBand="0" w:evenVBand="0" w:oddHBand="1" w:evenHBand="0" w:firstRowFirstColumn="0" w:firstRowLastColumn="0" w:lastRowFirstColumn="0" w:lastRowLastColumn="0"/>
              <w:rPr>
                <w:rFonts w:asciiTheme="majorBidi" w:eastAsia="Cambria Math" w:hAnsiTheme="majorBidi" w:cstheme="majorBidi"/>
                <w:sz w:val="24"/>
                <w:szCs w:val="24"/>
              </w:rPr>
            </w:pPr>
            <m:oMathPara>
              <m:oMath>
                <m:sSub>
                  <m:sSubPr>
                    <m:ctrlPr>
                      <w:rPr>
                        <w:rFonts w:ascii="Cambria Math" w:eastAsia="Cambria Math" w:hAnsi="Cambria Math" w:cstheme="majorBidi"/>
                        <w:sz w:val="24"/>
                        <w:szCs w:val="24"/>
                      </w:rPr>
                    </m:ctrlPr>
                  </m:sSubPr>
                  <m:e>
                    <m:r>
                      <w:rPr>
                        <w:rFonts w:ascii="Cambria Math" w:eastAsia="Cambria Math" w:hAnsi="Cambria Math" w:cstheme="majorBidi"/>
                        <w:sz w:val="24"/>
                        <w:szCs w:val="24"/>
                      </w:rPr>
                      <m:t>βTOPIX</m:t>
                    </m:r>
                  </m:e>
                  <m:sub>
                    <m:r>
                      <w:rPr>
                        <w:rFonts w:ascii="Cambria Math" w:eastAsia="Cambria Math" w:hAnsi="Cambria Math" w:cstheme="majorBidi"/>
                        <w:sz w:val="24"/>
                        <w:szCs w:val="24"/>
                      </w:rPr>
                      <m:t>i,t</m:t>
                    </m:r>
                  </m:sub>
                </m:sSub>
              </m:oMath>
            </m:oMathPara>
          </w:p>
        </w:tc>
        <w:tc>
          <w:tcPr>
            <w:tcW w:w="2445" w:type="dxa"/>
            <w:tcBorders>
              <w:top w:val="none" w:sz="0" w:space="0" w:color="auto"/>
              <w:bottom w:val="none" w:sz="0" w:space="0" w:color="auto"/>
            </w:tcBorders>
            <w:vAlign w:val="center"/>
          </w:tcPr>
          <w:p w14:paraId="3F7290FD" w14:textId="77777777" w:rsidR="007373F6" w:rsidRPr="008D34F4"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0.162***</w:t>
            </w:r>
          </w:p>
        </w:tc>
      </w:tr>
      <w:tr w:rsidR="007373F6" w:rsidRPr="008D34F4" w14:paraId="75860BEF" w14:textId="77777777" w:rsidTr="008D34F4">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5C594CB4" w14:textId="77777777" w:rsidR="007373F6" w:rsidRPr="008D34F4" w:rsidRDefault="007373F6">
            <w:pPr>
              <w:widowControl w:val="0"/>
              <w:spacing w:line="276" w:lineRule="auto"/>
              <w:jc w:val="both"/>
              <w:rPr>
                <w:rFonts w:asciiTheme="majorBidi" w:eastAsia="Times New Roman" w:hAnsiTheme="majorBidi" w:cstheme="majorBidi"/>
                <w:sz w:val="24"/>
                <w:szCs w:val="24"/>
              </w:rPr>
            </w:pPr>
          </w:p>
        </w:tc>
        <w:tc>
          <w:tcPr>
            <w:tcW w:w="2445" w:type="dxa"/>
            <w:vAlign w:val="center"/>
          </w:tcPr>
          <w:p w14:paraId="68E079A4" w14:textId="77777777" w:rsidR="007373F6" w:rsidRPr="008D34F4"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(6.389)</w:t>
            </w:r>
          </w:p>
        </w:tc>
        <w:tc>
          <w:tcPr>
            <w:tcW w:w="2445" w:type="dxa"/>
            <w:vMerge/>
            <w:vAlign w:val="center"/>
          </w:tcPr>
          <w:p w14:paraId="06A78A22" w14:textId="77777777" w:rsidR="007373F6" w:rsidRPr="008D34F4" w:rsidRDefault="007373F6">
            <w:pPr>
              <w:widowControl w:val="0"/>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p>
        </w:tc>
        <w:tc>
          <w:tcPr>
            <w:tcW w:w="2445" w:type="dxa"/>
            <w:vAlign w:val="center"/>
          </w:tcPr>
          <w:p w14:paraId="646AF000" w14:textId="77777777" w:rsidR="007373F6" w:rsidRPr="008D34F4"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(6.393)</w:t>
            </w:r>
          </w:p>
        </w:tc>
      </w:tr>
      <w:tr w:rsidR="007373F6" w:rsidRPr="008D34F4" w14:paraId="5296E6D5" w14:textId="77777777" w:rsidTr="008D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tcBorders>
              <w:top w:val="none" w:sz="0" w:space="0" w:color="auto"/>
              <w:bottom w:val="none" w:sz="0" w:space="0" w:color="auto"/>
            </w:tcBorders>
            <w:vAlign w:val="center"/>
          </w:tcPr>
          <w:p w14:paraId="3284CB28" w14:textId="77777777" w:rsidR="007373F6" w:rsidRPr="008D34F4" w:rsidRDefault="00000000">
            <w:pPr>
              <w:jc w:val="both"/>
              <w:rPr>
                <w:rFonts w:asciiTheme="majorBidi" w:eastAsia="Cambria Math" w:hAnsiTheme="majorBidi" w:cstheme="majorBidi"/>
                <w:sz w:val="24"/>
                <w:szCs w:val="24"/>
              </w:rPr>
            </w:pPr>
            <m:oMathPara>
              <m:oMath>
                <m:sSub>
                  <m:sSubPr>
                    <m:ctrlPr>
                      <w:rPr>
                        <w:rFonts w:ascii="Cambria Math" w:eastAsia="Cambria Math" w:hAnsi="Cambria Math" w:cstheme="majorBidi"/>
                        <w:sz w:val="24"/>
                        <w:szCs w:val="24"/>
                      </w:rPr>
                    </m:ctrlPr>
                  </m:sSubPr>
                  <m:e>
                    <m:r>
                      <m:rPr>
                        <m:sty m:val="bi"/>
                      </m:rPr>
                      <w:rPr>
                        <w:rFonts w:ascii="Cambria Math" w:eastAsia="Cambria Math" w:hAnsi="Cambria Math" w:cstheme="majorBidi"/>
                        <w:sz w:val="24"/>
                        <w:szCs w:val="24"/>
                      </w:rPr>
                      <m:t>Growth</m:t>
                    </m:r>
                  </m:e>
                  <m:sub>
                    <m:r>
                      <m:rPr>
                        <m:sty m:val="bi"/>
                      </m:rPr>
                      <w:rPr>
                        <w:rFonts w:ascii="Cambria Math" w:eastAsia="Cambria Math" w:hAnsi="Cambria Math" w:cstheme="majorBidi"/>
                        <w:sz w:val="24"/>
                        <w:szCs w:val="24"/>
                      </w:rPr>
                      <m:t>i,t</m:t>
                    </m:r>
                  </m:sub>
                </m:sSub>
              </m:oMath>
            </m:oMathPara>
          </w:p>
        </w:tc>
        <w:tc>
          <w:tcPr>
            <w:tcW w:w="2445" w:type="dxa"/>
            <w:tcBorders>
              <w:top w:val="none" w:sz="0" w:space="0" w:color="auto"/>
              <w:bottom w:val="none" w:sz="0" w:space="0" w:color="auto"/>
            </w:tcBorders>
            <w:vAlign w:val="center"/>
          </w:tcPr>
          <w:p w14:paraId="2B7296C6" w14:textId="77777777" w:rsidR="007373F6" w:rsidRPr="008D34F4"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0.030</w:t>
            </w:r>
          </w:p>
        </w:tc>
        <w:tc>
          <w:tcPr>
            <w:tcW w:w="2445" w:type="dxa"/>
            <w:vMerge w:val="restart"/>
            <w:tcBorders>
              <w:top w:val="none" w:sz="0" w:space="0" w:color="auto"/>
              <w:bottom w:val="none" w:sz="0" w:space="0" w:color="auto"/>
            </w:tcBorders>
            <w:vAlign w:val="center"/>
          </w:tcPr>
          <w:p w14:paraId="660EEA37" w14:textId="77777777" w:rsidR="007373F6" w:rsidRPr="008D34F4" w:rsidRDefault="00000000">
            <w:pPr>
              <w:jc w:val="both"/>
              <w:cnfStyle w:val="000000100000" w:firstRow="0" w:lastRow="0" w:firstColumn="0" w:lastColumn="0" w:oddVBand="0" w:evenVBand="0" w:oddHBand="1" w:evenHBand="0" w:firstRowFirstColumn="0" w:firstRowLastColumn="0" w:lastRowFirstColumn="0" w:lastRowLastColumn="0"/>
              <w:rPr>
                <w:rFonts w:asciiTheme="majorBidi" w:eastAsia="Cambria Math" w:hAnsiTheme="majorBidi" w:cstheme="majorBidi"/>
                <w:sz w:val="24"/>
                <w:szCs w:val="24"/>
              </w:rPr>
            </w:pPr>
            <m:oMathPara>
              <m:oMath>
                <m:sSub>
                  <m:sSubPr>
                    <m:ctrlPr>
                      <w:rPr>
                        <w:rFonts w:ascii="Cambria Math" w:eastAsia="Cambria Math" w:hAnsi="Cambria Math" w:cstheme="majorBidi"/>
                        <w:sz w:val="24"/>
                        <w:szCs w:val="24"/>
                      </w:rPr>
                    </m:ctrlPr>
                  </m:sSubPr>
                  <m:e>
                    <m:r>
                      <w:rPr>
                        <w:rFonts w:ascii="Cambria Math" w:eastAsia="Cambria Math" w:hAnsi="Cambria Math" w:cstheme="majorBidi"/>
                        <w:sz w:val="24"/>
                        <w:szCs w:val="24"/>
                      </w:rPr>
                      <m:t>Growth</m:t>
                    </m:r>
                  </m:e>
                  <m:sub>
                    <m:r>
                      <w:rPr>
                        <w:rFonts w:ascii="Cambria Math" w:eastAsia="Cambria Math" w:hAnsi="Cambria Math" w:cstheme="majorBidi"/>
                        <w:sz w:val="24"/>
                        <w:szCs w:val="24"/>
                      </w:rPr>
                      <m:t>i,t</m:t>
                    </m:r>
                  </m:sub>
                </m:sSub>
              </m:oMath>
            </m:oMathPara>
          </w:p>
        </w:tc>
        <w:tc>
          <w:tcPr>
            <w:tcW w:w="2445" w:type="dxa"/>
            <w:tcBorders>
              <w:top w:val="none" w:sz="0" w:space="0" w:color="auto"/>
              <w:bottom w:val="none" w:sz="0" w:space="0" w:color="auto"/>
            </w:tcBorders>
            <w:vAlign w:val="center"/>
          </w:tcPr>
          <w:p w14:paraId="653C3A56" w14:textId="77777777" w:rsidR="007373F6" w:rsidRPr="008D34F4"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0.029</w:t>
            </w:r>
          </w:p>
        </w:tc>
      </w:tr>
      <w:tr w:rsidR="007373F6" w:rsidRPr="008D34F4" w14:paraId="52666915" w14:textId="77777777" w:rsidTr="008D34F4">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0222614F" w14:textId="77777777" w:rsidR="007373F6" w:rsidRPr="008D34F4" w:rsidRDefault="007373F6">
            <w:pPr>
              <w:widowControl w:val="0"/>
              <w:spacing w:line="276" w:lineRule="auto"/>
              <w:jc w:val="both"/>
              <w:rPr>
                <w:rFonts w:asciiTheme="majorBidi" w:eastAsia="Times New Roman" w:hAnsiTheme="majorBidi" w:cstheme="majorBidi"/>
                <w:sz w:val="24"/>
                <w:szCs w:val="24"/>
              </w:rPr>
            </w:pPr>
          </w:p>
        </w:tc>
        <w:tc>
          <w:tcPr>
            <w:tcW w:w="2445" w:type="dxa"/>
            <w:vAlign w:val="center"/>
          </w:tcPr>
          <w:p w14:paraId="7BFBC4B3" w14:textId="77777777" w:rsidR="007373F6" w:rsidRPr="008D34F4"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(1.680)</w:t>
            </w:r>
          </w:p>
        </w:tc>
        <w:tc>
          <w:tcPr>
            <w:tcW w:w="2445" w:type="dxa"/>
            <w:vMerge/>
            <w:vAlign w:val="center"/>
          </w:tcPr>
          <w:p w14:paraId="04B5FF4B" w14:textId="77777777" w:rsidR="007373F6" w:rsidRPr="008D34F4" w:rsidRDefault="007373F6">
            <w:pPr>
              <w:widowControl w:val="0"/>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p>
        </w:tc>
        <w:tc>
          <w:tcPr>
            <w:tcW w:w="2445" w:type="dxa"/>
            <w:vAlign w:val="center"/>
          </w:tcPr>
          <w:p w14:paraId="550F98D1" w14:textId="77777777" w:rsidR="007373F6" w:rsidRPr="008D34F4"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(1.641)</w:t>
            </w:r>
          </w:p>
        </w:tc>
      </w:tr>
      <w:tr w:rsidR="007373F6" w:rsidRPr="008D34F4" w14:paraId="7F01AFAF" w14:textId="77777777" w:rsidTr="008D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tcBorders>
              <w:top w:val="none" w:sz="0" w:space="0" w:color="auto"/>
              <w:bottom w:val="none" w:sz="0" w:space="0" w:color="auto"/>
            </w:tcBorders>
            <w:vAlign w:val="center"/>
          </w:tcPr>
          <w:p w14:paraId="3DDA3EB1" w14:textId="77777777" w:rsidR="007373F6" w:rsidRPr="008D34F4" w:rsidRDefault="00000000">
            <w:pPr>
              <w:jc w:val="both"/>
              <w:rPr>
                <w:rFonts w:asciiTheme="majorBidi" w:eastAsia="Cambria Math" w:hAnsiTheme="majorBidi" w:cstheme="majorBidi"/>
                <w:sz w:val="24"/>
                <w:szCs w:val="24"/>
              </w:rPr>
            </w:pPr>
            <m:oMathPara>
              <m:oMath>
                <m:sSub>
                  <m:sSubPr>
                    <m:ctrlPr>
                      <w:rPr>
                        <w:rFonts w:ascii="Cambria Math" w:eastAsia="Cambria Math" w:hAnsi="Cambria Math" w:cstheme="majorBidi"/>
                        <w:sz w:val="24"/>
                        <w:szCs w:val="24"/>
                      </w:rPr>
                    </m:ctrlPr>
                  </m:sSubPr>
                  <m:e>
                    <m:r>
                      <m:rPr>
                        <m:sty m:val="bi"/>
                      </m:rPr>
                      <w:rPr>
                        <w:rFonts w:ascii="Cambria Math" w:eastAsia="Cambria Math" w:hAnsi="Cambria Math" w:cstheme="majorBidi"/>
                        <w:sz w:val="24"/>
                        <w:szCs w:val="24"/>
                      </w:rPr>
                      <m:t>logAssets</m:t>
                    </m:r>
                  </m:e>
                  <m:sub>
                    <m:r>
                      <m:rPr>
                        <m:sty m:val="bi"/>
                      </m:rPr>
                      <w:rPr>
                        <w:rFonts w:ascii="Cambria Math" w:eastAsia="Cambria Math" w:hAnsi="Cambria Math" w:cstheme="majorBidi"/>
                        <w:sz w:val="24"/>
                        <w:szCs w:val="24"/>
                      </w:rPr>
                      <m:t>i,t</m:t>
                    </m:r>
                  </m:sub>
                </m:sSub>
              </m:oMath>
            </m:oMathPara>
          </w:p>
        </w:tc>
        <w:tc>
          <w:tcPr>
            <w:tcW w:w="2445" w:type="dxa"/>
            <w:tcBorders>
              <w:top w:val="none" w:sz="0" w:space="0" w:color="auto"/>
              <w:bottom w:val="none" w:sz="0" w:space="0" w:color="auto"/>
            </w:tcBorders>
            <w:vAlign w:val="center"/>
          </w:tcPr>
          <w:p w14:paraId="78A3F400" w14:textId="77777777" w:rsidR="007373F6" w:rsidRPr="008D34F4"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-0.024</w:t>
            </w:r>
          </w:p>
        </w:tc>
        <w:tc>
          <w:tcPr>
            <w:tcW w:w="2445" w:type="dxa"/>
            <w:vMerge w:val="restart"/>
            <w:tcBorders>
              <w:top w:val="none" w:sz="0" w:space="0" w:color="auto"/>
              <w:bottom w:val="none" w:sz="0" w:space="0" w:color="auto"/>
            </w:tcBorders>
            <w:vAlign w:val="center"/>
          </w:tcPr>
          <w:p w14:paraId="44D48CD3" w14:textId="77777777" w:rsidR="007373F6" w:rsidRPr="008D34F4" w:rsidRDefault="00000000">
            <w:pPr>
              <w:jc w:val="both"/>
              <w:cnfStyle w:val="000000100000" w:firstRow="0" w:lastRow="0" w:firstColumn="0" w:lastColumn="0" w:oddVBand="0" w:evenVBand="0" w:oddHBand="1" w:evenHBand="0" w:firstRowFirstColumn="0" w:firstRowLastColumn="0" w:lastRowFirstColumn="0" w:lastRowLastColumn="0"/>
              <w:rPr>
                <w:rFonts w:asciiTheme="majorBidi" w:eastAsia="Cambria Math" w:hAnsiTheme="majorBidi" w:cstheme="majorBidi"/>
                <w:sz w:val="24"/>
                <w:szCs w:val="24"/>
              </w:rPr>
            </w:pPr>
            <m:oMathPara>
              <m:oMath>
                <m:sSub>
                  <m:sSubPr>
                    <m:ctrlPr>
                      <w:rPr>
                        <w:rFonts w:ascii="Cambria Math" w:eastAsia="Cambria Math" w:hAnsi="Cambria Math" w:cstheme="majorBidi"/>
                        <w:sz w:val="24"/>
                        <w:szCs w:val="24"/>
                      </w:rPr>
                    </m:ctrlPr>
                  </m:sSubPr>
                  <m:e>
                    <m:r>
                      <w:rPr>
                        <w:rFonts w:ascii="Cambria Math" w:eastAsia="Cambria Math" w:hAnsi="Cambria Math" w:cstheme="majorBidi"/>
                        <w:sz w:val="24"/>
                        <w:szCs w:val="24"/>
                      </w:rPr>
                      <m:t>logAssets</m:t>
                    </m:r>
                  </m:e>
                  <m:sub>
                    <m:r>
                      <w:rPr>
                        <w:rFonts w:ascii="Cambria Math" w:eastAsia="Cambria Math" w:hAnsi="Cambria Math" w:cstheme="majorBidi"/>
                        <w:sz w:val="24"/>
                        <w:szCs w:val="24"/>
                      </w:rPr>
                      <m:t>i,t</m:t>
                    </m:r>
                  </m:sub>
                </m:sSub>
              </m:oMath>
            </m:oMathPara>
          </w:p>
        </w:tc>
        <w:tc>
          <w:tcPr>
            <w:tcW w:w="2445" w:type="dxa"/>
            <w:tcBorders>
              <w:top w:val="none" w:sz="0" w:space="0" w:color="auto"/>
              <w:bottom w:val="none" w:sz="0" w:space="0" w:color="auto"/>
            </w:tcBorders>
            <w:vAlign w:val="center"/>
          </w:tcPr>
          <w:p w14:paraId="292B58FD" w14:textId="77777777" w:rsidR="007373F6" w:rsidRPr="008D34F4"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-0.024</w:t>
            </w:r>
          </w:p>
        </w:tc>
      </w:tr>
      <w:tr w:rsidR="007373F6" w:rsidRPr="008D34F4" w14:paraId="7D9A6BE8" w14:textId="77777777" w:rsidTr="008D34F4">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7EBDBB3D" w14:textId="77777777" w:rsidR="007373F6" w:rsidRPr="008D34F4" w:rsidRDefault="007373F6">
            <w:pPr>
              <w:widowControl w:val="0"/>
              <w:spacing w:line="276" w:lineRule="auto"/>
              <w:jc w:val="both"/>
              <w:rPr>
                <w:rFonts w:asciiTheme="majorBidi" w:eastAsia="Times New Roman" w:hAnsiTheme="majorBidi" w:cstheme="majorBidi"/>
                <w:sz w:val="24"/>
                <w:szCs w:val="24"/>
              </w:rPr>
            </w:pPr>
          </w:p>
        </w:tc>
        <w:tc>
          <w:tcPr>
            <w:tcW w:w="2445" w:type="dxa"/>
            <w:vAlign w:val="center"/>
          </w:tcPr>
          <w:p w14:paraId="4FC51E4D" w14:textId="77777777" w:rsidR="007373F6" w:rsidRPr="008D34F4"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(-1.277)</w:t>
            </w:r>
          </w:p>
        </w:tc>
        <w:tc>
          <w:tcPr>
            <w:tcW w:w="2445" w:type="dxa"/>
            <w:vMerge/>
            <w:vAlign w:val="center"/>
          </w:tcPr>
          <w:p w14:paraId="582855A6" w14:textId="77777777" w:rsidR="007373F6" w:rsidRPr="008D34F4" w:rsidRDefault="007373F6">
            <w:pPr>
              <w:widowControl w:val="0"/>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p>
        </w:tc>
        <w:tc>
          <w:tcPr>
            <w:tcW w:w="2445" w:type="dxa"/>
            <w:vAlign w:val="center"/>
          </w:tcPr>
          <w:p w14:paraId="1E6AADCE" w14:textId="77777777" w:rsidR="007373F6" w:rsidRPr="008D34F4"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(-1.285)</w:t>
            </w:r>
          </w:p>
        </w:tc>
      </w:tr>
      <w:tr w:rsidR="007373F6" w:rsidRPr="008D34F4" w14:paraId="164AC5BA" w14:textId="77777777" w:rsidTr="008D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6" w:type="dxa"/>
            <w:vMerge w:val="restart"/>
            <w:tcBorders>
              <w:top w:val="none" w:sz="0" w:space="0" w:color="auto"/>
              <w:bottom w:val="none" w:sz="0" w:space="0" w:color="auto"/>
            </w:tcBorders>
            <w:vAlign w:val="center"/>
          </w:tcPr>
          <w:p w14:paraId="282AACB4" w14:textId="77777777" w:rsidR="007373F6" w:rsidRPr="008D34F4" w:rsidRDefault="00000000">
            <w:pPr>
              <w:jc w:val="both"/>
              <w:rPr>
                <w:rFonts w:asciiTheme="majorBidi" w:eastAsia="Cambria Math" w:hAnsiTheme="majorBidi" w:cstheme="majorBidi"/>
                <w:sz w:val="24"/>
                <w:szCs w:val="24"/>
              </w:rPr>
            </w:pPr>
            <m:oMathPara>
              <m:oMath>
                <m:sSub>
                  <m:sSubPr>
                    <m:ctrlPr>
                      <w:rPr>
                        <w:rFonts w:ascii="Cambria Math" w:eastAsia="Cambria Math" w:hAnsi="Cambria Math" w:cstheme="majorBidi"/>
                        <w:sz w:val="24"/>
                        <w:szCs w:val="24"/>
                      </w:rPr>
                    </m:ctrlPr>
                  </m:sSubPr>
                  <m:e>
                    <m:r>
                      <m:rPr>
                        <m:sty m:val="bi"/>
                      </m:rPr>
                      <w:rPr>
                        <w:rFonts w:ascii="Cambria Math" w:eastAsia="Cambria Math" w:hAnsi="Cambria Math" w:cstheme="majorBidi"/>
                        <w:sz w:val="24"/>
                        <w:szCs w:val="24"/>
                      </w:rPr>
                      <m:t>BM</m:t>
                    </m:r>
                  </m:e>
                  <m:sub>
                    <m:r>
                      <m:rPr>
                        <m:sty m:val="bi"/>
                      </m:rPr>
                      <w:rPr>
                        <w:rFonts w:ascii="Cambria Math" w:eastAsia="Cambria Math" w:hAnsi="Cambria Math" w:cstheme="majorBidi"/>
                        <w:sz w:val="24"/>
                        <w:szCs w:val="24"/>
                      </w:rPr>
                      <m:t>i,t</m:t>
                    </m:r>
                  </m:sub>
                </m:sSub>
              </m:oMath>
            </m:oMathPara>
          </w:p>
        </w:tc>
        <w:tc>
          <w:tcPr>
            <w:tcW w:w="2445" w:type="dxa"/>
            <w:tcBorders>
              <w:top w:val="none" w:sz="0" w:space="0" w:color="auto"/>
              <w:bottom w:val="none" w:sz="0" w:space="0" w:color="auto"/>
            </w:tcBorders>
            <w:vAlign w:val="center"/>
          </w:tcPr>
          <w:p w14:paraId="08302DF7" w14:textId="77777777" w:rsidR="007373F6" w:rsidRPr="008D34F4"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0.026</w:t>
            </w:r>
          </w:p>
        </w:tc>
        <w:tc>
          <w:tcPr>
            <w:tcW w:w="2445" w:type="dxa"/>
            <w:vMerge w:val="restart"/>
            <w:tcBorders>
              <w:top w:val="none" w:sz="0" w:space="0" w:color="auto"/>
              <w:bottom w:val="none" w:sz="0" w:space="0" w:color="auto"/>
            </w:tcBorders>
            <w:vAlign w:val="center"/>
          </w:tcPr>
          <w:p w14:paraId="3B601587" w14:textId="77777777" w:rsidR="007373F6" w:rsidRPr="008D34F4" w:rsidRDefault="00000000">
            <w:pPr>
              <w:jc w:val="both"/>
              <w:cnfStyle w:val="000000100000" w:firstRow="0" w:lastRow="0" w:firstColumn="0" w:lastColumn="0" w:oddVBand="0" w:evenVBand="0" w:oddHBand="1" w:evenHBand="0" w:firstRowFirstColumn="0" w:firstRowLastColumn="0" w:lastRowFirstColumn="0" w:lastRowLastColumn="0"/>
              <w:rPr>
                <w:rFonts w:asciiTheme="majorBidi" w:eastAsia="Cambria Math" w:hAnsiTheme="majorBidi" w:cstheme="majorBidi"/>
                <w:sz w:val="24"/>
                <w:szCs w:val="24"/>
              </w:rPr>
            </w:pPr>
            <m:oMathPara>
              <m:oMath>
                <m:sSub>
                  <m:sSubPr>
                    <m:ctrlPr>
                      <w:rPr>
                        <w:rFonts w:ascii="Cambria Math" w:eastAsia="Cambria Math" w:hAnsi="Cambria Math" w:cstheme="majorBidi"/>
                        <w:sz w:val="24"/>
                        <w:szCs w:val="24"/>
                      </w:rPr>
                    </m:ctrlPr>
                  </m:sSubPr>
                  <m:e>
                    <m:r>
                      <w:rPr>
                        <w:rFonts w:ascii="Cambria Math" w:eastAsia="Cambria Math" w:hAnsi="Cambria Math" w:cstheme="majorBidi"/>
                        <w:sz w:val="24"/>
                        <w:szCs w:val="24"/>
                      </w:rPr>
                      <m:t>BM</m:t>
                    </m:r>
                  </m:e>
                  <m:sub>
                    <m:r>
                      <w:rPr>
                        <w:rFonts w:ascii="Cambria Math" w:eastAsia="Cambria Math" w:hAnsi="Cambria Math" w:cstheme="majorBidi"/>
                        <w:sz w:val="24"/>
                        <w:szCs w:val="24"/>
                      </w:rPr>
                      <m:t>i,t</m:t>
                    </m:r>
                  </m:sub>
                </m:sSub>
              </m:oMath>
            </m:oMathPara>
          </w:p>
        </w:tc>
        <w:tc>
          <w:tcPr>
            <w:tcW w:w="2445" w:type="dxa"/>
            <w:tcBorders>
              <w:top w:val="none" w:sz="0" w:space="0" w:color="auto"/>
              <w:bottom w:val="none" w:sz="0" w:space="0" w:color="auto"/>
            </w:tcBorders>
            <w:vAlign w:val="center"/>
          </w:tcPr>
          <w:p w14:paraId="7026A9BE" w14:textId="77777777" w:rsidR="007373F6" w:rsidRPr="008D34F4" w:rsidRDefault="00000000">
            <w:pPr>
              <w:widowControl w:val="0"/>
              <w:ind w:firstLine="240"/>
              <w:jc w:val="both"/>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0.026</w:t>
            </w:r>
          </w:p>
        </w:tc>
      </w:tr>
      <w:tr w:rsidR="007373F6" w:rsidRPr="008D34F4" w14:paraId="46AAD24B" w14:textId="77777777" w:rsidTr="008D34F4">
        <w:tc>
          <w:tcPr>
            <w:cnfStyle w:val="001000000000" w:firstRow="0" w:lastRow="0" w:firstColumn="1" w:lastColumn="0" w:oddVBand="0" w:evenVBand="0" w:oddHBand="0" w:evenHBand="0" w:firstRowFirstColumn="0" w:firstRowLastColumn="0" w:lastRowFirstColumn="0" w:lastRowLastColumn="0"/>
            <w:tcW w:w="2446" w:type="dxa"/>
            <w:vMerge/>
            <w:vAlign w:val="center"/>
          </w:tcPr>
          <w:p w14:paraId="4D903308" w14:textId="77777777" w:rsidR="007373F6" w:rsidRPr="008D34F4" w:rsidRDefault="007373F6">
            <w:pPr>
              <w:widowControl w:val="0"/>
              <w:spacing w:line="276" w:lineRule="auto"/>
              <w:jc w:val="both"/>
              <w:rPr>
                <w:rFonts w:asciiTheme="majorBidi" w:eastAsia="Times New Roman" w:hAnsiTheme="majorBidi" w:cstheme="majorBidi"/>
                <w:sz w:val="24"/>
                <w:szCs w:val="24"/>
              </w:rPr>
            </w:pPr>
          </w:p>
        </w:tc>
        <w:tc>
          <w:tcPr>
            <w:tcW w:w="2445" w:type="dxa"/>
            <w:vAlign w:val="center"/>
          </w:tcPr>
          <w:p w14:paraId="3002982B" w14:textId="77777777" w:rsidR="007373F6" w:rsidRPr="008D34F4"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(1.537)</w:t>
            </w:r>
          </w:p>
        </w:tc>
        <w:tc>
          <w:tcPr>
            <w:tcW w:w="2445" w:type="dxa"/>
            <w:vMerge/>
            <w:vAlign w:val="center"/>
          </w:tcPr>
          <w:p w14:paraId="6E94706D" w14:textId="77777777" w:rsidR="007373F6" w:rsidRPr="008D34F4" w:rsidRDefault="007373F6">
            <w:pPr>
              <w:widowControl w:val="0"/>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p>
        </w:tc>
        <w:tc>
          <w:tcPr>
            <w:tcW w:w="2445" w:type="dxa"/>
            <w:vAlign w:val="center"/>
          </w:tcPr>
          <w:p w14:paraId="4FA9F863" w14:textId="77777777" w:rsidR="007373F6" w:rsidRPr="008D34F4" w:rsidRDefault="00000000">
            <w:pPr>
              <w:widowControl w:val="0"/>
              <w:ind w:firstLine="240"/>
              <w:jc w:val="both"/>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4"/>
                <w:szCs w:val="24"/>
              </w:rPr>
            </w:pPr>
            <w:r w:rsidRPr="008D34F4">
              <w:rPr>
                <w:rFonts w:asciiTheme="majorBidi" w:eastAsia="Times New Roman" w:hAnsiTheme="majorBidi" w:cstheme="majorBidi"/>
                <w:sz w:val="24"/>
                <w:szCs w:val="24"/>
              </w:rPr>
              <w:t>(1.535)</w:t>
            </w:r>
          </w:p>
        </w:tc>
      </w:tr>
      <w:tr w:rsidR="007373F6" w:rsidRPr="008D34F4" w14:paraId="4EA26C4F" w14:textId="77777777" w:rsidTr="008D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81" w:type="dxa"/>
            <w:gridSpan w:val="4"/>
            <w:tcBorders>
              <w:top w:val="none" w:sz="0" w:space="0" w:color="auto"/>
              <w:bottom w:val="none" w:sz="0" w:space="0" w:color="auto"/>
            </w:tcBorders>
            <w:vAlign w:val="center"/>
          </w:tcPr>
          <w:p w14:paraId="22526967" w14:textId="77777777" w:rsidR="007373F6" w:rsidRPr="008D34F4" w:rsidRDefault="00000000">
            <w:pPr>
              <w:widowControl w:val="0"/>
              <w:ind w:firstLine="241"/>
              <w:jc w:val="both"/>
              <w:rPr>
                <w:rFonts w:asciiTheme="majorBidi" w:eastAsia="Times New Roman" w:hAnsiTheme="majorBidi" w:cstheme="majorBidi"/>
                <w:b w:val="0"/>
                <w:bCs/>
                <w:sz w:val="24"/>
                <w:szCs w:val="24"/>
              </w:rPr>
            </w:pPr>
            <w:r w:rsidRPr="008D34F4">
              <w:rPr>
                <w:rFonts w:asciiTheme="majorBidi" w:eastAsia="Times New Roman" w:hAnsiTheme="majorBidi" w:cstheme="majorBidi"/>
                <w:b w:val="0"/>
                <w:bCs/>
                <w:sz w:val="24"/>
                <w:szCs w:val="24"/>
              </w:rPr>
              <w:t>*p&lt;0.05, **p&lt;0.01, ***p&lt;0.001</w:t>
            </w:r>
          </w:p>
        </w:tc>
      </w:tr>
      <w:tr w:rsidR="007373F6" w:rsidRPr="008D34F4" w14:paraId="58DB1789" w14:textId="77777777" w:rsidTr="008D34F4">
        <w:tc>
          <w:tcPr>
            <w:cnfStyle w:val="001000000000" w:firstRow="0" w:lastRow="0" w:firstColumn="1" w:lastColumn="0" w:oddVBand="0" w:evenVBand="0" w:oddHBand="0" w:evenHBand="0" w:firstRowFirstColumn="0" w:firstRowLastColumn="0" w:lastRowFirstColumn="0" w:lastRowLastColumn="0"/>
            <w:tcW w:w="9781" w:type="dxa"/>
            <w:gridSpan w:val="4"/>
            <w:vAlign w:val="center"/>
          </w:tcPr>
          <w:p w14:paraId="4821EF03" w14:textId="3E7B44BB" w:rsidR="007373F6" w:rsidRPr="008D34F4" w:rsidRDefault="00000000">
            <w:pPr>
              <w:widowControl w:val="0"/>
              <w:ind w:firstLine="241"/>
              <w:jc w:val="both"/>
              <w:rPr>
                <w:rFonts w:asciiTheme="majorBidi" w:eastAsia="Times New Roman" w:hAnsiTheme="majorBidi" w:cstheme="majorBidi"/>
                <w:b w:val="0"/>
                <w:bCs/>
                <w:sz w:val="24"/>
                <w:szCs w:val="24"/>
              </w:rPr>
            </w:pPr>
            <w:r w:rsidRPr="008D34F4">
              <w:rPr>
                <w:rFonts w:asciiTheme="majorBidi" w:eastAsia="Times New Roman" w:hAnsiTheme="majorBidi" w:cstheme="majorBidi"/>
                <w:b w:val="0"/>
                <w:bCs/>
                <w:sz w:val="24"/>
                <w:szCs w:val="24"/>
              </w:rPr>
              <w:t>Figures in parentheses indicate t-values.</w:t>
            </w:r>
          </w:p>
        </w:tc>
      </w:tr>
    </w:tbl>
    <w:p w14:paraId="6822CD9D" w14:textId="77777777" w:rsidR="007373F6" w:rsidRDefault="007373F6">
      <w:pPr>
        <w:spacing w:before="240" w:after="120" w:line="240" w:lineRule="auto"/>
        <w:ind w:left="1080"/>
        <w:rPr>
          <w:rFonts w:ascii="Times New Roman" w:eastAsia="Times New Roman" w:hAnsi="Times New Roman" w:cs="Times New Roman"/>
          <w:b/>
          <w:sz w:val="24"/>
          <w:szCs w:val="24"/>
        </w:rPr>
      </w:pPr>
      <w:bookmarkStart w:id="73" w:name="_heading=h.84o9ml1c5qih" w:colFirst="0" w:colLast="0"/>
      <w:bookmarkEnd w:id="73"/>
    </w:p>
    <w:p w14:paraId="1A3700FD" w14:textId="77777777" w:rsidR="007373F6" w:rsidRDefault="00000000" w:rsidP="00856618">
      <w:pPr>
        <w:numPr>
          <w:ilvl w:val="0"/>
          <w:numId w:val="22"/>
        </w:numPr>
        <w:spacing w:before="240" w:after="120" w:line="240" w:lineRule="auto"/>
        <w:jc w:val="center"/>
        <w:rPr>
          <w:rFonts w:ascii="Times New Roman" w:eastAsia="Times New Roman" w:hAnsi="Times New Roman" w:cs="Times New Roman"/>
          <w:b/>
          <w:sz w:val="24"/>
          <w:szCs w:val="24"/>
        </w:rPr>
      </w:pPr>
      <w:bookmarkStart w:id="74" w:name="_heading=h.yp6wx7txp9w3" w:colFirst="0" w:colLast="0"/>
      <w:bookmarkEnd w:id="74"/>
      <w:r>
        <w:rPr>
          <w:rFonts w:ascii="Times New Roman" w:eastAsia="Times New Roman" w:hAnsi="Times New Roman" w:cs="Times New Roman"/>
          <w:b/>
          <w:sz w:val="24"/>
          <w:szCs w:val="24"/>
        </w:rPr>
        <w:t>DISCUSSION</w:t>
      </w:r>
    </w:p>
    <w:p w14:paraId="4B2DB48A" w14:textId="77777777" w:rsidR="007373F6" w:rsidRDefault="00000000" w:rsidP="008F1088">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empirical results from Models 1 through 3 and Models 5 through 7 revealed that, contrary to Hypothesis H1, cost stickiness has a negative effect on the cost of equity capital. This finding can be interpreted as follows. From the perspective of rational managerial decision-making—a key explanation for cost stickiness—managers may willingly incur current costs at the expense of short-term earnings in order to enhance long-term profitability based on future sales expectations (</w:t>
      </w:r>
      <w:proofErr w:type="spellStart"/>
      <w:r>
        <w:rPr>
          <w:rFonts w:ascii="Times New Roman" w:eastAsia="Times New Roman" w:hAnsi="Times New Roman" w:cs="Times New Roman"/>
          <w:sz w:val="24"/>
          <w:szCs w:val="24"/>
        </w:rPr>
        <w:t>Yasukata</w:t>
      </w:r>
      <w:proofErr w:type="spellEnd"/>
      <w:r>
        <w:rPr>
          <w:rFonts w:ascii="Times New Roman" w:eastAsia="Times New Roman" w:hAnsi="Times New Roman" w:cs="Times New Roman"/>
          <w:sz w:val="24"/>
          <w:szCs w:val="24"/>
        </w:rPr>
        <w:t xml:space="preserve">, 2012). In this view, cost stickiness reflects temporary cost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If such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is perceived as a short-term adjustment or if investors expect excess costs to be reduced over time, it may signal lower managerial risk, thereby reducing the required rate of return.</w:t>
      </w:r>
    </w:p>
    <w:p w14:paraId="3373E8AD" w14:textId="77777777" w:rsidR="007373F6" w:rsidRDefault="00000000" w:rsidP="008F1088">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From the standpoint of investors, the cost of equity capital represents the minimum return required to compensate for the risk of investing in a firm, based on the expectation of future dividends and capital gains. This return is effectively the cost that managers must “repay” to shareholders for the capital they provide (Ito, 2008). According to the adjustment cost delay hypothesis—another explanation for cost stickiness—sticky costs may persist in the short term but tend to diminish over the medium to long term. Investors may interpret this pattern as the result of rational decision-making, associated with greater earnings predictability, higher disclosure quality, and lower perceived business risk, which in turn leads to a lower required return.</w:t>
      </w:r>
    </w:p>
    <w:p w14:paraId="00B206D3" w14:textId="77777777" w:rsidR="007373F6" w:rsidRDefault="00000000" w:rsidP="008F1088">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empirical findings from Models 4 and 8, consistent with prior literature, indicate that the relationship between cost stickiness and the cost of equity capital is statistically inconclusive. However, as shown in Table 7-1, the cost of equity capital estimates derived from the OJ, MPEG, and PEG models are highly correlated (correlation coefficients close to 1), </w:t>
      </w:r>
      <w:r>
        <w:rPr>
          <w:rFonts w:ascii="Times New Roman" w:eastAsia="Times New Roman" w:hAnsi="Times New Roman" w:cs="Times New Roman"/>
          <w:sz w:val="24"/>
          <w:szCs w:val="24"/>
        </w:rPr>
        <w:lastRenderedPageBreak/>
        <w:t>while the estimates obtained using the PE model exhibit low correlations with the other three (–0.084, –0.034, and –0.066, respectively). These results suggest that the PE model is heterogeneous and behaves differently from the other implied cost of capital models, potentially due to its backward-looking nature.</w:t>
      </w:r>
    </w:p>
    <w:p w14:paraId="48BC7530" w14:textId="77777777" w:rsidR="007373F6" w:rsidRDefault="00000000" w:rsidP="008F1088">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Models 9 through 11 show that operating expense stickiness has a positive effect on EBITDA. Notably, the standardized coefficient for the natural logarithm of total assets—a proxy for firm size—is more than ten times larger than that of operating expense stickiness. This implies that in larger firms, retaining operating expenses even during temporary declines in sales may have a beneficial impact on performance, possibly due to scale advantages or long-term investment strategies.</w:t>
      </w:r>
    </w:p>
    <w:p w14:paraId="00E8968C" w14:textId="77777777" w:rsidR="007373F6" w:rsidRDefault="00000000" w:rsidP="008F1088">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Models 12 through 14 support prior findings that SG&amp;A expense stickiness negatively affects ROE. However, the standardized coefficient for revenue growth is more than five times greater than that of SG&amp;A expense stickiness. This suggests that when revenue growth is strong, the temporary maintenance of SG&amp;A expenses may lead to improved future performance, potentially by sustaining strategic initiatives such as R&amp;D and marketing.</w:t>
      </w:r>
    </w:p>
    <w:p w14:paraId="75E42B35" w14:textId="77777777" w:rsidR="007373F6" w:rsidRDefault="00000000" w:rsidP="008F1088">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Finally, the results from Models 15 and 16 confirm that the impact of cost stickiness on WACC remains inconclusive. Since WACC is calculated as the weighted average of the cost of equity and the cost of debt, based on their respective market values, it can be concluded that although cost stickiness appears to reduce the cost of equity capital, its effect on the cost of debt is uncertain. This may be due to differences in how debt providers assess and respond to cost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compared to equity investors.</w:t>
      </w:r>
    </w:p>
    <w:p w14:paraId="4D5A92DB" w14:textId="77777777" w:rsidR="007373F6" w:rsidRDefault="00000000" w:rsidP="00856618">
      <w:pPr>
        <w:numPr>
          <w:ilvl w:val="0"/>
          <w:numId w:val="22"/>
        </w:numPr>
        <w:spacing w:before="240" w:after="12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CONCLUSIONS</w:t>
      </w:r>
    </w:p>
    <w:p w14:paraId="26C0B1A7" w14:textId="634B7CFD" w:rsidR="007373F6" w:rsidRDefault="008F1088">
      <w:pPr>
        <w:spacing w:before="240" w:after="12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7.1 Summary of the Study</w:t>
      </w:r>
    </w:p>
    <w:p w14:paraId="496C2231" w14:textId="77777777" w:rsidR="007373F6" w:rsidRDefault="00000000" w:rsidP="008F108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study examined the impact of cost stickiness on the cost of equity capital and corporate performance, using data from firms listed on the Tokyo Stock Exchange (TSE) Prime and Standard markets that adopted Japanese GAAP over a 15-year period from FY2007 to FY2021.</w:t>
      </w:r>
    </w:p>
    <w:p w14:paraId="5468996D" w14:textId="77777777" w:rsidR="007373F6" w:rsidRDefault="00000000" w:rsidP="008F108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First, Models 1 through 3 and Models 5 through 7 tested Hypothesis H</w:t>
      </w:r>
      <w:r w:rsidRPr="008F1088">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focusing on the relationship between cost stickiness and the cost of equity capital. The results revealed that cost stickiness has a negative effect on the cost of equity capital.</w:t>
      </w:r>
    </w:p>
    <w:p w14:paraId="4BD2CC74" w14:textId="77777777" w:rsidR="007373F6" w:rsidRDefault="00000000" w:rsidP="008F108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Next, Models 4 and 8, which also addressed Hypothesis H</w:t>
      </w:r>
      <w:r w:rsidRPr="008F1088">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employed the PE model to estimate the cost of equity capital. The results for these models were inconclusive, indicating that the relationship between cost stickiness and the cost of equity capital under this specification is unclear.</w:t>
      </w:r>
    </w:p>
    <w:p w14:paraId="70FA6085" w14:textId="77777777" w:rsidR="007373F6" w:rsidRDefault="00000000" w:rsidP="008F108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Furthermore, Models 9 through 14 tested Hypothesis H</w:t>
      </w:r>
      <w:r w:rsidRPr="008F1088">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which examined the effect of cost stickiness on corporate performance. The findings show that operating expense stickiness positively affects EBITDA, while SG&amp;A expense stickiness negatively affects ROE. The relationship between cost stickiness and Tobin’s Q, however, remains unclear.</w:t>
      </w:r>
    </w:p>
    <w:p w14:paraId="5055BB1D" w14:textId="77777777" w:rsidR="007373F6" w:rsidRDefault="00000000" w:rsidP="008F108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Finally, Models 15 and 16 tested Additional Hypothesis H</w:t>
      </w:r>
      <w:r w:rsidRPr="008F1088">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 which explored the impact of cost stickiness on WACC. These results were also statistically inconclusive.</w:t>
      </w:r>
    </w:p>
    <w:p w14:paraId="03F8177D" w14:textId="0EF1292E" w:rsidR="007373F6" w:rsidRDefault="008F1088">
      <w:pPr>
        <w:spacing w:before="240" w:after="120" w:line="240" w:lineRule="auto"/>
        <w:jc w:val="both"/>
        <w:rPr>
          <w:rFonts w:ascii="Times New Roman" w:eastAsia="Times New Roman" w:hAnsi="Times New Roman" w:cs="Times New Roman"/>
          <w:b/>
          <w:sz w:val="24"/>
          <w:szCs w:val="24"/>
        </w:rPr>
      </w:pPr>
      <w:bookmarkStart w:id="75" w:name="_heading=h.8nqlfpe78eae" w:colFirst="0" w:colLast="0"/>
      <w:bookmarkEnd w:id="75"/>
      <w:r>
        <w:rPr>
          <w:rFonts w:ascii="Times New Roman" w:eastAsia="Times New Roman" w:hAnsi="Times New Roman" w:cs="Times New Roman"/>
          <w:b/>
          <w:sz w:val="24"/>
          <w:szCs w:val="24"/>
        </w:rPr>
        <w:t>7.2 Contributions</w:t>
      </w:r>
    </w:p>
    <w:p w14:paraId="5FA9C29E" w14:textId="77777777" w:rsidR="007373F6" w:rsidRDefault="00000000" w:rsidP="008F108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study makes several contributions to the existing literature.</w:t>
      </w:r>
    </w:p>
    <w:p w14:paraId="0E9C07AF" w14:textId="77777777" w:rsidR="007373F6" w:rsidRDefault="00000000" w:rsidP="008F108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First, it provides new empirical evidence that cost stickiness has a negative impact on the cost of equity capital, a relationship that has been underexplored in prior research.</w:t>
      </w:r>
    </w:p>
    <w:p w14:paraId="12DF87B7" w14:textId="77777777" w:rsidR="007373F6" w:rsidRDefault="00000000" w:rsidP="008F108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Second, by disaggregating cost stickiness into operating expenses and SG&amp;A expenses, and examining their respective effects on corporate performance indicators such as ROE and EBITDA, the study highlights the managerial significance of SG&amp;A expense control.</w:t>
      </w:r>
    </w:p>
    <w:p w14:paraId="2466215E" w14:textId="77777777" w:rsidR="007373F6" w:rsidRDefault="00000000" w:rsidP="008F108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Third, while prior studies predominantly employed the Anderson model to measure cost stickiness, a distinguishing feature of this research is its use of the Weiss model, which allows for a more nuanced estimation of cost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and serves as an explanatory variable in the empirical analysis.</w:t>
      </w:r>
    </w:p>
    <w:p w14:paraId="7D1ADB3A" w14:textId="4CDC270C" w:rsidR="007373F6" w:rsidRDefault="008F1088">
      <w:pPr>
        <w:spacing w:before="240" w:after="12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7.3 Limitations and Future Research</w:t>
      </w:r>
    </w:p>
    <w:p w14:paraId="0A59363C" w14:textId="77777777" w:rsidR="007373F6" w:rsidRDefault="00000000" w:rsidP="008F108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Despite its contributions, this study has several limitations, which suggest avenues for future research.</w:t>
      </w:r>
    </w:p>
    <w:p w14:paraId="1B826082" w14:textId="77777777" w:rsidR="007373F6" w:rsidRDefault="00000000" w:rsidP="008F108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First, the implied cost of equity capital was estimated using abnormal earnings growth models that are based on analyst forecasts rather than realized returns. While this approach avoids the measurement issues associated with traditional asset pricing models—such as CAPM and the Fama–French three-factor model (Fama &amp; French, 1997)—it introduces potential forecast-related biases. As noted by Easton and Monahan (2005), implied cost of capital models may lack reliability as estimators of expected returns due to such biases. Future studies should consider using corrected forecast-based models or alternative estimation techniques to improve robustness.</w:t>
      </w:r>
    </w:p>
    <w:p w14:paraId="73BD245B" w14:textId="77777777" w:rsidR="007373F6" w:rsidRDefault="00000000" w:rsidP="008F108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Second, in the analysis of corporate performance, this study adopted the same set of control variables used in the equity capital cost models. While this ensured consistency, it may not be methodologically optimal for performance analysis. Future research should consider refining the model specification by introducing control variables that are more specifically tailored to corporate performance outcomes, thereby improving the validity of causal inferences.</w:t>
      </w:r>
    </w:p>
    <w:p w14:paraId="3A289BB0" w14:textId="77777777" w:rsidR="007373F6" w:rsidRDefault="00000000">
      <w:pPr>
        <w:spacing w:before="240" w:after="12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NOTES</w:t>
      </w:r>
    </w:p>
    <w:p w14:paraId="42E986AE" w14:textId="77777777" w:rsidR="007373F6" w:rsidRDefault="00000000" w:rsidP="00856618">
      <w:pPr>
        <w:widowControl w:val="0"/>
        <w:numPr>
          <w:ilvl w:val="0"/>
          <w:numId w:val="21"/>
        </w:numPr>
        <w:spacing w:after="0" w:line="240" w:lineRule="auto"/>
        <w:jc w:val="both"/>
        <w:rPr>
          <w:rFonts w:ascii="Times New Roman" w:eastAsia="Times New Roman" w:hAnsi="Times New Roman" w:cs="Times New Roman"/>
          <w:sz w:val="24"/>
          <w:szCs w:val="24"/>
        </w:rPr>
      </w:pPr>
      <w:bookmarkStart w:id="76" w:name="_heading=h.x4knn3imoasa" w:colFirst="0" w:colLast="0"/>
      <w:bookmarkEnd w:id="76"/>
      <w:r>
        <w:rPr>
          <w:rFonts w:ascii="Times New Roman" w:eastAsia="Times New Roman" w:hAnsi="Times New Roman" w:cs="Times New Roman"/>
          <w:sz w:val="24"/>
          <w:szCs w:val="24"/>
        </w:rPr>
        <w:t xml:space="preserve">In prior research on the existence (phenomenon) of cost stickiness, Noreen and Soderstrom (1997) </w:t>
      </w:r>
      <w:proofErr w:type="spellStart"/>
      <w:r>
        <w:rPr>
          <w:rFonts w:ascii="Times New Roman" w:eastAsia="Times New Roman" w:hAnsi="Times New Roman" w:cs="Times New Roman"/>
          <w:sz w:val="24"/>
          <w:szCs w:val="24"/>
        </w:rPr>
        <w:t>analyzed</w:t>
      </w:r>
      <w:proofErr w:type="spellEnd"/>
      <w:r>
        <w:rPr>
          <w:rFonts w:ascii="Times New Roman" w:eastAsia="Times New Roman" w:hAnsi="Times New Roman" w:cs="Times New Roman"/>
          <w:sz w:val="24"/>
          <w:szCs w:val="24"/>
        </w:rPr>
        <w:t xml:space="preserve"> hospital data from Washington State in the U.S. and observed cost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in which the absolute value of the cost decrease rate (specifically for indirect costs) during periods of declining activity volume (cost driver) was smaller than the absolute value of the cost increase rate during periods of rising activity volume. Anderson et al. (2003), using data from U.S. firms, generalized this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—where the absolute reduction in SG&amp;A costs during sales declines is smaller than the increase during sales growth—and termed it “cost stickiness,” providing broad empirical evidence for its existence.</w:t>
      </w:r>
    </w:p>
    <w:p w14:paraId="13E08F97" w14:textId="77777777" w:rsidR="007373F6" w:rsidRDefault="00000000" w:rsidP="00856618">
      <w:pPr>
        <w:widowControl w:val="0"/>
        <w:numPr>
          <w:ilvl w:val="0"/>
          <w:numId w:val="2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Prior studies </w:t>
      </w:r>
      <w:proofErr w:type="spellStart"/>
      <w:r>
        <w:rPr>
          <w:rFonts w:ascii="Times New Roman" w:eastAsia="Times New Roman" w:hAnsi="Times New Roman" w:cs="Times New Roman"/>
          <w:sz w:val="24"/>
          <w:szCs w:val="24"/>
        </w:rPr>
        <w:t>analyzing</w:t>
      </w:r>
      <w:proofErr w:type="spellEnd"/>
      <w:r>
        <w:rPr>
          <w:rFonts w:ascii="Times New Roman" w:eastAsia="Times New Roman" w:hAnsi="Times New Roman" w:cs="Times New Roman"/>
          <w:sz w:val="24"/>
          <w:szCs w:val="24"/>
        </w:rPr>
        <w:t xml:space="preserve"> the determinants of cost stickiness have identified three main contributing factors:</w:t>
      </w:r>
      <w:r>
        <w:rPr>
          <w:rFonts w:ascii="Times New Roman" w:eastAsia="Times New Roman" w:hAnsi="Times New Roman" w:cs="Times New Roman"/>
          <w:sz w:val="24"/>
          <w:szCs w:val="24"/>
        </w:rPr>
        <w:br/>
        <w:t>First, rational managerial decision-making. Anderson et al. (2003) argue that optimistic managers may view sales declines as temporary and choose to retain underutilized resources if they estimate that adjustment costs (e.g., selling and repurchasing equipment, or hiring and firing employees) exceed the cost of maintaining them.</w:t>
      </w:r>
      <w:r>
        <w:rPr>
          <w:rFonts w:ascii="Times New Roman" w:eastAsia="Times New Roman" w:hAnsi="Times New Roman" w:cs="Times New Roman"/>
          <w:sz w:val="24"/>
          <w:szCs w:val="24"/>
        </w:rPr>
        <w:br/>
        <w:t>Second, delayed cost adjustment, whereby cost reductions lag behind declines in sales activity.</w:t>
      </w:r>
      <w:r>
        <w:rPr>
          <w:rFonts w:ascii="Times New Roman" w:eastAsia="Times New Roman" w:hAnsi="Times New Roman" w:cs="Times New Roman"/>
          <w:sz w:val="24"/>
          <w:szCs w:val="24"/>
        </w:rPr>
        <w:br/>
        <w:t>Third, the agency problem. Chen (2008, 2012) suggests that when business activity increases, managers may anticipate improved performance, raise their own compensation, and allocate corporate resources for personal benefit, thereby increasing agency costs. Conversely, during sales declines, managers may resist cutting compensation and maintain existing resources to avoid negatively impacting future operations.</w:t>
      </w:r>
    </w:p>
    <w:p w14:paraId="28F1472F" w14:textId="77777777" w:rsidR="007373F6" w:rsidRDefault="00000000" w:rsidP="00856618">
      <w:pPr>
        <w:widowControl w:val="0"/>
        <w:numPr>
          <w:ilvl w:val="0"/>
          <w:numId w:val="2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Tobin’s Q is the ratio of a firm's market value to the replacement cost of its assets and is widely used as a key investment indicator to assess corporate performance and growth potential. A high Tobin’s Q implies strong growth expectations. Specifically, when Tobin’s Q exceeds 1, a firm’s market value surpasses the replacement cost of capital, </w:t>
      </w:r>
      <w:proofErr w:type="spellStart"/>
      <w:r>
        <w:rPr>
          <w:rFonts w:ascii="Times New Roman" w:eastAsia="Times New Roman" w:hAnsi="Times New Roman" w:cs="Times New Roman"/>
          <w:sz w:val="24"/>
          <w:szCs w:val="24"/>
        </w:rPr>
        <w:lastRenderedPageBreak/>
        <w:t>signaling</w:t>
      </w:r>
      <w:proofErr w:type="spellEnd"/>
      <w:r>
        <w:rPr>
          <w:rFonts w:ascii="Times New Roman" w:eastAsia="Times New Roman" w:hAnsi="Times New Roman" w:cs="Times New Roman"/>
          <w:sz w:val="24"/>
          <w:szCs w:val="24"/>
        </w:rPr>
        <w:t xml:space="preserve"> high expected returns on investment and encouraging firms to convert financial capital into physical capital. Conversely, when Tobin’s Q falls below 1, the firm’s market value is lower than its replacement cost, which may indicate overinvestment. This prompts firms to reduce physical capital and potentially refrain from stock repurchases. According to agency theory, the announcement of share repurchases reduces excess cash, which in turn mitigates moral hazard and curbs overinvestment. This can prompt investors to reevaluate the firm’s value and drive up its stock price (</w:t>
      </w:r>
      <w:proofErr w:type="spellStart"/>
      <w:r>
        <w:rPr>
          <w:rFonts w:ascii="Times New Roman" w:eastAsia="Times New Roman" w:hAnsi="Times New Roman" w:cs="Times New Roman"/>
          <w:sz w:val="24"/>
          <w:szCs w:val="24"/>
        </w:rPr>
        <w:t>Iwatsubo</w:t>
      </w:r>
      <w:proofErr w:type="spellEnd"/>
      <w:r>
        <w:rPr>
          <w:rFonts w:ascii="Times New Roman" w:eastAsia="Times New Roman" w:hAnsi="Times New Roman" w:cs="Times New Roman"/>
          <w:sz w:val="24"/>
          <w:szCs w:val="24"/>
        </w:rPr>
        <w:t xml:space="preserve"> &amp; Zhang, 2017). Therefore, because Tobin’s Q incorporates stock price fluctuations, it may also reflect performance changes driven by market valuation.</w:t>
      </w:r>
    </w:p>
    <w:p w14:paraId="4B4499CF" w14:textId="77777777" w:rsidR="007373F6" w:rsidRDefault="00000000" w:rsidP="00856618">
      <w:pPr>
        <w:widowControl w:val="0"/>
        <w:numPr>
          <w:ilvl w:val="0"/>
          <w:numId w:val="2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study also conducted regression analyses to assess the impact of cost stickiness on corporate performance in period t+1. Compared with the results using performance in period t as the dependent variable, the statistical significance declined, but the direction and general pattern of results remained consistent.</w:t>
      </w:r>
    </w:p>
    <w:p w14:paraId="21CD7BD5" w14:textId="77777777" w:rsidR="007373F6" w:rsidRDefault="00000000" w:rsidP="00856618">
      <w:pPr>
        <w:widowControl w:val="0"/>
        <w:numPr>
          <w:ilvl w:val="0"/>
          <w:numId w:val="2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regression models where the effect of cost stickiness on corporate performance was found to be statistically insignificant, this study further tested whether cost stickiness acts as a moderator in the relationship between the cost of equity capital and corporate performance. Specifically, an interaction term between cost stickiness and the cost of equity capital was included as an explanatory variable. While the cost of equity capital itself showed a statistically significant positive effect, the interaction term was not statistically significant, indicating no clear moderating effect.</w:t>
      </w:r>
    </w:p>
    <w:p w14:paraId="631467DA" w14:textId="77777777" w:rsidR="007373F6" w:rsidRDefault="007373F6">
      <w:pPr>
        <w:widowControl w:val="0"/>
        <w:spacing w:after="0" w:line="240" w:lineRule="auto"/>
        <w:ind w:firstLine="240"/>
        <w:jc w:val="both"/>
        <w:rPr>
          <w:rFonts w:ascii="Times New Roman" w:eastAsia="Times New Roman" w:hAnsi="Times New Roman" w:cs="Times New Roman"/>
          <w:sz w:val="24"/>
          <w:szCs w:val="24"/>
        </w:rPr>
      </w:pPr>
    </w:p>
    <w:p w14:paraId="20E10F5B" w14:textId="77777777" w:rsidR="007373F6" w:rsidRDefault="00000000">
      <w:pPr>
        <w:spacing w:before="240" w:after="12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REFERENCES</w:t>
      </w:r>
    </w:p>
    <w:p w14:paraId="7516E4E1" w14:textId="77777777" w:rsidR="007373F6" w:rsidRDefault="00000000">
      <w:pPr>
        <w:widowControl w:val="0"/>
        <w:spacing w:after="0" w:line="240" w:lineRule="auto"/>
        <w:ind w:left="720" w:hanging="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Anderson, M. C., Banker, R. D., &amp; Janakiraman, S. N. (2003). Are selling, general, and administrative costs “sticky”? </w:t>
      </w:r>
      <w:r>
        <w:rPr>
          <w:rFonts w:ascii="Times New Roman" w:eastAsia="Times New Roman" w:hAnsi="Times New Roman" w:cs="Times New Roman"/>
          <w:i/>
          <w:sz w:val="24"/>
          <w:szCs w:val="24"/>
          <w:highlight w:val="white"/>
        </w:rPr>
        <w:t>Journal of Accounting Research, 41</w:t>
      </w:r>
      <w:r>
        <w:rPr>
          <w:rFonts w:ascii="Times New Roman" w:eastAsia="Times New Roman" w:hAnsi="Times New Roman" w:cs="Times New Roman"/>
          <w:sz w:val="24"/>
          <w:szCs w:val="24"/>
          <w:highlight w:val="white"/>
        </w:rPr>
        <w:t>(1), 47–63.</w:t>
      </w:r>
    </w:p>
    <w:p w14:paraId="0A578F3E" w14:textId="77777777" w:rsidR="007373F6" w:rsidRDefault="00000000">
      <w:pPr>
        <w:widowControl w:val="0"/>
        <w:spacing w:after="0" w:line="240" w:lineRule="auto"/>
        <w:ind w:left="720" w:hanging="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Baiman</w:t>
      </w:r>
      <w:proofErr w:type="spellEnd"/>
      <w:r>
        <w:rPr>
          <w:rFonts w:ascii="Times New Roman" w:eastAsia="Times New Roman" w:hAnsi="Times New Roman" w:cs="Times New Roman"/>
          <w:sz w:val="24"/>
          <w:szCs w:val="24"/>
        </w:rPr>
        <w:t xml:space="preserve">, S., &amp; Verrecchia, R. E. (1996). The relation among capital markets, financial disclosure, production efficiency, and insider trading. </w:t>
      </w:r>
      <w:r>
        <w:rPr>
          <w:rFonts w:ascii="Times New Roman" w:eastAsia="Times New Roman" w:hAnsi="Times New Roman" w:cs="Times New Roman"/>
          <w:i/>
          <w:sz w:val="24"/>
          <w:szCs w:val="24"/>
        </w:rPr>
        <w:t>Journal of Accounting Research, 34</w:t>
      </w:r>
      <w:r>
        <w:rPr>
          <w:rFonts w:ascii="Times New Roman" w:eastAsia="Times New Roman" w:hAnsi="Times New Roman" w:cs="Times New Roman"/>
          <w:sz w:val="24"/>
          <w:szCs w:val="24"/>
        </w:rPr>
        <w:t>(1), 1–22.</w:t>
      </w:r>
    </w:p>
    <w:p w14:paraId="5C1EE89B" w14:textId="77777777" w:rsidR="007373F6" w:rsidRDefault="00000000">
      <w:pPr>
        <w:widowControl w:val="0"/>
        <w:spacing w:after="0" w:line="240" w:lineRule="auto"/>
        <w:ind w:left="720" w:hanging="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Banker, R. D., &amp; </w:t>
      </w:r>
      <w:proofErr w:type="spellStart"/>
      <w:r>
        <w:rPr>
          <w:rFonts w:ascii="Times New Roman" w:eastAsia="Times New Roman" w:hAnsi="Times New Roman" w:cs="Times New Roman"/>
          <w:sz w:val="24"/>
          <w:szCs w:val="24"/>
          <w:highlight w:val="white"/>
        </w:rPr>
        <w:t>Byzalov</w:t>
      </w:r>
      <w:proofErr w:type="spellEnd"/>
      <w:r>
        <w:rPr>
          <w:rFonts w:ascii="Times New Roman" w:eastAsia="Times New Roman" w:hAnsi="Times New Roman" w:cs="Times New Roman"/>
          <w:sz w:val="24"/>
          <w:szCs w:val="24"/>
          <w:highlight w:val="white"/>
        </w:rPr>
        <w:t xml:space="preserve">, D. (2014). Asymmetric cost </w:t>
      </w:r>
      <w:proofErr w:type="spellStart"/>
      <w:r>
        <w:rPr>
          <w:rFonts w:ascii="Times New Roman" w:eastAsia="Times New Roman" w:hAnsi="Times New Roman" w:cs="Times New Roman"/>
          <w:sz w:val="24"/>
          <w:szCs w:val="24"/>
          <w:highlight w:val="white"/>
        </w:rPr>
        <w:t>behavior</w:t>
      </w:r>
      <w:proofErr w:type="spellEnd"/>
      <w:r>
        <w:rPr>
          <w:rFonts w:ascii="Times New Roman" w:eastAsia="Times New Roman" w:hAnsi="Times New Roman" w:cs="Times New Roman"/>
          <w:sz w:val="24"/>
          <w:szCs w:val="24"/>
          <w:highlight w:val="white"/>
        </w:rPr>
        <w:t>. </w:t>
      </w:r>
      <w:r>
        <w:rPr>
          <w:rFonts w:ascii="Times New Roman" w:eastAsia="Times New Roman" w:hAnsi="Times New Roman" w:cs="Times New Roman"/>
          <w:i/>
          <w:sz w:val="24"/>
          <w:szCs w:val="24"/>
          <w:highlight w:val="white"/>
        </w:rPr>
        <w:t>Journal of Management Accounting Research</w:t>
      </w:r>
      <w:r>
        <w:rPr>
          <w:rFonts w:ascii="Times New Roman" w:eastAsia="Times New Roman" w:hAnsi="Times New Roman" w:cs="Times New Roman"/>
          <w:sz w:val="24"/>
          <w:szCs w:val="24"/>
          <w:highlight w:val="white"/>
        </w:rPr>
        <w:t>, 26(2), 43-79.</w:t>
      </w:r>
    </w:p>
    <w:p w14:paraId="28CE6D28" w14:textId="77777777" w:rsidR="007373F6" w:rsidRDefault="00000000">
      <w:pPr>
        <w:widowControl w:val="0"/>
        <w:spacing w:after="0" w:line="240" w:lineRule="auto"/>
        <w:ind w:left="720" w:hanging="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Barry, C. B., &amp; Brown, S. J. (1985). Differential information and security market equilibrium. </w:t>
      </w:r>
      <w:r>
        <w:rPr>
          <w:rFonts w:ascii="Times New Roman" w:eastAsia="Times New Roman" w:hAnsi="Times New Roman" w:cs="Times New Roman"/>
          <w:i/>
          <w:sz w:val="24"/>
          <w:szCs w:val="24"/>
          <w:highlight w:val="white"/>
        </w:rPr>
        <w:t>Journal of financial and quantitative analysis</w:t>
      </w:r>
      <w:r>
        <w:rPr>
          <w:rFonts w:ascii="Times New Roman" w:eastAsia="Times New Roman" w:hAnsi="Times New Roman" w:cs="Times New Roman"/>
          <w:sz w:val="24"/>
          <w:szCs w:val="24"/>
          <w:highlight w:val="white"/>
        </w:rPr>
        <w:t>, 20(4), 407-422.</w:t>
      </w:r>
    </w:p>
    <w:p w14:paraId="123E721F" w14:textId="77777777" w:rsidR="007373F6" w:rsidRDefault="00000000">
      <w:pPr>
        <w:widowControl w:val="0"/>
        <w:spacing w:after="0" w:line="240" w:lineRule="auto"/>
        <w:ind w:left="720" w:hanging="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Chen, C. X., Gores, T., &amp; </w:t>
      </w:r>
      <w:proofErr w:type="spellStart"/>
      <w:r>
        <w:rPr>
          <w:rFonts w:ascii="Times New Roman" w:eastAsia="Times New Roman" w:hAnsi="Times New Roman" w:cs="Times New Roman"/>
          <w:sz w:val="24"/>
          <w:szCs w:val="24"/>
          <w:highlight w:val="white"/>
        </w:rPr>
        <w:t>Nasev</w:t>
      </w:r>
      <w:proofErr w:type="spellEnd"/>
      <w:r>
        <w:rPr>
          <w:rFonts w:ascii="Times New Roman" w:eastAsia="Times New Roman" w:hAnsi="Times New Roman" w:cs="Times New Roman"/>
          <w:sz w:val="24"/>
          <w:szCs w:val="24"/>
          <w:highlight w:val="white"/>
        </w:rPr>
        <w:t>, J. (2013). Managerial overconfidence and cost stickiness. </w:t>
      </w:r>
      <w:r>
        <w:rPr>
          <w:rFonts w:ascii="Times New Roman" w:eastAsia="Times New Roman" w:hAnsi="Times New Roman" w:cs="Times New Roman"/>
          <w:i/>
          <w:sz w:val="24"/>
          <w:szCs w:val="24"/>
          <w:highlight w:val="white"/>
        </w:rPr>
        <w:t>SSRN: Social Science Research Network</w:t>
      </w:r>
      <w:r>
        <w:rPr>
          <w:rFonts w:ascii="Times New Roman" w:eastAsia="Times New Roman" w:hAnsi="Times New Roman" w:cs="Times New Roman"/>
          <w:sz w:val="24"/>
          <w:szCs w:val="24"/>
          <w:highlight w:val="white"/>
        </w:rPr>
        <w:t>.</w:t>
      </w:r>
    </w:p>
    <w:p w14:paraId="00ACD9E5" w14:textId="77777777" w:rsidR="007373F6" w:rsidRDefault="00000000">
      <w:pPr>
        <w:widowControl w:val="0"/>
        <w:spacing w:after="0" w:line="240" w:lineRule="auto"/>
        <w:ind w:left="720" w:hanging="720"/>
        <w:jc w:val="both"/>
        <w:rPr>
          <w:rFonts w:ascii="Times New Roman" w:eastAsia="Times New Roman" w:hAnsi="Times New Roman" w:cs="Times New Roman"/>
          <w:sz w:val="24"/>
          <w:szCs w:val="24"/>
          <w:highlight w:val="white"/>
        </w:rPr>
      </w:pPr>
      <w:bookmarkStart w:id="77" w:name="_heading=h.9myynzy7a1na" w:colFirst="0" w:colLast="0"/>
      <w:bookmarkEnd w:id="77"/>
      <w:r>
        <w:rPr>
          <w:rFonts w:ascii="Times New Roman" w:eastAsia="Times New Roman" w:hAnsi="Times New Roman" w:cs="Times New Roman"/>
          <w:sz w:val="24"/>
          <w:szCs w:val="24"/>
          <w:highlight w:val="white"/>
        </w:rPr>
        <w:t xml:space="preserve">Easton, P. D. (2004). PE ratios, PEG ratios, and estimating the implied expected rate of return on equity capital. </w:t>
      </w:r>
      <w:r>
        <w:rPr>
          <w:rFonts w:ascii="Times New Roman" w:eastAsia="Times New Roman" w:hAnsi="Times New Roman" w:cs="Times New Roman"/>
          <w:i/>
          <w:sz w:val="24"/>
          <w:szCs w:val="24"/>
          <w:highlight w:val="white"/>
        </w:rPr>
        <w:t>The accounting review,</w:t>
      </w:r>
      <w:r>
        <w:rPr>
          <w:rFonts w:ascii="Times New Roman" w:eastAsia="Times New Roman" w:hAnsi="Times New Roman" w:cs="Times New Roman"/>
          <w:sz w:val="24"/>
          <w:szCs w:val="24"/>
          <w:highlight w:val="white"/>
        </w:rPr>
        <w:t xml:space="preserve"> 79(1), 73-95.</w:t>
      </w:r>
    </w:p>
    <w:p w14:paraId="022FD660" w14:textId="77777777" w:rsidR="007373F6" w:rsidRDefault="00000000">
      <w:pPr>
        <w:widowControl w:val="0"/>
        <w:spacing w:after="0" w:line="240" w:lineRule="auto"/>
        <w:ind w:left="720" w:hanging="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Easton, P. D., &amp; Monahan, S. J. (2005). An evaluation of accounting‐based measures of expected returns. </w:t>
      </w:r>
      <w:r>
        <w:rPr>
          <w:rFonts w:ascii="Times New Roman" w:eastAsia="Times New Roman" w:hAnsi="Times New Roman" w:cs="Times New Roman"/>
          <w:i/>
          <w:sz w:val="24"/>
          <w:szCs w:val="24"/>
          <w:highlight w:val="white"/>
        </w:rPr>
        <w:t xml:space="preserve">The Accounting Review, </w:t>
      </w:r>
      <w:r>
        <w:rPr>
          <w:rFonts w:ascii="Times New Roman" w:eastAsia="Times New Roman" w:hAnsi="Times New Roman" w:cs="Times New Roman"/>
          <w:sz w:val="24"/>
          <w:szCs w:val="24"/>
          <w:highlight w:val="white"/>
        </w:rPr>
        <w:t>80(2), 501-538.</w:t>
      </w:r>
    </w:p>
    <w:p w14:paraId="003FCC7D" w14:textId="77777777" w:rsidR="007373F6" w:rsidRDefault="00000000">
      <w:pPr>
        <w:widowControl w:val="0"/>
        <w:spacing w:after="0" w:line="240" w:lineRule="auto"/>
        <w:ind w:left="720" w:hanging="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Fama, E. F., &amp; French, K. R. (1993). Common risk factors in the returns on stocks and bonds. </w:t>
      </w:r>
      <w:r>
        <w:rPr>
          <w:rFonts w:ascii="Times New Roman" w:eastAsia="Times New Roman" w:hAnsi="Times New Roman" w:cs="Times New Roman"/>
          <w:i/>
          <w:sz w:val="24"/>
          <w:szCs w:val="24"/>
          <w:highlight w:val="white"/>
        </w:rPr>
        <w:t>Journal of financial economics</w:t>
      </w:r>
      <w:r>
        <w:rPr>
          <w:rFonts w:ascii="Times New Roman" w:eastAsia="Times New Roman" w:hAnsi="Times New Roman" w:cs="Times New Roman"/>
          <w:sz w:val="24"/>
          <w:szCs w:val="24"/>
          <w:highlight w:val="white"/>
        </w:rPr>
        <w:t>, 33(1), 3-56.</w:t>
      </w:r>
    </w:p>
    <w:p w14:paraId="2A948B72" w14:textId="77777777" w:rsidR="007373F6" w:rsidRDefault="00000000">
      <w:pPr>
        <w:widowControl w:val="0"/>
        <w:spacing w:after="0" w:line="240" w:lineRule="auto"/>
        <w:ind w:left="720" w:hanging="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Fama, E. F., &amp; French, K. R. (1997). Industry costs of equity. </w:t>
      </w:r>
      <w:r>
        <w:rPr>
          <w:rFonts w:ascii="Times New Roman" w:eastAsia="Times New Roman" w:hAnsi="Times New Roman" w:cs="Times New Roman"/>
          <w:i/>
          <w:sz w:val="24"/>
          <w:szCs w:val="24"/>
          <w:highlight w:val="white"/>
        </w:rPr>
        <w:t>Journal of financial economics</w:t>
      </w:r>
      <w:r>
        <w:rPr>
          <w:rFonts w:ascii="Times New Roman" w:eastAsia="Times New Roman" w:hAnsi="Times New Roman" w:cs="Times New Roman"/>
          <w:sz w:val="24"/>
          <w:szCs w:val="24"/>
          <w:highlight w:val="white"/>
        </w:rPr>
        <w:t>, 43(2), 153-193.</w:t>
      </w:r>
    </w:p>
    <w:p w14:paraId="1FB6702D" w14:textId="77777777" w:rsidR="007373F6" w:rsidRDefault="00000000">
      <w:pPr>
        <w:widowControl w:val="0"/>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Francis, J., LaFond, R., Olsson, P. M., &amp; Schipper, K. (2004). Costs of equity and earnings attributes. </w:t>
      </w:r>
      <w:r>
        <w:rPr>
          <w:rFonts w:ascii="Times New Roman" w:eastAsia="Times New Roman" w:hAnsi="Times New Roman" w:cs="Times New Roman"/>
          <w:i/>
          <w:sz w:val="24"/>
          <w:szCs w:val="24"/>
        </w:rPr>
        <w:t>The accounting review</w:t>
      </w:r>
      <w:r>
        <w:rPr>
          <w:rFonts w:ascii="Times New Roman" w:eastAsia="Times New Roman" w:hAnsi="Times New Roman" w:cs="Times New Roman"/>
          <w:sz w:val="24"/>
          <w:szCs w:val="24"/>
        </w:rPr>
        <w:t>, 79(4), 967-1010.</w:t>
      </w:r>
    </w:p>
    <w:p w14:paraId="34FA2559" w14:textId="77777777" w:rsidR="007373F6" w:rsidRDefault="00000000">
      <w:pPr>
        <w:widowControl w:val="0"/>
        <w:spacing w:after="0" w:line="240" w:lineRule="auto"/>
        <w:ind w:left="720" w:hanging="720"/>
        <w:jc w:val="both"/>
        <w:rPr>
          <w:rFonts w:ascii="Times New Roman" w:eastAsia="Times New Roman" w:hAnsi="Times New Roman" w:cs="Times New Roman"/>
          <w:sz w:val="24"/>
          <w:szCs w:val="24"/>
          <w:highlight w:val="white"/>
        </w:rPr>
      </w:pPr>
      <w:bookmarkStart w:id="78" w:name="_heading=h.jhezrts0hqbm" w:colFirst="0" w:colLast="0"/>
      <w:bookmarkEnd w:id="78"/>
      <w:r>
        <w:rPr>
          <w:rFonts w:ascii="Times New Roman" w:eastAsia="Times New Roman" w:hAnsi="Times New Roman" w:cs="Times New Roman"/>
          <w:sz w:val="24"/>
          <w:szCs w:val="24"/>
          <w:highlight w:val="white"/>
        </w:rPr>
        <w:t xml:space="preserve">Gode, D., &amp; Mohanram, P. (2003). Inferring the cost of capital using the Ohlson–Juettner model. </w:t>
      </w:r>
      <w:r>
        <w:rPr>
          <w:rFonts w:ascii="Times New Roman" w:eastAsia="Times New Roman" w:hAnsi="Times New Roman" w:cs="Times New Roman"/>
          <w:i/>
          <w:sz w:val="24"/>
          <w:szCs w:val="24"/>
          <w:highlight w:val="white"/>
        </w:rPr>
        <w:t>Review of accounting studies</w:t>
      </w:r>
      <w:r>
        <w:rPr>
          <w:rFonts w:ascii="Times New Roman" w:eastAsia="Times New Roman" w:hAnsi="Times New Roman" w:cs="Times New Roman"/>
          <w:sz w:val="24"/>
          <w:szCs w:val="24"/>
          <w:highlight w:val="white"/>
        </w:rPr>
        <w:t>, 8(4), 399-431.</w:t>
      </w:r>
    </w:p>
    <w:p w14:paraId="7B77873E" w14:textId="77777777" w:rsidR="007373F6" w:rsidRDefault="00000000">
      <w:pPr>
        <w:widowControl w:val="0"/>
        <w:spacing w:after="0" w:line="240" w:lineRule="auto"/>
        <w:ind w:left="720" w:hanging="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Herold, D. M., Jayaraman, N., &amp; Narayanaswamy, C. R. (2006). What is the relationship between organizational slack and innovation?. </w:t>
      </w:r>
      <w:r>
        <w:rPr>
          <w:rFonts w:ascii="Times New Roman" w:eastAsia="Times New Roman" w:hAnsi="Times New Roman" w:cs="Times New Roman"/>
          <w:i/>
          <w:sz w:val="24"/>
          <w:szCs w:val="24"/>
          <w:highlight w:val="white"/>
        </w:rPr>
        <w:t>Journal of Managerial Issues</w:t>
      </w:r>
      <w:r>
        <w:rPr>
          <w:rFonts w:ascii="Times New Roman" w:eastAsia="Times New Roman" w:hAnsi="Times New Roman" w:cs="Times New Roman"/>
          <w:sz w:val="24"/>
          <w:szCs w:val="24"/>
          <w:highlight w:val="white"/>
        </w:rPr>
        <w:t>, 372-392.</w:t>
      </w:r>
    </w:p>
    <w:p w14:paraId="338C5367" w14:textId="77777777" w:rsidR="007373F6" w:rsidRDefault="00000000">
      <w:pPr>
        <w:widowControl w:val="0"/>
        <w:spacing w:after="0" w:line="240" w:lineRule="auto"/>
        <w:ind w:left="720" w:hanging="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Ito, K. (2008). </w:t>
      </w:r>
      <w:r>
        <w:rPr>
          <w:rFonts w:ascii="Times New Roman" w:eastAsia="Times New Roman" w:hAnsi="Times New Roman" w:cs="Times New Roman"/>
          <w:i/>
          <w:sz w:val="24"/>
          <w:szCs w:val="24"/>
          <w:highlight w:val="white"/>
        </w:rPr>
        <w:t xml:space="preserve">Kaisha </w:t>
      </w:r>
      <w:proofErr w:type="spellStart"/>
      <w:r>
        <w:rPr>
          <w:rFonts w:ascii="Times New Roman" w:eastAsia="Times New Roman" w:hAnsi="Times New Roman" w:cs="Times New Roman"/>
          <w:i/>
          <w:sz w:val="24"/>
          <w:szCs w:val="24"/>
          <w:highlight w:val="white"/>
        </w:rPr>
        <w:t>wa</w:t>
      </w:r>
      <w:proofErr w:type="spellEnd"/>
      <w:r>
        <w:rPr>
          <w:rFonts w:ascii="Times New Roman" w:eastAsia="Times New Roman" w:hAnsi="Times New Roman" w:cs="Times New Roman"/>
          <w:i/>
          <w:sz w:val="24"/>
          <w:szCs w:val="24"/>
          <w:highlight w:val="white"/>
        </w:rPr>
        <w:t xml:space="preserve"> </w:t>
      </w:r>
      <w:proofErr w:type="spellStart"/>
      <w:r>
        <w:rPr>
          <w:rFonts w:ascii="Times New Roman" w:eastAsia="Times New Roman" w:hAnsi="Times New Roman" w:cs="Times New Roman"/>
          <w:i/>
          <w:sz w:val="24"/>
          <w:szCs w:val="24"/>
          <w:highlight w:val="white"/>
        </w:rPr>
        <w:t>naze</w:t>
      </w:r>
      <w:proofErr w:type="spellEnd"/>
      <w:r>
        <w:rPr>
          <w:rFonts w:ascii="Times New Roman" w:eastAsia="Times New Roman" w:hAnsi="Times New Roman" w:cs="Times New Roman"/>
          <w:i/>
          <w:sz w:val="24"/>
          <w:szCs w:val="24"/>
          <w:highlight w:val="white"/>
        </w:rPr>
        <w:t xml:space="preserve"> </w:t>
      </w:r>
      <w:proofErr w:type="spellStart"/>
      <w:r>
        <w:rPr>
          <w:rFonts w:ascii="Times New Roman" w:eastAsia="Times New Roman" w:hAnsi="Times New Roman" w:cs="Times New Roman"/>
          <w:i/>
          <w:sz w:val="24"/>
          <w:szCs w:val="24"/>
          <w:highlight w:val="white"/>
        </w:rPr>
        <w:t>sonzai</w:t>
      </w:r>
      <w:proofErr w:type="spellEnd"/>
      <w:r>
        <w:rPr>
          <w:rFonts w:ascii="Times New Roman" w:eastAsia="Times New Roman" w:hAnsi="Times New Roman" w:cs="Times New Roman"/>
          <w:i/>
          <w:sz w:val="24"/>
          <w:szCs w:val="24"/>
          <w:highlight w:val="white"/>
        </w:rPr>
        <w:t xml:space="preserve"> </w:t>
      </w:r>
      <w:proofErr w:type="spellStart"/>
      <w:r>
        <w:rPr>
          <w:rFonts w:ascii="Times New Roman" w:eastAsia="Times New Roman" w:hAnsi="Times New Roman" w:cs="Times New Roman"/>
          <w:i/>
          <w:sz w:val="24"/>
          <w:szCs w:val="24"/>
          <w:highlight w:val="white"/>
        </w:rPr>
        <w:t>surunoka</w:t>
      </w:r>
      <w:proofErr w:type="spellEnd"/>
      <w:r>
        <w:rPr>
          <w:rFonts w:ascii="Times New Roman" w:eastAsia="Times New Roman" w:hAnsi="Times New Roman" w:cs="Times New Roman"/>
          <w:sz w:val="24"/>
          <w:szCs w:val="24"/>
          <w:highlight w:val="white"/>
        </w:rPr>
        <w:t xml:space="preserve"> [Why do companies exist?]. Tokyo: Toyo Keizai Inc. (In Japanese)</w:t>
      </w:r>
    </w:p>
    <w:p w14:paraId="29687641" w14:textId="77777777" w:rsidR="007373F6" w:rsidRDefault="00000000">
      <w:pPr>
        <w:widowControl w:val="0"/>
        <w:spacing w:after="0" w:line="240" w:lineRule="auto"/>
        <w:ind w:left="720" w:hanging="720"/>
        <w:jc w:val="both"/>
        <w:rPr>
          <w:rFonts w:ascii="Times New Roman" w:eastAsia="Times New Roman" w:hAnsi="Times New Roman" w:cs="Times New Roman"/>
          <w:sz w:val="24"/>
          <w:szCs w:val="24"/>
          <w:highlight w:val="white"/>
        </w:rPr>
      </w:pPr>
      <w:proofErr w:type="spellStart"/>
      <w:r>
        <w:rPr>
          <w:rFonts w:ascii="Times New Roman" w:eastAsia="Times New Roman" w:hAnsi="Times New Roman" w:cs="Times New Roman"/>
          <w:sz w:val="24"/>
          <w:szCs w:val="24"/>
          <w:highlight w:val="white"/>
        </w:rPr>
        <w:lastRenderedPageBreak/>
        <w:t>Iwatsubo</w:t>
      </w:r>
      <w:proofErr w:type="spellEnd"/>
      <w:r>
        <w:rPr>
          <w:rFonts w:ascii="Times New Roman" w:eastAsia="Times New Roman" w:hAnsi="Times New Roman" w:cs="Times New Roman"/>
          <w:sz w:val="24"/>
          <w:szCs w:val="24"/>
          <w:highlight w:val="white"/>
        </w:rPr>
        <w:t xml:space="preserve">, K., &amp; Zhang, Y. (2017). </w:t>
      </w:r>
      <w:r>
        <w:rPr>
          <w:rFonts w:ascii="Times New Roman" w:eastAsia="Times New Roman" w:hAnsi="Times New Roman" w:cs="Times New Roman"/>
          <w:i/>
          <w:sz w:val="24"/>
          <w:szCs w:val="24"/>
          <w:highlight w:val="white"/>
        </w:rPr>
        <w:t xml:space="preserve">Kabushiki </w:t>
      </w:r>
      <w:proofErr w:type="spellStart"/>
      <w:r>
        <w:rPr>
          <w:rFonts w:ascii="Times New Roman" w:eastAsia="Times New Roman" w:hAnsi="Times New Roman" w:cs="Times New Roman"/>
          <w:i/>
          <w:sz w:val="24"/>
          <w:szCs w:val="24"/>
          <w:highlight w:val="white"/>
        </w:rPr>
        <w:t>kaisha</w:t>
      </w:r>
      <w:proofErr w:type="spellEnd"/>
      <w:r>
        <w:rPr>
          <w:rFonts w:ascii="Times New Roman" w:eastAsia="Times New Roman" w:hAnsi="Times New Roman" w:cs="Times New Roman"/>
          <w:i/>
          <w:sz w:val="24"/>
          <w:szCs w:val="24"/>
          <w:highlight w:val="white"/>
        </w:rPr>
        <w:t xml:space="preserve"> </w:t>
      </w:r>
      <w:proofErr w:type="spellStart"/>
      <w:r>
        <w:rPr>
          <w:rFonts w:ascii="Times New Roman" w:eastAsia="Times New Roman" w:hAnsi="Times New Roman" w:cs="Times New Roman"/>
          <w:i/>
          <w:sz w:val="24"/>
          <w:szCs w:val="24"/>
          <w:highlight w:val="white"/>
        </w:rPr>
        <w:t>ni</w:t>
      </w:r>
      <w:proofErr w:type="spellEnd"/>
      <w:r>
        <w:rPr>
          <w:rFonts w:ascii="Times New Roman" w:eastAsia="Times New Roman" w:hAnsi="Times New Roman" w:cs="Times New Roman"/>
          <w:i/>
          <w:sz w:val="24"/>
          <w:szCs w:val="24"/>
          <w:highlight w:val="white"/>
        </w:rPr>
        <w:t xml:space="preserve"> </w:t>
      </w:r>
      <w:proofErr w:type="spellStart"/>
      <w:r>
        <w:rPr>
          <w:rFonts w:ascii="Times New Roman" w:eastAsia="Times New Roman" w:hAnsi="Times New Roman" w:cs="Times New Roman"/>
          <w:i/>
          <w:sz w:val="24"/>
          <w:szCs w:val="24"/>
          <w:highlight w:val="white"/>
        </w:rPr>
        <w:t>okeru</w:t>
      </w:r>
      <w:proofErr w:type="spellEnd"/>
      <w:r>
        <w:rPr>
          <w:rFonts w:ascii="Times New Roman" w:eastAsia="Times New Roman" w:hAnsi="Times New Roman" w:cs="Times New Roman"/>
          <w:i/>
          <w:sz w:val="24"/>
          <w:szCs w:val="24"/>
          <w:highlight w:val="white"/>
        </w:rPr>
        <w:t xml:space="preserve"> </w:t>
      </w:r>
      <w:proofErr w:type="spellStart"/>
      <w:r>
        <w:rPr>
          <w:rFonts w:ascii="Times New Roman" w:eastAsia="Times New Roman" w:hAnsi="Times New Roman" w:cs="Times New Roman"/>
          <w:i/>
          <w:sz w:val="24"/>
          <w:szCs w:val="24"/>
          <w:highlight w:val="white"/>
        </w:rPr>
        <w:t>jishakabu</w:t>
      </w:r>
      <w:proofErr w:type="spellEnd"/>
      <w:r>
        <w:rPr>
          <w:rFonts w:ascii="Times New Roman" w:eastAsia="Times New Roman" w:hAnsi="Times New Roman" w:cs="Times New Roman"/>
          <w:i/>
          <w:sz w:val="24"/>
          <w:szCs w:val="24"/>
          <w:highlight w:val="white"/>
        </w:rPr>
        <w:t xml:space="preserve"> </w:t>
      </w:r>
      <w:proofErr w:type="spellStart"/>
      <w:r>
        <w:rPr>
          <w:rFonts w:ascii="Times New Roman" w:eastAsia="Times New Roman" w:hAnsi="Times New Roman" w:cs="Times New Roman"/>
          <w:i/>
          <w:sz w:val="24"/>
          <w:szCs w:val="24"/>
          <w:highlight w:val="white"/>
        </w:rPr>
        <w:t>shutoku</w:t>
      </w:r>
      <w:proofErr w:type="spellEnd"/>
      <w:r>
        <w:rPr>
          <w:rFonts w:ascii="Times New Roman" w:eastAsia="Times New Roman" w:hAnsi="Times New Roman" w:cs="Times New Roman"/>
          <w:i/>
          <w:sz w:val="24"/>
          <w:szCs w:val="24"/>
          <w:highlight w:val="white"/>
        </w:rPr>
        <w:t xml:space="preserve"> no </w:t>
      </w:r>
      <w:proofErr w:type="spellStart"/>
      <w:r>
        <w:rPr>
          <w:rFonts w:ascii="Times New Roman" w:eastAsia="Times New Roman" w:hAnsi="Times New Roman" w:cs="Times New Roman"/>
          <w:i/>
          <w:sz w:val="24"/>
          <w:szCs w:val="24"/>
          <w:highlight w:val="white"/>
        </w:rPr>
        <w:t>riyū</w:t>
      </w:r>
      <w:proofErr w:type="spellEnd"/>
      <w:r>
        <w:rPr>
          <w:rFonts w:ascii="Times New Roman" w:eastAsia="Times New Roman" w:hAnsi="Times New Roman" w:cs="Times New Roman"/>
          <w:i/>
          <w:sz w:val="24"/>
          <w:szCs w:val="24"/>
          <w:highlight w:val="white"/>
        </w:rPr>
        <w:t xml:space="preserve"> to </w:t>
      </w:r>
      <w:proofErr w:type="spellStart"/>
      <w:r>
        <w:rPr>
          <w:rFonts w:ascii="Times New Roman" w:eastAsia="Times New Roman" w:hAnsi="Times New Roman" w:cs="Times New Roman"/>
          <w:i/>
          <w:sz w:val="24"/>
          <w:szCs w:val="24"/>
          <w:highlight w:val="white"/>
        </w:rPr>
        <w:t>keizaiteki</w:t>
      </w:r>
      <w:proofErr w:type="spellEnd"/>
      <w:r>
        <w:rPr>
          <w:rFonts w:ascii="Times New Roman" w:eastAsia="Times New Roman" w:hAnsi="Times New Roman" w:cs="Times New Roman"/>
          <w:i/>
          <w:sz w:val="24"/>
          <w:szCs w:val="24"/>
          <w:highlight w:val="white"/>
        </w:rPr>
        <w:t xml:space="preserve"> </w:t>
      </w:r>
      <w:proofErr w:type="spellStart"/>
      <w:r>
        <w:rPr>
          <w:rFonts w:ascii="Times New Roman" w:eastAsia="Times New Roman" w:hAnsi="Times New Roman" w:cs="Times New Roman"/>
          <w:i/>
          <w:sz w:val="24"/>
          <w:szCs w:val="24"/>
          <w:highlight w:val="white"/>
        </w:rPr>
        <w:t>igi</w:t>
      </w:r>
      <w:proofErr w:type="spellEnd"/>
      <w:r>
        <w:rPr>
          <w:rFonts w:ascii="Times New Roman" w:eastAsia="Times New Roman" w:hAnsi="Times New Roman" w:cs="Times New Roman"/>
          <w:sz w:val="24"/>
          <w:szCs w:val="24"/>
          <w:highlight w:val="white"/>
        </w:rPr>
        <w:t xml:space="preserve"> [Reasons and economic implications of share buybacks in corporations]. </w:t>
      </w:r>
      <w:r>
        <w:rPr>
          <w:rFonts w:ascii="Times New Roman" w:eastAsia="Times New Roman" w:hAnsi="Times New Roman" w:cs="Times New Roman"/>
          <w:i/>
          <w:sz w:val="24"/>
          <w:szCs w:val="24"/>
          <w:highlight w:val="white"/>
        </w:rPr>
        <w:t>Securities Analysts Journal</w:t>
      </w:r>
      <w:r>
        <w:rPr>
          <w:rFonts w:ascii="Times New Roman" w:eastAsia="Times New Roman" w:hAnsi="Times New Roman" w:cs="Times New Roman"/>
          <w:sz w:val="24"/>
          <w:szCs w:val="24"/>
          <w:highlight w:val="white"/>
        </w:rPr>
        <w:t>, 55(7), 68–78. (In Japanese)</w:t>
      </w:r>
    </w:p>
    <w:p w14:paraId="278D5B4E" w14:textId="77777777" w:rsidR="007373F6" w:rsidRDefault="00000000">
      <w:pPr>
        <w:widowControl w:val="0"/>
        <w:spacing w:after="0" w:line="240" w:lineRule="auto"/>
        <w:ind w:left="720" w:hanging="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Malik, M. (2012). A review and synthesis of 'cost stickiness' literature. </w:t>
      </w:r>
      <w:r>
        <w:rPr>
          <w:rFonts w:ascii="Times New Roman" w:eastAsia="Times New Roman" w:hAnsi="Times New Roman" w:cs="Times New Roman"/>
          <w:i/>
          <w:sz w:val="24"/>
          <w:szCs w:val="24"/>
          <w:highlight w:val="white"/>
        </w:rPr>
        <w:t>Available at SSRN 2276760</w:t>
      </w:r>
      <w:r>
        <w:rPr>
          <w:rFonts w:ascii="Times New Roman" w:eastAsia="Times New Roman" w:hAnsi="Times New Roman" w:cs="Times New Roman"/>
          <w:sz w:val="24"/>
          <w:szCs w:val="24"/>
          <w:highlight w:val="white"/>
        </w:rPr>
        <w:t>.</w:t>
      </w:r>
    </w:p>
    <w:p w14:paraId="74F481F2" w14:textId="77777777" w:rsidR="007373F6" w:rsidRDefault="00000000">
      <w:pPr>
        <w:widowControl w:val="0"/>
        <w:spacing w:after="0" w:line="240" w:lineRule="auto"/>
        <w:ind w:left="720" w:hanging="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Merton, R. (1987). A Simple Model of Capital Market Equilibrium with Incomplete Information. </w:t>
      </w:r>
      <w:r>
        <w:rPr>
          <w:rFonts w:ascii="Times New Roman" w:eastAsia="Times New Roman" w:hAnsi="Times New Roman" w:cs="Times New Roman"/>
          <w:i/>
          <w:sz w:val="24"/>
          <w:szCs w:val="24"/>
          <w:highlight w:val="white"/>
        </w:rPr>
        <w:t>Journal of Finance</w:t>
      </w:r>
      <w:r>
        <w:rPr>
          <w:rFonts w:ascii="Times New Roman" w:eastAsia="Times New Roman" w:hAnsi="Times New Roman" w:cs="Times New Roman"/>
          <w:sz w:val="24"/>
          <w:szCs w:val="24"/>
          <w:highlight w:val="white"/>
        </w:rPr>
        <w:t>, 42(3), 483-510.</w:t>
      </w:r>
    </w:p>
    <w:p w14:paraId="632A0D1C" w14:textId="77777777" w:rsidR="007373F6" w:rsidRDefault="00000000">
      <w:pPr>
        <w:widowControl w:val="0"/>
        <w:spacing w:after="0" w:line="240" w:lineRule="auto"/>
        <w:ind w:left="720" w:hanging="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Nagasawa,S</w:t>
      </w:r>
      <w:proofErr w:type="spellEnd"/>
      <w:r>
        <w:rPr>
          <w:rFonts w:ascii="Times New Roman" w:eastAsia="Times New Roman" w:hAnsi="Times New Roman" w:cs="Times New Roman"/>
          <w:sz w:val="24"/>
          <w:szCs w:val="24"/>
        </w:rPr>
        <w:t xml:space="preserve">., &amp; </w:t>
      </w:r>
      <w:proofErr w:type="spellStart"/>
      <w:r>
        <w:rPr>
          <w:rFonts w:ascii="Times New Roman" w:eastAsia="Times New Roman" w:hAnsi="Times New Roman" w:cs="Times New Roman"/>
          <w:sz w:val="24"/>
          <w:szCs w:val="24"/>
        </w:rPr>
        <w:t>Hosomi,S</w:t>
      </w:r>
      <w:proofErr w:type="spellEnd"/>
      <w:r>
        <w:rPr>
          <w:rFonts w:ascii="Times New Roman" w:eastAsia="Times New Roman" w:hAnsi="Times New Roman" w:cs="Times New Roman"/>
          <w:sz w:val="24"/>
          <w:szCs w:val="24"/>
        </w:rPr>
        <w:t xml:space="preserve">. (2018). Empirical study on asymmetric cost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analysis of the sticky costs of local public enterprises, </w:t>
      </w:r>
      <w:r>
        <w:rPr>
          <w:rFonts w:ascii="Times New Roman" w:eastAsia="Times New Roman" w:hAnsi="Times New Roman" w:cs="Times New Roman"/>
          <w:i/>
          <w:sz w:val="24"/>
          <w:szCs w:val="24"/>
        </w:rPr>
        <w:t xml:space="preserve">Asia-Pacific Management Accounting Journal, </w:t>
      </w:r>
      <w:r>
        <w:rPr>
          <w:rFonts w:ascii="Times New Roman" w:eastAsia="Times New Roman" w:hAnsi="Times New Roman" w:cs="Times New Roman"/>
          <w:sz w:val="24"/>
          <w:szCs w:val="24"/>
        </w:rPr>
        <w:t>Volume 13 Issue 2, 55-82.</w:t>
      </w:r>
    </w:p>
    <w:p w14:paraId="5F45D019" w14:textId="77777777" w:rsidR="007373F6" w:rsidRDefault="00000000">
      <w:pPr>
        <w:widowControl w:val="0"/>
        <w:spacing w:after="0" w:line="240" w:lineRule="auto"/>
        <w:ind w:left="720" w:hanging="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Noreen, E., &amp; Soderstrom, N. (1997). The accuracy of proportional cost models: evidence from hospital service departments. </w:t>
      </w:r>
      <w:r>
        <w:rPr>
          <w:rFonts w:ascii="Times New Roman" w:eastAsia="Times New Roman" w:hAnsi="Times New Roman" w:cs="Times New Roman"/>
          <w:i/>
          <w:sz w:val="24"/>
          <w:szCs w:val="24"/>
          <w:highlight w:val="white"/>
        </w:rPr>
        <w:t>Review of accounting Studies</w:t>
      </w:r>
      <w:r>
        <w:rPr>
          <w:rFonts w:ascii="Times New Roman" w:eastAsia="Times New Roman" w:hAnsi="Times New Roman" w:cs="Times New Roman"/>
          <w:sz w:val="24"/>
          <w:szCs w:val="24"/>
          <w:highlight w:val="white"/>
        </w:rPr>
        <w:t>, 2(1), 89-114.</w:t>
      </w:r>
    </w:p>
    <w:p w14:paraId="144D42A0" w14:textId="77777777" w:rsidR="007373F6" w:rsidRDefault="00000000">
      <w:pPr>
        <w:widowControl w:val="0"/>
        <w:spacing w:after="0" w:line="240" w:lineRule="auto"/>
        <w:ind w:left="720" w:hanging="720"/>
        <w:jc w:val="both"/>
        <w:rPr>
          <w:rFonts w:ascii="Times New Roman" w:eastAsia="Times New Roman" w:hAnsi="Times New Roman" w:cs="Times New Roman"/>
          <w:sz w:val="24"/>
          <w:szCs w:val="24"/>
          <w:highlight w:val="white"/>
        </w:rPr>
      </w:pPr>
      <w:bookmarkStart w:id="79" w:name="_heading=h.s6zpg6ffhb0n" w:colFirst="0" w:colLast="0"/>
      <w:bookmarkEnd w:id="79"/>
      <w:r>
        <w:rPr>
          <w:rFonts w:ascii="Times New Roman" w:eastAsia="Times New Roman" w:hAnsi="Times New Roman" w:cs="Times New Roman"/>
          <w:sz w:val="24"/>
          <w:szCs w:val="24"/>
          <w:highlight w:val="white"/>
        </w:rPr>
        <w:t xml:space="preserve">Ohlson, J. A., &amp; Juettner-Nauroth, B. E. (2005). Expected EPS and EPS growth as determinants of value. </w:t>
      </w:r>
      <w:r>
        <w:rPr>
          <w:rFonts w:ascii="Times New Roman" w:eastAsia="Times New Roman" w:hAnsi="Times New Roman" w:cs="Times New Roman"/>
          <w:i/>
          <w:sz w:val="24"/>
          <w:szCs w:val="24"/>
          <w:highlight w:val="white"/>
        </w:rPr>
        <w:t>Review of accounting studies</w:t>
      </w:r>
      <w:r>
        <w:rPr>
          <w:rFonts w:ascii="Times New Roman" w:eastAsia="Times New Roman" w:hAnsi="Times New Roman" w:cs="Times New Roman"/>
          <w:sz w:val="24"/>
          <w:szCs w:val="24"/>
          <w:highlight w:val="white"/>
        </w:rPr>
        <w:t>, 10(2), 349-365.</w:t>
      </w:r>
    </w:p>
    <w:p w14:paraId="7301AB0B" w14:textId="77777777" w:rsidR="007373F6" w:rsidRDefault="00000000">
      <w:pPr>
        <w:widowControl w:val="0"/>
        <w:spacing w:after="0" w:line="240" w:lineRule="auto"/>
        <w:ind w:left="720" w:hanging="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Weiss, D. (2010). Cost </w:t>
      </w:r>
      <w:proofErr w:type="spellStart"/>
      <w:r>
        <w:rPr>
          <w:rFonts w:ascii="Times New Roman" w:eastAsia="Times New Roman" w:hAnsi="Times New Roman" w:cs="Times New Roman"/>
          <w:sz w:val="24"/>
          <w:szCs w:val="24"/>
          <w:highlight w:val="white"/>
        </w:rPr>
        <w:t>behavior</w:t>
      </w:r>
      <w:proofErr w:type="spellEnd"/>
      <w:r>
        <w:rPr>
          <w:rFonts w:ascii="Times New Roman" w:eastAsia="Times New Roman" w:hAnsi="Times New Roman" w:cs="Times New Roman"/>
          <w:sz w:val="24"/>
          <w:szCs w:val="24"/>
          <w:highlight w:val="white"/>
        </w:rPr>
        <w:t xml:space="preserve"> and analysts’ earnings forecasts. </w:t>
      </w:r>
      <w:r>
        <w:rPr>
          <w:rFonts w:ascii="Times New Roman" w:eastAsia="Times New Roman" w:hAnsi="Times New Roman" w:cs="Times New Roman"/>
          <w:i/>
          <w:sz w:val="24"/>
          <w:szCs w:val="24"/>
          <w:highlight w:val="white"/>
        </w:rPr>
        <w:t>The Accounting Review,</w:t>
      </w:r>
      <w:r>
        <w:rPr>
          <w:rFonts w:ascii="Times New Roman" w:eastAsia="Times New Roman" w:hAnsi="Times New Roman" w:cs="Times New Roman"/>
          <w:sz w:val="24"/>
          <w:szCs w:val="24"/>
          <w:highlight w:val="white"/>
        </w:rPr>
        <w:t> 85(4), 1441-1471.</w:t>
      </w:r>
    </w:p>
    <w:p w14:paraId="220BCAAC" w14:textId="77777777" w:rsidR="007373F6" w:rsidRDefault="00000000">
      <w:pPr>
        <w:widowControl w:val="0"/>
        <w:spacing w:after="0" w:line="240" w:lineRule="auto"/>
        <w:ind w:left="720" w:hanging="720"/>
        <w:jc w:val="both"/>
        <w:rPr>
          <w:rFonts w:ascii="Times New Roman" w:eastAsia="Times New Roman" w:hAnsi="Times New Roman" w:cs="Times New Roman"/>
          <w:sz w:val="24"/>
          <w:szCs w:val="24"/>
        </w:rPr>
        <w:sectPr w:rsidR="007373F6">
          <w:pgSz w:w="11906" w:h="16838"/>
          <w:pgMar w:top="1440" w:right="1440" w:bottom="1440" w:left="1440" w:header="708" w:footer="708" w:gutter="0"/>
          <w:cols w:space="720"/>
        </w:sectPr>
      </w:pPr>
      <w:r>
        <w:rPr>
          <w:rFonts w:ascii="Times New Roman" w:eastAsia="Times New Roman" w:hAnsi="Times New Roman" w:cs="Times New Roman"/>
          <w:sz w:val="24"/>
          <w:szCs w:val="24"/>
          <w:highlight w:val="white"/>
        </w:rPr>
        <w:t xml:space="preserve">Yasukata, K. (2012). Genka </w:t>
      </w:r>
      <w:proofErr w:type="spellStart"/>
      <w:r>
        <w:rPr>
          <w:rFonts w:ascii="Times New Roman" w:eastAsia="Times New Roman" w:hAnsi="Times New Roman" w:cs="Times New Roman"/>
          <w:sz w:val="24"/>
          <w:szCs w:val="24"/>
          <w:highlight w:val="white"/>
        </w:rPr>
        <w:t>keiei</w:t>
      </w:r>
      <w:proofErr w:type="spellEnd"/>
      <w:r>
        <w:rPr>
          <w:rFonts w:ascii="Times New Roman" w:eastAsia="Times New Roman" w:hAnsi="Times New Roman" w:cs="Times New Roman"/>
          <w:sz w:val="24"/>
          <w:szCs w:val="24"/>
          <w:highlight w:val="white"/>
        </w:rPr>
        <w:t xml:space="preserve"> no </w:t>
      </w:r>
      <w:proofErr w:type="spellStart"/>
      <w:r>
        <w:rPr>
          <w:rFonts w:ascii="Times New Roman" w:eastAsia="Times New Roman" w:hAnsi="Times New Roman" w:cs="Times New Roman"/>
          <w:sz w:val="24"/>
          <w:szCs w:val="24"/>
          <w:highlight w:val="white"/>
        </w:rPr>
        <w:t>aratana</w:t>
      </w:r>
      <w:proofErr w:type="spellEnd"/>
      <w:r>
        <w:rPr>
          <w:rFonts w:ascii="Times New Roman" w:eastAsia="Times New Roman" w:hAnsi="Times New Roman" w:cs="Times New Roman"/>
          <w:sz w:val="24"/>
          <w:szCs w:val="24"/>
          <w:highlight w:val="white"/>
        </w:rPr>
        <w:t xml:space="preserve"> </w:t>
      </w:r>
      <w:proofErr w:type="spellStart"/>
      <w:r>
        <w:rPr>
          <w:rFonts w:ascii="Times New Roman" w:eastAsia="Times New Roman" w:hAnsi="Times New Roman" w:cs="Times New Roman"/>
          <w:sz w:val="24"/>
          <w:szCs w:val="24"/>
          <w:highlight w:val="white"/>
        </w:rPr>
        <w:t>tenkai</w:t>
      </w:r>
      <w:proofErr w:type="spellEnd"/>
      <w:r>
        <w:rPr>
          <w:rFonts w:ascii="Times New Roman" w:eastAsia="Times New Roman" w:hAnsi="Times New Roman" w:cs="Times New Roman"/>
          <w:sz w:val="24"/>
          <w:szCs w:val="24"/>
          <w:highlight w:val="white"/>
        </w:rPr>
        <w:t xml:space="preserve"> [New Developments in Cost Management]. Tokyo: Chuo </w:t>
      </w:r>
      <w:proofErr w:type="spellStart"/>
      <w:r>
        <w:rPr>
          <w:rFonts w:ascii="Times New Roman" w:eastAsia="Times New Roman" w:hAnsi="Times New Roman" w:cs="Times New Roman"/>
          <w:sz w:val="24"/>
          <w:szCs w:val="24"/>
          <w:highlight w:val="white"/>
        </w:rPr>
        <w:t>Keizaisha</w:t>
      </w:r>
      <w:proofErr w:type="spellEnd"/>
      <w:r>
        <w:rPr>
          <w:rFonts w:ascii="Times New Roman" w:eastAsia="Times New Roman" w:hAnsi="Times New Roman" w:cs="Times New Roman"/>
          <w:sz w:val="24"/>
          <w:szCs w:val="24"/>
          <w:highlight w:val="white"/>
        </w:rPr>
        <w:t>. (In Japanese)</w:t>
      </w:r>
    </w:p>
    <w:p w14:paraId="77FD0E8F" w14:textId="77777777" w:rsidR="007373F6" w:rsidRDefault="00000000">
      <w:pPr>
        <w:pStyle w:val="Heading1"/>
      </w:pPr>
      <w:bookmarkStart w:id="80" w:name="_Toc211808154"/>
      <w:r>
        <w:lastRenderedPageBreak/>
        <w:t>Paper ID 54</w:t>
      </w:r>
      <w:bookmarkEnd w:id="80"/>
    </w:p>
    <w:p w14:paraId="42248427" w14:textId="77777777" w:rsidR="007373F6" w:rsidRDefault="00000000">
      <w:pPr>
        <w:pStyle w:val="Heading2"/>
        <w:spacing w:after="0" w:line="240" w:lineRule="auto"/>
      </w:pPr>
      <w:bookmarkStart w:id="81" w:name="_Toc211808155"/>
      <w:r>
        <w:t>THE INFLUENCE OF FINANCIAL PERFORMANCE, COMPANY CHARACTERISTICS, CORPORATE GOVERNANCE AND AUDIT OPINION ON AUDIT DELAY (AT BASIC CHEMICAL COMPANIES IN INDONESIA)</w:t>
      </w:r>
      <w:bookmarkEnd w:id="81"/>
    </w:p>
    <w:p w14:paraId="0DEE9DEB" w14:textId="77777777" w:rsidR="007373F6" w:rsidRDefault="007373F6">
      <w:pPr>
        <w:spacing w:after="0" w:line="240" w:lineRule="auto"/>
        <w:jc w:val="center"/>
        <w:rPr>
          <w:rFonts w:ascii="Times New Roman" w:eastAsia="Times New Roman" w:hAnsi="Times New Roman" w:cs="Times New Roman"/>
          <w:b/>
          <w:sz w:val="26"/>
          <w:szCs w:val="26"/>
        </w:rPr>
      </w:pPr>
    </w:p>
    <w:p w14:paraId="162CFA5E" w14:textId="77777777" w:rsidR="007373F6" w:rsidRDefault="00000000">
      <w:pPr>
        <w:shd w:val="clear" w:color="auto" w:fill="FFFFFF"/>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Agus Rahman Alamsyah*</w:t>
      </w:r>
      <w:r>
        <w:rPr>
          <w:rFonts w:ascii="Times New Roman" w:eastAsia="Times New Roman" w:hAnsi="Times New Roman" w:cs="Times New Roman"/>
          <w:color w:val="222222"/>
          <w:sz w:val="24"/>
          <w:szCs w:val="24"/>
        </w:rPr>
        <w:t>, University of Merdeka Malang, Indonesia (agusra.080808@gmail.com)</w:t>
      </w:r>
    </w:p>
    <w:p w14:paraId="568DB240" w14:textId="77777777" w:rsidR="007373F6" w:rsidRDefault="00000000">
      <w:pPr>
        <w:shd w:val="clear" w:color="auto" w:fill="FFFFFF"/>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Diana Zuhroh</w:t>
      </w:r>
      <w:r>
        <w:rPr>
          <w:rFonts w:ascii="Times New Roman" w:eastAsia="Times New Roman" w:hAnsi="Times New Roman" w:cs="Times New Roman"/>
          <w:color w:val="222222"/>
          <w:sz w:val="24"/>
          <w:szCs w:val="24"/>
        </w:rPr>
        <w:t>, University of Merdeka Malang, Indonesia (diana.zuhroh@unmer.ac.id)</w:t>
      </w:r>
    </w:p>
    <w:p w14:paraId="14FC33BE" w14:textId="77777777" w:rsidR="007373F6" w:rsidRDefault="00000000">
      <w:pPr>
        <w:shd w:val="clear" w:color="auto" w:fill="FFFFFF"/>
        <w:jc w:val="cente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b/>
          <w:color w:val="222222"/>
          <w:sz w:val="24"/>
          <w:szCs w:val="24"/>
        </w:rPr>
        <w:t>Retna</w:t>
      </w:r>
      <w:proofErr w:type="spellEnd"/>
      <w:r>
        <w:rPr>
          <w:rFonts w:ascii="Times New Roman" w:eastAsia="Times New Roman" w:hAnsi="Times New Roman" w:cs="Times New Roman"/>
          <w:b/>
          <w:color w:val="222222"/>
          <w:sz w:val="24"/>
          <w:szCs w:val="24"/>
        </w:rPr>
        <w:t xml:space="preserve"> </w:t>
      </w:r>
      <w:proofErr w:type="spellStart"/>
      <w:r>
        <w:rPr>
          <w:rFonts w:ascii="Times New Roman" w:eastAsia="Times New Roman" w:hAnsi="Times New Roman" w:cs="Times New Roman"/>
          <w:b/>
          <w:color w:val="222222"/>
          <w:sz w:val="24"/>
          <w:szCs w:val="24"/>
        </w:rPr>
        <w:t>Safriliana</w:t>
      </w:r>
      <w:proofErr w:type="spellEnd"/>
      <w:r>
        <w:rPr>
          <w:rFonts w:ascii="Times New Roman" w:eastAsia="Times New Roman" w:hAnsi="Times New Roman" w:cs="Times New Roman"/>
          <w:color w:val="222222"/>
          <w:sz w:val="24"/>
          <w:szCs w:val="24"/>
        </w:rPr>
        <w:t>, University of Merdeka Malang, Indonesia (retna.safrialiana@unmer.ac.id)</w:t>
      </w:r>
    </w:p>
    <w:p w14:paraId="2A59C87B" w14:textId="77777777" w:rsidR="007373F6" w:rsidRDefault="007373F6">
      <w:pPr>
        <w:shd w:val="clear" w:color="auto" w:fill="FFFFFF"/>
        <w:jc w:val="center"/>
        <w:rPr>
          <w:rFonts w:ascii="Times New Roman" w:eastAsia="Times New Roman" w:hAnsi="Times New Roman" w:cs="Times New Roman"/>
          <w:color w:val="222222"/>
          <w:sz w:val="24"/>
          <w:szCs w:val="24"/>
        </w:rPr>
      </w:pPr>
    </w:p>
    <w:p w14:paraId="516CE2F6" w14:textId="77777777" w:rsidR="007373F6"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ABSTRACT</w:t>
      </w:r>
    </w:p>
    <w:p w14:paraId="594BCDC2"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expected objectives in this study are to </w:t>
      </w:r>
      <w:proofErr w:type="spellStart"/>
      <w:r>
        <w:rPr>
          <w:rFonts w:ascii="Times New Roman" w:eastAsia="Times New Roman" w:hAnsi="Times New Roman" w:cs="Times New Roman"/>
          <w:sz w:val="24"/>
          <w:szCs w:val="24"/>
        </w:rPr>
        <w:t>analyze</w:t>
      </w:r>
      <w:proofErr w:type="spellEnd"/>
      <w:r>
        <w:rPr>
          <w:rFonts w:ascii="Times New Roman" w:eastAsia="Times New Roman" w:hAnsi="Times New Roman" w:cs="Times New Roman"/>
          <w:sz w:val="24"/>
          <w:szCs w:val="24"/>
        </w:rPr>
        <w:t xml:space="preserve"> the effect of financial performance on audit delay, </w:t>
      </w:r>
      <w:proofErr w:type="spellStart"/>
      <w:r>
        <w:rPr>
          <w:rFonts w:ascii="Times New Roman" w:eastAsia="Times New Roman" w:hAnsi="Times New Roman" w:cs="Times New Roman"/>
          <w:sz w:val="24"/>
          <w:szCs w:val="24"/>
        </w:rPr>
        <w:t>analyze</w:t>
      </w:r>
      <w:proofErr w:type="spellEnd"/>
      <w:r>
        <w:rPr>
          <w:rFonts w:ascii="Times New Roman" w:eastAsia="Times New Roman" w:hAnsi="Times New Roman" w:cs="Times New Roman"/>
          <w:sz w:val="24"/>
          <w:szCs w:val="24"/>
        </w:rPr>
        <w:t xml:space="preserve"> the effect of company characteristics on audit delay and </w:t>
      </w:r>
      <w:proofErr w:type="spellStart"/>
      <w:r>
        <w:rPr>
          <w:rFonts w:ascii="Times New Roman" w:eastAsia="Times New Roman" w:hAnsi="Times New Roman" w:cs="Times New Roman"/>
          <w:sz w:val="24"/>
          <w:szCs w:val="24"/>
        </w:rPr>
        <w:t>analyze</w:t>
      </w:r>
      <w:proofErr w:type="spellEnd"/>
      <w:r>
        <w:rPr>
          <w:rFonts w:ascii="Times New Roman" w:eastAsia="Times New Roman" w:hAnsi="Times New Roman" w:cs="Times New Roman"/>
          <w:sz w:val="24"/>
          <w:szCs w:val="24"/>
        </w:rPr>
        <w:t xml:space="preserve"> the effect of corporate governance on audit delay in basic chemical companies. The population used in this research is manufacturing companies in the basic chemical sub-sector listed on the Indonesia Stock Exchange (IDX) in 2016-2023 as many as 17 companies. The sampling technique used the purposive sampling method, so that a total sample of 13 companies was obtained that met the requirements during the 8-year observation period. Thus, the number of observations used in this study is the result of 13 companies multiplied by 8 years, which is 104 observations. The data analysis technique uses logistic regression. The results of the analysis show that financial performance as measured by Return on Assets (ROA) does not have a significant effect on audit delay. Company characteristics as measured by company size do not have a significant effect on audit delay. Corporate governance as measured by the existence of an audit committee has a significant negative effect on audit delay. The effect of audit opinion on audit delay cannot be tested statistically and it cannot be concluded empirically whether audit opinion has an effect on audit delay in the context of this study. This condition reflects that in the basic chemical sector, the company's audit opinion tends to be uniform and does not provide a significant difference in the completion time of the financial statement audit.</w:t>
      </w:r>
    </w:p>
    <w:p w14:paraId="4C2175E0" w14:textId="77777777" w:rsidR="007373F6" w:rsidRDefault="007373F6">
      <w:pPr>
        <w:spacing w:after="0" w:line="240" w:lineRule="auto"/>
        <w:jc w:val="both"/>
        <w:rPr>
          <w:rFonts w:ascii="Times New Roman" w:eastAsia="Times New Roman" w:hAnsi="Times New Roman" w:cs="Times New Roman"/>
          <w:sz w:val="24"/>
          <w:szCs w:val="24"/>
        </w:rPr>
      </w:pPr>
    </w:p>
    <w:p w14:paraId="3AB3E984" w14:textId="77777777" w:rsidR="007373F6" w:rsidRDefault="00000000">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Keywords: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Financial Performance, Company Characteristics, Corporate Governance, Audit Opinion, Audit Delay</w:t>
      </w:r>
    </w:p>
    <w:p w14:paraId="672682D8" w14:textId="77777777" w:rsidR="007D37A4" w:rsidRDefault="007D37A4">
      <w:pPr>
        <w:jc w:val="both"/>
      </w:pPr>
    </w:p>
    <w:p w14:paraId="099E187A" w14:textId="77777777" w:rsidR="007D37A4" w:rsidRPr="007D37A4" w:rsidRDefault="007D37A4" w:rsidP="007D37A4">
      <w:pPr>
        <w:jc w:val="center"/>
        <w:rPr>
          <w:rFonts w:asciiTheme="majorBidi" w:hAnsiTheme="majorBidi" w:cstheme="majorBidi"/>
          <w:sz w:val="24"/>
          <w:szCs w:val="24"/>
        </w:rPr>
      </w:pPr>
      <w:r w:rsidRPr="007D37A4">
        <w:rPr>
          <w:rFonts w:asciiTheme="majorBidi" w:hAnsiTheme="majorBidi" w:cstheme="majorBidi"/>
          <w:b/>
          <w:bCs/>
          <w:sz w:val="24"/>
          <w:szCs w:val="24"/>
        </w:rPr>
        <w:t>1. INTRODUCTION</w:t>
      </w:r>
    </w:p>
    <w:p w14:paraId="111DC5C8" w14:textId="77777777" w:rsidR="007D37A4" w:rsidRPr="007D37A4" w:rsidRDefault="007D37A4" w:rsidP="00164D54">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Financial reports are one of several vital sources of data and information, alongside other information such as industry information, economic conditions, company market share, management quality, and so on (Gantino and Susanti, 2019). There are five main types of financial reports produced: the balance sheet, profit and loss statement, statement of changes in equity, cash flow statement, and notes to the financial statements (CALK). Furthermore, in addition to these five reports, supporting reports are also needed, such as undistributed earnings and the results of management meetings (Hanafi &amp; Halim, 2016).</w:t>
      </w:r>
    </w:p>
    <w:p w14:paraId="3E394BBE" w14:textId="77777777" w:rsidR="007D37A4" w:rsidRPr="007D37A4" w:rsidRDefault="007D37A4" w:rsidP="00164D54">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 xml:space="preserve">Financial reports are a key component of the instrument for conveying data and information related to a company's financial position, performance, and developments. These reports need to be submitted to end users as a basis for making important decisions. Therefore, a financial report serves as a bridge or intermediary for information between the company's </w:t>
      </w:r>
      <w:r w:rsidRPr="007D37A4">
        <w:rPr>
          <w:rFonts w:asciiTheme="majorBidi" w:hAnsiTheme="majorBidi" w:cstheme="majorBidi"/>
          <w:sz w:val="24"/>
          <w:szCs w:val="24"/>
        </w:rPr>
        <w:lastRenderedPageBreak/>
        <w:t>internal and external stakeholders. Therefore, management strives to implement strategies to create financial reports that appear "good" and acceptable.(</w:t>
      </w:r>
      <w:proofErr w:type="spellStart"/>
      <w:r w:rsidRPr="007D37A4">
        <w:rPr>
          <w:rFonts w:asciiTheme="majorBidi" w:hAnsiTheme="majorBidi" w:cstheme="majorBidi"/>
          <w:sz w:val="24"/>
          <w:szCs w:val="24"/>
        </w:rPr>
        <w:t>Kieso</w:t>
      </w:r>
      <w:proofErr w:type="spellEnd"/>
      <w:r w:rsidRPr="007D37A4">
        <w:rPr>
          <w:rFonts w:asciiTheme="majorBidi" w:hAnsiTheme="majorBidi" w:cstheme="majorBidi"/>
          <w:sz w:val="24"/>
          <w:szCs w:val="24"/>
        </w:rPr>
        <w:t xml:space="preserve"> et al., 2019).</w:t>
      </w:r>
    </w:p>
    <w:p w14:paraId="371B99CE" w14:textId="77777777" w:rsidR="007D37A4" w:rsidRPr="007D37A4" w:rsidRDefault="007D37A4" w:rsidP="00164D54">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Financial reports must not only be presented well but also be published or issued in a timely manner, as the need for them is crucial for business activities. Delays in issuing financial reports will impact investment activities, particularly for investors making investment decisions. Delays in issuing financial reports are a sign of inconsistency (irrelevance). The principle of relevance states that financial reports must be presented in a timely manner to those who need them. Delays in presenting financial reports will result in a loss of relevance. Financial reports fail to meet the timeliness requirements for providing company information.(Barth et al., 2001).</w:t>
      </w:r>
    </w:p>
    <w:p w14:paraId="38E84F40" w14:textId="77777777" w:rsidR="007D37A4" w:rsidRPr="007D37A4" w:rsidRDefault="007D37A4" w:rsidP="00164D54">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One factor causing delays in the publication of financial reports is issues with the audit process. A financial audit must be conducted prior to the publication of financial reports. The audit process takes considerable time to produce financial reports that meet standards. The audit process, which requires stages and procedures, results in delays in financial reporting. Late publication and issuance of financial reports is referred to as audit delay.(Owusu-Ansah, 2000).</w:t>
      </w:r>
    </w:p>
    <w:p w14:paraId="433514CE" w14:textId="77777777" w:rsidR="007D37A4" w:rsidRPr="007D37A4" w:rsidRDefault="007D37A4" w:rsidP="00164D54">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Audit delay is the time interval for completing an audit, measured from the closing date of the financial statements (December 31) to the reporting date of the audited financial statements. Audit delay can also be defined as the total number of days from the closing date of the company's annual financial statements to the date the audited financial statements are signed (</w:t>
      </w:r>
      <w:proofErr w:type="spellStart"/>
      <w:r w:rsidRPr="007D37A4">
        <w:rPr>
          <w:rFonts w:asciiTheme="majorBidi" w:hAnsiTheme="majorBidi" w:cstheme="majorBidi"/>
          <w:sz w:val="24"/>
          <w:szCs w:val="24"/>
        </w:rPr>
        <w:t>Robbitasari</w:t>
      </w:r>
      <w:proofErr w:type="spellEnd"/>
      <w:r w:rsidRPr="007D37A4">
        <w:rPr>
          <w:rFonts w:asciiTheme="majorBidi" w:hAnsiTheme="majorBidi" w:cstheme="majorBidi"/>
          <w:sz w:val="24"/>
          <w:szCs w:val="24"/>
        </w:rPr>
        <w:t>, 2013).</w:t>
      </w:r>
    </w:p>
    <w:p w14:paraId="666BF268" w14:textId="77777777" w:rsidR="007D37A4" w:rsidRPr="007D37A4" w:rsidRDefault="007D37A4" w:rsidP="00164D54">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 xml:space="preserve">Despite the emphasis on deadlines for completing financial reports and sanctions for companies that are late in reporting audited financial reports, some companies are still late in publishing their audited financial reports (Felicia and </w:t>
      </w:r>
      <w:proofErr w:type="spellStart"/>
      <w:r w:rsidRPr="007D37A4">
        <w:rPr>
          <w:rFonts w:asciiTheme="majorBidi" w:hAnsiTheme="majorBidi" w:cstheme="majorBidi"/>
          <w:sz w:val="24"/>
          <w:szCs w:val="24"/>
        </w:rPr>
        <w:t>Pesudo</w:t>
      </w:r>
      <w:proofErr w:type="spellEnd"/>
      <w:r w:rsidRPr="007D37A4">
        <w:rPr>
          <w:rFonts w:asciiTheme="majorBidi" w:hAnsiTheme="majorBidi" w:cstheme="majorBidi"/>
          <w:sz w:val="24"/>
          <w:szCs w:val="24"/>
        </w:rPr>
        <w:t>, 2019). On April 9, 2015, the IDX recorded 52 companies that had not published their audited financial reports as of December 2014 (Nabhani, 2015). As of June 29, 2015, six companies had not submitted their financial reports as of December 31, 2014, and the IDX suspended these six companies (</w:t>
      </w:r>
      <w:proofErr w:type="spellStart"/>
      <w:r w:rsidRPr="007D37A4">
        <w:rPr>
          <w:rFonts w:asciiTheme="majorBidi" w:hAnsiTheme="majorBidi" w:cstheme="majorBidi"/>
          <w:sz w:val="24"/>
          <w:szCs w:val="24"/>
        </w:rPr>
        <w:t>Sukirno</w:t>
      </w:r>
      <w:proofErr w:type="spellEnd"/>
      <w:r w:rsidRPr="007D37A4">
        <w:rPr>
          <w:rFonts w:asciiTheme="majorBidi" w:hAnsiTheme="majorBidi" w:cstheme="majorBidi"/>
          <w:sz w:val="24"/>
          <w:szCs w:val="24"/>
        </w:rPr>
        <w:t>, 2015). The IDX also suspended trading in the shares of 18 listed companies because they had not published their audited financial reports as of December 31, 2015 (</w:t>
      </w:r>
      <w:proofErr w:type="spellStart"/>
      <w:r w:rsidRPr="007D37A4">
        <w:rPr>
          <w:rFonts w:asciiTheme="majorBidi" w:hAnsiTheme="majorBidi" w:cstheme="majorBidi"/>
          <w:sz w:val="24"/>
          <w:szCs w:val="24"/>
        </w:rPr>
        <w:t>Pasopati</w:t>
      </w:r>
      <w:proofErr w:type="spellEnd"/>
      <w:r w:rsidRPr="007D37A4">
        <w:rPr>
          <w:rFonts w:asciiTheme="majorBidi" w:hAnsiTheme="majorBidi" w:cstheme="majorBidi"/>
          <w:sz w:val="24"/>
          <w:szCs w:val="24"/>
        </w:rPr>
        <w:t>, 2016). Seventeen listed companies were suspended for failing to publish audited financial reports as of December 31, 2016, and for failing to pay fines for late submissions (Melani, 2017). Therefore, this fact is crucial and requires companies to pay attention to addressing late financial reporting.</w:t>
      </w:r>
    </w:p>
    <w:p w14:paraId="563F7C3C" w14:textId="77777777" w:rsidR="007D37A4" w:rsidRPr="007D37A4" w:rsidRDefault="007D37A4" w:rsidP="00164D54">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Many factors influence audit delay, such as company performance, company characteristics, corporate governance, and audit opinions. One variable influencing audit delay is financial performance. Company performance, as measured by return on assets (ROA), contributes to audit delay. ROA, an indicator of profitability, is used to measure the success or failure of a company or division over a specific period (</w:t>
      </w:r>
      <w:proofErr w:type="spellStart"/>
      <w:r w:rsidRPr="007D37A4">
        <w:rPr>
          <w:rFonts w:asciiTheme="majorBidi" w:hAnsiTheme="majorBidi" w:cstheme="majorBidi"/>
          <w:sz w:val="24"/>
          <w:szCs w:val="24"/>
        </w:rPr>
        <w:t>Kieso</w:t>
      </w:r>
      <w:proofErr w:type="spellEnd"/>
      <w:r w:rsidRPr="007D37A4">
        <w:rPr>
          <w:rFonts w:asciiTheme="majorBidi" w:hAnsiTheme="majorBidi" w:cstheme="majorBidi"/>
          <w:sz w:val="24"/>
          <w:szCs w:val="24"/>
        </w:rPr>
        <w:t xml:space="preserve">, Weygant, and Warfield, 2013). Companies earning higher profits tend to be more punctual in submitting financial reports than companies reporting losses. Companies with higher ROA also require faster audit times due to the obligation to publish good information as quickly as possible to the public. Auditors respond more cautiously to companies experiencing losses. Research by Utomo, </w:t>
      </w:r>
      <w:proofErr w:type="spellStart"/>
      <w:r w:rsidRPr="007D37A4">
        <w:rPr>
          <w:rFonts w:asciiTheme="majorBidi" w:hAnsiTheme="majorBidi" w:cstheme="majorBidi"/>
          <w:sz w:val="24"/>
          <w:szCs w:val="24"/>
        </w:rPr>
        <w:t>Kumalasari</w:t>
      </w:r>
      <w:proofErr w:type="spellEnd"/>
      <w:r w:rsidRPr="007D37A4">
        <w:rPr>
          <w:rFonts w:asciiTheme="majorBidi" w:hAnsiTheme="majorBidi" w:cstheme="majorBidi"/>
          <w:sz w:val="24"/>
          <w:szCs w:val="24"/>
        </w:rPr>
        <w:t xml:space="preserve">, </w:t>
      </w:r>
      <w:proofErr w:type="spellStart"/>
      <w:r w:rsidRPr="007D37A4">
        <w:rPr>
          <w:rFonts w:asciiTheme="majorBidi" w:hAnsiTheme="majorBidi" w:cstheme="majorBidi"/>
          <w:sz w:val="24"/>
          <w:szCs w:val="24"/>
        </w:rPr>
        <w:t>Machmuddah</w:t>
      </w:r>
      <w:proofErr w:type="spellEnd"/>
      <w:r w:rsidRPr="007D37A4">
        <w:rPr>
          <w:rFonts w:asciiTheme="majorBidi" w:hAnsiTheme="majorBidi" w:cstheme="majorBidi"/>
          <w:sz w:val="24"/>
          <w:szCs w:val="24"/>
        </w:rPr>
        <w:t xml:space="preserve"> (2017); </w:t>
      </w:r>
      <w:proofErr w:type="spellStart"/>
      <w:r w:rsidRPr="007D37A4">
        <w:rPr>
          <w:rFonts w:asciiTheme="majorBidi" w:hAnsiTheme="majorBidi" w:cstheme="majorBidi"/>
          <w:sz w:val="24"/>
          <w:szCs w:val="24"/>
        </w:rPr>
        <w:t>Purba</w:t>
      </w:r>
      <w:proofErr w:type="spellEnd"/>
      <w:r w:rsidRPr="007D37A4">
        <w:rPr>
          <w:rFonts w:asciiTheme="majorBidi" w:hAnsiTheme="majorBidi" w:cstheme="majorBidi"/>
          <w:sz w:val="24"/>
          <w:szCs w:val="24"/>
        </w:rPr>
        <w:t xml:space="preserve"> (2018); </w:t>
      </w:r>
      <w:proofErr w:type="spellStart"/>
      <w:r w:rsidRPr="007D37A4">
        <w:rPr>
          <w:rFonts w:asciiTheme="majorBidi" w:hAnsiTheme="majorBidi" w:cstheme="majorBidi"/>
          <w:sz w:val="24"/>
          <w:szCs w:val="24"/>
        </w:rPr>
        <w:t>Findriani</w:t>
      </w:r>
      <w:proofErr w:type="spellEnd"/>
      <w:r w:rsidRPr="007D37A4">
        <w:rPr>
          <w:rFonts w:asciiTheme="majorBidi" w:hAnsiTheme="majorBidi" w:cstheme="majorBidi"/>
          <w:sz w:val="24"/>
          <w:szCs w:val="24"/>
        </w:rPr>
        <w:t xml:space="preserve"> (2021); Evani, Susilowati, and </w:t>
      </w:r>
      <w:proofErr w:type="spellStart"/>
      <w:r w:rsidRPr="007D37A4">
        <w:rPr>
          <w:rFonts w:asciiTheme="majorBidi" w:hAnsiTheme="majorBidi" w:cstheme="majorBidi"/>
          <w:sz w:val="24"/>
          <w:szCs w:val="24"/>
        </w:rPr>
        <w:t>Kusumastati</w:t>
      </w:r>
      <w:proofErr w:type="spellEnd"/>
      <w:r w:rsidRPr="007D37A4">
        <w:rPr>
          <w:rFonts w:asciiTheme="majorBidi" w:hAnsiTheme="majorBidi" w:cstheme="majorBidi"/>
          <w:sz w:val="24"/>
          <w:szCs w:val="24"/>
        </w:rPr>
        <w:t xml:space="preserve"> (2022); stated that financial performance measured by profitability with ROA indicators, affects audit delay.</w:t>
      </w:r>
    </w:p>
    <w:p w14:paraId="5C8DFEAF" w14:textId="77777777" w:rsidR="007D37A4" w:rsidRPr="007D37A4" w:rsidRDefault="007D37A4" w:rsidP="00164D54">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 xml:space="preserve">Company characteristics are also variables that contribute to audit delay. One indicator of company character is company size. Company size is a scale that can be classified according to the size of a company based on several methods such as total assets, log company size, total sales, and other methods (Susanto, 2013). In principle, company size is only grouped into three categories: large firm, medium firm, and small firm. Company size anomalies are more due to </w:t>
      </w:r>
      <w:r w:rsidRPr="007D37A4">
        <w:rPr>
          <w:rFonts w:asciiTheme="majorBidi" w:hAnsiTheme="majorBidi" w:cstheme="majorBidi"/>
          <w:sz w:val="24"/>
          <w:szCs w:val="24"/>
        </w:rPr>
        <w:lastRenderedPageBreak/>
        <w:t xml:space="preserve">the availability of published information. The amount of information conveyed to a company increases in line with company size. The size of a company is also determined by the extent of its operations. The higher the value of a company's assets, the shorter the audit delay, and vice versa. Research by Abdillah, </w:t>
      </w:r>
      <w:proofErr w:type="spellStart"/>
      <w:r w:rsidRPr="007D37A4">
        <w:rPr>
          <w:rFonts w:asciiTheme="majorBidi" w:hAnsiTheme="majorBidi" w:cstheme="majorBidi"/>
          <w:sz w:val="24"/>
          <w:szCs w:val="24"/>
        </w:rPr>
        <w:t>Mardijuwono</w:t>
      </w:r>
      <w:proofErr w:type="spellEnd"/>
      <w:r w:rsidRPr="007D37A4">
        <w:rPr>
          <w:rFonts w:asciiTheme="majorBidi" w:hAnsiTheme="majorBidi" w:cstheme="majorBidi"/>
          <w:sz w:val="24"/>
          <w:szCs w:val="24"/>
        </w:rPr>
        <w:t xml:space="preserve">, and </w:t>
      </w:r>
      <w:proofErr w:type="spellStart"/>
      <w:r w:rsidRPr="007D37A4">
        <w:rPr>
          <w:rFonts w:asciiTheme="majorBidi" w:hAnsiTheme="majorBidi" w:cstheme="majorBidi"/>
          <w:sz w:val="24"/>
          <w:szCs w:val="24"/>
        </w:rPr>
        <w:t>Habiburrochman</w:t>
      </w:r>
      <w:proofErr w:type="spellEnd"/>
      <w:r w:rsidRPr="007D37A4">
        <w:rPr>
          <w:rFonts w:asciiTheme="majorBidi" w:hAnsiTheme="majorBidi" w:cstheme="majorBidi"/>
          <w:sz w:val="24"/>
          <w:szCs w:val="24"/>
        </w:rPr>
        <w:t xml:space="preserve"> (2019); </w:t>
      </w:r>
      <w:proofErr w:type="spellStart"/>
      <w:r w:rsidRPr="007D37A4">
        <w:rPr>
          <w:rFonts w:asciiTheme="majorBidi" w:hAnsiTheme="majorBidi" w:cstheme="majorBidi"/>
          <w:sz w:val="24"/>
          <w:szCs w:val="24"/>
        </w:rPr>
        <w:t>Safitri</w:t>
      </w:r>
      <w:proofErr w:type="spellEnd"/>
      <w:r w:rsidRPr="007D37A4">
        <w:rPr>
          <w:rFonts w:asciiTheme="majorBidi" w:hAnsiTheme="majorBidi" w:cstheme="majorBidi"/>
          <w:sz w:val="24"/>
          <w:szCs w:val="24"/>
        </w:rPr>
        <w:t xml:space="preserve"> and Triani (2021); </w:t>
      </w:r>
      <w:proofErr w:type="spellStart"/>
      <w:r w:rsidRPr="007D37A4">
        <w:rPr>
          <w:rFonts w:asciiTheme="majorBidi" w:hAnsiTheme="majorBidi" w:cstheme="majorBidi"/>
          <w:sz w:val="24"/>
          <w:szCs w:val="24"/>
        </w:rPr>
        <w:t>Sudjono</w:t>
      </w:r>
      <w:proofErr w:type="spellEnd"/>
      <w:r w:rsidRPr="007D37A4">
        <w:rPr>
          <w:rFonts w:asciiTheme="majorBidi" w:hAnsiTheme="majorBidi" w:cstheme="majorBidi"/>
          <w:sz w:val="24"/>
          <w:szCs w:val="24"/>
        </w:rPr>
        <w:t xml:space="preserve"> and Setiawan (2022); Utami, </w:t>
      </w:r>
      <w:proofErr w:type="spellStart"/>
      <w:r w:rsidRPr="007D37A4">
        <w:rPr>
          <w:rFonts w:asciiTheme="majorBidi" w:hAnsiTheme="majorBidi" w:cstheme="majorBidi"/>
          <w:sz w:val="24"/>
          <w:szCs w:val="24"/>
        </w:rPr>
        <w:t>Arisudhana</w:t>
      </w:r>
      <w:proofErr w:type="spellEnd"/>
      <w:r w:rsidRPr="007D37A4">
        <w:rPr>
          <w:rFonts w:asciiTheme="majorBidi" w:hAnsiTheme="majorBidi" w:cstheme="majorBidi"/>
          <w:sz w:val="24"/>
          <w:szCs w:val="24"/>
        </w:rPr>
        <w:t xml:space="preserve">, and Vina (2023); </w:t>
      </w:r>
      <w:proofErr w:type="spellStart"/>
      <w:r w:rsidRPr="007D37A4">
        <w:rPr>
          <w:rFonts w:asciiTheme="majorBidi" w:hAnsiTheme="majorBidi" w:cstheme="majorBidi"/>
          <w:sz w:val="24"/>
          <w:szCs w:val="24"/>
        </w:rPr>
        <w:t>Indreswari</w:t>
      </w:r>
      <w:proofErr w:type="spellEnd"/>
      <w:r w:rsidRPr="007D37A4">
        <w:rPr>
          <w:rFonts w:asciiTheme="majorBidi" w:hAnsiTheme="majorBidi" w:cstheme="majorBidi"/>
          <w:sz w:val="24"/>
          <w:szCs w:val="24"/>
        </w:rPr>
        <w:t xml:space="preserve"> and </w:t>
      </w:r>
      <w:proofErr w:type="spellStart"/>
      <w:r w:rsidRPr="007D37A4">
        <w:rPr>
          <w:rFonts w:asciiTheme="majorBidi" w:hAnsiTheme="majorBidi" w:cstheme="majorBidi"/>
          <w:sz w:val="24"/>
          <w:szCs w:val="24"/>
        </w:rPr>
        <w:t>Erinos</w:t>
      </w:r>
      <w:proofErr w:type="spellEnd"/>
      <w:r w:rsidRPr="007D37A4">
        <w:rPr>
          <w:rFonts w:asciiTheme="majorBidi" w:hAnsiTheme="majorBidi" w:cstheme="majorBidi"/>
          <w:sz w:val="24"/>
          <w:szCs w:val="24"/>
        </w:rPr>
        <w:t xml:space="preserve"> (2023) stated that company size can have an impact on the occurrence of audit delays.</w:t>
      </w:r>
    </w:p>
    <w:p w14:paraId="4E706733" w14:textId="77777777" w:rsidR="007D37A4" w:rsidRPr="007D37A4" w:rsidRDefault="007D37A4" w:rsidP="00164D54">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 xml:space="preserve">Corporate governance also contributes to audit delays. According to the Indonesian Institute of Corporate Governance (IICG) (2000), corporate governance is a system implemented in running or managing a company, with the primary goal of increasing long-term shareholder value while still considering the interests of stakeholders or other shareholders. One such corporate governance component is the Audit Committee. Arens and </w:t>
      </w:r>
      <w:proofErr w:type="spellStart"/>
      <w:r w:rsidRPr="007D37A4">
        <w:rPr>
          <w:rFonts w:asciiTheme="majorBidi" w:hAnsiTheme="majorBidi" w:cstheme="majorBidi"/>
          <w:sz w:val="24"/>
          <w:szCs w:val="24"/>
        </w:rPr>
        <w:t>Loebbecke</w:t>
      </w:r>
      <w:proofErr w:type="spellEnd"/>
      <w:r w:rsidRPr="007D37A4">
        <w:rPr>
          <w:rFonts w:asciiTheme="majorBidi" w:hAnsiTheme="majorBidi" w:cstheme="majorBidi"/>
          <w:sz w:val="24"/>
          <w:szCs w:val="24"/>
        </w:rPr>
        <w:t xml:space="preserve"> (2000) in their book, "Auditing: An Integrated Approach," state that: "An audit committee is a selected number of members of a company's board of directors whose responsibilities include helping auditors remain independent of management." Most audit committees are made up of three to five, or sometimes as many as seven, directors who are not part of company management. Research by </w:t>
      </w:r>
      <w:proofErr w:type="spellStart"/>
      <w:r w:rsidRPr="007D37A4">
        <w:rPr>
          <w:rFonts w:asciiTheme="majorBidi" w:hAnsiTheme="majorBidi" w:cstheme="majorBidi"/>
          <w:sz w:val="24"/>
          <w:szCs w:val="24"/>
        </w:rPr>
        <w:t>Hariindahyani</w:t>
      </w:r>
      <w:proofErr w:type="spellEnd"/>
      <w:r w:rsidRPr="007D37A4">
        <w:rPr>
          <w:rFonts w:asciiTheme="majorBidi" w:hAnsiTheme="majorBidi" w:cstheme="majorBidi"/>
          <w:sz w:val="24"/>
          <w:szCs w:val="24"/>
        </w:rPr>
        <w:t xml:space="preserve"> and </w:t>
      </w:r>
      <w:proofErr w:type="spellStart"/>
      <w:r w:rsidRPr="007D37A4">
        <w:rPr>
          <w:rFonts w:asciiTheme="majorBidi" w:hAnsiTheme="majorBidi" w:cstheme="majorBidi"/>
          <w:sz w:val="24"/>
          <w:szCs w:val="24"/>
        </w:rPr>
        <w:t>Hariindahyani</w:t>
      </w:r>
      <w:proofErr w:type="spellEnd"/>
      <w:r w:rsidRPr="007D37A4">
        <w:rPr>
          <w:rFonts w:asciiTheme="majorBidi" w:hAnsiTheme="majorBidi" w:cstheme="majorBidi"/>
          <w:sz w:val="24"/>
          <w:szCs w:val="24"/>
        </w:rPr>
        <w:t xml:space="preserve"> (2018; Gede and Ratna (2021); </w:t>
      </w:r>
      <w:proofErr w:type="spellStart"/>
      <w:r w:rsidRPr="007D37A4">
        <w:rPr>
          <w:rFonts w:asciiTheme="majorBidi" w:hAnsiTheme="majorBidi" w:cstheme="majorBidi"/>
          <w:sz w:val="24"/>
          <w:szCs w:val="24"/>
        </w:rPr>
        <w:t>Setianingsih</w:t>
      </w:r>
      <w:proofErr w:type="spellEnd"/>
      <w:r w:rsidRPr="007D37A4">
        <w:rPr>
          <w:rFonts w:asciiTheme="majorBidi" w:hAnsiTheme="majorBidi" w:cstheme="majorBidi"/>
          <w:sz w:val="24"/>
          <w:szCs w:val="24"/>
        </w:rPr>
        <w:t xml:space="preserve"> and </w:t>
      </w:r>
      <w:proofErr w:type="spellStart"/>
      <w:r w:rsidRPr="007D37A4">
        <w:rPr>
          <w:rFonts w:asciiTheme="majorBidi" w:hAnsiTheme="majorBidi" w:cstheme="majorBidi"/>
          <w:sz w:val="24"/>
          <w:szCs w:val="24"/>
        </w:rPr>
        <w:t>Kritianti</w:t>
      </w:r>
      <w:proofErr w:type="spellEnd"/>
      <w:r w:rsidRPr="007D37A4">
        <w:rPr>
          <w:rFonts w:asciiTheme="majorBidi" w:hAnsiTheme="majorBidi" w:cstheme="majorBidi"/>
          <w:sz w:val="24"/>
          <w:szCs w:val="24"/>
        </w:rPr>
        <w:t xml:space="preserve"> (2022); and Riswan and Serly (2023) proves that corporate governance, as measured by the audit committee, influences audit delays.</w:t>
      </w:r>
    </w:p>
    <w:p w14:paraId="4933F162" w14:textId="77777777" w:rsidR="007D37A4" w:rsidRPr="007D37A4" w:rsidRDefault="007D37A4" w:rsidP="00164D54">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The variables of company performance, company characteristics, and corporate governance can be moderated by the audit opinion in influencing audit delay. The existence of an audit opinion can strengthen the influence of company performance, company characteristics, and corporate governance on audit delay.</w:t>
      </w:r>
    </w:p>
    <w:p w14:paraId="68C01EFB" w14:textId="77777777" w:rsidR="007D37A4" w:rsidRPr="007D37A4" w:rsidRDefault="007D37A4" w:rsidP="00164D54">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An audit opinion is a report provided by a registered auditor stating that the audit has been conducted in accordance with accounting norms or rules, accompanied by an opinion on the fairness of the financial statements being audited (</w:t>
      </w:r>
      <w:proofErr w:type="spellStart"/>
      <w:r w:rsidRPr="007D37A4">
        <w:rPr>
          <w:rFonts w:asciiTheme="majorBidi" w:hAnsiTheme="majorBidi" w:cstheme="majorBidi"/>
          <w:sz w:val="24"/>
          <w:szCs w:val="24"/>
        </w:rPr>
        <w:t>Tobing</w:t>
      </w:r>
      <w:proofErr w:type="spellEnd"/>
      <w:r w:rsidRPr="007D37A4">
        <w:rPr>
          <w:rFonts w:asciiTheme="majorBidi" w:hAnsiTheme="majorBidi" w:cstheme="majorBidi"/>
          <w:sz w:val="24"/>
          <w:szCs w:val="24"/>
        </w:rPr>
        <w:t xml:space="preserve"> and </w:t>
      </w:r>
      <w:proofErr w:type="spellStart"/>
      <w:r w:rsidRPr="007D37A4">
        <w:rPr>
          <w:rFonts w:asciiTheme="majorBidi" w:hAnsiTheme="majorBidi" w:cstheme="majorBidi"/>
          <w:sz w:val="24"/>
          <w:szCs w:val="24"/>
        </w:rPr>
        <w:t>Nirwana</w:t>
      </w:r>
      <w:proofErr w:type="spellEnd"/>
      <w:r w:rsidRPr="007D37A4">
        <w:rPr>
          <w:rFonts w:asciiTheme="majorBidi" w:hAnsiTheme="majorBidi" w:cstheme="majorBidi"/>
          <w:sz w:val="24"/>
          <w:szCs w:val="24"/>
        </w:rPr>
        <w:t xml:space="preserve">, 2004). This opinion indicates the extent to which the financial statements are accurate, transparent, and in accordance with generally accepted accounting principles. An audit opinion is crucial because it influences the level of trust of stakeholders, such as investors, creditors, and other related parties, in the audited company's financial statements. Research by </w:t>
      </w:r>
      <w:proofErr w:type="spellStart"/>
      <w:r w:rsidRPr="007D37A4">
        <w:rPr>
          <w:rFonts w:asciiTheme="majorBidi" w:hAnsiTheme="majorBidi" w:cstheme="majorBidi"/>
          <w:sz w:val="24"/>
          <w:szCs w:val="24"/>
        </w:rPr>
        <w:t>Dewanto</w:t>
      </w:r>
      <w:proofErr w:type="spellEnd"/>
      <w:r w:rsidRPr="007D37A4">
        <w:rPr>
          <w:rFonts w:asciiTheme="majorBidi" w:hAnsiTheme="majorBidi" w:cstheme="majorBidi"/>
          <w:sz w:val="24"/>
          <w:szCs w:val="24"/>
        </w:rPr>
        <w:t xml:space="preserve"> and </w:t>
      </w:r>
      <w:proofErr w:type="spellStart"/>
      <w:r w:rsidRPr="007D37A4">
        <w:rPr>
          <w:rFonts w:asciiTheme="majorBidi" w:hAnsiTheme="majorBidi" w:cstheme="majorBidi"/>
          <w:sz w:val="24"/>
          <w:szCs w:val="24"/>
        </w:rPr>
        <w:t>Dwirandra</w:t>
      </w:r>
      <w:proofErr w:type="spellEnd"/>
      <w:r w:rsidRPr="007D37A4">
        <w:rPr>
          <w:rFonts w:asciiTheme="majorBidi" w:hAnsiTheme="majorBidi" w:cstheme="majorBidi"/>
          <w:sz w:val="24"/>
          <w:szCs w:val="24"/>
        </w:rPr>
        <w:t xml:space="preserve"> (2018) states that auditor opinion can moderate the effect of profitability on audit delay. Research by Wijaya and </w:t>
      </w:r>
      <w:proofErr w:type="spellStart"/>
      <w:r w:rsidRPr="007D37A4">
        <w:rPr>
          <w:rFonts w:asciiTheme="majorBidi" w:hAnsiTheme="majorBidi" w:cstheme="majorBidi"/>
          <w:sz w:val="24"/>
          <w:szCs w:val="24"/>
        </w:rPr>
        <w:t>Wisadha</w:t>
      </w:r>
      <w:proofErr w:type="spellEnd"/>
      <w:r w:rsidRPr="007D37A4">
        <w:rPr>
          <w:rFonts w:asciiTheme="majorBidi" w:hAnsiTheme="majorBidi" w:cstheme="majorBidi"/>
          <w:sz w:val="24"/>
          <w:szCs w:val="24"/>
        </w:rPr>
        <w:t xml:space="preserve"> (2016) proves that audit opinion can moderate the influence of company characteristics, as proxied by company size, on audit delay, as measured by audit report lag. Research by </w:t>
      </w:r>
      <w:proofErr w:type="spellStart"/>
      <w:r w:rsidRPr="007D37A4">
        <w:rPr>
          <w:rFonts w:asciiTheme="majorBidi" w:hAnsiTheme="majorBidi" w:cstheme="majorBidi"/>
          <w:sz w:val="24"/>
          <w:szCs w:val="24"/>
        </w:rPr>
        <w:t>Afridayani</w:t>
      </w:r>
      <w:proofErr w:type="spellEnd"/>
      <w:r w:rsidRPr="007D37A4">
        <w:rPr>
          <w:rFonts w:asciiTheme="majorBidi" w:hAnsiTheme="majorBidi" w:cstheme="majorBidi"/>
          <w:sz w:val="24"/>
          <w:szCs w:val="24"/>
        </w:rPr>
        <w:t xml:space="preserve"> and Anisa states that the audit committee, as a proxy for corporate governance, influences audit delay through the moderation of audit opinion.</w:t>
      </w:r>
    </w:p>
    <w:p w14:paraId="2D716FFB" w14:textId="77777777" w:rsidR="007D37A4" w:rsidRPr="007D37A4" w:rsidRDefault="007D37A4" w:rsidP="00164D54">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 xml:space="preserve">Previous research indicates that financial performance, company characteristics, and corporate governance influence audit delay, with a moderating effect on audit opinion. However, previous research suggests otherwise. Research by </w:t>
      </w:r>
      <w:proofErr w:type="spellStart"/>
      <w:r w:rsidRPr="007D37A4">
        <w:rPr>
          <w:rFonts w:asciiTheme="majorBidi" w:hAnsiTheme="majorBidi" w:cstheme="majorBidi"/>
          <w:sz w:val="24"/>
          <w:szCs w:val="24"/>
        </w:rPr>
        <w:t>Triyulianto</w:t>
      </w:r>
      <w:proofErr w:type="spellEnd"/>
      <w:r w:rsidRPr="007D37A4">
        <w:rPr>
          <w:rFonts w:asciiTheme="majorBidi" w:hAnsiTheme="majorBidi" w:cstheme="majorBidi"/>
          <w:sz w:val="24"/>
          <w:szCs w:val="24"/>
        </w:rPr>
        <w:t xml:space="preserve">, </w:t>
      </w:r>
      <w:proofErr w:type="spellStart"/>
      <w:r w:rsidRPr="007D37A4">
        <w:rPr>
          <w:rFonts w:asciiTheme="majorBidi" w:hAnsiTheme="majorBidi" w:cstheme="majorBidi"/>
          <w:sz w:val="24"/>
          <w:szCs w:val="24"/>
        </w:rPr>
        <w:t>Hermiyetti</w:t>
      </w:r>
      <w:proofErr w:type="spellEnd"/>
      <w:r w:rsidRPr="007D37A4">
        <w:rPr>
          <w:rFonts w:asciiTheme="majorBidi" w:hAnsiTheme="majorBidi" w:cstheme="majorBidi"/>
          <w:sz w:val="24"/>
          <w:szCs w:val="24"/>
        </w:rPr>
        <w:t xml:space="preserve">, and </w:t>
      </w:r>
      <w:proofErr w:type="spellStart"/>
      <w:r w:rsidRPr="007D37A4">
        <w:rPr>
          <w:rFonts w:asciiTheme="majorBidi" w:hAnsiTheme="majorBidi" w:cstheme="majorBidi"/>
          <w:sz w:val="24"/>
          <w:szCs w:val="24"/>
        </w:rPr>
        <w:t>Syahrefi</w:t>
      </w:r>
      <w:proofErr w:type="spellEnd"/>
      <w:r w:rsidRPr="007D37A4">
        <w:rPr>
          <w:rFonts w:asciiTheme="majorBidi" w:hAnsiTheme="majorBidi" w:cstheme="majorBidi"/>
          <w:sz w:val="24"/>
          <w:szCs w:val="24"/>
        </w:rPr>
        <w:t xml:space="preserve"> (2021); </w:t>
      </w:r>
      <w:proofErr w:type="spellStart"/>
      <w:r w:rsidRPr="007D37A4">
        <w:rPr>
          <w:rFonts w:asciiTheme="majorBidi" w:hAnsiTheme="majorBidi" w:cstheme="majorBidi"/>
          <w:sz w:val="24"/>
          <w:szCs w:val="24"/>
        </w:rPr>
        <w:t>Nahdiya</w:t>
      </w:r>
      <w:proofErr w:type="spellEnd"/>
      <w:r w:rsidRPr="007D37A4">
        <w:rPr>
          <w:rFonts w:asciiTheme="majorBidi" w:hAnsiTheme="majorBidi" w:cstheme="majorBidi"/>
          <w:sz w:val="24"/>
          <w:szCs w:val="24"/>
        </w:rPr>
        <w:t xml:space="preserve">, Suyono, and Wulandari (2022); </w:t>
      </w:r>
      <w:proofErr w:type="spellStart"/>
      <w:r w:rsidRPr="007D37A4">
        <w:rPr>
          <w:rFonts w:asciiTheme="majorBidi" w:hAnsiTheme="majorBidi" w:cstheme="majorBidi"/>
          <w:sz w:val="24"/>
          <w:szCs w:val="24"/>
        </w:rPr>
        <w:t>Polii</w:t>
      </w:r>
      <w:proofErr w:type="spellEnd"/>
      <w:r w:rsidRPr="007D37A4">
        <w:rPr>
          <w:rFonts w:asciiTheme="majorBidi" w:hAnsiTheme="majorBidi" w:cstheme="majorBidi"/>
          <w:sz w:val="24"/>
          <w:szCs w:val="24"/>
        </w:rPr>
        <w:t xml:space="preserve">, </w:t>
      </w:r>
      <w:proofErr w:type="spellStart"/>
      <w:r w:rsidRPr="007D37A4">
        <w:rPr>
          <w:rFonts w:asciiTheme="majorBidi" w:hAnsiTheme="majorBidi" w:cstheme="majorBidi"/>
          <w:sz w:val="24"/>
          <w:szCs w:val="24"/>
        </w:rPr>
        <w:t>Morasa</w:t>
      </w:r>
      <w:proofErr w:type="spellEnd"/>
      <w:r w:rsidRPr="007D37A4">
        <w:rPr>
          <w:rFonts w:asciiTheme="majorBidi" w:hAnsiTheme="majorBidi" w:cstheme="majorBidi"/>
          <w:sz w:val="24"/>
          <w:szCs w:val="24"/>
        </w:rPr>
        <w:t xml:space="preserve">, and Wokas (2023) demonstrated that financial performance, as measured by ROA, had no significant effect on audit delay. Research by </w:t>
      </w:r>
      <w:proofErr w:type="spellStart"/>
      <w:r w:rsidRPr="007D37A4">
        <w:rPr>
          <w:rFonts w:asciiTheme="majorBidi" w:hAnsiTheme="majorBidi" w:cstheme="majorBidi"/>
          <w:sz w:val="24"/>
          <w:szCs w:val="24"/>
        </w:rPr>
        <w:t>Sulmi</w:t>
      </w:r>
      <w:proofErr w:type="spellEnd"/>
      <w:r w:rsidRPr="007D37A4">
        <w:rPr>
          <w:rFonts w:asciiTheme="majorBidi" w:hAnsiTheme="majorBidi" w:cstheme="majorBidi"/>
          <w:sz w:val="24"/>
          <w:szCs w:val="24"/>
        </w:rPr>
        <w:t xml:space="preserve">, </w:t>
      </w:r>
      <w:proofErr w:type="spellStart"/>
      <w:r w:rsidRPr="007D37A4">
        <w:rPr>
          <w:rFonts w:asciiTheme="majorBidi" w:hAnsiTheme="majorBidi" w:cstheme="majorBidi"/>
          <w:sz w:val="24"/>
          <w:szCs w:val="24"/>
        </w:rPr>
        <w:t>Hamrul</w:t>
      </w:r>
      <w:proofErr w:type="spellEnd"/>
      <w:r w:rsidRPr="007D37A4">
        <w:rPr>
          <w:rFonts w:asciiTheme="majorBidi" w:hAnsiTheme="majorBidi" w:cstheme="majorBidi"/>
          <w:sz w:val="24"/>
          <w:szCs w:val="24"/>
        </w:rPr>
        <w:t xml:space="preserve">, and </w:t>
      </w:r>
      <w:proofErr w:type="spellStart"/>
      <w:r w:rsidRPr="007D37A4">
        <w:rPr>
          <w:rFonts w:asciiTheme="majorBidi" w:hAnsiTheme="majorBidi" w:cstheme="majorBidi"/>
          <w:sz w:val="24"/>
          <w:szCs w:val="24"/>
        </w:rPr>
        <w:t>Nopiyanti</w:t>
      </w:r>
      <w:proofErr w:type="spellEnd"/>
      <w:r w:rsidRPr="007D37A4">
        <w:rPr>
          <w:rFonts w:asciiTheme="majorBidi" w:hAnsiTheme="majorBidi" w:cstheme="majorBidi"/>
          <w:sz w:val="24"/>
          <w:szCs w:val="24"/>
        </w:rPr>
        <w:t xml:space="preserve"> (2020); </w:t>
      </w:r>
      <w:proofErr w:type="spellStart"/>
      <w:r w:rsidRPr="007D37A4">
        <w:rPr>
          <w:rFonts w:asciiTheme="majorBidi" w:hAnsiTheme="majorBidi" w:cstheme="majorBidi"/>
          <w:sz w:val="24"/>
          <w:szCs w:val="24"/>
        </w:rPr>
        <w:t>Tanujaya</w:t>
      </w:r>
      <w:proofErr w:type="spellEnd"/>
      <w:r w:rsidRPr="007D37A4">
        <w:rPr>
          <w:rFonts w:asciiTheme="majorBidi" w:hAnsiTheme="majorBidi" w:cstheme="majorBidi"/>
          <w:sz w:val="24"/>
          <w:szCs w:val="24"/>
        </w:rPr>
        <w:t xml:space="preserve">, Reny (2022); and </w:t>
      </w:r>
      <w:proofErr w:type="spellStart"/>
      <w:r w:rsidRPr="007D37A4">
        <w:rPr>
          <w:rFonts w:asciiTheme="majorBidi" w:hAnsiTheme="majorBidi" w:cstheme="majorBidi"/>
          <w:sz w:val="24"/>
          <w:szCs w:val="24"/>
        </w:rPr>
        <w:t>Nahdiya</w:t>
      </w:r>
      <w:proofErr w:type="spellEnd"/>
      <w:r w:rsidRPr="007D37A4">
        <w:rPr>
          <w:rFonts w:asciiTheme="majorBidi" w:hAnsiTheme="majorBidi" w:cstheme="majorBidi"/>
          <w:sz w:val="24"/>
          <w:szCs w:val="24"/>
        </w:rPr>
        <w:t xml:space="preserve">, Suyono, and Wulandari (2022) concluded that company characteristics, as measured by company size, did not influence audit delay. Research by David and Butar (2020); </w:t>
      </w:r>
      <w:proofErr w:type="spellStart"/>
      <w:r w:rsidRPr="007D37A4">
        <w:rPr>
          <w:rFonts w:asciiTheme="majorBidi" w:hAnsiTheme="majorBidi" w:cstheme="majorBidi"/>
          <w:sz w:val="24"/>
          <w:szCs w:val="24"/>
        </w:rPr>
        <w:t>Sudjono</w:t>
      </w:r>
      <w:proofErr w:type="spellEnd"/>
      <w:r w:rsidRPr="007D37A4">
        <w:rPr>
          <w:rFonts w:asciiTheme="majorBidi" w:hAnsiTheme="majorBidi" w:cstheme="majorBidi"/>
          <w:sz w:val="24"/>
          <w:szCs w:val="24"/>
        </w:rPr>
        <w:t xml:space="preserve"> and Setiawan (2022); and </w:t>
      </w:r>
      <w:proofErr w:type="spellStart"/>
      <w:r w:rsidRPr="007D37A4">
        <w:rPr>
          <w:rFonts w:asciiTheme="majorBidi" w:hAnsiTheme="majorBidi" w:cstheme="majorBidi"/>
          <w:sz w:val="24"/>
          <w:szCs w:val="24"/>
        </w:rPr>
        <w:t>Trisnadewi</w:t>
      </w:r>
      <w:proofErr w:type="spellEnd"/>
      <w:r w:rsidRPr="007D37A4">
        <w:rPr>
          <w:rFonts w:asciiTheme="majorBidi" w:hAnsiTheme="majorBidi" w:cstheme="majorBidi"/>
          <w:sz w:val="24"/>
          <w:szCs w:val="24"/>
        </w:rPr>
        <w:t xml:space="preserve">, </w:t>
      </w:r>
      <w:proofErr w:type="spellStart"/>
      <w:r w:rsidRPr="007D37A4">
        <w:rPr>
          <w:rFonts w:asciiTheme="majorBidi" w:hAnsiTheme="majorBidi" w:cstheme="majorBidi"/>
          <w:sz w:val="24"/>
          <w:szCs w:val="24"/>
        </w:rPr>
        <w:t>Trisnadewi</w:t>
      </w:r>
      <w:proofErr w:type="spellEnd"/>
      <w:r w:rsidRPr="007D37A4">
        <w:rPr>
          <w:rFonts w:asciiTheme="majorBidi" w:hAnsiTheme="majorBidi" w:cstheme="majorBidi"/>
          <w:sz w:val="24"/>
          <w:szCs w:val="24"/>
        </w:rPr>
        <w:t>, and Kartika (2023) indicated that corporate governance, as measured by the audit committee, influenced audit delay. This indicates that the results of research on financial performance, company characteristics, and corporate governance on audit delay with audit opinion moderation are not yet consistent.</w:t>
      </w:r>
    </w:p>
    <w:p w14:paraId="73E1C021" w14:textId="77777777" w:rsidR="007D37A4" w:rsidRPr="007D37A4" w:rsidRDefault="007D37A4" w:rsidP="00164D54">
      <w:pPr>
        <w:spacing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 xml:space="preserve">The object of this research is the financial reports of basic chemical companies listed on the IDX for the 2016-2023 period. The reason for conducting this research with companies in the basic chemical sub-sector as the object is:, there are still basic chemical sub-sector companies that are experiencing audit delays even though the </w:t>
      </w:r>
      <w:proofErr w:type="spellStart"/>
      <w:r w:rsidRPr="007D37A4">
        <w:rPr>
          <w:rFonts w:asciiTheme="majorBidi" w:hAnsiTheme="majorBidi" w:cstheme="majorBidi"/>
          <w:sz w:val="24"/>
          <w:szCs w:val="24"/>
        </w:rPr>
        <w:t>companiessThe</w:t>
      </w:r>
      <w:proofErr w:type="spellEnd"/>
      <w:r w:rsidRPr="007D37A4">
        <w:rPr>
          <w:rFonts w:asciiTheme="majorBidi" w:hAnsiTheme="majorBidi" w:cstheme="majorBidi"/>
          <w:sz w:val="24"/>
          <w:szCs w:val="24"/>
        </w:rPr>
        <w:t xml:space="preserve"> basic chemical </w:t>
      </w:r>
      <w:r w:rsidRPr="007D37A4">
        <w:rPr>
          <w:rFonts w:asciiTheme="majorBidi" w:hAnsiTheme="majorBidi" w:cstheme="majorBidi"/>
          <w:sz w:val="24"/>
          <w:szCs w:val="24"/>
        </w:rPr>
        <w:lastRenderedPageBreak/>
        <w:t xml:space="preserve">sector often plays a vital role in the manufacturing industry and impacts many economic and environmental aspects. This research is expected to provide insight </w:t>
      </w:r>
      <w:proofErr w:type="spellStart"/>
      <w:r w:rsidRPr="007D37A4">
        <w:rPr>
          <w:rFonts w:asciiTheme="majorBidi" w:hAnsiTheme="majorBidi" w:cstheme="majorBidi"/>
          <w:sz w:val="24"/>
          <w:szCs w:val="24"/>
        </w:rPr>
        <w:t>intoHowCertain</w:t>
      </w:r>
      <w:proofErr w:type="spellEnd"/>
      <w:r w:rsidRPr="007D37A4">
        <w:rPr>
          <w:rFonts w:asciiTheme="majorBidi" w:hAnsiTheme="majorBidi" w:cstheme="majorBidi"/>
          <w:sz w:val="24"/>
          <w:szCs w:val="24"/>
        </w:rPr>
        <w:t xml:space="preserve"> factors influence audit delay in the context of the basic chemicals sub-sector. Furthermore, the results of this study will provide valuable perspectives for company managers, auditors, regulators, and other stakeholders on the factors influencing audit delay in the basic chemicals sector. This information can be used to make better decisions in planning and implementing financial audits. Therefore, this study has strong practical and academic relevance in the context of basic chemicals companies listed on the Indonesia Stock Exchange (IDX) in the 2016-2023 period.</w:t>
      </w:r>
    </w:p>
    <w:p w14:paraId="3694AAEC" w14:textId="77777777" w:rsidR="007D37A4" w:rsidRPr="007D37A4" w:rsidRDefault="007D37A4" w:rsidP="007D37A4">
      <w:pPr>
        <w:jc w:val="both"/>
      </w:pPr>
    </w:p>
    <w:p w14:paraId="170942B2" w14:textId="76D2583C" w:rsidR="007D37A4" w:rsidRPr="007D37A4" w:rsidRDefault="007D37A4" w:rsidP="007D37A4">
      <w:pPr>
        <w:jc w:val="center"/>
        <w:rPr>
          <w:rFonts w:asciiTheme="majorBidi" w:hAnsiTheme="majorBidi" w:cstheme="majorBidi"/>
          <w:sz w:val="24"/>
          <w:szCs w:val="24"/>
        </w:rPr>
      </w:pPr>
      <w:r w:rsidRPr="007D37A4">
        <w:rPr>
          <w:rFonts w:asciiTheme="majorBidi" w:hAnsiTheme="majorBidi" w:cstheme="majorBidi"/>
          <w:b/>
          <w:bCs/>
          <w:sz w:val="24"/>
          <w:szCs w:val="24"/>
        </w:rPr>
        <w:t>2. LITERATURE REVIEW AND DEVELOPMENT HYPOTHESIS</w:t>
      </w:r>
    </w:p>
    <w:p w14:paraId="59506EAC" w14:textId="679FDA36" w:rsidR="007D37A4" w:rsidRPr="007D37A4" w:rsidRDefault="00164D54" w:rsidP="00634B41">
      <w:pPr>
        <w:spacing w:after="0"/>
        <w:jc w:val="both"/>
        <w:rPr>
          <w:rFonts w:asciiTheme="majorBidi" w:hAnsiTheme="majorBidi" w:cstheme="majorBidi"/>
          <w:sz w:val="24"/>
          <w:szCs w:val="24"/>
        </w:rPr>
      </w:pPr>
      <w:r>
        <w:rPr>
          <w:rFonts w:asciiTheme="majorBidi" w:hAnsiTheme="majorBidi" w:cstheme="majorBidi"/>
          <w:b/>
          <w:bCs/>
          <w:sz w:val="24"/>
          <w:szCs w:val="24"/>
        </w:rPr>
        <w:t xml:space="preserve">2.1 </w:t>
      </w:r>
      <w:r w:rsidR="007D37A4" w:rsidRPr="007D37A4">
        <w:rPr>
          <w:rFonts w:asciiTheme="majorBidi" w:hAnsiTheme="majorBidi" w:cstheme="majorBidi"/>
          <w:b/>
          <w:bCs/>
          <w:sz w:val="24"/>
          <w:szCs w:val="24"/>
        </w:rPr>
        <w:t>The Influence of Financial Performance on Audit Delay</w:t>
      </w:r>
    </w:p>
    <w:p w14:paraId="7DB290D0" w14:textId="77777777" w:rsidR="007D37A4" w:rsidRPr="007D37A4" w:rsidRDefault="007D37A4" w:rsidP="00164D54">
      <w:pPr>
        <w:ind w:firstLine="426"/>
        <w:jc w:val="both"/>
        <w:rPr>
          <w:rFonts w:asciiTheme="majorBidi" w:hAnsiTheme="majorBidi" w:cstheme="majorBidi"/>
          <w:sz w:val="24"/>
          <w:szCs w:val="24"/>
        </w:rPr>
      </w:pPr>
      <w:r w:rsidRPr="007D37A4">
        <w:rPr>
          <w:rFonts w:asciiTheme="majorBidi" w:hAnsiTheme="majorBidi" w:cstheme="majorBidi"/>
          <w:sz w:val="24"/>
          <w:szCs w:val="24"/>
        </w:rPr>
        <w:t xml:space="preserve">Wild, Subramanyam, and Halsey (in Darmawan, 2018) state that ROA is used as a primary indicator of a company's long-term performance to assess its return on assets. The ROA ratio affects the delivery of financial returns, and the company's profit or loss, which in turn influences investors' investment decisions. Companies earning higher profits tend to be more punctual in submitting financial reports than companies reporting losses. Companies with higher ROA also require faster audit times due to the obligation to publish accurate information to the public as quickly as possible. Auditors respond more cautiously to companies experiencing losses. Research by Utomo, </w:t>
      </w:r>
      <w:proofErr w:type="spellStart"/>
      <w:r w:rsidRPr="007D37A4">
        <w:rPr>
          <w:rFonts w:asciiTheme="majorBidi" w:hAnsiTheme="majorBidi" w:cstheme="majorBidi"/>
          <w:sz w:val="24"/>
          <w:szCs w:val="24"/>
        </w:rPr>
        <w:t>Kumalasari</w:t>
      </w:r>
      <w:proofErr w:type="spellEnd"/>
      <w:r w:rsidRPr="007D37A4">
        <w:rPr>
          <w:rFonts w:asciiTheme="majorBidi" w:hAnsiTheme="majorBidi" w:cstheme="majorBidi"/>
          <w:sz w:val="24"/>
          <w:szCs w:val="24"/>
        </w:rPr>
        <w:t xml:space="preserve">, </w:t>
      </w:r>
      <w:proofErr w:type="spellStart"/>
      <w:r w:rsidRPr="007D37A4">
        <w:rPr>
          <w:rFonts w:asciiTheme="majorBidi" w:hAnsiTheme="majorBidi" w:cstheme="majorBidi"/>
          <w:sz w:val="24"/>
          <w:szCs w:val="24"/>
        </w:rPr>
        <w:t>Machmuddah</w:t>
      </w:r>
      <w:proofErr w:type="spellEnd"/>
      <w:r w:rsidRPr="007D37A4">
        <w:rPr>
          <w:rFonts w:asciiTheme="majorBidi" w:hAnsiTheme="majorBidi" w:cstheme="majorBidi"/>
          <w:sz w:val="24"/>
          <w:szCs w:val="24"/>
        </w:rPr>
        <w:t xml:space="preserve"> (2017); </w:t>
      </w:r>
      <w:proofErr w:type="spellStart"/>
      <w:r w:rsidRPr="007D37A4">
        <w:rPr>
          <w:rFonts w:asciiTheme="majorBidi" w:hAnsiTheme="majorBidi" w:cstheme="majorBidi"/>
          <w:sz w:val="24"/>
          <w:szCs w:val="24"/>
        </w:rPr>
        <w:t>Purba</w:t>
      </w:r>
      <w:proofErr w:type="spellEnd"/>
      <w:r w:rsidRPr="007D37A4">
        <w:rPr>
          <w:rFonts w:asciiTheme="majorBidi" w:hAnsiTheme="majorBidi" w:cstheme="majorBidi"/>
          <w:sz w:val="24"/>
          <w:szCs w:val="24"/>
        </w:rPr>
        <w:t xml:space="preserve"> (2018); </w:t>
      </w:r>
      <w:proofErr w:type="spellStart"/>
      <w:r w:rsidRPr="007D37A4">
        <w:rPr>
          <w:rFonts w:asciiTheme="majorBidi" w:hAnsiTheme="majorBidi" w:cstheme="majorBidi"/>
          <w:sz w:val="24"/>
          <w:szCs w:val="24"/>
        </w:rPr>
        <w:t>Findriani</w:t>
      </w:r>
      <w:proofErr w:type="spellEnd"/>
      <w:r w:rsidRPr="007D37A4">
        <w:rPr>
          <w:rFonts w:asciiTheme="majorBidi" w:hAnsiTheme="majorBidi" w:cstheme="majorBidi"/>
          <w:sz w:val="24"/>
          <w:szCs w:val="24"/>
        </w:rPr>
        <w:t xml:space="preserve"> (2021); Evani, Susilowati, and </w:t>
      </w:r>
      <w:proofErr w:type="spellStart"/>
      <w:r w:rsidRPr="007D37A4">
        <w:rPr>
          <w:rFonts w:asciiTheme="majorBidi" w:hAnsiTheme="majorBidi" w:cstheme="majorBidi"/>
          <w:sz w:val="24"/>
          <w:szCs w:val="24"/>
        </w:rPr>
        <w:t>Kusumastati</w:t>
      </w:r>
      <w:proofErr w:type="spellEnd"/>
      <w:r w:rsidRPr="007D37A4">
        <w:rPr>
          <w:rFonts w:asciiTheme="majorBidi" w:hAnsiTheme="majorBidi" w:cstheme="majorBidi"/>
          <w:sz w:val="24"/>
          <w:szCs w:val="24"/>
        </w:rPr>
        <w:t xml:space="preserve"> (2022) suggests that financial performance, as measured by profitability using the ROA indicator, influences audit delay.</w:t>
      </w:r>
    </w:p>
    <w:p w14:paraId="466A794B" w14:textId="77777777" w:rsidR="007D37A4" w:rsidRDefault="007D37A4" w:rsidP="00634B41">
      <w:pPr>
        <w:spacing w:after="0"/>
        <w:ind w:firstLine="426"/>
        <w:jc w:val="both"/>
        <w:rPr>
          <w:rFonts w:asciiTheme="majorBidi" w:hAnsiTheme="majorBidi" w:cstheme="majorBidi"/>
          <w:sz w:val="24"/>
          <w:szCs w:val="24"/>
        </w:rPr>
      </w:pPr>
      <w:r w:rsidRPr="00164D54">
        <w:rPr>
          <w:rFonts w:asciiTheme="majorBidi" w:hAnsiTheme="majorBidi" w:cstheme="majorBidi"/>
          <w:b/>
          <w:bCs/>
          <w:sz w:val="24"/>
          <w:szCs w:val="24"/>
        </w:rPr>
        <w:t>H</w:t>
      </w:r>
      <w:r w:rsidRPr="00164D54">
        <w:rPr>
          <w:rFonts w:asciiTheme="majorBidi" w:hAnsiTheme="majorBidi" w:cstheme="majorBidi"/>
          <w:b/>
          <w:bCs/>
          <w:sz w:val="24"/>
          <w:szCs w:val="24"/>
          <w:vertAlign w:val="subscript"/>
        </w:rPr>
        <w:t>1</w:t>
      </w:r>
      <w:r w:rsidRPr="007D37A4">
        <w:rPr>
          <w:rFonts w:asciiTheme="majorBidi" w:hAnsiTheme="majorBidi" w:cstheme="majorBidi"/>
          <w:sz w:val="24"/>
          <w:szCs w:val="24"/>
        </w:rPr>
        <w:t>: Financial Performance has a significant effect on Audit Delay</w:t>
      </w:r>
    </w:p>
    <w:p w14:paraId="1681AC34" w14:textId="77777777" w:rsidR="00634B41" w:rsidRPr="007D37A4" w:rsidRDefault="00634B41" w:rsidP="00634B41">
      <w:pPr>
        <w:spacing w:after="0"/>
        <w:ind w:firstLine="426"/>
        <w:jc w:val="both"/>
        <w:rPr>
          <w:rFonts w:asciiTheme="majorBidi" w:hAnsiTheme="majorBidi" w:cstheme="majorBidi"/>
          <w:sz w:val="24"/>
          <w:szCs w:val="24"/>
        </w:rPr>
      </w:pPr>
    </w:p>
    <w:p w14:paraId="30FD871D" w14:textId="20B36E93" w:rsidR="007D37A4" w:rsidRPr="007D37A4" w:rsidRDefault="00164D54" w:rsidP="00634B41">
      <w:pPr>
        <w:spacing w:after="0"/>
        <w:jc w:val="both"/>
        <w:rPr>
          <w:rFonts w:asciiTheme="majorBidi" w:hAnsiTheme="majorBidi" w:cstheme="majorBidi"/>
          <w:sz w:val="24"/>
          <w:szCs w:val="24"/>
        </w:rPr>
      </w:pPr>
      <w:r>
        <w:rPr>
          <w:rFonts w:asciiTheme="majorBidi" w:hAnsiTheme="majorBidi" w:cstheme="majorBidi"/>
          <w:b/>
          <w:bCs/>
          <w:sz w:val="24"/>
          <w:szCs w:val="24"/>
        </w:rPr>
        <w:t xml:space="preserve">2.2 </w:t>
      </w:r>
      <w:proofErr w:type="spellStart"/>
      <w:r w:rsidR="007D37A4" w:rsidRPr="007D37A4">
        <w:rPr>
          <w:rFonts w:asciiTheme="majorBidi" w:hAnsiTheme="majorBidi" w:cstheme="majorBidi"/>
          <w:b/>
          <w:bCs/>
          <w:sz w:val="24"/>
          <w:szCs w:val="24"/>
        </w:rPr>
        <w:t>InfluenceCompany</w:t>
      </w:r>
      <w:proofErr w:type="spellEnd"/>
      <w:r w:rsidR="007D37A4" w:rsidRPr="007D37A4">
        <w:rPr>
          <w:rFonts w:asciiTheme="majorBidi" w:hAnsiTheme="majorBidi" w:cstheme="majorBidi"/>
          <w:b/>
          <w:bCs/>
          <w:sz w:val="24"/>
          <w:szCs w:val="24"/>
        </w:rPr>
        <w:t xml:space="preserve"> Characteristics towards Audit Delay</w:t>
      </w:r>
    </w:p>
    <w:p w14:paraId="093543AC" w14:textId="77777777" w:rsidR="007D37A4" w:rsidRPr="007D37A4" w:rsidRDefault="007D37A4" w:rsidP="00164D54">
      <w:pPr>
        <w:spacing w:after="0"/>
        <w:ind w:firstLine="426"/>
        <w:jc w:val="both"/>
        <w:rPr>
          <w:rFonts w:asciiTheme="majorBidi" w:hAnsiTheme="majorBidi" w:cstheme="majorBidi"/>
          <w:sz w:val="24"/>
          <w:szCs w:val="24"/>
        </w:rPr>
      </w:pPr>
      <w:r w:rsidRPr="007D37A4">
        <w:rPr>
          <w:rFonts w:asciiTheme="majorBidi" w:hAnsiTheme="majorBidi" w:cstheme="majorBidi"/>
          <w:sz w:val="24"/>
          <w:szCs w:val="24"/>
        </w:rPr>
        <w:t>Companies have assets to support and carry out their economic activities. These assets are disclosed in the company's financial statements. The size of a company's assets impacts its ability to continue its business. </w:t>
      </w:r>
    </w:p>
    <w:p w14:paraId="5B71D2AF" w14:textId="77777777" w:rsidR="007D37A4" w:rsidRPr="007D37A4" w:rsidRDefault="007D37A4" w:rsidP="00164D54">
      <w:pPr>
        <w:spacing w:after="0"/>
        <w:ind w:firstLine="426"/>
        <w:jc w:val="both"/>
        <w:rPr>
          <w:rFonts w:asciiTheme="majorBidi" w:hAnsiTheme="majorBidi" w:cstheme="majorBidi"/>
          <w:sz w:val="24"/>
          <w:szCs w:val="24"/>
        </w:rPr>
      </w:pPr>
      <w:r w:rsidRPr="007D37A4">
        <w:rPr>
          <w:rFonts w:asciiTheme="majorBidi" w:hAnsiTheme="majorBidi" w:cstheme="majorBidi"/>
          <w:sz w:val="24"/>
          <w:szCs w:val="24"/>
        </w:rPr>
        <w:t>The company size anomaly is more likely due to the availability of published information. The amount of information provided to a company increases with its size. The size of a company is also determined by the extent of its operations. The higher the company's asset value, the shorter the audit delay, and vice versa.</w:t>
      </w:r>
    </w:p>
    <w:p w14:paraId="38AC5C11" w14:textId="77777777" w:rsidR="007D37A4" w:rsidRPr="007D37A4" w:rsidRDefault="007D37A4" w:rsidP="00164D54">
      <w:pPr>
        <w:spacing w:after="0"/>
        <w:ind w:firstLine="426"/>
        <w:jc w:val="both"/>
        <w:rPr>
          <w:rFonts w:asciiTheme="majorBidi" w:hAnsiTheme="majorBidi" w:cstheme="majorBidi"/>
          <w:sz w:val="24"/>
          <w:szCs w:val="24"/>
        </w:rPr>
      </w:pPr>
      <w:r w:rsidRPr="007D37A4">
        <w:rPr>
          <w:rFonts w:asciiTheme="majorBidi" w:hAnsiTheme="majorBidi" w:cstheme="majorBidi"/>
          <w:sz w:val="24"/>
          <w:szCs w:val="24"/>
        </w:rPr>
        <w:t xml:space="preserve">Agency theory explains the relationship between a principal and an agent. The auditor, as the agent, is entrusted by the principal with the responsibility to perform audit procedures in accordance with applicable standards. Company size is a determining factor in the auditor's audit procedures. The larger the company, the more complex the procedures performed by the </w:t>
      </w:r>
      <w:proofErr w:type="spellStart"/>
      <w:r w:rsidRPr="007D37A4">
        <w:rPr>
          <w:rFonts w:asciiTheme="majorBidi" w:hAnsiTheme="majorBidi" w:cstheme="majorBidi"/>
          <w:sz w:val="24"/>
          <w:szCs w:val="24"/>
        </w:rPr>
        <w:t>auditor.Research</w:t>
      </w:r>
      <w:proofErr w:type="spellEnd"/>
      <w:r w:rsidRPr="007D37A4">
        <w:rPr>
          <w:rFonts w:asciiTheme="majorBidi" w:hAnsiTheme="majorBidi" w:cstheme="majorBidi"/>
          <w:sz w:val="24"/>
          <w:szCs w:val="24"/>
        </w:rPr>
        <w:t xml:space="preserve"> by </w:t>
      </w:r>
      <w:proofErr w:type="spellStart"/>
      <w:r w:rsidRPr="007D37A4">
        <w:rPr>
          <w:rFonts w:asciiTheme="majorBidi" w:hAnsiTheme="majorBidi" w:cstheme="majorBidi"/>
          <w:sz w:val="24"/>
          <w:szCs w:val="24"/>
        </w:rPr>
        <w:t>Mardijuwono</w:t>
      </w:r>
      <w:proofErr w:type="spellEnd"/>
      <w:r w:rsidRPr="007D37A4">
        <w:rPr>
          <w:rFonts w:asciiTheme="majorBidi" w:hAnsiTheme="majorBidi" w:cstheme="majorBidi"/>
          <w:sz w:val="24"/>
          <w:szCs w:val="24"/>
        </w:rPr>
        <w:t xml:space="preserve"> and </w:t>
      </w:r>
      <w:proofErr w:type="spellStart"/>
      <w:r w:rsidRPr="007D37A4">
        <w:rPr>
          <w:rFonts w:asciiTheme="majorBidi" w:hAnsiTheme="majorBidi" w:cstheme="majorBidi"/>
          <w:sz w:val="24"/>
          <w:szCs w:val="24"/>
        </w:rPr>
        <w:t>Habiburrochman</w:t>
      </w:r>
      <w:proofErr w:type="spellEnd"/>
      <w:r w:rsidRPr="007D37A4">
        <w:rPr>
          <w:rFonts w:asciiTheme="majorBidi" w:hAnsiTheme="majorBidi" w:cstheme="majorBidi"/>
          <w:sz w:val="24"/>
          <w:szCs w:val="24"/>
        </w:rPr>
        <w:t xml:space="preserve"> (2019); </w:t>
      </w:r>
      <w:proofErr w:type="spellStart"/>
      <w:r w:rsidRPr="007D37A4">
        <w:rPr>
          <w:rFonts w:asciiTheme="majorBidi" w:hAnsiTheme="majorBidi" w:cstheme="majorBidi"/>
          <w:sz w:val="24"/>
          <w:szCs w:val="24"/>
        </w:rPr>
        <w:t>Safitri</w:t>
      </w:r>
      <w:proofErr w:type="spellEnd"/>
      <w:r w:rsidRPr="007D37A4">
        <w:rPr>
          <w:rFonts w:asciiTheme="majorBidi" w:hAnsiTheme="majorBidi" w:cstheme="majorBidi"/>
          <w:sz w:val="24"/>
          <w:szCs w:val="24"/>
        </w:rPr>
        <w:t xml:space="preserve"> and Triani (2021); </w:t>
      </w:r>
      <w:proofErr w:type="spellStart"/>
      <w:r w:rsidRPr="007D37A4">
        <w:rPr>
          <w:rFonts w:asciiTheme="majorBidi" w:hAnsiTheme="majorBidi" w:cstheme="majorBidi"/>
          <w:sz w:val="24"/>
          <w:szCs w:val="24"/>
        </w:rPr>
        <w:t>Sudjono</w:t>
      </w:r>
      <w:proofErr w:type="spellEnd"/>
      <w:r w:rsidRPr="007D37A4">
        <w:rPr>
          <w:rFonts w:asciiTheme="majorBidi" w:hAnsiTheme="majorBidi" w:cstheme="majorBidi"/>
          <w:sz w:val="24"/>
          <w:szCs w:val="24"/>
        </w:rPr>
        <w:t xml:space="preserve"> and Setiawan (2022); Utami, </w:t>
      </w:r>
      <w:proofErr w:type="spellStart"/>
      <w:r w:rsidRPr="007D37A4">
        <w:rPr>
          <w:rFonts w:asciiTheme="majorBidi" w:hAnsiTheme="majorBidi" w:cstheme="majorBidi"/>
          <w:sz w:val="24"/>
          <w:szCs w:val="24"/>
        </w:rPr>
        <w:t>Arisudhana</w:t>
      </w:r>
      <w:proofErr w:type="spellEnd"/>
      <w:r w:rsidRPr="007D37A4">
        <w:rPr>
          <w:rFonts w:asciiTheme="majorBidi" w:hAnsiTheme="majorBidi" w:cstheme="majorBidi"/>
          <w:sz w:val="24"/>
          <w:szCs w:val="24"/>
        </w:rPr>
        <w:t xml:space="preserve"> and Vina (2023); </w:t>
      </w:r>
      <w:proofErr w:type="spellStart"/>
      <w:r w:rsidRPr="007D37A4">
        <w:rPr>
          <w:rFonts w:asciiTheme="majorBidi" w:hAnsiTheme="majorBidi" w:cstheme="majorBidi"/>
          <w:sz w:val="24"/>
          <w:szCs w:val="24"/>
        </w:rPr>
        <w:t>Indreswari</w:t>
      </w:r>
      <w:proofErr w:type="spellEnd"/>
      <w:r w:rsidRPr="007D37A4">
        <w:rPr>
          <w:rFonts w:asciiTheme="majorBidi" w:hAnsiTheme="majorBidi" w:cstheme="majorBidi"/>
          <w:sz w:val="24"/>
          <w:szCs w:val="24"/>
        </w:rPr>
        <w:t xml:space="preserve"> and </w:t>
      </w:r>
      <w:proofErr w:type="spellStart"/>
      <w:r w:rsidRPr="007D37A4">
        <w:rPr>
          <w:rFonts w:asciiTheme="majorBidi" w:hAnsiTheme="majorBidi" w:cstheme="majorBidi"/>
          <w:sz w:val="24"/>
          <w:szCs w:val="24"/>
        </w:rPr>
        <w:t>Erinos</w:t>
      </w:r>
      <w:proofErr w:type="spellEnd"/>
      <w:r w:rsidRPr="007D37A4">
        <w:rPr>
          <w:rFonts w:asciiTheme="majorBidi" w:hAnsiTheme="majorBidi" w:cstheme="majorBidi"/>
          <w:sz w:val="24"/>
          <w:szCs w:val="24"/>
        </w:rPr>
        <w:t xml:space="preserve"> (2023) states that company size can have an impact on the occurrence of audit delay.</w:t>
      </w:r>
    </w:p>
    <w:p w14:paraId="4754BF82" w14:textId="77777777" w:rsidR="007D37A4" w:rsidRDefault="007D37A4" w:rsidP="00634B41">
      <w:pPr>
        <w:spacing w:after="0"/>
        <w:ind w:firstLine="426"/>
        <w:jc w:val="both"/>
        <w:rPr>
          <w:rFonts w:asciiTheme="majorBidi" w:hAnsiTheme="majorBidi" w:cstheme="majorBidi"/>
          <w:sz w:val="24"/>
          <w:szCs w:val="24"/>
        </w:rPr>
      </w:pPr>
      <w:r w:rsidRPr="00164D54">
        <w:rPr>
          <w:rFonts w:asciiTheme="majorBidi" w:hAnsiTheme="majorBidi" w:cstheme="majorBidi"/>
          <w:b/>
          <w:bCs/>
          <w:sz w:val="24"/>
          <w:szCs w:val="24"/>
        </w:rPr>
        <w:t>H</w:t>
      </w:r>
      <w:r w:rsidRPr="00164D54">
        <w:rPr>
          <w:rFonts w:asciiTheme="majorBidi" w:hAnsiTheme="majorBidi" w:cstheme="majorBidi"/>
          <w:b/>
          <w:bCs/>
          <w:sz w:val="24"/>
          <w:szCs w:val="24"/>
          <w:vertAlign w:val="subscript"/>
        </w:rPr>
        <w:t>2</w:t>
      </w:r>
      <w:r w:rsidRPr="007D37A4">
        <w:rPr>
          <w:rFonts w:asciiTheme="majorBidi" w:hAnsiTheme="majorBidi" w:cstheme="majorBidi"/>
          <w:sz w:val="24"/>
          <w:szCs w:val="24"/>
        </w:rPr>
        <w:t>: Company characteristics have a significant effect on audit delay.</w:t>
      </w:r>
    </w:p>
    <w:p w14:paraId="079182E3" w14:textId="77777777" w:rsidR="00634B41" w:rsidRPr="007D37A4" w:rsidRDefault="00634B41" w:rsidP="00634B41">
      <w:pPr>
        <w:spacing w:after="0"/>
        <w:ind w:firstLine="426"/>
        <w:jc w:val="both"/>
        <w:rPr>
          <w:rFonts w:asciiTheme="majorBidi" w:hAnsiTheme="majorBidi" w:cstheme="majorBidi"/>
          <w:sz w:val="24"/>
          <w:szCs w:val="24"/>
        </w:rPr>
      </w:pPr>
    </w:p>
    <w:p w14:paraId="1943B512" w14:textId="3F01B63F" w:rsidR="007D37A4" w:rsidRPr="007D37A4" w:rsidRDefault="00164D54" w:rsidP="00634B41">
      <w:pPr>
        <w:spacing w:after="0"/>
        <w:jc w:val="both"/>
        <w:rPr>
          <w:rFonts w:asciiTheme="majorBidi" w:hAnsiTheme="majorBidi" w:cstheme="majorBidi"/>
          <w:sz w:val="24"/>
          <w:szCs w:val="24"/>
        </w:rPr>
      </w:pPr>
      <w:r>
        <w:rPr>
          <w:rFonts w:asciiTheme="majorBidi" w:hAnsiTheme="majorBidi" w:cstheme="majorBidi"/>
          <w:b/>
          <w:bCs/>
          <w:sz w:val="24"/>
          <w:szCs w:val="24"/>
        </w:rPr>
        <w:t xml:space="preserve">2.3 </w:t>
      </w:r>
      <w:proofErr w:type="spellStart"/>
      <w:r w:rsidR="007D37A4" w:rsidRPr="007D37A4">
        <w:rPr>
          <w:rFonts w:asciiTheme="majorBidi" w:hAnsiTheme="majorBidi" w:cstheme="majorBidi"/>
          <w:b/>
          <w:bCs/>
          <w:sz w:val="24"/>
          <w:szCs w:val="24"/>
        </w:rPr>
        <w:t>InfluenceTataCompany</w:t>
      </w:r>
      <w:proofErr w:type="spellEnd"/>
      <w:r w:rsidR="007D37A4" w:rsidRPr="007D37A4">
        <w:rPr>
          <w:rFonts w:asciiTheme="majorBidi" w:hAnsiTheme="majorBidi" w:cstheme="majorBidi"/>
          <w:b/>
          <w:bCs/>
          <w:sz w:val="24"/>
          <w:szCs w:val="24"/>
        </w:rPr>
        <w:t xml:space="preserve"> Management against Audit Delay</w:t>
      </w:r>
    </w:p>
    <w:p w14:paraId="55863B05" w14:textId="77777777" w:rsidR="007D37A4" w:rsidRPr="007D37A4" w:rsidRDefault="007D37A4" w:rsidP="00164D54">
      <w:pPr>
        <w:spacing w:after="0"/>
        <w:ind w:firstLine="426"/>
        <w:jc w:val="both"/>
        <w:rPr>
          <w:rFonts w:asciiTheme="majorBidi" w:hAnsiTheme="majorBidi" w:cstheme="majorBidi"/>
          <w:sz w:val="24"/>
          <w:szCs w:val="24"/>
        </w:rPr>
      </w:pPr>
      <w:r w:rsidRPr="007D37A4">
        <w:rPr>
          <w:rFonts w:asciiTheme="majorBidi" w:hAnsiTheme="majorBidi" w:cstheme="majorBidi"/>
          <w:sz w:val="24"/>
          <w:szCs w:val="24"/>
        </w:rPr>
        <w:t xml:space="preserve">One form of corporate governance is the Audit Committee. Arens and </w:t>
      </w:r>
      <w:proofErr w:type="spellStart"/>
      <w:r w:rsidRPr="007D37A4">
        <w:rPr>
          <w:rFonts w:asciiTheme="majorBidi" w:hAnsiTheme="majorBidi" w:cstheme="majorBidi"/>
          <w:sz w:val="24"/>
          <w:szCs w:val="24"/>
        </w:rPr>
        <w:t>Loebbecke</w:t>
      </w:r>
      <w:proofErr w:type="spellEnd"/>
      <w:r w:rsidRPr="007D37A4">
        <w:rPr>
          <w:rFonts w:asciiTheme="majorBidi" w:hAnsiTheme="majorBidi" w:cstheme="majorBidi"/>
          <w:sz w:val="24"/>
          <w:szCs w:val="24"/>
        </w:rPr>
        <w:t xml:space="preserve"> (2000) in the book Auditing: An Integrated Approach state that: An audit committee is a selected number of members of a company board of directors whose responsibilities include helping </w:t>
      </w:r>
      <w:r w:rsidRPr="007D37A4">
        <w:rPr>
          <w:rFonts w:asciiTheme="majorBidi" w:hAnsiTheme="majorBidi" w:cstheme="majorBidi"/>
          <w:sz w:val="24"/>
          <w:szCs w:val="24"/>
        </w:rPr>
        <w:lastRenderedPageBreak/>
        <w:t>auditors remain independent of management. Most audit committees are made up of three to five or sometimes as many as seven directors who are not a part of company management.</w:t>
      </w:r>
    </w:p>
    <w:p w14:paraId="19931399" w14:textId="77777777" w:rsidR="007D37A4" w:rsidRPr="007D37A4" w:rsidRDefault="007D37A4" w:rsidP="00164D54">
      <w:pPr>
        <w:spacing w:after="0"/>
        <w:ind w:firstLine="426"/>
        <w:jc w:val="both"/>
        <w:rPr>
          <w:rFonts w:asciiTheme="majorBidi" w:hAnsiTheme="majorBidi" w:cstheme="majorBidi"/>
          <w:sz w:val="24"/>
          <w:szCs w:val="24"/>
        </w:rPr>
      </w:pPr>
      <w:r w:rsidRPr="007D37A4">
        <w:rPr>
          <w:rFonts w:asciiTheme="majorBidi" w:hAnsiTheme="majorBidi" w:cstheme="majorBidi"/>
          <w:sz w:val="24"/>
          <w:szCs w:val="24"/>
        </w:rPr>
        <w:t>Corporate governance is a crucial aspect of any company. Companies with strong internal corporate governance mechanisms (audit committees) will have adequate internal controls and information systems. With adequate internal controls and information systems, quality financial reporting information can be presented in a timely manner.</w:t>
      </w:r>
    </w:p>
    <w:p w14:paraId="3A6393D2" w14:textId="77777777" w:rsidR="007D37A4" w:rsidRPr="007D37A4" w:rsidRDefault="007D37A4" w:rsidP="00164D54">
      <w:pPr>
        <w:spacing w:after="0"/>
        <w:ind w:firstLine="426"/>
        <w:jc w:val="both"/>
        <w:rPr>
          <w:rFonts w:asciiTheme="majorBidi" w:hAnsiTheme="majorBidi" w:cstheme="majorBidi"/>
          <w:sz w:val="24"/>
          <w:szCs w:val="24"/>
        </w:rPr>
      </w:pPr>
      <w:r w:rsidRPr="007D37A4">
        <w:rPr>
          <w:rFonts w:asciiTheme="majorBidi" w:hAnsiTheme="majorBidi" w:cstheme="majorBidi"/>
          <w:sz w:val="24"/>
          <w:szCs w:val="24"/>
        </w:rPr>
        <w:t xml:space="preserve">Companies with good governance, as reflected by the presence of an adequate audit committee, will encourage the timely publication of financial reports. Research by </w:t>
      </w:r>
      <w:proofErr w:type="spellStart"/>
      <w:r w:rsidRPr="007D37A4">
        <w:rPr>
          <w:rFonts w:asciiTheme="majorBidi" w:hAnsiTheme="majorBidi" w:cstheme="majorBidi"/>
          <w:sz w:val="24"/>
          <w:szCs w:val="24"/>
        </w:rPr>
        <w:t>Hariindahyani</w:t>
      </w:r>
      <w:proofErr w:type="spellEnd"/>
      <w:r w:rsidRPr="007D37A4">
        <w:rPr>
          <w:rFonts w:asciiTheme="majorBidi" w:hAnsiTheme="majorBidi" w:cstheme="majorBidi"/>
          <w:sz w:val="24"/>
          <w:szCs w:val="24"/>
        </w:rPr>
        <w:t xml:space="preserve"> and </w:t>
      </w:r>
      <w:proofErr w:type="spellStart"/>
      <w:r w:rsidRPr="007D37A4">
        <w:rPr>
          <w:rFonts w:asciiTheme="majorBidi" w:hAnsiTheme="majorBidi" w:cstheme="majorBidi"/>
          <w:sz w:val="24"/>
          <w:szCs w:val="24"/>
        </w:rPr>
        <w:t>Hariindahyani</w:t>
      </w:r>
      <w:proofErr w:type="spellEnd"/>
      <w:r w:rsidRPr="007D37A4">
        <w:rPr>
          <w:rFonts w:asciiTheme="majorBidi" w:hAnsiTheme="majorBidi" w:cstheme="majorBidi"/>
          <w:sz w:val="24"/>
          <w:szCs w:val="24"/>
        </w:rPr>
        <w:t xml:space="preserve"> (2018; Gede and Ratna (2021); </w:t>
      </w:r>
      <w:proofErr w:type="spellStart"/>
      <w:r w:rsidRPr="007D37A4">
        <w:rPr>
          <w:rFonts w:asciiTheme="majorBidi" w:hAnsiTheme="majorBidi" w:cstheme="majorBidi"/>
          <w:sz w:val="24"/>
          <w:szCs w:val="24"/>
        </w:rPr>
        <w:t>Setianingsih</w:t>
      </w:r>
      <w:proofErr w:type="spellEnd"/>
      <w:r w:rsidRPr="007D37A4">
        <w:rPr>
          <w:rFonts w:asciiTheme="majorBidi" w:hAnsiTheme="majorBidi" w:cstheme="majorBidi"/>
          <w:sz w:val="24"/>
          <w:szCs w:val="24"/>
        </w:rPr>
        <w:t xml:space="preserve"> and </w:t>
      </w:r>
      <w:proofErr w:type="spellStart"/>
      <w:r w:rsidRPr="007D37A4">
        <w:rPr>
          <w:rFonts w:asciiTheme="majorBidi" w:hAnsiTheme="majorBidi" w:cstheme="majorBidi"/>
          <w:sz w:val="24"/>
          <w:szCs w:val="24"/>
        </w:rPr>
        <w:t>Kritianti</w:t>
      </w:r>
      <w:proofErr w:type="spellEnd"/>
      <w:r w:rsidRPr="007D37A4">
        <w:rPr>
          <w:rFonts w:asciiTheme="majorBidi" w:hAnsiTheme="majorBidi" w:cstheme="majorBidi"/>
          <w:sz w:val="24"/>
          <w:szCs w:val="24"/>
        </w:rPr>
        <w:t xml:space="preserve"> (2022); and Riswan and Serly (2023) demonstrates that corporate governance, as measured by the audit committee, influences audit delay.</w:t>
      </w:r>
    </w:p>
    <w:p w14:paraId="192AC4D2" w14:textId="77777777" w:rsidR="007D37A4" w:rsidRPr="007D37A4" w:rsidRDefault="007D37A4" w:rsidP="00164D54">
      <w:pPr>
        <w:spacing w:after="0"/>
        <w:ind w:firstLine="426"/>
        <w:jc w:val="both"/>
        <w:rPr>
          <w:rFonts w:asciiTheme="majorBidi" w:hAnsiTheme="majorBidi" w:cstheme="majorBidi"/>
          <w:sz w:val="24"/>
          <w:szCs w:val="24"/>
        </w:rPr>
      </w:pPr>
      <w:r w:rsidRPr="00164D54">
        <w:rPr>
          <w:rFonts w:asciiTheme="majorBidi" w:hAnsiTheme="majorBidi" w:cstheme="majorBidi"/>
          <w:b/>
          <w:bCs/>
          <w:sz w:val="24"/>
          <w:szCs w:val="24"/>
        </w:rPr>
        <w:t>H</w:t>
      </w:r>
      <w:r w:rsidRPr="00164D54">
        <w:rPr>
          <w:rFonts w:asciiTheme="majorBidi" w:hAnsiTheme="majorBidi" w:cstheme="majorBidi"/>
          <w:b/>
          <w:bCs/>
          <w:sz w:val="24"/>
          <w:szCs w:val="24"/>
          <w:vertAlign w:val="subscript"/>
        </w:rPr>
        <w:t>3</w:t>
      </w:r>
      <w:r w:rsidRPr="007D37A4">
        <w:rPr>
          <w:rFonts w:asciiTheme="majorBidi" w:hAnsiTheme="majorBidi" w:cstheme="majorBidi"/>
          <w:sz w:val="24"/>
          <w:szCs w:val="24"/>
        </w:rPr>
        <w:t>: Corporate governance has a significant effect on Audit Delay</w:t>
      </w:r>
    </w:p>
    <w:p w14:paraId="18CD647D" w14:textId="77777777" w:rsidR="007D37A4" w:rsidRPr="007D37A4" w:rsidRDefault="007D37A4" w:rsidP="007D37A4">
      <w:pPr>
        <w:jc w:val="both"/>
        <w:rPr>
          <w:rFonts w:asciiTheme="majorBidi" w:hAnsiTheme="majorBidi" w:cstheme="majorBidi"/>
          <w:sz w:val="24"/>
          <w:szCs w:val="24"/>
        </w:rPr>
      </w:pPr>
    </w:p>
    <w:p w14:paraId="1A94CBBB" w14:textId="0989D7B1" w:rsidR="007D37A4" w:rsidRPr="007D37A4" w:rsidRDefault="00164D54" w:rsidP="00634B41">
      <w:pPr>
        <w:spacing w:after="0"/>
        <w:jc w:val="both"/>
        <w:rPr>
          <w:rFonts w:asciiTheme="majorBidi" w:hAnsiTheme="majorBidi" w:cstheme="majorBidi"/>
          <w:sz w:val="24"/>
          <w:szCs w:val="24"/>
        </w:rPr>
      </w:pPr>
      <w:r>
        <w:rPr>
          <w:rFonts w:asciiTheme="majorBidi" w:hAnsiTheme="majorBidi" w:cstheme="majorBidi"/>
          <w:b/>
          <w:bCs/>
          <w:sz w:val="24"/>
          <w:szCs w:val="24"/>
        </w:rPr>
        <w:t xml:space="preserve">2.4 </w:t>
      </w:r>
      <w:r w:rsidR="007D37A4" w:rsidRPr="007D37A4">
        <w:rPr>
          <w:rFonts w:asciiTheme="majorBidi" w:hAnsiTheme="majorBidi" w:cstheme="majorBidi"/>
          <w:b/>
          <w:bCs/>
          <w:sz w:val="24"/>
          <w:szCs w:val="24"/>
        </w:rPr>
        <w:t>The Influence of Audit Opinion Performance on Audit Delay</w:t>
      </w:r>
    </w:p>
    <w:p w14:paraId="595880E0" w14:textId="77777777" w:rsidR="007D37A4" w:rsidRPr="007D37A4" w:rsidRDefault="007D37A4" w:rsidP="00164D54">
      <w:pPr>
        <w:spacing w:after="0"/>
        <w:ind w:firstLine="426"/>
        <w:jc w:val="both"/>
        <w:rPr>
          <w:rFonts w:asciiTheme="majorBidi" w:hAnsiTheme="majorBidi" w:cstheme="majorBidi"/>
          <w:sz w:val="24"/>
          <w:szCs w:val="24"/>
        </w:rPr>
      </w:pPr>
      <w:r w:rsidRPr="007D37A4">
        <w:rPr>
          <w:rFonts w:asciiTheme="majorBidi" w:hAnsiTheme="majorBidi" w:cstheme="majorBidi"/>
          <w:sz w:val="24"/>
          <w:szCs w:val="24"/>
        </w:rPr>
        <w:t>An audit opinion is an auditor's professional statement regarding the fairness of an entity's financial statements based on the results of an examination conducted in accordance with applicable auditing standards. An audit opinion can provide a signal to stakeholders regarding the company's financial condition and performance. According to Professional Accounting Standards (PSA 29), there are several types of audit opinions, including an unqualified opinion, a modified unqualified opinion, a qualified opinion, an adverse opinion, and a disclaimer of opinion.</w:t>
      </w:r>
    </w:p>
    <w:p w14:paraId="3354F734" w14:textId="77777777" w:rsidR="007D37A4" w:rsidRPr="007D37A4" w:rsidRDefault="007D37A4" w:rsidP="00164D54">
      <w:pPr>
        <w:spacing w:after="0"/>
        <w:ind w:firstLine="426"/>
        <w:jc w:val="both"/>
        <w:rPr>
          <w:rFonts w:asciiTheme="majorBidi" w:hAnsiTheme="majorBidi" w:cstheme="majorBidi"/>
          <w:sz w:val="24"/>
          <w:szCs w:val="24"/>
        </w:rPr>
      </w:pPr>
      <w:r w:rsidRPr="007D37A4">
        <w:rPr>
          <w:rFonts w:asciiTheme="majorBidi" w:hAnsiTheme="majorBidi" w:cstheme="majorBidi"/>
          <w:sz w:val="24"/>
          <w:szCs w:val="24"/>
        </w:rPr>
        <w:t>The audit opinion issued by an auditor not only reflects the results of the financial statement examination but also reflects the effectiveness of the internal control system and compliance with applicable accounting standards. Companies that receive an audit opinion other than unqualified typically have issues in their financial reporting. These issues can prolong the audit process, as the auditor needs to perform additional procedures or engage in further discussions to clarify and resolve significant findings. Therefore, the type of audit opinion can affect the length of time required for the auditor to complete the financial statement audit (audit delay). Companies that receive an opinion other than unqualified tend to experience delays in the audit process due to the greater complexity of the tests and additional procedures performed by the auditor compared to companies that receive an unqualified opinion.</w:t>
      </w:r>
    </w:p>
    <w:p w14:paraId="5D9C59F5" w14:textId="77777777" w:rsidR="007D37A4" w:rsidRPr="007D37A4" w:rsidRDefault="007D37A4" w:rsidP="00164D54">
      <w:pPr>
        <w:spacing w:after="0"/>
        <w:ind w:firstLine="426"/>
        <w:jc w:val="both"/>
        <w:rPr>
          <w:rFonts w:asciiTheme="majorBidi" w:hAnsiTheme="majorBidi" w:cstheme="majorBidi"/>
          <w:sz w:val="24"/>
          <w:szCs w:val="24"/>
        </w:rPr>
      </w:pPr>
      <w:r w:rsidRPr="007D37A4">
        <w:rPr>
          <w:rFonts w:asciiTheme="majorBidi" w:hAnsiTheme="majorBidi" w:cstheme="majorBidi"/>
          <w:sz w:val="24"/>
          <w:szCs w:val="24"/>
        </w:rPr>
        <w:t xml:space="preserve">Research by </w:t>
      </w:r>
      <w:proofErr w:type="spellStart"/>
      <w:r w:rsidRPr="007D37A4">
        <w:rPr>
          <w:rFonts w:asciiTheme="majorBidi" w:hAnsiTheme="majorBidi" w:cstheme="majorBidi"/>
          <w:sz w:val="24"/>
          <w:szCs w:val="24"/>
        </w:rPr>
        <w:t>Safitri</w:t>
      </w:r>
      <w:proofErr w:type="spellEnd"/>
      <w:r w:rsidRPr="007D37A4">
        <w:rPr>
          <w:rFonts w:asciiTheme="majorBidi" w:hAnsiTheme="majorBidi" w:cstheme="majorBidi"/>
          <w:sz w:val="24"/>
          <w:szCs w:val="24"/>
        </w:rPr>
        <w:t xml:space="preserve"> and Triani (2021) and </w:t>
      </w:r>
      <w:proofErr w:type="spellStart"/>
      <w:r w:rsidRPr="007D37A4">
        <w:rPr>
          <w:rFonts w:asciiTheme="majorBidi" w:hAnsiTheme="majorBidi" w:cstheme="majorBidi"/>
          <w:sz w:val="24"/>
          <w:szCs w:val="24"/>
        </w:rPr>
        <w:t>Hariindahyani</w:t>
      </w:r>
      <w:proofErr w:type="spellEnd"/>
      <w:r w:rsidRPr="007D37A4">
        <w:rPr>
          <w:rFonts w:asciiTheme="majorBidi" w:hAnsiTheme="majorBidi" w:cstheme="majorBidi"/>
          <w:sz w:val="24"/>
          <w:szCs w:val="24"/>
        </w:rPr>
        <w:t xml:space="preserve"> and </w:t>
      </w:r>
      <w:proofErr w:type="spellStart"/>
      <w:r w:rsidRPr="007D37A4">
        <w:rPr>
          <w:rFonts w:asciiTheme="majorBidi" w:hAnsiTheme="majorBidi" w:cstheme="majorBidi"/>
          <w:sz w:val="24"/>
          <w:szCs w:val="24"/>
        </w:rPr>
        <w:t>Hariindahyani</w:t>
      </w:r>
      <w:proofErr w:type="spellEnd"/>
      <w:r w:rsidRPr="007D37A4">
        <w:rPr>
          <w:rFonts w:asciiTheme="majorBidi" w:hAnsiTheme="majorBidi" w:cstheme="majorBidi"/>
          <w:sz w:val="24"/>
          <w:szCs w:val="24"/>
        </w:rPr>
        <w:t xml:space="preserve"> (2018) suggests that audit opinions influence audit delays. The more complex the auditor's opinion, the greater the likelihood of audit delays due to increased testing for the risk of material errors or fraud in the financial statements. Conversely, when a company obtains an unqualified audit opinion, auditors tend to complete their tasks more quickly because there are no significant issues requiring further investigation. Therefore, audit opinions can be an important determinant in assessing the efficiency of the audit process. Based on this description, the following hypotheses can be proposed in this study:</w:t>
      </w:r>
    </w:p>
    <w:p w14:paraId="52340490" w14:textId="77777777" w:rsidR="007D37A4" w:rsidRPr="007D37A4" w:rsidRDefault="007D37A4" w:rsidP="00164D54">
      <w:pPr>
        <w:spacing w:after="0"/>
        <w:ind w:firstLine="426"/>
        <w:jc w:val="both"/>
        <w:rPr>
          <w:rFonts w:asciiTheme="majorBidi" w:hAnsiTheme="majorBidi" w:cstheme="majorBidi"/>
          <w:sz w:val="24"/>
          <w:szCs w:val="24"/>
        </w:rPr>
      </w:pPr>
      <w:r w:rsidRPr="00164D54">
        <w:rPr>
          <w:rFonts w:asciiTheme="majorBidi" w:hAnsiTheme="majorBidi" w:cstheme="majorBidi"/>
          <w:b/>
          <w:bCs/>
          <w:sz w:val="24"/>
          <w:szCs w:val="24"/>
        </w:rPr>
        <w:t>H</w:t>
      </w:r>
      <w:r w:rsidRPr="00164D54">
        <w:rPr>
          <w:rFonts w:asciiTheme="majorBidi" w:hAnsiTheme="majorBidi" w:cstheme="majorBidi"/>
          <w:b/>
          <w:bCs/>
          <w:sz w:val="24"/>
          <w:szCs w:val="24"/>
          <w:vertAlign w:val="subscript"/>
        </w:rPr>
        <w:t>4</w:t>
      </w:r>
      <w:r w:rsidRPr="007D37A4">
        <w:rPr>
          <w:rFonts w:asciiTheme="majorBidi" w:hAnsiTheme="majorBidi" w:cstheme="majorBidi"/>
          <w:sz w:val="24"/>
          <w:szCs w:val="24"/>
        </w:rPr>
        <w:t>: Audit opinion has a significant effect on Audit Delay</w:t>
      </w:r>
    </w:p>
    <w:p w14:paraId="309FEC1E" w14:textId="77777777" w:rsidR="007D37A4" w:rsidRDefault="007D37A4" w:rsidP="007D37A4">
      <w:pPr>
        <w:jc w:val="both"/>
      </w:pPr>
    </w:p>
    <w:p w14:paraId="2FE4BFF2" w14:textId="77777777" w:rsidR="00164D54" w:rsidRDefault="00164D54" w:rsidP="007D37A4">
      <w:pPr>
        <w:jc w:val="both"/>
      </w:pPr>
    </w:p>
    <w:p w14:paraId="42A46105" w14:textId="77777777" w:rsidR="00164D54" w:rsidRPr="007D37A4" w:rsidRDefault="00164D54" w:rsidP="007D37A4">
      <w:pPr>
        <w:jc w:val="both"/>
      </w:pPr>
    </w:p>
    <w:p w14:paraId="023212A5" w14:textId="77777777" w:rsidR="007D37A4" w:rsidRPr="007D37A4" w:rsidRDefault="007D37A4" w:rsidP="007D37A4">
      <w:pPr>
        <w:jc w:val="center"/>
        <w:rPr>
          <w:rFonts w:asciiTheme="majorBidi" w:hAnsiTheme="majorBidi" w:cstheme="majorBidi"/>
          <w:sz w:val="24"/>
          <w:szCs w:val="24"/>
        </w:rPr>
      </w:pPr>
      <w:r w:rsidRPr="007D37A4">
        <w:rPr>
          <w:rFonts w:asciiTheme="majorBidi" w:hAnsiTheme="majorBidi" w:cstheme="majorBidi"/>
          <w:b/>
          <w:bCs/>
          <w:sz w:val="24"/>
          <w:szCs w:val="24"/>
        </w:rPr>
        <w:t>3. METHODS</w:t>
      </w:r>
    </w:p>
    <w:p w14:paraId="5601EBF4" w14:textId="0AB2AB4D" w:rsidR="007D37A4" w:rsidRPr="007D37A4" w:rsidRDefault="00164D54" w:rsidP="00634B41">
      <w:pPr>
        <w:spacing w:after="0" w:line="240" w:lineRule="auto"/>
        <w:jc w:val="both"/>
        <w:rPr>
          <w:rFonts w:asciiTheme="majorBidi" w:hAnsiTheme="majorBidi" w:cstheme="majorBidi"/>
          <w:sz w:val="24"/>
          <w:szCs w:val="24"/>
        </w:rPr>
      </w:pPr>
      <w:r>
        <w:rPr>
          <w:rFonts w:asciiTheme="majorBidi" w:hAnsiTheme="majorBidi" w:cstheme="majorBidi"/>
          <w:b/>
          <w:bCs/>
          <w:sz w:val="24"/>
          <w:szCs w:val="24"/>
        </w:rPr>
        <w:lastRenderedPageBreak/>
        <w:t xml:space="preserve">3.1 </w:t>
      </w:r>
      <w:r w:rsidR="007D37A4" w:rsidRPr="007D37A4">
        <w:rPr>
          <w:rFonts w:asciiTheme="majorBidi" w:hAnsiTheme="majorBidi" w:cstheme="majorBidi"/>
          <w:b/>
          <w:bCs/>
          <w:sz w:val="24"/>
          <w:szCs w:val="24"/>
        </w:rPr>
        <w:t>Operational Definition of Variables</w:t>
      </w:r>
    </w:p>
    <w:p w14:paraId="22C5C956" w14:textId="77777777" w:rsidR="007D37A4" w:rsidRPr="00164D54" w:rsidRDefault="007D37A4" w:rsidP="00856618">
      <w:pPr>
        <w:numPr>
          <w:ilvl w:val="0"/>
          <w:numId w:val="44"/>
        </w:numPr>
        <w:spacing w:after="0" w:line="240" w:lineRule="auto"/>
        <w:ind w:firstLine="426"/>
        <w:jc w:val="both"/>
        <w:rPr>
          <w:rFonts w:asciiTheme="majorBidi" w:hAnsiTheme="majorBidi" w:cstheme="majorBidi"/>
          <w:b/>
          <w:bCs/>
          <w:sz w:val="24"/>
          <w:szCs w:val="24"/>
        </w:rPr>
      </w:pPr>
      <w:r w:rsidRPr="00164D54">
        <w:rPr>
          <w:rFonts w:asciiTheme="majorBidi" w:hAnsiTheme="majorBidi" w:cstheme="majorBidi"/>
          <w:b/>
          <w:bCs/>
          <w:sz w:val="24"/>
          <w:szCs w:val="24"/>
        </w:rPr>
        <w:t>Financial performance</w:t>
      </w:r>
    </w:p>
    <w:p w14:paraId="18C99C9F" w14:textId="77777777" w:rsidR="007D37A4" w:rsidRDefault="007D37A4" w:rsidP="00164D54">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 xml:space="preserve">This ratio indicates a company's ability to generate net profit using its equity. A high ratio indicates good profitability and the ability to distribute substantial dividends. Research by Evani, Susilowati, and </w:t>
      </w:r>
      <w:proofErr w:type="spellStart"/>
      <w:r w:rsidRPr="007D37A4">
        <w:rPr>
          <w:rFonts w:asciiTheme="majorBidi" w:hAnsiTheme="majorBidi" w:cstheme="majorBidi"/>
          <w:sz w:val="24"/>
          <w:szCs w:val="24"/>
        </w:rPr>
        <w:t>Kusumastati</w:t>
      </w:r>
      <w:proofErr w:type="spellEnd"/>
      <w:r w:rsidRPr="007D37A4">
        <w:rPr>
          <w:rFonts w:asciiTheme="majorBidi" w:hAnsiTheme="majorBidi" w:cstheme="majorBidi"/>
          <w:sz w:val="24"/>
          <w:szCs w:val="24"/>
        </w:rPr>
        <w:t xml:space="preserve"> (2022) proxied profitability using return on assets (ROA) using the following formula:</w:t>
      </w:r>
    </w:p>
    <w:p w14:paraId="217977B7" w14:textId="77777777" w:rsidR="00164D54" w:rsidRPr="007D37A4" w:rsidRDefault="00164D54" w:rsidP="00164D54">
      <w:pPr>
        <w:spacing w:after="0" w:line="240" w:lineRule="auto"/>
        <w:ind w:firstLine="426"/>
        <w:jc w:val="both"/>
        <w:rPr>
          <w:rFonts w:asciiTheme="majorBidi" w:hAnsiTheme="majorBidi" w:cstheme="majorBidi"/>
          <w:sz w:val="24"/>
          <w:szCs w:val="24"/>
        </w:rPr>
      </w:pPr>
    </w:p>
    <w:p w14:paraId="098A31F8" w14:textId="77777777" w:rsidR="007D37A4" w:rsidRDefault="007D37A4" w:rsidP="00164D54">
      <w:pPr>
        <w:spacing w:after="0" w:line="240" w:lineRule="auto"/>
        <w:jc w:val="both"/>
        <w:rPr>
          <w:rFonts w:asciiTheme="majorBidi" w:hAnsiTheme="majorBidi" w:cstheme="majorBidi"/>
          <w:sz w:val="24"/>
          <w:szCs w:val="24"/>
        </w:rPr>
      </w:pPr>
      <w:r w:rsidRPr="007D37A4">
        <w:rPr>
          <w:rFonts w:asciiTheme="majorBidi" w:hAnsiTheme="majorBidi" w:cstheme="majorBidi"/>
          <w:sz w:val="24"/>
          <w:szCs w:val="24"/>
        </w:rPr>
        <w:t xml:space="preserve">Return on Assets = Net </w:t>
      </w:r>
      <w:proofErr w:type="spellStart"/>
      <w:r w:rsidRPr="007D37A4">
        <w:rPr>
          <w:rFonts w:asciiTheme="majorBidi" w:hAnsiTheme="majorBidi" w:cstheme="majorBidi"/>
          <w:sz w:val="24"/>
          <w:szCs w:val="24"/>
        </w:rPr>
        <w:t>profitTotal</w:t>
      </w:r>
      <w:proofErr w:type="spellEnd"/>
      <w:r w:rsidRPr="007D37A4">
        <w:rPr>
          <w:rFonts w:asciiTheme="majorBidi" w:hAnsiTheme="majorBidi" w:cstheme="majorBidi"/>
          <w:sz w:val="24"/>
          <w:szCs w:val="24"/>
        </w:rPr>
        <w:t xml:space="preserve"> asset (Kasmir, 2016) </w:t>
      </w:r>
    </w:p>
    <w:p w14:paraId="2DC5E197" w14:textId="77777777" w:rsidR="00164D54" w:rsidRPr="007D37A4" w:rsidRDefault="00164D54" w:rsidP="00164D54">
      <w:pPr>
        <w:spacing w:after="0" w:line="240" w:lineRule="auto"/>
        <w:jc w:val="both"/>
        <w:rPr>
          <w:rFonts w:asciiTheme="majorBidi" w:hAnsiTheme="majorBidi" w:cstheme="majorBidi"/>
          <w:sz w:val="24"/>
          <w:szCs w:val="24"/>
        </w:rPr>
      </w:pPr>
    </w:p>
    <w:p w14:paraId="15AB9F09" w14:textId="77777777" w:rsidR="007D37A4" w:rsidRPr="00164D54" w:rsidRDefault="007D37A4" w:rsidP="00856618">
      <w:pPr>
        <w:numPr>
          <w:ilvl w:val="0"/>
          <w:numId w:val="45"/>
        </w:numPr>
        <w:tabs>
          <w:tab w:val="clear" w:pos="720"/>
        </w:tabs>
        <w:spacing w:after="0" w:line="240" w:lineRule="auto"/>
        <w:ind w:left="0" w:firstLine="426"/>
        <w:jc w:val="both"/>
        <w:rPr>
          <w:rFonts w:asciiTheme="majorBidi" w:hAnsiTheme="majorBidi" w:cstheme="majorBidi"/>
          <w:b/>
          <w:bCs/>
          <w:sz w:val="24"/>
          <w:szCs w:val="24"/>
        </w:rPr>
      </w:pPr>
      <w:r w:rsidRPr="00164D54">
        <w:rPr>
          <w:rFonts w:asciiTheme="majorBidi" w:hAnsiTheme="majorBidi" w:cstheme="majorBidi"/>
          <w:b/>
          <w:bCs/>
          <w:sz w:val="24"/>
          <w:szCs w:val="24"/>
        </w:rPr>
        <w:t>Company Characteristics</w:t>
      </w:r>
    </w:p>
    <w:p w14:paraId="7400C8A0" w14:textId="77777777" w:rsidR="007D37A4" w:rsidRPr="007D37A4" w:rsidRDefault="007D37A4" w:rsidP="00164D54">
      <w:pPr>
        <w:spacing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 xml:space="preserve">Company size is a measure of a company's scale. Research by </w:t>
      </w:r>
      <w:proofErr w:type="spellStart"/>
      <w:r w:rsidRPr="007D37A4">
        <w:rPr>
          <w:rFonts w:asciiTheme="majorBidi" w:hAnsiTheme="majorBidi" w:cstheme="majorBidi"/>
          <w:sz w:val="24"/>
          <w:szCs w:val="24"/>
        </w:rPr>
        <w:t>Indreswari</w:t>
      </w:r>
      <w:proofErr w:type="spellEnd"/>
      <w:r w:rsidRPr="007D37A4">
        <w:rPr>
          <w:rFonts w:asciiTheme="majorBidi" w:hAnsiTheme="majorBidi" w:cstheme="majorBidi"/>
          <w:sz w:val="24"/>
          <w:szCs w:val="24"/>
        </w:rPr>
        <w:t xml:space="preserve"> and </w:t>
      </w:r>
      <w:proofErr w:type="spellStart"/>
      <w:r w:rsidRPr="007D37A4">
        <w:rPr>
          <w:rFonts w:asciiTheme="majorBidi" w:hAnsiTheme="majorBidi" w:cstheme="majorBidi"/>
          <w:sz w:val="24"/>
          <w:szCs w:val="24"/>
        </w:rPr>
        <w:t>Erinos</w:t>
      </w:r>
      <w:proofErr w:type="spellEnd"/>
      <w:r w:rsidRPr="007D37A4">
        <w:rPr>
          <w:rFonts w:asciiTheme="majorBidi" w:hAnsiTheme="majorBidi" w:cstheme="majorBidi"/>
          <w:sz w:val="24"/>
          <w:szCs w:val="24"/>
        </w:rPr>
        <w:t xml:space="preserve"> (2023) proxied liquidity by company size using the following formula:</w:t>
      </w:r>
    </w:p>
    <w:p w14:paraId="5D1D9058" w14:textId="77777777" w:rsidR="007D37A4" w:rsidRPr="007D37A4" w:rsidRDefault="007D37A4" w:rsidP="00164D54">
      <w:pPr>
        <w:spacing w:line="240" w:lineRule="auto"/>
        <w:jc w:val="both"/>
        <w:rPr>
          <w:rFonts w:asciiTheme="majorBidi" w:hAnsiTheme="majorBidi" w:cstheme="majorBidi"/>
          <w:sz w:val="24"/>
          <w:szCs w:val="24"/>
        </w:rPr>
      </w:pPr>
      <w:r w:rsidRPr="007D37A4">
        <w:rPr>
          <w:rFonts w:asciiTheme="majorBidi" w:hAnsiTheme="majorBidi" w:cstheme="majorBidi"/>
          <w:sz w:val="24"/>
          <w:szCs w:val="24"/>
        </w:rPr>
        <w:t>Company size = Ln Total Assets (Kasmir, 2016)</w:t>
      </w:r>
    </w:p>
    <w:p w14:paraId="5237614D" w14:textId="77777777" w:rsidR="007D37A4" w:rsidRPr="00164D54" w:rsidRDefault="007D37A4" w:rsidP="00856618">
      <w:pPr>
        <w:numPr>
          <w:ilvl w:val="0"/>
          <w:numId w:val="46"/>
        </w:numPr>
        <w:tabs>
          <w:tab w:val="clear" w:pos="720"/>
        </w:tabs>
        <w:spacing w:after="0" w:line="240" w:lineRule="auto"/>
        <w:ind w:left="0" w:firstLine="426"/>
        <w:jc w:val="both"/>
        <w:rPr>
          <w:rFonts w:asciiTheme="majorBidi" w:hAnsiTheme="majorBidi" w:cstheme="majorBidi"/>
          <w:b/>
          <w:bCs/>
          <w:sz w:val="24"/>
          <w:szCs w:val="24"/>
        </w:rPr>
      </w:pPr>
      <w:r w:rsidRPr="00164D54">
        <w:rPr>
          <w:rFonts w:asciiTheme="majorBidi" w:hAnsiTheme="majorBidi" w:cstheme="majorBidi"/>
          <w:b/>
          <w:bCs/>
          <w:sz w:val="24"/>
          <w:szCs w:val="24"/>
        </w:rPr>
        <w:t>Corporate governance</w:t>
      </w:r>
    </w:p>
    <w:p w14:paraId="319C9EF1" w14:textId="77777777" w:rsidR="007D37A4" w:rsidRPr="007D37A4" w:rsidRDefault="007D37A4" w:rsidP="00164D54">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Corporate governance also contributes to audit delays. According to the Indonesian Institute of Corporate Governance (IICG) (2000), corporate governance is a system implemented in running or managing a company, with the primary goal of increasing long-term shareholder value while still considering the interests of other stakeholders. One such corporate governance component is the Audit Committee.</w:t>
      </w:r>
    </w:p>
    <w:p w14:paraId="608A4077" w14:textId="77777777" w:rsidR="007D37A4" w:rsidRPr="007D37A4" w:rsidRDefault="007D37A4" w:rsidP="00164D54">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An audit committee is a group of elected members of a company's board of directors whose responsibilities include helping the auditor remain independent of management. Most audit committees consist of three to five, or sometimes as many as seven, directors who are not part of the company's management.</w:t>
      </w:r>
    </w:p>
    <w:p w14:paraId="32D808EC" w14:textId="77777777" w:rsidR="007D37A4" w:rsidRDefault="007D37A4" w:rsidP="00164D54">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The Audit Committee in this study was measured using a proxy conducted by Riswan and Serly (2023), namely the number of audit committees in the company.</w:t>
      </w:r>
    </w:p>
    <w:p w14:paraId="2B12A27C" w14:textId="77777777" w:rsidR="00164D54" w:rsidRPr="007D37A4" w:rsidRDefault="00164D54" w:rsidP="00164D54">
      <w:pPr>
        <w:spacing w:after="0" w:line="240" w:lineRule="auto"/>
        <w:ind w:firstLine="426"/>
        <w:jc w:val="both"/>
        <w:rPr>
          <w:rFonts w:asciiTheme="majorBidi" w:hAnsiTheme="majorBidi" w:cstheme="majorBidi"/>
          <w:sz w:val="24"/>
          <w:szCs w:val="24"/>
        </w:rPr>
      </w:pPr>
    </w:p>
    <w:p w14:paraId="24DB0A98" w14:textId="77777777" w:rsidR="007D37A4" w:rsidRPr="007D37A4" w:rsidRDefault="007D37A4" w:rsidP="007D37A4">
      <w:pPr>
        <w:spacing w:line="240" w:lineRule="auto"/>
        <w:jc w:val="both"/>
        <w:rPr>
          <w:rFonts w:asciiTheme="majorBidi" w:hAnsiTheme="majorBidi" w:cstheme="majorBidi"/>
          <w:sz w:val="24"/>
          <w:szCs w:val="24"/>
        </w:rPr>
      </w:pPr>
      <w:r w:rsidRPr="007D37A4">
        <w:rPr>
          <w:rFonts w:asciiTheme="majorBidi" w:hAnsiTheme="majorBidi" w:cstheme="majorBidi"/>
          <w:sz w:val="24"/>
          <w:szCs w:val="24"/>
        </w:rPr>
        <w:t>Audit Committee = Total Audit Committee</w:t>
      </w:r>
    </w:p>
    <w:p w14:paraId="0232404A" w14:textId="77777777" w:rsidR="007D37A4" w:rsidRPr="00164D54" w:rsidRDefault="007D37A4" w:rsidP="00856618">
      <w:pPr>
        <w:numPr>
          <w:ilvl w:val="0"/>
          <w:numId w:val="47"/>
        </w:numPr>
        <w:tabs>
          <w:tab w:val="clear" w:pos="720"/>
          <w:tab w:val="num" w:pos="426"/>
        </w:tabs>
        <w:spacing w:after="0" w:line="240" w:lineRule="auto"/>
        <w:ind w:left="0" w:firstLine="426"/>
        <w:jc w:val="both"/>
        <w:rPr>
          <w:rFonts w:asciiTheme="majorBidi" w:hAnsiTheme="majorBidi" w:cstheme="majorBidi"/>
          <w:b/>
          <w:bCs/>
          <w:sz w:val="24"/>
          <w:szCs w:val="24"/>
        </w:rPr>
      </w:pPr>
      <w:r w:rsidRPr="00164D54">
        <w:rPr>
          <w:rFonts w:asciiTheme="majorBidi" w:hAnsiTheme="majorBidi" w:cstheme="majorBidi"/>
          <w:b/>
          <w:bCs/>
          <w:sz w:val="24"/>
          <w:szCs w:val="24"/>
        </w:rPr>
        <w:t>Audit Opinion  </w:t>
      </w:r>
    </w:p>
    <w:p w14:paraId="5CD90CE8" w14:textId="77777777" w:rsidR="007D37A4" w:rsidRPr="007D37A4" w:rsidRDefault="007D37A4" w:rsidP="00164D54">
      <w:pPr>
        <w:spacing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Audit Opinion is a report given by a registered auditor stating that the audit has been carried out in accordance with accounting norms or rules accompanied by an opinion on the fairness of the financial statements being audited (</w:t>
      </w:r>
      <w:proofErr w:type="spellStart"/>
      <w:r w:rsidRPr="007D37A4">
        <w:rPr>
          <w:rFonts w:asciiTheme="majorBidi" w:hAnsiTheme="majorBidi" w:cstheme="majorBidi"/>
          <w:sz w:val="24"/>
          <w:szCs w:val="24"/>
        </w:rPr>
        <w:t>Tobing</w:t>
      </w:r>
      <w:proofErr w:type="spellEnd"/>
      <w:r w:rsidRPr="007D37A4">
        <w:rPr>
          <w:rFonts w:asciiTheme="majorBidi" w:hAnsiTheme="majorBidi" w:cstheme="majorBidi"/>
          <w:sz w:val="24"/>
          <w:szCs w:val="24"/>
        </w:rPr>
        <w:t xml:space="preserve"> and </w:t>
      </w:r>
      <w:proofErr w:type="spellStart"/>
      <w:r w:rsidRPr="007D37A4">
        <w:rPr>
          <w:rFonts w:asciiTheme="majorBidi" w:hAnsiTheme="majorBidi" w:cstheme="majorBidi"/>
          <w:sz w:val="24"/>
          <w:szCs w:val="24"/>
        </w:rPr>
        <w:t>Nirwana</w:t>
      </w:r>
      <w:proofErr w:type="spellEnd"/>
      <w:r w:rsidRPr="007D37A4">
        <w:rPr>
          <w:rFonts w:asciiTheme="majorBidi" w:hAnsiTheme="majorBidi" w:cstheme="majorBidi"/>
          <w:sz w:val="24"/>
          <w:szCs w:val="24"/>
        </w:rPr>
        <w:t xml:space="preserve"> 2004).</w:t>
      </w:r>
    </w:p>
    <w:p w14:paraId="0DD0F8B4" w14:textId="77777777" w:rsidR="007D37A4" w:rsidRPr="007D37A4" w:rsidRDefault="007D37A4" w:rsidP="00164D54">
      <w:pPr>
        <w:spacing w:line="240" w:lineRule="auto"/>
        <w:ind w:firstLine="360"/>
        <w:jc w:val="both"/>
        <w:rPr>
          <w:rFonts w:asciiTheme="majorBidi" w:hAnsiTheme="majorBidi" w:cstheme="majorBidi"/>
          <w:sz w:val="24"/>
          <w:szCs w:val="24"/>
        </w:rPr>
      </w:pPr>
      <w:r w:rsidRPr="007D37A4">
        <w:rPr>
          <w:rFonts w:asciiTheme="majorBidi" w:hAnsiTheme="majorBidi" w:cstheme="majorBidi"/>
          <w:sz w:val="24"/>
          <w:szCs w:val="24"/>
        </w:rPr>
        <w:t>Measurement of audit opinion based on Professional Accounting Standards (PSA 29)</w:t>
      </w:r>
    </w:p>
    <w:p w14:paraId="24E1C265" w14:textId="77777777" w:rsidR="007D37A4" w:rsidRPr="007D37A4" w:rsidRDefault="007D37A4" w:rsidP="00856618">
      <w:pPr>
        <w:numPr>
          <w:ilvl w:val="0"/>
          <w:numId w:val="48"/>
        </w:numPr>
        <w:spacing w:line="240" w:lineRule="auto"/>
        <w:jc w:val="both"/>
        <w:rPr>
          <w:rFonts w:asciiTheme="majorBidi" w:hAnsiTheme="majorBidi" w:cstheme="majorBidi"/>
          <w:sz w:val="24"/>
          <w:szCs w:val="24"/>
        </w:rPr>
      </w:pPr>
      <w:r w:rsidRPr="007D37A4">
        <w:rPr>
          <w:rFonts w:asciiTheme="majorBidi" w:hAnsiTheme="majorBidi" w:cstheme="majorBidi"/>
          <w:sz w:val="24"/>
          <w:szCs w:val="24"/>
        </w:rPr>
        <w:t>Unqualified Opinion</w:t>
      </w:r>
    </w:p>
    <w:p w14:paraId="03EB6E98" w14:textId="77777777" w:rsidR="007D37A4" w:rsidRPr="007D37A4" w:rsidRDefault="007D37A4" w:rsidP="00856618">
      <w:pPr>
        <w:numPr>
          <w:ilvl w:val="0"/>
          <w:numId w:val="48"/>
        </w:numPr>
        <w:spacing w:line="240" w:lineRule="auto"/>
        <w:jc w:val="both"/>
        <w:rPr>
          <w:rFonts w:asciiTheme="majorBidi" w:hAnsiTheme="majorBidi" w:cstheme="majorBidi"/>
          <w:sz w:val="24"/>
          <w:szCs w:val="24"/>
        </w:rPr>
      </w:pPr>
      <w:r w:rsidRPr="007D37A4">
        <w:rPr>
          <w:rFonts w:asciiTheme="majorBidi" w:hAnsiTheme="majorBidi" w:cstheme="majorBidi"/>
          <w:sz w:val="24"/>
          <w:szCs w:val="24"/>
        </w:rPr>
        <w:t>Unqualified Opinion with explanatory paragraph (Modified Unqualified Opinion)</w:t>
      </w:r>
    </w:p>
    <w:p w14:paraId="79FE5EC9" w14:textId="77777777" w:rsidR="007D37A4" w:rsidRPr="007D37A4" w:rsidRDefault="007D37A4" w:rsidP="00856618">
      <w:pPr>
        <w:numPr>
          <w:ilvl w:val="0"/>
          <w:numId w:val="48"/>
        </w:numPr>
        <w:spacing w:line="240" w:lineRule="auto"/>
        <w:jc w:val="both"/>
        <w:rPr>
          <w:rFonts w:asciiTheme="majorBidi" w:hAnsiTheme="majorBidi" w:cstheme="majorBidi"/>
          <w:sz w:val="24"/>
          <w:szCs w:val="24"/>
        </w:rPr>
      </w:pPr>
      <w:r w:rsidRPr="007D37A4">
        <w:rPr>
          <w:rFonts w:asciiTheme="majorBidi" w:hAnsiTheme="majorBidi" w:cstheme="majorBidi"/>
          <w:sz w:val="24"/>
          <w:szCs w:val="24"/>
        </w:rPr>
        <w:t>Qualified Opinion</w:t>
      </w:r>
    </w:p>
    <w:p w14:paraId="2E872D3F" w14:textId="77777777" w:rsidR="007D37A4" w:rsidRPr="007D37A4" w:rsidRDefault="007D37A4" w:rsidP="00856618">
      <w:pPr>
        <w:numPr>
          <w:ilvl w:val="0"/>
          <w:numId w:val="48"/>
        </w:numPr>
        <w:spacing w:line="240" w:lineRule="auto"/>
        <w:jc w:val="both"/>
        <w:rPr>
          <w:rFonts w:asciiTheme="majorBidi" w:hAnsiTheme="majorBidi" w:cstheme="majorBidi"/>
          <w:sz w:val="24"/>
          <w:szCs w:val="24"/>
        </w:rPr>
      </w:pPr>
      <w:r w:rsidRPr="007D37A4">
        <w:rPr>
          <w:rFonts w:asciiTheme="majorBidi" w:hAnsiTheme="majorBidi" w:cstheme="majorBidi"/>
          <w:sz w:val="24"/>
          <w:szCs w:val="24"/>
        </w:rPr>
        <w:t>Adverse Opinion</w:t>
      </w:r>
    </w:p>
    <w:p w14:paraId="12DF96D7" w14:textId="77777777" w:rsidR="007D37A4" w:rsidRPr="007D37A4" w:rsidRDefault="007D37A4" w:rsidP="00856618">
      <w:pPr>
        <w:numPr>
          <w:ilvl w:val="0"/>
          <w:numId w:val="48"/>
        </w:numPr>
        <w:spacing w:line="240" w:lineRule="auto"/>
        <w:jc w:val="both"/>
        <w:rPr>
          <w:rFonts w:asciiTheme="majorBidi" w:hAnsiTheme="majorBidi" w:cstheme="majorBidi"/>
          <w:sz w:val="24"/>
          <w:szCs w:val="24"/>
        </w:rPr>
      </w:pPr>
      <w:r w:rsidRPr="007D37A4">
        <w:rPr>
          <w:rFonts w:asciiTheme="majorBidi" w:hAnsiTheme="majorBidi" w:cstheme="majorBidi"/>
          <w:sz w:val="24"/>
          <w:szCs w:val="24"/>
        </w:rPr>
        <w:t>Disclaimer of Opinion</w:t>
      </w:r>
    </w:p>
    <w:p w14:paraId="26AA7E7D" w14:textId="77777777" w:rsidR="007D37A4" w:rsidRPr="007D37A4" w:rsidRDefault="007D37A4" w:rsidP="00856618">
      <w:pPr>
        <w:numPr>
          <w:ilvl w:val="0"/>
          <w:numId w:val="49"/>
        </w:numPr>
        <w:spacing w:line="240" w:lineRule="auto"/>
        <w:jc w:val="both"/>
        <w:rPr>
          <w:rFonts w:asciiTheme="majorBidi" w:hAnsiTheme="majorBidi" w:cstheme="majorBidi"/>
          <w:sz w:val="24"/>
          <w:szCs w:val="24"/>
        </w:rPr>
      </w:pPr>
      <w:r w:rsidRPr="007D37A4">
        <w:rPr>
          <w:rFonts w:asciiTheme="majorBidi" w:hAnsiTheme="majorBidi" w:cstheme="majorBidi"/>
          <w:sz w:val="24"/>
          <w:szCs w:val="24"/>
        </w:rPr>
        <w:t>Audit Delay</w:t>
      </w:r>
    </w:p>
    <w:p w14:paraId="75C346B7" w14:textId="77777777" w:rsidR="007D37A4" w:rsidRPr="007D37A4" w:rsidRDefault="007D37A4" w:rsidP="00164D54">
      <w:pPr>
        <w:spacing w:line="240" w:lineRule="auto"/>
        <w:ind w:firstLine="360"/>
        <w:jc w:val="both"/>
        <w:rPr>
          <w:rFonts w:asciiTheme="majorBidi" w:hAnsiTheme="majorBidi" w:cstheme="majorBidi"/>
          <w:sz w:val="24"/>
          <w:szCs w:val="24"/>
        </w:rPr>
      </w:pPr>
      <w:r w:rsidRPr="007D37A4">
        <w:rPr>
          <w:rFonts w:asciiTheme="majorBidi" w:hAnsiTheme="majorBidi" w:cstheme="majorBidi"/>
          <w:sz w:val="24"/>
          <w:szCs w:val="24"/>
        </w:rPr>
        <w:t>Audit delay is the number of days between the closing date of the financial year (balance sheet date) and the date of the audit report. The audit delay variable is measured quantitatively from the date the company's books close to the date the audit report is issued (Riswan and Serly, 2023).</w:t>
      </w:r>
    </w:p>
    <w:p w14:paraId="5F7CDB5B" w14:textId="77777777" w:rsidR="007D37A4" w:rsidRPr="007D37A4" w:rsidRDefault="007D37A4" w:rsidP="007D37A4">
      <w:pPr>
        <w:spacing w:line="240" w:lineRule="auto"/>
        <w:jc w:val="both"/>
        <w:rPr>
          <w:rFonts w:asciiTheme="majorBidi" w:hAnsiTheme="majorBidi" w:cstheme="majorBidi"/>
          <w:sz w:val="24"/>
          <w:szCs w:val="24"/>
        </w:rPr>
      </w:pPr>
      <w:r w:rsidRPr="007D37A4">
        <w:rPr>
          <w:rFonts w:asciiTheme="majorBidi" w:hAnsiTheme="majorBidi" w:cstheme="majorBidi"/>
          <w:sz w:val="24"/>
          <w:szCs w:val="24"/>
        </w:rPr>
        <w:t>Audit Delay = audit report date – financial report date</w:t>
      </w:r>
    </w:p>
    <w:p w14:paraId="705A2C4A" w14:textId="4A27C415" w:rsidR="007D37A4" w:rsidRPr="007D37A4" w:rsidRDefault="00164D54" w:rsidP="00634B41">
      <w:pPr>
        <w:spacing w:after="0" w:line="240" w:lineRule="auto"/>
        <w:jc w:val="both"/>
        <w:rPr>
          <w:rFonts w:asciiTheme="majorBidi" w:hAnsiTheme="majorBidi" w:cstheme="majorBidi"/>
          <w:b/>
          <w:bCs/>
          <w:sz w:val="24"/>
          <w:szCs w:val="24"/>
        </w:rPr>
      </w:pPr>
      <w:r>
        <w:rPr>
          <w:rFonts w:asciiTheme="majorBidi" w:hAnsiTheme="majorBidi" w:cstheme="majorBidi"/>
          <w:b/>
          <w:bCs/>
          <w:sz w:val="24"/>
          <w:szCs w:val="24"/>
        </w:rPr>
        <w:lastRenderedPageBreak/>
        <w:t xml:space="preserve">3.2 </w:t>
      </w:r>
      <w:r w:rsidR="007D37A4" w:rsidRPr="007D37A4">
        <w:rPr>
          <w:rFonts w:asciiTheme="majorBidi" w:hAnsiTheme="majorBidi" w:cstheme="majorBidi"/>
          <w:b/>
          <w:bCs/>
          <w:sz w:val="24"/>
          <w:szCs w:val="24"/>
        </w:rPr>
        <w:t>Population and Sampling Techniques</w:t>
      </w:r>
    </w:p>
    <w:p w14:paraId="4E620AD8" w14:textId="77777777" w:rsidR="007D37A4" w:rsidRPr="007D37A4" w:rsidRDefault="007D37A4" w:rsidP="00164D54">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The population used in this research is 17 manufacturing companies in the basic chemicals sub-sector listed on the Indonesia Stock Exchange (IDX) from 2016 to 2023. Manufacturing companies operating in the basic chemicals sub-sector listed on the Indonesia Stock Exchange (IDX) were selected as research objects because they have a sufficient number of companies as a sample. Companies in this sector are large companies that likely have high levels of leverage, company size, and profitability, making them suitable for this research topic.</w:t>
      </w:r>
    </w:p>
    <w:p w14:paraId="2246D2F8" w14:textId="77777777" w:rsidR="007D37A4" w:rsidRPr="007D37A4" w:rsidRDefault="007D37A4" w:rsidP="00164D54">
      <w:pPr>
        <w:spacing w:line="240" w:lineRule="auto"/>
        <w:ind w:firstLine="360"/>
        <w:jc w:val="both"/>
        <w:rPr>
          <w:rFonts w:asciiTheme="majorBidi" w:hAnsiTheme="majorBidi" w:cstheme="majorBidi"/>
          <w:sz w:val="24"/>
          <w:szCs w:val="24"/>
        </w:rPr>
      </w:pPr>
      <w:r w:rsidRPr="007D37A4">
        <w:rPr>
          <w:rFonts w:asciiTheme="majorBidi" w:hAnsiTheme="majorBidi" w:cstheme="majorBidi"/>
          <w:sz w:val="24"/>
          <w:szCs w:val="24"/>
        </w:rPr>
        <w:t>This research uses a sampling technique with a purposive sampling method, namely the sample selected is based on predetermined criteria, namely:</w:t>
      </w:r>
    </w:p>
    <w:p w14:paraId="1218270C" w14:textId="77777777" w:rsidR="007D37A4" w:rsidRPr="007D37A4" w:rsidRDefault="007D37A4" w:rsidP="00856618">
      <w:pPr>
        <w:numPr>
          <w:ilvl w:val="0"/>
          <w:numId w:val="50"/>
        </w:numPr>
        <w:spacing w:line="240" w:lineRule="auto"/>
        <w:jc w:val="both"/>
        <w:rPr>
          <w:rFonts w:asciiTheme="majorBidi" w:hAnsiTheme="majorBidi" w:cstheme="majorBidi"/>
          <w:sz w:val="24"/>
          <w:szCs w:val="24"/>
        </w:rPr>
      </w:pPr>
      <w:r w:rsidRPr="007D37A4">
        <w:rPr>
          <w:rFonts w:asciiTheme="majorBidi" w:hAnsiTheme="majorBidi" w:cstheme="majorBidi"/>
          <w:sz w:val="24"/>
          <w:szCs w:val="24"/>
        </w:rPr>
        <w:t>Basic chemical companies listed on the Indonesia Stock Exchange until 2016-2023.</w:t>
      </w:r>
    </w:p>
    <w:p w14:paraId="439EBE9E" w14:textId="77777777" w:rsidR="007D37A4" w:rsidRPr="007D37A4" w:rsidRDefault="007D37A4" w:rsidP="00856618">
      <w:pPr>
        <w:numPr>
          <w:ilvl w:val="0"/>
          <w:numId w:val="50"/>
        </w:numPr>
        <w:spacing w:line="240" w:lineRule="auto"/>
        <w:jc w:val="both"/>
        <w:rPr>
          <w:rFonts w:asciiTheme="majorBidi" w:hAnsiTheme="majorBidi" w:cstheme="majorBidi"/>
          <w:sz w:val="24"/>
          <w:szCs w:val="24"/>
        </w:rPr>
      </w:pPr>
      <w:r w:rsidRPr="007D37A4">
        <w:rPr>
          <w:rFonts w:asciiTheme="majorBidi" w:hAnsiTheme="majorBidi" w:cstheme="majorBidi"/>
          <w:sz w:val="24"/>
          <w:szCs w:val="24"/>
        </w:rPr>
        <w:t>A basic chemical company that is listed and publishes its financial reports continuously for 2016-2023.</w:t>
      </w:r>
    </w:p>
    <w:p w14:paraId="3C038346" w14:textId="77777777" w:rsidR="007D37A4" w:rsidRPr="007D37A4" w:rsidRDefault="007D37A4" w:rsidP="00164D54">
      <w:pPr>
        <w:spacing w:line="240" w:lineRule="auto"/>
        <w:ind w:firstLine="360"/>
        <w:jc w:val="both"/>
        <w:rPr>
          <w:rFonts w:asciiTheme="majorBidi" w:hAnsiTheme="majorBidi" w:cstheme="majorBidi"/>
          <w:sz w:val="24"/>
          <w:szCs w:val="24"/>
        </w:rPr>
      </w:pPr>
      <w:r w:rsidRPr="007D37A4">
        <w:rPr>
          <w:rFonts w:asciiTheme="majorBidi" w:hAnsiTheme="majorBidi" w:cstheme="majorBidi"/>
          <w:sz w:val="24"/>
          <w:szCs w:val="24"/>
        </w:rPr>
        <w:t>Based on the criteria established in the purposive sampling technique, a total sample of 13 companies met the requirements over an 8-year observation period. Therefore, the number of observations used in this study is the result of 13 companies multiplied by 8 years, or 104 observations.</w:t>
      </w:r>
    </w:p>
    <w:p w14:paraId="5AD2774F" w14:textId="0BFF966D" w:rsidR="007D37A4" w:rsidRPr="007D37A4" w:rsidRDefault="00164D54" w:rsidP="00634B41">
      <w:pPr>
        <w:spacing w:after="0" w:line="240" w:lineRule="auto"/>
        <w:jc w:val="both"/>
        <w:rPr>
          <w:rFonts w:asciiTheme="majorBidi" w:hAnsiTheme="majorBidi" w:cstheme="majorBidi"/>
          <w:b/>
          <w:bCs/>
          <w:sz w:val="24"/>
          <w:szCs w:val="24"/>
        </w:rPr>
      </w:pPr>
      <w:r>
        <w:rPr>
          <w:rFonts w:asciiTheme="majorBidi" w:hAnsiTheme="majorBidi" w:cstheme="majorBidi"/>
          <w:b/>
          <w:bCs/>
          <w:sz w:val="24"/>
          <w:szCs w:val="24"/>
        </w:rPr>
        <w:t xml:space="preserve">3.3 </w:t>
      </w:r>
      <w:r w:rsidR="007D37A4" w:rsidRPr="007D37A4">
        <w:rPr>
          <w:rFonts w:asciiTheme="majorBidi" w:hAnsiTheme="majorBidi" w:cstheme="majorBidi"/>
          <w:b/>
          <w:bCs/>
          <w:sz w:val="24"/>
          <w:szCs w:val="24"/>
        </w:rPr>
        <w:t>Data Analysis Techniques</w:t>
      </w:r>
    </w:p>
    <w:p w14:paraId="5737FAD3" w14:textId="77777777" w:rsidR="007D37A4" w:rsidRPr="007D37A4" w:rsidRDefault="007D37A4" w:rsidP="00164D54">
      <w:pPr>
        <w:spacing w:line="240" w:lineRule="auto"/>
        <w:ind w:firstLine="360"/>
        <w:jc w:val="both"/>
        <w:rPr>
          <w:rFonts w:asciiTheme="majorBidi" w:hAnsiTheme="majorBidi" w:cstheme="majorBidi"/>
          <w:sz w:val="24"/>
          <w:szCs w:val="24"/>
        </w:rPr>
      </w:pPr>
      <w:r w:rsidRPr="007D37A4">
        <w:rPr>
          <w:rFonts w:asciiTheme="majorBidi" w:hAnsiTheme="majorBidi" w:cstheme="majorBidi"/>
          <w:sz w:val="24"/>
          <w:szCs w:val="24"/>
        </w:rPr>
        <w:t>The data analysis used in this study is as follows:</w:t>
      </w:r>
    </w:p>
    <w:p w14:paraId="199E446D" w14:textId="2A8BDE76" w:rsidR="007D37A4" w:rsidRPr="00164D54" w:rsidRDefault="007D37A4" w:rsidP="00856618">
      <w:pPr>
        <w:pStyle w:val="ListParagraph"/>
        <w:numPr>
          <w:ilvl w:val="2"/>
          <w:numId w:val="56"/>
        </w:numPr>
        <w:spacing w:line="240" w:lineRule="auto"/>
        <w:ind w:left="1134"/>
        <w:jc w:val="both"/>
        <w:rPr>
          <w:rFonts w:asciiTheme="majorBidi" w:hAnsiTheme="majorBidi" w:cstheme="majorBidi"/>
          <w:sz w:val="24"/>
          <w:szCs w:val="24"/>
        </w:rPr>
      </w:pPr>
      <w:r w:rsidRPr="00164D54">
        <w:rPr>
          <w:rFonts w:asciiTheme="majorBidi" w:hAnsiTheme="majorBidi" w:cstheme="majorBidi"/>
          <w:sz w:val="24"/>
          <w:szCs w:val="24"/>
        </w:rPr>
        <w:t>Descriptive Statistics</w:t>
      </w:r>
    </w:p>
    <w:p w14:paraId="67B3BFEB" w14:textId="77777777" w:rsidR="007D37A4" w:rsidRPr="007D37A4" w:rsidRDefault="007D37A4" w:rsidP="00164D54">
      <w:pPr>
        <w:spacing w:after="0" w:line="240" w:lineRule="auto"/>
        <w:ind w:firstLine="360"/>
        <w:jc w:val="both"/>
        <w:rPr>
          <w:rFonts w:asciiTheme="majorBidi" w:hAnsiTheme="majorBidi" w:cstheme="majorBidi"/>
          <w:sz w:val="24"/>
          <w:szCs w:val="24"/>
        </w:rPr>
      </w:pPr>
      <w:r w:rsidRPr="007D37A4">
        <w:rPr>
          <w:rFonts w:asciiTheme="majorBidi" w:hAnsiTheme="majorBidi" w:cstheme="majorBidi"/>
          <w:sz w:val="24"/>
          <w:szCs w:val="24"/>
        </w:rPr>
        <w:t xml:space="preserve">Descriptive statistics are statistics used to </w:t>
      </w:r>
      <w:proofErr w:type="spellStart"/>
      <w:r w:rsidRPr="007D37A4">
        <w:rPr>
          <w:rFonts w:asciiTheme="majorBidi" w:hAnsiTheme="majorBidi" w:cstheme="majorBidi"/>
          <w:sz w:val="24"/>
          <w:szCs w:val="24"/>
        </w:rPr>
        <w:t>analyze</w:t>
      </w:r>
      <w:proofErr w:type="spellEnd"/>
      <w:r w:rsidRPr="007D37A4">
        <w:rPr>
          <w:rFonts w:asciiTheme="majorBidi" w:hAnsiTheme="majorBidi" w:cstheme="majorBidi"/>
          <w:sz w:val="24"/>
          <w:szCs w:val="24"/>
        </w:rPr>
        <w:t xml:space="preserve"> data by describing or depicting the collected data as it is without intending to draw conclusions that apply generally or generalize (</w:t>
      </w:r>
      <w:proofErr w:type="spellStart"/>
      <w:r w:rsidRPr="007D37A4">
        <w:rPr>
          <w:rFonts w:asciiTheme="majorBidi" w:hAnsiTheme="majorBidi" w:cstheme="majorBidi"/>
          <w:sz w:val="24"/>
          <w:szCs w:val="24"/>
        </w:rPr>
        <w:t>Sugiyono</w:t>
      </w:r>
      <w:proofErr w:type="spellEnd"/>
      <w:r w:rsidRPr="007D37A4">
        <w:rPr>
          <w:rFonts w:asciiTheme="majorBidi" w:hAnsiTheme="majorBidi" w:cstheme="majorBidi"/>
          <w:sz w:val="24"/>
          <w:szCs w:val="24"/>
        </w:rPr>
        <w:t>, 2019).</w:t>
      </w:r>
    </w:p>
    <w:p w14:paraId="75D68EA8" w14:textId="77777777" w:rsidR="007D37A4" w:rsidRPr="007D37A4" w:rsidRDefault="007D37A4" w:rsidP="00164D54">
      <w:pPr>
        <w:spacing w:after="0" w:line="240" w:lineRule="auto"/>
        <w:ind w:firstLine="360"/>
        <w:jc w:val="both"/>
        <w:rPr>
          <w:rFonts w:asciiTheme="majorBidi" w:hAnsiTheme="majorBidi" w:cstheme="majorBidi"/>
          <w:sz w:val="24"/>
          <w:szCs w:val="24"/>
        </w:rPr>
      </w:pPr>
      <w:r w:rsidRPr="007D37A4">
        <w:rPr>
          <w:rFonts w:asciiTheme="majorBidi" w:hAnsiTheme="majorBidi" w:cstheme="majorBidi"/>
          <w:sz w:val="24"/>
          <w:szCs w:val="24"/>
        </w:rPr>
        <w:t xml:space="preserve">Descriptive statistics function to </w:t>
      </w:r>
      <w:proofErr w:type="spellStart"/>
      <w:r w:rsidRPr="007D37A4">
        <w:rPr>
          <w:rFonts w:asciiTheme="majorBidi" w:hAnsiTheme="majorBidi" w:cstheme="majorBidi"/>
          <w:sz w:val="24"/>
          <w:szCs w:val="24"/>
        </w:rPr>
        <w:t>analyze</w:t>
      </w:r>
      <w:proofErr w:type="spellEnd"/>
      <w:r w:rsidRPr="007D37A4">
        <w:rPr>
          <w:rFonts w:asciiTheme="majorBidi" w:hAnsiTheme="majorBidi" w:cstheme="majorBidi"/>
          <w:sz w:val="24"/>
          <w:szCs w:val="24"/>
        </w:rPr>
        <w:t xml:space="preserve"> or describe the object being studied through sample and population data, without drawing broader conclusions. Descriptive statistics uses data presentation methods such as frequency distribution tables, graphs, diagrams, pictograms, and group presentations using modes, averages, and medians. The descriptive statistical analysis used is as follows:</w:t>
      </w:r>
    </w:p>
    <w:p w14:paraId="432BBFA3" w14:textId="77777777" w:rsidR="007D37A4" w:rsidRPr="007D37A4" w:rsidRDefault="007D37A4" w:rsidP="00856618">
      <w:pPr>
        <w:numPr>
          <w:ilvl w:val="0"/>
          <w:numId w:val="51"/>
        </w:numPr>
        <w:spacing w:line="240" w:lineRule="auto"/>
        <w:ind w:left="709" w:hanging="283"/>
        <w:jc w:val="both"/>
        <w:rPr>
          <w:rFonts w:asciiTheme="majorBidi" w:hAnsiTheme="majorBidi" w:cstheme="majorBidi"/>
          <w:sz w:val="24"/>
          <w:szCs w:val="24"/>
        </w:rPr>
      </w:pPr>
      <w:r w:rsidRPr="007D37A4">
        <w:rPr>
          <w:rFonts w:asciiTheme="majorBidi" w:hAnsiTheme="majorBidi" w:cstheme="majorBidi"/>
          <w:sz w:val="24"/>
          <w:szCs w:val="24"/>
        </w:rPr>
        <w:t>Mean, namely the average value of the data being studied.</w:t>
      </w:r>
    </w:p>
    <w:p w14:paraId="0063ACC1" w14:textId="77777777" w:rsidR="007D37A4" w:rsidRPr="007D37A4" w:rsidRDefault="007D37A4" w:rsidP="00856618">
      <w:pPr>
        <w:numPr>
          <w:ilvl w:val="0"/>
          <w:numId w:val="52"/>
        </w:numPr>
        <w:spacing w:line="240" w:lineRule="auto"/>
        <w:ind w:left="709" w:hanging="283"/>
        <w:jc w:val="both"/>
        <w:rPr>
          <w:rFonts w:asciiTheme="majorBidi" w:hAnsiTheme="majorBidi" w:cstheme="majorBidi"/>
          <w:sz w:val="24"/>
          <w:szCs w:val="24"/>
        </w:rPr>
      </w:pPr>
      <w:r w:rsidRPr="007D37A4">
        <w:rPr>
          <w:rFonts w:asciiTheme="majorBidi" w:hAnsiTheme="majorBidi" w:cstheme="majorBidi"/>
          <w:sz w:val="24"/>
          <w:szCs w:val="24"/>
        </w:rPr>
        <w:t>Maximum, namely the highest value of the data being studied.</w:t>
      </w:r>
    </w:p>
    <w:p w14:paraId="0AE7281B" w14:textId="77777777" w:rsidR="007D37A4" w:rsidRPr="007D37A4" w:rsidRDefault="007D37A4" w:rsidP="00856618">
      <w:pPr>
        <w:numPr>
          <w:ilvl w:val="0"/>
          <w:numId w:val="53"/>
        </w:numPr>
        <w:spacing w:line="240" w:lineRule="auto"/>
        <w:ind w:left="709" w:hanging="283"/>
        <w:jc w:val="both"/>
        <w:rPr>
          <w:rFonts w:asciiTheme="majorBidi" w:hAnsiTheme="majorBidi" w:cstheme="majorBidi"/>
          <w:sz w:val="24"/>
          <w:szCs w:val="24"/>
        </w:rPr>
      </w:pPr>
      <w:r w:rsidRPr="007D37A4">
        <w:rPr>
          <w:rFonts w:asciiTheme="majorBidi" w:hAnsiTheme="majorBidi" w:cstheme="majorBidi"/>
          <w:sz w:val="24"/>
          <w:szCs w:val="24"/>
        </w:rPr>
        <w:t>Minimum, namely the lowest value of the data being studied.</w:t>
      </w:r>
    </w:p>
    <w:p w14:paraId="1E42C2AA" w14:textId="77777777" w:rsidR="00164D54" w:rsidRDefault="007D37A4" w:rsidP="00856618">
      <w:pPr>
        <w:numPr>
          <w:ilvl w:val="0"/>
          <w:numId w:val="54"/>
        </w:numPr>
        <w:spacing w:line="240" w:lineRule="auto"/>
        <w:ind w:left="709" w:hanging="283"/>
        <w:jc w:val="both"/>
        <w:rPr>
          <w:rFonts w:asciiTheme="majorBidi" w:hAnsiTheme="majorBidi" w:cstheme="majorBidi"/>
          <w:sz w:val="24"/>
          <w:szCs w:val="24"/>
        </w:rPr>
      </w:pPr>
      <w:r w:rsidRPr="007D37A4">
        <w:rPr>
          <w:rFonts w:asciiTheme="majorBidi" w:hAnsiTheme="majorBidi" w:cstheme="majorBidi"/>
          <w:sz w:val="24"/>
          <w:szCs w:val="24"/>
        </w:rPr>
        <w:t>Standard deviation is used to determine the variation of deviations from the average value.</w:t>
      </w:r>
    </w:p>
    <w:p w14:paraId="7D3FD38C" w14:textId="3AD80B99" w:rsidR="007D37A4" w:rsidRPr="00164D54" w:rsidRDefault="007D37A4" w:rsidP="00856618">
      <w:pPr>
        <w:pStyle w:val="ListParagraph"/>
        <w:numPr>
          <w:ilvl w:val="2"/>
          <w:numId w:val="56"/>
        </w:numPr>
        <w:spacing w:line="240" w:lineRule="auto"/>
        <w:ind w:left="1134"/>
        <w:jc w:val="both"/>
        <w:rPr>
          <w:rFonts w:asciiTheme="majorBidi" w:hAnsiTheme="majorBidi" w:cstheme="majorBidi"/>
          <w:sz w:val="24"/>
          <w:szCs w:val="24"/>
        </w:rPr>
      </w:pPr>
      <w:r w:rsidRPr="00164D54">
        <w:rPr>
          <w:rFonts w:asciiTheme="majorBidi" w:hAnsiTheme="majorBidi" w:cstheme="majorBidi"/>
          <w:sz w:val="24"/>
          <w:szCs w:val="24"/>
        </w:rPr>
        <w:t>Logistic Regression Analysis</w:t>
      </w:r>
    </w:p>
    <w:p w14:paraId="14A39A92" w14:textId="77674911" w:rsidR="007D37A4" w:rsidRPr="007D37A4" w:rsidRDefault="007D37A4" w:rsidP="00164D54">
      <w:pPr>
        <w:spacing w:line="240" w:lineRule="auto"/>
        <w:ind w:firstLine="414"/>
        <w:jc w:val="both"/>
        <w:rPr>
          <w:rFonts w:asciiTheme="majorBidi" w:hAnsiTheme="majorBidi" w:cstheme="majorBidi"/>
          <w:sz w:val="24"/>
          <w:szCs w:val="24"/>
        </w:rPr>
      </w:pPr>
      <w:r w:rsidRPr="007D37A4">
        <w:rPr>
          <w:rFonts w:asciiTheme="majorBidi" w:hAnsiTheme="majorBidi" w:cstheme="majorBidi"/>
          <w:sz w:val="24"/>
          <w:szCs w:val="24"/>
        </w:rPr>
        <w:t>The binary logistic regression method is an analytical technique used to model the influence between one or more independent variables and a dichotomous dependent variable.</w:t>
      </w:r>
      <w:r w:rsidR="001F6F74">
        <w:rPr>
          <w:rFonts w:asciiTheme="majorBidi" w:hAnsiTheme="majorBidi" w:cstheme="majorBidi"/>
          <w:sz w:val="24"/>
          <w:szCs w:val="24"/>
        </w:rPr>
        <w:t xml:space="preserve"> </w:t>
      </w:r>
      <w:r w:rsidRPr="007D37A4">
        <w:rPr>
          <w:rFonts w:asciiTheme="majorBidi" w:hAnsiTheme="majorBidi" w:cstheme="majorBidi"/>
          <w:sz w:val="24"/>
          <w:szCs w:val="24"/>
        </w:rPr>
        <w:t>In binary logistic regression, the dependent variable has two possible categories: success and failure, and is often denoted as 1 for success and 0 for failure (Hosmer, 2000).</w:t>
      </w:r>
    </w:p>
    <w:p w14:paraId="636D9E7D" w14:textId="77777777" w:rsidR="007D37A4" w:rsidRPr="007D37A4" w:rsidRDefault="007D37A4" w:rsidP="007D37A4">
      <w:pPr>
        <w:jc w:val="both"/>
      </w:pPr>
    </w:p>
    <w:p w14:paraId="7F661E3D" w14:textId="1BB3A6F0" w:rsidR="007D37A4" w:rsidRPr="007D37A4" w:rsidRDefault="007D37A4" w:rsidP="007D37A4">
      <w:pPr>
        <w:jc w:val="center"/>
        <w:rPr>
          <w:rFonts w:asciiTheme="majorBidi" w:hAnsiTheme="majorBidi" w:cstheme="majorBidi"/>
          <w:sz w:val="24"/>
          <w:szCs w:val="24"/>
        </w:rPr>
      </w:pPr>
      <w:r w:rsidRPr="007D37A4">
        <w:rPr>
          <w:rFonts w:asciiTheme="majorBidi" w:hAnsiTheme="majorBidi" w:cstheme="majorBidi"/>
          <w:b/>
          <w:bCs/>
          <w:sz w:val="24"/>
          <w:szCs w:val="24"/>
        </w:rPr>
        <w:t>4. FINDINGS AND DISCUSSION</w:t>
      </w:r>
    </w:p>
    <w:p w14:paraId="06983D24" w14:textId="432BB7AD" w:rsidR="007D37A4" w:rsidRPr="007D37A4" w:rsidRDefault="001F6F74" w:rsidP="007D37A4">
      <w:pPr>
        <w:spacing w:line="240" w:lineRule="auto"/>
        <w:jc w:val="both"/>
        <w:rPr>
          <w:rFonts w:asciiTheme="majorBidi" w:hAnsiTheme="majorBidi" w:cstheme="majorBidi"/>
          <w:b/>
          <w:bCs/>
          <w:sz w:val="24"/>
          <w:szCs w:val="24"/>
        </w:rPr>
      </w:pPr>
      <w:r>
        <w:rPr>
          <w:rFonts w:asciiTheme="majorBidi" w:hAnsiTheme="majorBidi" w:cstheme="majorBidi"/>
          <w:b/>
          <w:bCs/>
          <w:sz w:val="24"/>
          <w:szCs w:val="24"/>
        </w:rPr>
        <w:t xml:space="preserve">4.1 </w:t>
      </w:r>
      <w:r w:rsidR="007D37A4" w:rsidRPr="007D37A4">
        <w:rPr>
          <w:rFonts w:asciiTheme="majorBidi" w:hAnsiTheme="majorBidi" w:cstheme="majorBidi"/>
          <w:b/>
          <w:bCs/>
          <w:sz w:val="24"/>
          <w:szCs w:val="24"/>
        </w:rPr>
        <w:t>Descriptive Statistics</w:t>
      </w:r>
    </w:p>
    <w:p w14:paraId="196E526A" w14:textId="77777777" w:rsidR="007D37A4" w:rsidRPr="007D37A4" w:rsidRDefault="007D37A4" w:rsidP="001F6F74">
      <w:pPr>
        <w:spacing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lastRenderedPageBreak/>
        <w:t>A summary of the descriptive statistical results for the variables in this study is shown in the following table:</w:t>
      </w:r>
    </w:p>
    <w:p w14:paraId="385C7929" w14:textId="77777777" w:rsidR="007D37A4" w:rsidRPr="007D37A4" w:rsidRDefault="007D37A4" w:rsidP="001F6F74">
      <w:pPr>
        <w:spacing w:line="240" w:lineRule="auto"/>
        <w:jc w:val="center"/>
        <w:rPr>
          <w:rFonts w:asciiTheme="majorBidi" w:hAnsiTheme="majorBidi" w:cstheme="majorBidi"/>
          <w:sz w:val="24"/>
          <w:szCs w:val="24"/>
        </w:rPr>
      </w:pPr>
      <w:r w:rsidRPr="001F6F74">
        <w:rPr>
          <w:rFonts w:asciiTheme="majorBidi" w:hAnsiTheme="majorBidi" w:cstheme="majorBidi"/>
          <w:b/>
          <w:bCs/>
          <w:sz w:val="24"/>
          <w:szCs w:val="24"/>
        </w:rPr>
        <w:t>Table 1.</w:t>
      </w:r>
      <w:r w:rsidRPr="007D37A4">
        <w:rPr>
          <w:rFonts w:asciiTheme="majorBidi" w:hAnsiTheme="majorBidi" w:cstheme="majorBidi"/>
          <w:sz w:val="24"/>
          <w:szCs w:val="24"/>
        </w:rPr>
        <w:t xml:space="preserve"> Descriptive Statistics of Variables</w:t>
      </w:r>
    </w:p>
    <w:tbl>
      <w:tblPr>
        <w:tblW w:w="5000" w:type="pct"/>
        <w:tblCellMar>
          <w:top w:w="15" w:type="dxa"/>
          <w:left w:w="15" w:type="dxa"/>
          <w:bottom w:w="15" w:type="dxa"/>
          <w:right w:w="15" w:type="dxa"/>
        </w:tblCellMar>
        <w:tblLook w:val="04A0" w:firstRow="1" w:lastRow="0" w:firstColumn="1" w:lastColumn="0" w:noHBand="0" w:noVBand="1"/>
      </w:tblPr>
      <w:tblGrid>
        <w:gridCol w:w="3048"/>
        <w:gridCol w:w="1342"/>
        <w:gridCol w:w="1387"/>
        <w:gridCol w:w="857"/>
        <w:gridCol w:w="2392"/>
      </w:tblGrid>
      <w:tr w:rsidR="007D37A4" w:rsidRPr="001F6F74" w14:paraId="73FD5BC0" w14:textId="77777777" w:rsidTr="001F6F74">
        <w:trPr>
          <w:trHeight w:val="221"/>
        </w:trPr>
        <w:tc>
          <w:tcPr>
            <w:tcW w:w="1688" w:type="pct"/>
            <w:tcBorders>
              <w:top w:val="single" w:sz="4" w:space="0" w:color="000000"/>
              <w:bottom w:val="single" w:sz="4" w:space="0" w:color="000000"/>
            </w:tcBorders>
            <w:shd w:val="clear" w:color="auto" w:fill="FFFFFF"/>
            <w:tcMar>
              <w:top w:w="0" w:type="dxa"/>
              <w:left w:w="93" w:type="dxa"/>
              <w:bottom w:w="0" w:type="dxa"/>
              <w:right w:w="93" w:type="dxa"/>
            </w:tcMar>
            <w:vAlign w:val="center"/>
            <w:hideMark/>
          </w:tcPr>
          <w:p w14:paraId="4EA0ECC4" w14:textId="77777777" w:rsidR="007D37A4" w:rsidRPr="001F6F74" w:rsidRDefault="007D37A4" w:rsidP="007D37A4">
            <w:pPr>
              <w:spacing w:line="240" w:lineRule="auto"/>
              <w:jc w:val="both"/>
              <w:rPr>
                <w:rFonts w:asciiTheme="majorBidi" w:hAnsiTheme="majorBidi" w:cstheme="majorBidi"/>
                <w:b/>
                <w:bCs/>
                <w:sz w:val="24"/>
                <w:szCs w:val="24"/>
              </w:rPr>
            </w:pPr>
          </w:p>
        </w:tc>
        <w:tc>
          <w:tcPr>
            <w:tcW w:w="743" w:type="pct"/>
            <w:tcBorders>
              <w:top w:val="single" w:sz="4" w:space="0" w:color="000000"/>
              <w:bottom w:val="single" w:sz="4" w:space="0" w:color="000000"/>
            </w:tcBorders>
            <w:shd w:val="clear" w:color="auto" w:fill="FFFFFF"/>
            <w:tcMar>
              <w:top w:w="0" w:type="dxa"/>
              <w:left w:w="93" w:type="dxa"/>
              <w:bottom w:w="0" w:type="dxa"/>
              <w:right w:w="93" w:type="dxa"/>
            </w:tcMar>
            <w:vAlign w:val="center"/>
            <w:hideMark/>
          </w:tcPr>
          <w:p w14:paraId="0EA7F100" w14:textId="77777777" w:rsidR="007D37A4" w:rsidRPr="001F6F74" w:rsidRDefault="007D37A4" w:rsidP="007D37A4">
            <w:pPr>
              <w:spacing w:line="240" w:lineRule="auto"/>
              <w:jc w:val="both"/>
              <w:rPr>
                <w:rFonts w:asciiTheme="majorBidi" w:hAnsiTheme="majorBidi" w:cstheme="majorBidi"/>
                <w:b/>
                <w:bCs/>
                <w:sz w:val="24"/>
                <w:szCs w:val="24"/>
              </w:rPr>
            </w:pPr>
            <w:r w:rsidRPr="001F6F74">
              <w:rPr>
                <w:rFonts w:asciiTheme="majorBidi" w:hAnsiTheme="majorBidi" w:cstheme="majorBidi"/>
                <w:b/>
                <w:bCs/>
                <w:sz w:val="24"/>
                <w:szCs w:val="24"/>
              </w:rPr>
              <w:t>Minimum</w:t>
            </w:r>
          </w:p>
        </w:tc>
        <w:tc>
          <w:tcPr>
            <w:tcW w:w="768" w:type="pct"/>
            <w:tcBorders>
              <w:top w:val="single" w:sz="4" w:space="0" w:color="000000"/>
              <w:bottom w:val="single" w:sz="4" w:space="0" w:color="000000"/>
            </w:tcBorders>
            <w:shd w:val="clear" w:color="auto" w:fill="FFFFFF"/>
            <w:tcMar>
              <w:top w:w="0" w:type="dxa"/>
              <w:left w:w="93" w:type="dxa"/>
              <w:bottom w:w="0" w:type="dxa"/>
              <w:right w:w="93" w:type="dxa"/>
            </w:tcMar>
            <w:vAlign w:val="center"/>
            <w:hideMark/>
          </w:tcPr>
          <w:p w14:paraId="5BD53FA6" w14:textId="77777777" w:rsidR="007D37A4" w:rsidRPr="001F6F74" w:rsidRDefault="007D37A4" w:rsidP="007D37A4">
            <w:pPr>
              <w:spacing w:line="240" w:lineRule="auto"/>
              <w:jc w:val="both"/>
              <w:rPr>
                <w:rFonts w:asciiTheme="majorBidi" w:hAnsiTheme="majorBidi" w:cstheme="majorBidi"/>
                <w:b/>
                <w:bCs/>
                <w:sz w:val="24"/>
                <w:szCs w:val="24"/>
              </w:rPr>
            </w:pPr>
            <w:r w:rsidRPr="001F6F74">
              <w:rPr>
                <w:rFonts w:asciiTheme="majorBidi" w:hAnsiTheme="majorBidi" w:cstheme="majorBidi"/>
                <w:b/>
                <w:bCs/>
                <w:sz w:val="24"/>
                <w:szCs w:val="24"/>
              </w:rPr>
              <w:t>Maximum</w:t>
            </w:r>
          </w:p>
        </w:tc>
        <w:tc>
          <w:tcPr>
            <w:tcW w:w="475" w:type="pct"/>
            <w:tcBorders>
              <w:top w:val="single" w:sz="4" w:space="0" w:color="000000"/>
              <w:bottom w:val="single" w:sz="4" w:space="0" w:color="000000"/>
            </w:tcBorders>
            <w:shd w:val="clear" w:color="auto" w:fill="FFFFFF"/>
            <w:tcMar>
              <w:top w:w="0" w:type="dxa"/>
              <w:left w:w="93" w:type="dxa"/>
              <w:bottom w:w="0" w:type="dxa"/>
              <w:right w:w="93" w:type="dxa"/>
            </w:tcMar>
            <w:vAlign w:val="center"/>
            <w:hideMark/>
          </w:tcPr>
          <w:p w14:paraId="1EF7BB6B" w14:textId="77777777" w:rsidR="007D37A4" w:rsidRPr="001F6F74" w:rsidRDefault="007D37A4" w:rsidP="007D37A4">
            <w:pPr>
              <w:spacing w:line="240" w:lineRule="auto"/>
              <w:jc w:val="both"/>
              <w:rPr>
                <w:rFonts w:asciiTheme="majorBidi" w:hAnsiTheme="majorBidi" w:cstheme="majorBidi"/>
                <w:b/>
                <w:bCs/>
                <w:sz w:val="24"/>
                <w:szCs w:val="24"/>
              </w:rPr>
            </w:pPr>
            <w:r w:rsidRPr="001F6F74">
              <w:rPr>
                <w:rFonts w:asciiTheme="majorBidi" w:hAnsiTheme="majorBidi" w:cstheme="majorBidi"/>
                <w:b/>
                <w:bCs/>
                <w:sz w:val="24"/>
                <w:szCs w:val="24"/>
              </w:rPr>
              <w:t>Mean</w:t>
            </w:r>
          </w:p>
        </w:tc>
        <w:tc>
          <w:tcPr>
            <w:tcW w:w="1325" w:type="pct"/>
            <w:tcBorders>
              <w:top w:val="single" w:sz="4" w:space="0" w:color="000000"/>
              <w:bottom w:val="single" w:sz="4" w:space="0" w:color="000000"/>
            </w:tcBorders>
            <w:shd w:val="clear" w:color="auto" w:fill="FFFFFF"/>
            <w:tcMar>
              <w:top w:w="0" w:type="dxa"/>
              <w:left w:w="93" w:type="dxa"/>
              <w:bottom w:w="0" w:type="dxa"/>
              <w:right w:w="93" w:type="dxa"/>
            </w:tcMar>
            <w:vAlign w:val="center"/>
            <w:hideMark/>
          </w:tcPr>
          <w:p w14:paraId="20DDB1DE" w14:textId="77777777" w:rsidR="007D37A4" w:rsidRPr="001F6F74" w:rsidRDefault="007D37A4" w:rsidP="007D37A4">
            <w:pPr>
              <w:spacing w:line="240" w:lineRule="auto"/>
              <w:jc w:val="both"/>
              <w:rPr>
                <w:rFonts w:asciiTheme="majorBidi" w:hAnsiTheme="majorBidi" w:cstheme="majorBidi"/>
                <w:b/>
                <w:bCs/>
                <w:sz w:val="24"/>
                <w:szCs w:val="24"/>
              </w:rPr>
            </w:pPr>
            <w:r w:rsidRPr="001F6F74">
              <w:rPr>
                <w:rFonts w:asciiTheme="majorBidi" w:hAnsiTheme="majorBidi" w:cstheme="majorBidi"/>
                <w:b/>
                <w:bCs/>
                <w:sz w:val="24"/>
                <w:szCs w:val="24"/>
              </w:rPr>
              <w:t>Standard Deviation</w:t>
            </w:r>
          </w:p>
        </w:tc>
      </w:tr>
      <w:tr w:rsidR="007D37A4" w:rsidRPr="007D37A4" w14:paraId="63D37704" w14:textId="77777777" w:rsidTr="001F6F74">
        <w:trPr>
          <w:trHeight w:val="221"/>
        </w:trPr>
        <w:tc>
          <w:tcPr>
            <w:tcW w:w="1688" w:type="pct"/>
            <w:tcBorders>
              <w:top w:val="single" w:sz="4" w:space="0" w:color="000000"/>
            </w:tcBorders>
            <w:shd w:val="clear" w:color="auto" w:fill="FFFFFF"/>
            <w:tcMar>
              <w:top w:w="0" w:type="dxa"/>
              <w:left w:w="93" w:type="dxa"/>
              <w:bottom w:w="0" w:type="dxa"/>
              <w:right w:w="93" w:type="dxa"/>
            </w:tcMar>
            <w:hideMark/>
          </w:tcPr>
          <w:p w14:paraId="59B5C73D" w14:textId="77777777" w:rsidR="007D37A4" w:rsidRPr="007D37A4" w:rsidRDefault="007D37A4" w:rsidP="007D37A4">
            <w:pPr>
              <w:spacing w:line="240" w:lineRule="auto"/>
              <w:jc w:val="both"/>
              <w:rPr>
                <w:rFonts w:asciiTheme="majorBidi" w:hAnsiTheme="majorBidi" w:cstheme="majorBidi"/>
                <w:sz w:val="24"/>
                <w:szCs w:val="24"/>
              </w:rPr>
            </w:pPr>
            <w:r w:rsidRPr="007D37A4">
              <w:rPr>
                <w:rFonts w:asciiTheme="majorBidi" w:hAnsiTheme="majorBidi" w:cstheme="majorBidi"/>
                <w:sz w:val="24"/>
                <w:szCs w:val="24"/>
              </w:rPr>
              <w:t>Financial performance</w:t>
            </w:r>
          </w:p>
        </w:tc>
        <w:tc>
          <w:tcPr>
            <w:tcW w:w="743" w:type="pct"/>
            <w:tcBorders>
              <w:top w:val="single" w:sz="4" w:space="0" w:color="000000"/>
            </w:tcBorders>
            <w:shd w:val="clear" w:color="auto" w:fill="FFFFFF"/>
            <w:tcMar>
              <w:top w:w="0" w:type="dxa"/>
              <w:left w:w="93" w:type="dxa"/>
              <w:bottom w:w="0" w:type="dxa"/>
              <w:right w:w="93" w:type="dxa"/>
            </w:tcMar>
            <w:hideMark/>
          </w:tcPr>
          <w:p w14:paraId="2DA95DFB" w14:textId="77777777" w:rsidR="007D37A4" w:rsidRPr="007D37A4" w:rsidRDefault="007D37A4" w:rsidP="001F6F74">
            <w:pPr>
              <w:spacing w:line="240" w:lineRule="auto"/>
              <w:jc w:val="center"/>
              <w:rPr>
                <w:rFonts w:asciiTheme="majorBidi" w:hAnsiTheme="majorBidi" w:cstheme="majorBidi"/>
                <w:sz w:val="24"/>
                <w:szCs w:val="24"/>
              </w:rPr>
            </w:pPr>
            <w:r w:rsidRPr="007D37A4">
              <w:rPr>
                <w:rFonts w:asciiTheme="majorBidi" w:hAnsiTheme="majorBidi" w:cstheme="majorBidi"/>
                <w:sz w:val="24"/>
                <w:szCs w:val="24"/>
              </w:rPr>
              <w:t>-18.80</w:t>
            </w:r>
          </w:p>
        </w:tc>
        <w:tc>
          <w:tcPr>
            <w:tcW w:w="768" w:type="pct"/>
            <w:tcBorders>
              <w:top w:val="single" w:sz="4" w:space="0" w:color="000000"/>
            </w:tcBorders>
            <w:shd w:val="clear" w:color="auto" w:fill="FFFFFF"/>
            <w:tcMar>
              <w:top w:w="0" w:type="dxa"/>
              <w:left w:w="93" w:type="dxa"/>
              <w:bottom w:w="0" w:type="dxa"/>
              <w:right w:w="93" w:type="dxa"/>
            </w:tcMar>
            <w:hideMark/>
          </w:tcPr>
          <w:p w14:paraId="55873276" w14:textId="77777777" w:rsidR="007D37A4" w:rsidRPr="007D37A4" w:rsidRDefault="007D37A4" w:rsidP="001F6F74">
            <w:pPr>
              <w:spacing w:line="240" w:lineRule="auto"/>
              <w:jc w:val="center"/>
              <w:rPr>
                <w:rFonts w:asciiTheme="majorBidi" w:hAnsiTheme="majorBidi" w:cstheme="majorBidi"/>
                <w:sz w:val="24"/>
                <w:szCs w:val="24"/>
              </w:rPr>
            </w:pPr>
            <w:r w:rsidRPr="007D37A4">
              <w:rPr>
                <w:rFonts w:asciiTheme="majorBidi" w:hAnsiTheme="majorBidi" w:cstheme="majorBidi"/>
                <w:sz w:val="24"/>
                <w:szCs w:val="24"/>
              </w:rPr>
              <w:t>26.56</w:t>
            </w:r>
          </w:p>
        </w:tc>
        <w:tc>
          <w:tcPr>
            <w:tcW w:w="475" w:type="pct"/>
            <w:tcBorders>
              <w:top w:val="single" w:sz="4" w:space="0" w:color="000000"/>
            </w:tcBorders>
            <w:shd w:val="clear" w:color="auto" w:fill="FFFFFF"/>
            <w:tcMar>
              <w:top w:w="0" w:type="dxa"/>
              <w:left w:w="93" w:type="dxa"/>
              <w:bottom w:w="0" w:type="dxa"/>
              <w:right w:w="93" w:type="dxa"/>
            </w:tcMar>
            <w:hideMark/>
          </w:tcPr>
          <w:p w14:paraId="3EA7AF43" w14:textId="77777777" w:rsidR="007D37A4" w:rsidRPr="007D37A4" w:rsidRDefault="007D37A4" w:rsidP="001F6F74">
            <w:pPr>
              <w:spacing w:line="240" w:lineRule="auto"/>
              <w:jc w:val="center"/>
              <w:rPr>
                <w:rFonts w:asciiTheme="majorBidi" w:hAnsiTheme="majorBidi" w:cstheme="majorBidi"/>
                <w:sz w:val="24"/>
                <w:szCs w:val="24"/>
              </w:rPr>
            </w:pPr>
            <w:r w:rsidRPr="007D37A4">
              <w:rPr>
                <w:rFonts w:asciiTheme="majorBidi" w:hAnsiTheme="majorBidi" w:cstheme="majorBidi"/>
                <w:sz w:val="24"/>
                <w:szCs w:val="24"/>
              </w:rPr>
              <w:t>2.33</w:t>
            </w:r>
          </w:p>
        </w:tc>
        <w:tc>
          <w:tcPr>
            <w:tcW w:w="1325" w:type="pct"/>
            <w:tcBorders>
              <w:top w:val="single" w:sz="4" w:space="0" w:color="000000"/>
            </w:tcBorders>
            <w:shd w:val="clear" w:color="auto" w:fill="FFFFFF"/>
            <w:tcMar>
              <w:top w:w="0" w:type="dxa"/>
              <w:left w:w="93" w:type="dxa"/>
              <w:bottom w:w="0" w:type="dxa"/>
              <w:right w:w="93" w:type="dxa"/>
            </w:tcMar>
            <w:hideMark/>
          </w:tcPr>
          <w:p w14:paraId="41FB6160" w14:textId="77777777" w:rsidR="007D37A4" w:rsidRPr="007D37A4" w:rsidRDefault="007D37A4" w:rsidP="001F6F74">
            <w:pPr>
              <w:spacing w:line="240" w:lineRule="auto"/>
              <w:jc w:val="center"/>
              <w:rPr>
                <w:rFonts w:asciiTheme="majorBidi" w:hAnsiTheme="majorBidi" w:cstheme="majorBidi"/>
                <w:sz w:val="24"/>
                <w:szCs w:val="24"/>
              </w:rPr>
            </w:pPr>
            <w:r w:rsidRPr="007D37A4">
              <w:rPr>
                <w:rFonts w:asciiTheme="majorBidi" w:hAnsiTheme="majorBidi" w:cstheme="majorBidi"/>
                <w:sz w:val="24"/>
                <w:szCs w:val="24"/>
              </w:rPr>
              <w:t>6,367</w:t>
            </w:r>
          </w:p>
        </w:tc>
      </w:tr>
      <w:tr w:rsidR="007D37A4" w:rsidRPr="007D37A4" w14:paraId="7F89756D" w14:textId="77777777" w:rsidTr="001F6F74">
        <w:trPr>
          <w:trHeight w:val="203"/>
        </w:trPr>
        <w:tc>
          <w:tcPr>
            <w:tcW w:w="1688" w:type="pct"/>
            <w:shd w:val="clear" w:color="auto" w:fill="FFFFFF"/>
            <w:tcMar>
              <w:top w:w="0" w:type="dxa"/>
              <w:left w:w="93" w:type="dxa"/>
              <w:bottom w:w="0" w:type="dxa"/>
              <w:right w:w="93" w:type="dxa"/>
            </w:tcMar>
            <w:hideMark/>
          </w:tcPr>
          <w:p w14:paraId="4289B7CF" w14:textId="77777777" w:rsidR="007D37A4" w:rsidRPr="007D37A4" w:rsidRDefault="007D37A4" w:rsidP="007D37A4">
            <w:pPr>
              <w:spacing w:line="240" w:lineRule="auto"/>
              <w:jc w:val="both"/>
              <w:rPr>
                <w:rFonts w:asciiTheme="majorBidi" w:hAnsiTheme="majorBidi" w:cstheme="majorBidi"/>
                <w:sz w:val="24"/>
                <w:szCs w:val="24"/>
              </w:rPr>
            </w:pPr>
            <w:r w:rsidRPr="007D37A4">
              <w:rPr>
                <w:rFonts w:asciiTheme="majorBidi" w:hAnsiTheme="majorBidi" w:cstheme="majorBidi"/>
                <w:sz w:val="24"/>
                <w:szCs w:val="24"/>
              </w:rPr>
              <w:t>Company Characteristics</w:t>
            </w:r>
          </w:p>
        </w:tc>
        <w:tc>
          <w:tcPr>
            <w:tcW w:w="743" w:type="pct"/>
            <w:shd w:val="clear" w:color="auto" w:fill="FFFFFF"/>
            <w:tcMar>
              <w:top w:w="0" w:type="dxa"/>
              <w:left w:w="93" w:type="dxa"/>
              <w:bottom w:w="0" w:type="dxa"/>
              <w:right w:w="93" w:type="dxa"/>
            </w:tcMar>
            <w:hideMark/>
          </w:tcPr>
          <w:p w14:paraId="385D547F" w14:textId="77777777" w:rsidR="007D37A4" w:rsidRPr="007D37A4" w:rsidRDefault="007D37A4" w:rsidP="001F6F74">
            <w:pPr>
              <w:spacing w:line="240" w:lineRule="auto"/>
              <w:jc w:val="center"/>
              <w:rPr>
                <w:rFonts w:asciiTheme="majorBidi" w:hAnsiTheme="majorBidi" w:cstheme="majorBidi"/>
                <w:sz w:val="24"/>
                <w:szCs w:val="24"/>
              </w:rPr>
            </w:pPr>
            <w:r w:rsidRPr="007D37A4">
              <w:rPr>
                <w:rFonts w:asciiTheme="majorBidi" w:hAnsiTheme="majorBidi" w:cstheme="majorBidi"/>
                <w:sz w:val="24"/>
                <w:szCs w:val="24"/>
              </w:rPr>
              <w:t>26.32</w:t>
            </w:r>
          </w:p>
        </w:tc>
        <w:tc>
          <w:tcPr>
            <w:tcW w:w="768" w:type="pct"/>
            <w:shd w:val="clear" w:color="auto" w:fill="FFFFFF"/>
            <w:tcMar>
              <w:top w:w="0" w:type="dxa"/>
              <w:left w:w="93" w:type="dxa"/>
              <w:bottom w:w="0" w:type="dxa"/>
              <w:right w:w="93" w:type="dxa"/>
            </w:tcMar>
            <w:hideMark/>
          </w:tcPr>
          <w:p w14:paraId="6F7F4CDF" w14:textId="77777777" w:rsidR="007D37A4" w:rsidRPr="007D37A4" w:rsidRDefault="007D37A4" w:rsidP="001F6F74">
            <w:pPr>
              <w:spacing w:line="240" w:lineRule="auto"/>
              <w:jc w:val="center"/>
              <w:rPr>
                <w:rFonts w:asciiTheme="majorBidi" w:hAnsiTheme="majorBidi" w:cstheme="majorBidi"/>
                <w:sz w:val="24"/>
                <w:szCs w:val="24"/>
              </w:rPr>
            </w:pPr>
            <w:r w:rsidRPr="007D37A4">
              <w:rPr>
                <w:rFonts w:asciiTheme="majorBidi" w:hAnsiTheme="majorBidi" w:cstheme="majorBidi"/>
                <w:sz w:val="24"/>
                <w:szCs w:val="24"/>
              </w:rPr>
              <w:t>32.68</w:t>
            </w:r>
          </w:p>
        </w:tc>
        <w:tc>
          <w:tcPr>
            <w:tcW w:w="475" w:type="pct"/>
            <w:shd w:val="clear" w:color="auto" w:fill="FFFFFF"/>
            <w:tcMar>
              <w:top w:w="0" w:type="dxa"/>
              <w:left w:w="93" w:type="dxa"/>
              <w:bottom w:w="0" w:type="dxa"/>
              <w:right w:w="93" w:type="dxa"/>
            </w:tcMar>
            <w:hideMark/>
          </w:tcPr>
          <w:p w14:paraId="01B504D2" w14:textId="77777777" w:rsidR="007D37A4" w:rsidRPr="007D37A4" w:rsidRDefault="007D37A4" w:rsidP="001F6F74">
            <w:pPr>
              <w:spacing w:line="240" w:lineRule="auto"/>
              <w:jc w:val="center"/>
              <w:rPr>
                <w:rFonts w:asciiTheme="majorBidi" w:hAnsiTheme="majorBidi" w:cstheme="majorBidi"/>
                <w:sz w:val="24"/>
                <w:szCs w:val="24"/>
              </w:rPr>
            </w:pPr>
            <w:r w:rsidRPr="007D37A4">
              <w:rPr>
                <w:rFonts w:asciiTheme="majorBidi" w:hAnsiTheme="majorBidi" w:cstheme="majorBidi"/>
                <w:sz w:val="24"/>
                <w:szCs w:val="24"/>
              </w:rPr>
              <w:t>28.92</w:t>
            </w:r>
          </w:p>
        </w:tc>
        <w:tc>
          <w:tcPr>
            <w:tcW w:w="1325" w:type="pct"/>
            <w:shd w:val="clear" w:color="auto" w:fill="FFFFFF"/>
            <w:tcMar>
              <w:top w:w="0" w:type="dxa"/>
              <w:left w:w="93" w:type="dxa"/>
              <w:bottom w:w="0" w:type="dxa"/>
              <w:right w:w="93" w:type="dxa"/>
            </w:tcMar>
            <w:hideMark/>
          </w:tcPr>
          <w:p w14:paraId="18869EDE" w14:textId="77777777" w:rsidR="007D37A4" w:rsidRPr="007D37A4" w:rsidRDefault="007D37A4" w:rsidP="001F6F74">
            <w:pPr>
              <w:spacing w:line="240" w:lineRule="auto"/>
              <w:jc w:val="center"/>
              <w:rPr>
                <w:rFonts w:asciiTheme="majorBidi" w:hAnsiTheme="majorBidi" w:cstheme="majorBidi"/>
                <w:sz w:val="24"/>
                <w:szCs w:val="24"/>
              </w:rPr>
            </w:pPr>
            <w:r w:rsidRPr="007D37A4">
              <w:rPr>
                <w:rFonts w:asciiTheme="majorBidi" w:hAnsiTheme="majorBidi" w:cstheme="majorBidi"/>
                <w:sz w:val="24"/>
                <w:szCs w:val="24"/>
              </w:rPr>
              <w:t>1,671</w:t>
            </w:r>
          </w:p>
        </w:tc>
      </w:tr>
      <w:tr w:rsidR="007D37A4" w:rsidRPr="007D37A4" w14:paraId="7C31C58D" w14:textId="77777777" w:rsidTr="001F6F74">
        <w:trPr>
          <w:trHeight w:val="212"/>
        </w:trPr>
        <w:tc>
          <w:tcPr>
            <w:tcW w:w="1688" w:type="pct"/>
            <w:shd w:val="clear" w:color="auto" w:fill="FFFFFF"/>
            <w:tcMar>
              <w:top w:w="0" w:type="dxa"/>
              <w:left w:w="93" w:type="dxa"/>
              <w:bottom w:w="0" w:type="dxa"/>
              <w:right w:w="93" w:type="dxa"/>
            </w:tcMar>
            <w:hideMark/>
          </w:tcPr>
          <w:p w14:paraId="576AD214" w14:textId="77777777" w:rsidR="007D37A4" w:rsidRPr="007D37A4" w:rsidRDefault="007D37A4" w:rsidP="007D37A4">
            <w:pPr>
              <w:spacing w:line="240" w:lineRule="auto"/>
              <w:jc w:val="both"/>
              <w:rPr>
                <w:rFonts w:asciiTheme="majorBidi" w:hAnsiTheme="majorBidi" w:cstheme="majorBidi"/>
                <w:sz w:val="24"/>
                <w:szCs w:val="24"/>
              </w:rPr>
            </w:pPr>
            <w:r w:rsidRPr="007D37A4">
              <w:rPr>
                <w:rFonts w:asciiTheme="majorBidi" w:hAnsiTheme="majorBidi" w:cstheme="majorBidi"/>
                <w:sz w:val="24"/>
                <w:szCs w:val="24"/>
              </w:rPr>
              <w:t>Audit Committee</w:t>
            </w:r>
          </w:p>
        </w:tc>
        <w:tc>
          <w:tcPr>
            <w:tcW w:w="743" w:type="pct"/>
            <w:shd w:val="clear" w:color="auto" w:fill="FFFFFF"/>
            <w:tcMar>
              <w:top w:w="0" w:type="dxa"/>
              <w:left w:w="93" w:type="dxa"/>
              <w:bottom w:w="0" w:type="dxa"/>
              <w:right w:w="93" w:type="dxa"/>
            </w:tcMar>
            <w:hideMark/>
          </w:tcPr>
          <w:p w14:paraId="380A304B" w14:textId="77777777" w:rsidR="007D37A4" w:rsidRPr="007D37A4" w:rsidRDefault="007D37A4" w:rsidP="001F6F74">
            <w:pPr>
              <w:spacing w:line="240" w:lineRule="auto"/>
              <w:jc w:val="center"/>
              <w:rPr>
                <w:rFonts w:asciiTheme="majorBidi" w:hAnsiTheme="majorBidi" w:cstheme="majorBidi"/>
                <w:sz w:val="24"/>
                <w:szCs w:val="24"/>
              </w:rPr>
            </w:pPr>
            <w:r w:rsidRPr="007D37A4">
              <w:rPr>
                <w:rFonts w:asciiTheme="majorBidi" w:hAnsiTheme="majorBidi" w:cstheme="majorBidi"/>
                <w:sz w:val="24"/>
                <w:szCs w:val="24"/>
              </w:rPr>
              <w:t>2</w:t>
            </w:r>
          </w:p>
        </w:tc>
        <w:tc>
          <w:tcPr>
            <w:tcW w:w="768" w:type="pct"/>
            <w:shd w:val="clear" w:color="auto" w:fill="FFFFFF"/>
            <w:tcMar>
              <w:top w:w="0" w:type="dxa"/>
              <w:left w:w="93" w:type="dxa"/>
              <w:bottom w:w="0" w:type="dxa"/>
              <w:right w:w="93" w:type="dxa"/>
            </w:tcMar>
            <w:hideMark/>
          </w:tcPr>
          <w:p w14:paraId="79EB7DB7" w14:textId="77777777" w:rsidR="007D37A4" w:rsidRPr="007D37A4" w:rsidRDefault="007D37A4" w:rsidP="001F6F74">
            <w:pPr>
              <w:spacing w:line="240" w:lineRule="auto"/>
              <w:jc w:val="center"/>
              <w:rPr>
                <w:rFonts w:asciiTheme="majorBidi" w:hAnsiTheme="majorBidi" w:cstheme="majorBidi"/>
                <w:sz w:val="24"/>
                <w:szCs w:val="24"/>
              </w:rPr>
            </w:pPr>
            <w:r w:rsidRPr="007D37A4">
              <w:rPr>
                <w:rFonts w:asciiTheme="majorBidi" w:hAnsiTheme="majorBidi" w:cstheme="majorBidi"/>
                <w:sz w:val="24"/>
                <w:szCs w:val="24"/>
              </w:rPr>
              <w:t>5</w:t>
            </w:r>
          </w:p>
        </w:tc>
        <w:tc>
          <w:tcPr>
            <w:tcW w:w="475" w:type="pct"/>
            <w:shd w:val="clear" w:color="auto" w:fill="FFFFFF"/>
            <w:tcMar>
              <w:top w:w="0" w:type="dxa"/>
              <w:left w:w="93" w:type="dxa"/>
              <w:bottom w:w="0" w:type="dxa"/>
              <w:right w:w="93" w:type="dxa"/>
            </w:tcMar>
            <w:hideMark/>
          </w:tcPr>
          <w:p w14:paraId="5A42D8D4" w14:textId="77777777" w:rsidR="007D37A4" w:rsidRPr="007D37A4" w:rsidRDefault="007D37A4" w:rsidP="001F6F74">
            <w:pPr>
              <w:spacing w:line="240" w:lineRule="auto"/>
              <w:jc w:val="center"/>
              <w:rPr>
                <w:rFonts w:asciiTheme="majorBidi" w:hAnsiTheme="majorBidi" w:cstheme="majorBidi"/>
                <w:sz w:val="24"/>
                <w:szCs w:val="24"/>
              </w:rPr>
            </w:pPr>
            <w:r w:rsidRPr="007D37A4">
              <w:rPr>
                <w:rFonts w:asciiTheme="majorBidi" w:hAnsiTheme="majorBidi" w:cstheme="majorBidi"/>
                <w:sz w:val="24"/>
                <w:szCs w:val="24"/>
              </w:rPr>
              <w:t>3.10</w:t>
            </w:r>
          </w:p>
        </w:tc>
        <w:tc>
          <w:tcPr>
            <w:tcW w:w="1325" w:type="pct"/>
            <w:shd w:val="clear" w:color="auto" w:fill="FFFFFF"/>
            <w:tcMar>
              <w:top w:w="0" w:type="dxa"/>
              <w:left w:w="93" w:type="dxa"/>
              <w:bottom w:w="0" w:type="dxa"/>
              <w:right w:w="93" w:type="dxa"/>
            </w:tcMar>
            <w:hideMark/>
          </w:tcPr>
          <w:p w14:paraId="518526E3" w14:textId="77777777" w:rsidR="007D37A4" w:rsidRPr="007D37A4" w:rsidRDefault="007D37A4" w:rsidP="001F6F74">
            <w:pPr>
              <w:spacing w:line="240" w:lineRule="auto"/>
              <w:jc w:val="center"/>
              <w:rPr>
                <w:rFonts w:asciiTheme="majorBidi" w:hAnsiTheme="majorBidi" w:cstheme="majorBidi"/>
                <w:sz w:val="24"/>
                <w:szCs w:val="24"/>
              </w:rPr>
            </w:pPr>
            <w:r w:rsidRPr="007D37A4">
              <w:rPr>
                <w:rFonts w:asciiTheme="majorBidi" w:hAnsiTheme="majorBidi" w:cstheme="majorBidi"/>
                <w:sz w:val="24"/>
                <w:szCs w:val="24"/>
              </w:rPr>
              <w:t>0.407</w:t>
            </w:r>
          </w:p>
        </w:tc>
      </w:tr>
      <w:tr w:rsidR="007D37A4" w:rsidRPr="007D37A4" w14:paraId="62240748" w14:textId="77777777" w:rsidTr="001F6F74">
        <w:trPr>
          <w:trHeight w:val="221"/>
        </w:trPr>
        <w:tc>
          <w:tcPr>
            <w:tcW w:w="1688" w:type="pct"/>
            <w:shd w:val="clear" w:color="auto" w:fill="FFFFFF"/>
            <w:tcMar>
              <w:top w:w="0" w:type="dxa"/>
              <w:left w:w="93" w:type="dxa"/>
              <w:bottom w:w="0" w:type="dxa"/>
              <w:right w:w="93" w:type="dxa"/>
            </w:tcMar>
            <w:hideMark/>
          </w:tcPr>
          <w:p w14:paraId="1C74B26D" w14:textId="77777777" w:rsidR="007D37A4" w:rsidRPr="007D37A4" w:rsidRDefault="007D37A4" w:rsidP="007D37A4">
            <w:pPr>
              <w:spacing w:line="240" w:lineRule="auto"/>
              <w:jc w:val="both"/>
              <w:rPr>
                <w:rFonts w:asciiTheme="majorBidi" w:hAnsiTheme="majorBidi" w:cstheme="majorBidi"/>
                <w:sz w:val="24"/>
                <w:szCs w:val="24"/>
              </w:rPr>
            </w:pPr>
            <w:r w:rsidRPr="007D37A4">
              <w:rPr>
                <w:rFonts w:asciiTheme="majorBidi" w:hAnsiTheme="majorBidi" w:cstheme="majorBidi"/>
                <w:sz w:val="24"/>
                <w:szCs w:val="24"/>
              </w:rPr>
              <w:t>Audit Opinion</w:t>
            </w:r>
          </w:p>
        </w:tc>
        <w:tc>
          <w:tcPr>
            <w:tcW w:w="743" w:type="pct"/>
            <w:shd w:val="clear" w:color="auto" w:fill="FFFFFF"/>
            <w:tcMar>
              <w:top w:w="0" w:type="dxa"/>
              <w:left w:w="93" w:type="dxa"/>
              <w:bottom w:w="0" w:type="dxa"/>
              <w:right w:w="93" w:type="dxa"/>
            </w:tcMar>
            <w:hideMark/>
          </w:tcPr>
          <w:p w14:paraId="43EDD158" w14:textId="77777777" w:rsidR="007D37A4" w:rsidRPr="007D37A4" w:rsidRDefault="007D37A4" w:rsidP="001F6F74">
            <w:pPr>
              <w:spacing w:line="240" w:lineRule="auto"/>
              <w:jc w:val="center"/>
              <w:rPr>
                <w:rFonts w:asciiTheme="majorBidi" w:hAnsiTheme="majorBidi" w:cstheme="majorBidi"/>
                <w:sz w:val="24"/>
                <w:szCs w:val="24"/>
              </w:rPr>
            </w:pPr>
            <w:r w:rsidRPr="007D37A4">
              <w:rPr>
                <w:rFonts w:asciiTheme="majorBidi" w:hAnsiTheme="majorBidi" w:cstheme="majorBidi"/>
                <w:sz w:val="24"/>
                <w:szCs w:val="24"/>
              </w:rPr>
              <w:t>1</w:t>
            </w:r>
          </w:p>
        </w:tc>
        <w:tc>
          <w:tcPr>
            <w:tcW w:w="768" w:type="pct"/>
            <w:shd w:val="clear" w:color="auto" w:fill="FFFFFF"/>
            <w:tcMar>
              <w:top w:w="0" w:type="dxa"/>
              <w:left w:w="93" w:type="dxa"/>
              <w:bottom w:w="0" w:type="dxa"/>
              <w:right w:w="93" w:type="dxa"/>
            </w:tcMar>
            <w:hideMark/>
          </w:tcPr>
          <w:p w14:paraId="1584FD54" w14:textId="77777777" w:rsidR="007D37A4" w:rsidRPr="007D37A4" w:rsidRDefault="007D37A4" w:rsidP="001F6F74">
            <w:pPr>
              <w:spacing w:line="240" w:lineRule="auto"/>
              <w:jc w:val="center"/>
              <w:rPr>
                <w:rFonts w:asciiTheme="majorBidi" w:hAnsiTheme="majorBidi" w:cstheme="majorBidi"/>
                <w:sz w:val="24"/>
                <w:szCs w:val="24"/>
              </w:rPr>
            </w:pPr>
            <w:r w:rsidRPr="007D37A4">
              <w:rPr>
                <w:rFonts w:asciiTheme="majorBidi" w:hAnsiTheme="majorBidi" w:cstheme="majorBidi"/>
                <w:sz w:val="24"/>
                <w:szCs w:val="24"/>
              </w:rPr>
              <w:t>1</w:t>
            </w:r>
          </w:p>
        </w:tc>
        <w:tc>
          <w:tcPr>
            <w:tcW w:w="475" w:type="pct"/>
            <w:shd w:val="clear" w:color="auto" w:fill="FFFFFF"/>
            <w:tcMar>
              <w:top w:w="0" w:type="dxa"/>
              <w:left w:w="93" w:type="dxa"/>
              <w:bottom w:w="0" w:type="dxa"/>
              <w:right w:w="93" w:type="dxa"/>
            </w:tcMar>
            <w:hideMark/>
          </w:tcPr>
          <w:p w14:paraId="29F7499F" w14:textId="77777777" w:rsidR="007D37A4" w:rsidRPr="007D37A4" w:rsidRDefault="007D37A4" w:rsidP="001F6F74">
            <w:pPr>
              <w:spacing w:line="240" w:lineRule="auto"/>
              <w:jc w:val="center"/>
              <w:rPr>
                <w:rFonts w:asciiTheme="majorBidi" w:hAnsiTheme="majorBidi" w:cstheme="majorBidi"/>
                <w:sz w:val="24"/>
                <w:szCs w:val="24"/>
              </w:rPr>
            </w:pPr>
            <w:r w:rsidRPr="007D37A4">
              <w:rPr>
                <w:rFonts w:asciiTheme="majorBidi" w:hAnsiTheme="majorBidi" w:cstheme="majorBidi"/>
                <w:sz w:val="24"/>
                <w:szCs w:val="24"/>
              </w:rPr>
              <w:t>1.00</w:t>
            </w:r>
          </w:p>
        </w:tc>
        <w:tc>
          <w:tcPr>
            <w:tcW w:w="1325" w:type="pct"/>
            <w:shd w:val="clear" w:color="auto" w:fill="FFFFFF"/>
            <w:tcMar>
              <w:top w:w="0" w:type="dxa"/>
              <w:left w:w="93" w:type="dxa"/>
              <w:bottom w:w="0" w:type="dxa"/>
              <w:right w:w="93" w:type="dxa"/>
            </w:tcMar>
            <w:hideMark/>
          </w:tcPr>
          <w:p w14:paraId="0ED024E4" w14:textId="77777777" w:rsidR="007D37A4" w:rsidRPr="007D37A4" w:rsidRDefault="007D37A4" w:rsidP="001F6F74">
            <w:pPr>
              <w:spacing w:line="240" w:lineRule="auto"/>
              <w:jc w:val="center"/>
              <w:rPr>
                <w:rFonts w:asciiTheme="majorBidi" w:hAnsiTheme="majorBidi" w:cstheme="majorBidi"/>
                <w:sz w:val="24"/>
                <w:szCs w:val="24"/>
              </w:rPr>
            </w:pPr>
            <w:r w:rsidRPr="007D37A4">
              <w:rPr>
                <w:rFonts w:asciiTheme="majorBidi" w:hAnsiTheme="majorBidi" w:cstheme="majorBidi"/>
                <w:sz w:val="24"/>
                <w:szCs w:val="24"/>
              </w:rPr>
              <w:t>0,000</w:t>
            </w:r>
          </w:p>
        </w:tc>
      </w:tr>
      <w:tr w:rsidR="007D37A4" w:rsidRPr="007D37A4" w14:paraId="1F6D3D1D" w14:textId="77777777" w:rsidTr="001F6F74">
        <w:trPr>
          <w:trHeight w:val="221"/>
        </w:trPr>
        <w:tc>
          <w:tcPr>
            <w:tcW w:w="1688" w:type="pct"/>
            <w:tcBorders>
              <w:bottom w:val="single" w:sz="4" w:space="0" w:color="000000"/>
            </w:tcBorders>
            <w:shd w:val="clear" w:color="auto" w:fill="FFFFFF"/>
            <w:tcMar>
              <w:top w:w="0" w:type="dxa"/>
              <w:left w:w="93" w:type="dxa"/>
              <w:bottom w:w="0" w:type="dxa"/>
              <w:right w:w="93" w:type="dxa"/>
            </w:tcMar>
            <w:hideMark/>
          </w:tcPr>
          <w:p w14:paraId="1B3847CD" w14:textId="77777777" w:rsidR="007D37A4" w:rsidRPr="007D37A4" w:rsidRDefault="007D37A4" w:rsidP="007D37A4">
            <w:pPr>
              <w:spacing w:line="240" w:lineRule="auto"/>
              <w:jc w:val="both"/>
              <w:rPr>
                <w:rFonts w:asciiTheme="majorBidi" w:hAnsiTheme="majorBidi" w:cstheme="majorBidi"/>
                <w:sz w:val="24"/>
                <w:szCs w:val="24"/>
              </w:rPr>
            </w:pPr>
            <w:r w:rsidRPr="007D37A4">
              <w:rPr>
                <w:rFonts w:asciiTheme="majorBidi" w:hAnsiTheme="majorBidi" w:cstheme="majorBidi"/>
                <w:i/>
                <w:iCs/>
                <w:sz w:val="24"/>
                <w:szCs w:val="24"/>
              </w:rPr>
              <w:t>Audit Delay</w:t>
            </w:r>
          </w:p>
        </w:tc>
        <w:tc>
          <w:tcPr>
            <w:tcW w:w="743" w:type="pct"/>
            <w:tcBorders>
              <w:bottom w:val="single" w:sz="4" w:space="0" w:color="000000"/>
            </w:tcBorders>
            <w:shd w:val="clear" w:color="auto" w:fill="FFFFFF"/>
            <w:tcMar>
              <w:top w:w="0" w:type="dxa"/>
              <w:left w:w="93" w:type="dxa"/>
              <w:bottom w:w="0" w:type="dxa"/>
              <w:right w:w="93" w:type="dxa"/>
            </w:tcMar>
            <w:hideMark/>
          </w:tcPr>
          <w:p w14:paraId="59273380" w14:textId="77777777" w:rsidR="007D37A4" w:rsidRPr="007D37A4" w:rsidRDefault="007D37A4" w:rsidP="001F6F74">
            <w:pPr>
              <w:spacing w:line="240" w:lineRule="auto"/>
              <w:jc w:val="center"/>
              <w:rPr>
                <w:rFonts w:asciiTheme="majorBidi" w:hAnsiTheme="majorBidi" w:cstheme="majorBidi"/>
                <w:sz w:val="24"/>
                <w:szCs w:val="24"/>
              </w:rPr>
            </w:pPr>
            <w:r w:rsidRPr="007D37A4">
              <w:rPr>
                <w:rFonts w:asciiTheme="majorBidi" w:hAnsiTheme="majorBidi" w:cstheme="majorBidi"/>
                <w:sz w:val="24"/>
                <w:szCs w:val="24"/>
              </w:rPr>
              <w:t>0</w:t>
            </w:r>
          </w:p>
        </w:tc>
        <w:tc>
          <w:tcPr>
            <w:tcW w:w="768" w:type="pct"/>
            <w:tcBorders>
              <w:bottom w:val="single" w:sz="4" w:space="0" w:color="000000"/>
            </w:tcBorders>
            <w:shd w:val="clear" w:color="auto" w:fill="FFFFFF"/>
            <w:tcMar>
              <w:top w:w="0" w:type="dxa"/>
              <w:left w:w="93" w:type="dxa"/>
              <w:bottom w:w="0" w:type="dxa"/>
              <w:right w:w="93" w:type="dxa"/>
            </w:tcMar>
            <w:hideMark/>
          </w:tcPr>
          <w:p w14:paraId="4FEF9FE6" w14:textId="77777777" w:rsidR="007D37A4" w:rsidRPr="007D37A4" w:rsidRDefault="007D37A4" w:rsidP="001F6F74">
            <w:pPr>
              <w:spacing w:line="240" w:lineRule="auto"/>
              <w:jc w:val="center"/>
              <w:rPr>
                <w:rFonts w:asciiTheme="majorBidi" w:hAnsiTheme="majorBidi" w:cstheme="majorBidi"/>
                <w:sz w:val="24"/>
                <w:szCs w:val="24"/>
              </w:rPr>
            </w:pPr>
            <w:r w:rsidRPr="007D37A4">
              <w:rPr>
                <w:rFonts w:asciiTheme="majorBidi" w:hAnsiTheme="majorBidi" w:cstheme="majorBidi"/>
                <w:sz w:val="24"/>
                <w:szCs w:val="24"/>
              </w:rPr>
              <w:t>1</w:t>
            </w:r>
          </w:p>
        </w:tc>
        <w:tc>
          <w:tcPr>
            <w:tcW w:w="475" w:type="pct"/>
            <w:tcBorders>
              <w:bottom w:val="single" w:sz="4" w:space="0" w:color="000000"/>
            </w:tcBorders>
            <w:shd w:val="clear" w:color="auto" w:fill="FFFFFF"/>
            <w:tcMar>
              <w:top w:w="0" w:type="dxa"/>
              <w:left w:w="93" w:type="dxa"/>
              <w:bottom w:w="0" w:type="dxa"/>
              <w:right w:w="93" w:type="dxa"/>
            </w:tcMar>
            <w:hideMark/>
          </w:tcPr>
          <w:p w14:paraId="36D611B2" w14:textId="77777777" w:rsidR="007D37A4" w:rsidRPr="007D37A4" w:rsidRDefault="007D37A4" w:rsidP="001F6F74">
            <w:pPr>
              <w:spacing w:line="240" w:lineRule="auto"/>
              <w:jc w:val="center"/>
              <w:rPr>
                <w:rFonts w:asciiTheme="majorBidi" w:hAnsiTheme="majorBidi" w:cstheme="majorBidi"/>
                <w:sz w:val="24"/>
                <w:szCs w:val="24"/>
              </w:rPr>
            </w:pPr>
            <w:r w:rsidRPr="007D37A4">
              <w:rPr>
                <w:rFonts w:asciiTheme="majorBidi" w:hAnsiTheme="majorBidi" w:cstheme="majorBidi"/>
                <w:sz w:val="24"/>
                <w:szCs w:val="24"/>
              </w:rPr>
              <w:t>0.98</w:t>
            </w:r>
          </w:p>
        </w:tc>
        <w:tc>
          <w:tcPr>
            <w:tcW w:w="1325" w:type="pct"/>
            <w:tcBorders>
              <w:bottom w:val="single" w:sz="4" w:space="0" w:color="000000"/>
            </w:tcBorders>
            <w:shd w:val="clear" w:color="auto" w:fill="FFFFFF"/>
            <w:tcMar>
              <w:top w:w="0" w:type="dxa"/>
              <w:left w:w="93" w:type="dxa"/>
              <w:bottom w:w="0" w:type="dxa"/>
              <w:right w:w="93" w:type="dxa"/>
            </w:tcMar>
            <w:hideMark/>
          </w:tcPr>
          <w:p w14:paraId="4D71BD05" w14:textId="77777777" w:rsidR="007D37A4" w:rsidRPr="007D37A4" w:rsidRDefault="007D37A4" w:rsidP="001F6F74">
            <w:pPr>
              <w:spacing w:line="240" w:lineRule="auto"/>
              <w:jc w:val="center"/>
              <w:rPr>
                <w:rFonts w:asciiTheme="majorBidi" w:hAnsiTheme="majorBidi" w:cstheme="majorBidi"/>
                <w:sz w:val="24"/>
                <w:szCs w:val="24"/>
              </w:rPr>
            </w:pPr>
            <w:r w:rsidRPr="007D37A4">
              <w:rPr>
                <w:rFonts w:asciiTheme="majorBidi" w:hAnsiTheme="majorBidi" w:cstheme="majorBidi"/>
                <w:sz w:val="24"/>
                <w:szCs w:val="24"/>
              </w:rPr>
              <w:t>0.138</w:t>
            </w:r>
          </w:p>
        </w:tc>
      </w:tr>
    </w:tbl>
    <w:p w14:paraId="3CCE4246" w14:textId="77777777" w:rsidR="007D37A4" w:rsidRPr="001F6F74" w:rsidRDefault="007D37A4" w:rsidP="007D37A4">
      <w:pPr>
        <w:spacing w:line="240" w:lineRule="auto"/>
        <w:jc w:val="both"/>
        <w:rPr>
          <w:rFonts w:asciiTheme="majorBidi" w:hAnsiTheme="majorBidi" w:cstheme="majorBidi"/>
          <w:sz w:val="20"/>
          <w:szCs w:val="20"/>
        </w:rPr>
      </w:pPr>
      <w:r w:rsidRPr="001F6F74">
        <w:rPr>
          <w:rFonts w:asciiTheme="majorBidi" w:hAnsiTheme="majorBidi" w:cstheme="majorBidi"/>
          <w:sz w:val="20"/>
          <w:szCs w:val="20"/>
        </w:rPr>
        <w:t>Source: Processed data, 2025.</w:t>
      </w:r>
    </w:p>
    <w:p w14:paraId="4FD14EDF" w14:textId="77777777" w:rsidR="007D37A4" w:rsidRPr="007D37A4" w:rsidRDefault="007D37A4" w:rsidP="007D37A4">
      <w:pPr>
        <w:spacing w:line="240" w:lineRule="auto"/>
        <w:jc w:val="both"/>
        <w:rPr>
          <w:rFonts w:asciiTheme="majorBidi" w:hAnsiTheme="majorBidi" w:cstheme="majorBidi"/>
          <w:sz w:val="24"/>
          <w:szCs w:val="24"/>
        </w:rPr>
      </w:pPr>
    </w:p>
    <w:p w14:paraId="2BCB99E1" w14:textId="0535EDEE" w:rsidR="007D37A4" w:rsidRPr="007D37A4" w:rsidRDefault="001F6F74" w:rsidP="00634B41">
      <w:pPr>
        <w:spacing w:after="0" w:line="240" w:lineRule="auto"/>
        <w:jc w:val="both"/>
        <w:rPr>
          <w:rFonts w:asciiTheme="majorBidi" w:hAnsiTheme="majorBidi" w:cstheme="majorBidi"/>
          <w:b/>
          <w:bCs/>
          <w:sz w:val="24"/>
          <w:szCs w:val="24"/>
        </w:rPr>
      </w:pPr>
      <w:r>
        <w:rPr>
          <w:rFonts w:asciiTheme="majorBidi" w:hAnsiTheme="majorBidi" w:cstheme="majorBidi"/>
          <w:b/>
          <w:bCs/>
          <w:sz w:val="24"/>
          <w:szCs w:val="24"/>
        </w:rPr>
        <w:t xml:space="preserve">4.2 </w:t>
      </w:r>
      <w:r w:rsidR="007D37A4" w:rsidRPr="007D37A4">
        <w:rPr>
          <w:rFonts w:asciiTheme="majorBidi" w:hAnsiTheme="majorBidi" w:cstheme="majorBidi"/>
          <w:b/>
          <w:bCs/>
          <w:sz w:val="24"/>
          <w:szCs w:val="24"/>
        </w:rPr>
        <w:t>Logistic Regression Equation Analysis</w:t>
      </w:r>
    </w:p>
    <w:p w14:paraId="3CDB108D" w14:textId="77777777" w:rsidR="007D37A4" w:rsidRDefault="007D37A4" w:rsidP="00634B41">
      <w:pPr>
        <w:spacing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The results of the regression analysis involving independent variables including financial performance, company characteristics, audit committee, and audit opinion, followed by the dependent variable, namely audit delay, are presented in the following table:</w:t>
      </w:r>
    </w:p>
    <w:p w14:paraId="6425A3C1" w14:textId="77777777" w:rsidR="001F6F74" w:rsidRPr="007D37A4" w:rsidRDefault="001F6F74" w:rsidP="007D37A4">
      <w:pPr>
        <w:spacing w:line="240" w:lineRule="auto"/>
        <w:jc w:val="both"/>
        <w:rPr>
          <w:rFonts w:asciiTheme="majorBidi" w:hAnsiTheme="majorBidi" w:cstheme="majorBidi"/>
          <w:sz w:val="24"/>
          <w:szCs w:val="24"/>
        </w:rPr>
      </w:pPr>
    </w:p>
    <w:p w14:paraId="3B16B376" w14:textId="77777777" w:rsidR="007D37A4" w:rsidRPr="007D37A4" w:rsidRDefault="007D37A4" w:rsidP="001F6F74">
      <w:pPr>
        <w:spacing w:line="240" w:lineRule="auto"/>
        <w:jc w:val="center"/>
        <w:rPr>
          <w:rFonts w:asciiTheme="majorBidi" w:hAnsiTheme="majorBidi" w:cstheme="majorBidi"/>
          <w:sz w:val="24"/>
          <w:szCs w:val="24"/>
        </w:rPr>
      </w:pPr>
      <w:r w:rsidRPr="001F6F74">
        <w:rPr>
          <w:rFonts w:asciiTheme="majorBidi" w:hAnsiTheme="majorBidi" w:cstheme="majorBidi"/>
          <w:b/>
          <w:bCs/>
          <w:sz w:val="24"/>
          <w:szCs w:val="24"/>
        </w:rPr>
        <w:t>Table 2.</w:t>
      </w:r>
      <w:r w:rsidRPr="007D37A4">
        <w:rPr>
          <w:rFonts w:asciiTheme="majorBidi" w:hAnsiTheme="majorBidi" w:cstheme="majorBidi"/>
          <w:sz w:val="24"/>
          <w:szCs w:val="24"/>
        </w:rPr>
        <w:t xml:space="preserve"> Logistic Regression Test Results</w:t>
      </w:r>
    </w:p>
    <w:tbl>
      <w:tblPr>
        <w:tblW w:w="5000" w:type="pct"/>
        <w:jc w:val="center"/>
        <w:tblCellMar>
          <w:top w:w="15" w:type="dxa"/>
          <w:left w:w="15" w:type="dxa"/>
          <w:bottom w:w="15" w:type="dxa"/>
          <w:right w:w="15" w:type="dxa"/>
        </w:tblCellMar>
        <w:tblLook w:val="04A0" w:firstRow="1" w:lastRow="0" w:firstColumn="1" w:lastColumn="0" w:noHBand="0" w:noVBand="1"/>
      </w:tblPr>
      <w:tblGrid>
        <w:gridCol w:w="4703"/>
        <w:gridCol w:w="4323"/>
      </w:tblGrid>
      <w:tr w:rsidR="007D37A4" w:rsidRPr="007D37A4" w14:paraId="5B8D0331" w14:textId="77777777" w:rsidTr="001F6F74">
        <w:trPr>
          <w:trHeight w:val="296"/>
          <w:jc w:val="center"/>
        </w:trPr>
        <w:tc>
          <w:tcPr>
            <w:tcW w:w="2605" w:type="pct"/>
            <w:tcBorders>
              <w:top w:val="single" w:sz="4" w:space="0" w:color="000000"/>
              <w:bottom w:val="single" w:sz="4" w:space="0" w:color="000000"/>
            </w:tcBorders>
            <w:tcMar>
              <w:top w:w="0" w:type="dxa"/>
              <w:left w:w="115" w:type="dxa"/>
              <w:bottom w:w="0" w:type="dxa"/>
              <w:right w:w="115" w:type="dxa"/>
            </w:tcMar>
            <w:vAlign w:val="center"/>
            <w:hideMark/>
          </w:tcPr>
          <w:p w14:paraId="70EF7F38" w14:textId="77777777" w:rsidR="007D37A4" w:rsidRPr="007D37A4" w:rsidRDefault="007D37A4" w:rsidP="007D37A4">
            <w:pPr>
              <w:spacing w:line="240" w:lineRule="auto"/>
              <w:jc w:val="both"/>
              <w:rPr>
                <w:rFonts w:asciiTheme="majorBidi" w:hAnsiTheme="majorBidi" w:cstheme="majorBidi"/>
                <w:sz w:val="24"/>
                <w:szCs w:val="24"/>
              </w:rPr>
            </w:pPr>
            <w:r w:rsidRPr="007D37A4">
              <w:rPr>
                <w:rFonts w:asciiTheme="majorBidi" w:hAnsiTheme="majorBidi" w:cstheme="majorBidi"/>
                <w:sz w:val="24"/>
                <w:szCs w:val="24"/>
              </w:rPr>
              <w:t>Variables</w:t>
            </w:r>
          </w:p>
        </w:tc>
        <w:tc>
          <w:tcPr>
            <w:tcW w:w="2395" w:type="pct"/>
            <w:tcBorders>
              <w:top w:val="single" w:sz="4" w:space="0" w:color="000000"/>
              <w:bottom w:val="single" w:sz="4" w:space="0" w:color="000000"/>
            </w:tcBorders>
            <w:tcMar>
              <w:top w:w="0" w:type="dxa"/>
              <w:left w:w="115" w:type="dxa"/>
              <w:bottom w:w="0" w:type="dxa"/>
              <w:right w:w="115" w:type="dxa"/>
            </w:tcMar>
            <w:vAlign w:val="center"/>
            <w:hideMark/>
          </w:tcPr>
          <w:p w14:paraId="2EF080E1" w14:textId="77777777" w:rsidR="007D37A4" w:rsidRPr="007D37A4" w:rsidRDefault="007D37A4" w:rsidP="007D37A4">
            <w:pPr>
              <w:spacing w:line="240" w:lineRule="auto"/>
              <w:jc w:val="both"/>
              <w:rPr>
                <w:rFonts w:asciiTheme="majorBidi" w:hAnsiTheme="majorBidi" w:cstheme="majorBidi"/>
                <w:sz w:val="24"/>
                <w:szCs w:val="24"/>
              </w:rPr>
            </w:pPr>
            <w:r w:rsidRPr="007D37A4">
              <w:rPr>
                <w:rFonts w:asciiTheme="majorBidi" w:hAnsiTheme="majorBidi" w:cstheme="majorBidi"/>
                <w:sz w:val="24"/>
                <w:szCs w:val="24"/>
              </w:rPr>
              <w:t>Regression Coefficient</w:t>
            </w:r>
          </w:p>
        </w:tc>
      </w:tr>
      <w:tr w:rsidR="007D37A4" w:rsidRPr="007D37A4" w14:paraId="496A0C8F" w14:textId="77777777" w:rsidTr="001F6F74">
        <w:trPr>
          <w:trHeight w:val="246"/>
          <w:jc w:val="center"/>
        </w:trPr>
        <w:tc>
          <w:tcPr>
            <w:tcW w:w="2605" w:type="pct"/>
            <w:tcBorders>
              <w:top w:val="single" w:sz="4" w:space="0" w:color="000000"/>
            </w:tcBorders>
            <w:tcMar>
              <w:top w:w="0" w:type="dxa"/>
              <w:left w:w="115" w:type="dxa"/>
              <w:bottom w:w="0" w:type="dxa"/>
              <w:right w:w="115" w:type="dxa"/>
            </w:tcMar>
            <w:vAlign w:val="bottom"/>
            <w:hideMark/>
          </w:tcPr>
          <w:p w14:paraId="4BC04545" w14:textId="77777777" w:rsidR="007D37A4" w:rsidRPr="007D37A4" w:rsidRDefault="007D37A4" w:rsidP="007D37A4">
            <w:pPr>
              <w:spacing w:line="240" w:lineRule="auto"/>
              <w:jc w:val="both"/>
              <w:rPr>
                <w:rFonts w:asciiTheme="majorBidi" w:hAnsiTheme="majorBidi" w:cstheme="majorBidi"/>
                <w:sz w:val="24"/>
                <w:szCs w:val="24"/>
              </w:rPr>
            </w:pPr>
            <w:r w:rsidRPr="007D37A4">
              <w:rPr>
                <w:rFonts w:asciiTheme="majorBidi" w:hAnsiTheme="majorBidi" w:cstheme="majorBidi"/>
                <w:sz w:val="24"/>
                <w:szCs w:val="24"/>
              </w:rPr>
              <w:t>Financial performance</w:t>
            </w:r>
          </w:p>
        </w:tc>
        <w:tc>
          <w:tcPr>
            <w:tcW w:w="2395" w:type="pct"/>
            <w:tcBorders>
              <w:top w:val="single" w:sz="4" w:space="0" w:color="000000"/>
            </w:tcBorders>
            <w:tcMar>
              <w:top w:w="0" w:type="dxa"/>
              <w:left w:w="115" w:type="dxa"/>
              <w:bottom w:w="0" w:type="dxa"/>
              <w:right w:w="115" w:type="dxa"/>
            </w:tcMar>
            <w:vAlign w:val="bottom"/>
            <w:hideMark/>
          </w:tcPr>
          <w:p w14:paraId="2A2E3312" w14:textId="77777777" w:rsidR="007D37A4" w:rsidRPr="007D37A4" w:rsidRDefault="007D37A4" w:rsidP="007D37A4">
            <w:pPr>
              <w:spacing w:line="240" w:lineRule="auto"/>
              <w:jc w:val="both"/>
              <w:rPr>
                <w:rFonts w:asciiTheme="majorBidi" w:hAnsiTheme="majorBidi" w:cstheme="majorBidi"/>
                <w:sz w:val="24"/>
                <w:szCs w:val="24"/>
              </w:rPr>
            </w:pPr>
            <w:r w:rsidRPr="007D37A4">
              <w:rPr>
                <w:rFonts w:asciiTheme="majorBidi" w:hAnsiTheme="majorBidi" w:cstheme="majorBidi"/>
                <w:sz w:val="24"/>
                <w:szCs w:val="24"/>
              </w:rPr>
              <w:t>0.149</w:t>
            </w:r>
          </w:p>
        </w:tc>
      </w:tr>
      <w:tr w:rsidR="007D37A4" w:rsidRPr="007D37A4" w14:paraId="7D35E20A" w14:textId="77777777" w:rsidTr="001F6F74">
        <w:trPr>
          <w:trHeight w:val="246"/>
          <w:jc w:val="center"/>
        </w:trPr>
        <w:tc>
          <w:tcPr>
            <w:tcW w:w="2605" w:type="pct"/>
            <w:tcMar>
              <w:top w:w="0" w:type="dxa"/>
              <w:left w:w="115" w:type="dxa"/>
              <w:bottom w:w="0" w:type="dxa"/>
              <w:right w:w="115" w:type="dxa"/>
            </w:tcMar>
            <w:vAlign w:val="bottom"/>
            <w:hideMark/>
          </w:tcPr>
          <w:p w14:paraId="0470ADAF" w14:textId="77777777" w:rsidR="007D37A4" w:rsidRPr="007D37A4" w:rsidRDefault="007D37A4" w:rsidP="007D37A4">
            <w:pPr>
              <w:spacing w:line="240" w:lineRule="auto"/>
              <w:jc w:val="both"/>
              <w:rPr>
                <w:rFonts w:asciiTheme="majorBidi" w:hAnsiTheme="majorBidi" w:cstheme="majorBidi"/>
                <w:sz w:val="24"/>
                <w:szCs w:val="24"/>
              </w:rPr>
            </w:pPr>
            <w:r w:rsidRPr="007D37A4">
              <w:rPr>
                <w:rFonts w:asciiTheme="majorBidi" w:hAnsiTheme="majorBidi" w:cstheme="majorBidi"/>
                <w:sz w:val="24"/>
                <w:szCs w:val="24"/>
              </w:rPr>
              <w:t>Company Characteristics</w:t>
            </w:r>
          </w:p>
        </w:tc>
        <w:tc>
          <w:tcPr>
            <w:tcW w:w="2395" w:type="pct"/>
            <w:tcMar>
              <w:top w:w="0" w:type="dxa"/>
              <w:left w:w="115" w:type="dxa"/>
              <w:bottom w:w="0" w:type="dxa"/>
              <w:right w:w="115" w:type="dxa"/>
            </w:tcMar>
            <w:vAlign w:val="bottom"/>
            <w:hideMark/>
          </w:tcPr>
          <w:p w14:paraId="71C3BCFB" w14:textId="77777777" w:rsidR="007D37A4" w:rsidRPr="007D37A4" w:rsidRDefault="007D37A4" w:rsidP="007D37A4">
            <w:pPr>
              <w:spacing w:line="240" w:lineRule="auto"/>
              <w:jc w:val="both"/>
              <w:rPr>
                <w:rFonts w:asciiTheme="majorBidi" w:hAnsiTheme="majorBidi" w:cstheme="majorBidi"/>
                <w:sz w:val="24"/>
                <w:szCs w:val="24"/>
              </w:rPr>
            </w:pPr>
            <w:r w:rsidRPr="007D37A4">
              <w:rPr>
                <w:rFonts w:asciiTheme="majorBidi" w:hAnsiTheme="majorBidi" w:cstheme="majorBidi"/>
                <w:sz w:val="24"/>
                <w:szCs w:val="24"/>
              </w:rPr>
              <w:t>-0.351</w:t>
            </w:r>
          </w:p>
        </w:tc>
      </w:tr>
      <w:tr w:rsidR="007D37A4" w:rsidRPr="007D37A4" w14:paraId="123BB86D" w14:textId="77777777" w:rsidTr="001F6F74">
        <w:trPr>
          <w:trHeight w:val="246"/>
          <w:jc w:val="center"/>
        </w:trPr>
        <w:tc>
          <w:tcPr>
            <w:tcW w:w="2605" w:type="pct"/>
            <w:tcMar>
              <w:top w:w="0" w:type="dxa"/>
              <w:left w:w="115" w:type="dxa"/>
              <w:bottom w:w="0" w:type="dxa"/>
              <w:right w:w="115" w:type="dxa"/>
            </w:tcMar>
            <w:vAlign w:val="bottom"/>
            <w:hideMark/>
          </w:tcPr>
          <w:p w14:paraId="172D9963" w14:textId="77777777" w:rsidR="007D37A4" w:rsidRPr="007D37A4" w:rsidRDefault="007D37A4" w:rsidP="007D37A4">
            <w:pPr>
              <w:spacing w:line="240" w:lineRule="auto"/>
              <w:jc w:val="both"/>
              <w:rPr>
                <w:rFonts w:asciiTheme="majorBidi" w:hAnsiTheme="majorBidi" w:cstheme="majorBidi"/>
                <w:sz w:val="24"/>
                <w:szCs w:val="24"/>
              </w:rPr>
            </w:pPr>
            <w:r w:rsidRPr="007D37A4">
              <w:rPr>
                <w:rFonts w:asciiTheme="majorBidi" w:hAnsiTheme="majorBidi" w:cstheme="majorBidi"/>
                <w:sz w:val="24"/>
                <w:szCs w:val="24"/>
              </w:rPr>
              <w:t>Audit committee</w:t>
            </w:r>
          </w:p>
        </w:tc>
        <w:tc>
          <w:tcPr>
            <w:tcW w:w="2395" w:type="pct"/>
            <w:tcMar>
              <w:top w:w="0" w:type="dxa"/>
              <w:left w:w="115" w:type="dxa"/>
              <w:bottom w:w="0" w:type="dxa"/>
              <w:right w:w="115" w:type="dxa"/>
            </w:tcMar>
            <w:vAlign w:val="bottom"/>
            <w:hideMark/>
          </w:tcPr>
          <w:p w14:paraId="4B623944" w14:textId="77777777" w:rsidR="007D37A4" w:rsidRPr="007D37A4" w:rsidRDefault="007D37A4" w:rsidP="007D37A4">
            <w:pPr>
              <w:spacing w:line="240" w:lineRule="auto"/>
              <w:jc w:val="both"/>
              <w:rPr>
                <w:rFonts w:asciiTheme="majorBidi" w:hAnsiTheme="majorBidi" w:cstheme="majorBidi"/>
                <w:sz w:val="24"/>
                <w:szCs w:val="24"/>
              </w:rPr>
            </w:pPr>
            <w:r w:rsidRPr="007D37A4">
              <w:rPr>
                <w:rFonts w:asciiTheme="majorBidi" w:hAnsiTheme="majorBidi" w:cstheme="majorBidi"/>
                <w:sz w:val="24"/>
                <w:szCs w:val="24"/>
              </w:rPr>
              <w:t>-3,265</w:t>
            </w:r>
          </w:p>
        </w:tc>
      </w:tr>
      <w:tr w:rsidR="007D37A4" w:rsidRPr="007D37A4" w14:paraId="093BCE0E" w14:textId="77777777" w:rsidTr="001F6F74">
        <w:trPr>
          <w:trHeight w:val="246"/>
          <w:jc w:val="center"/>
        </w:trPr>
        <w:tc>
          <w:tcPr>
            <w:tcW w:w="2605" w:type="pct"/>
            <w:tcMar>
              <w:top w:w="0" w:type="dxa"/>
              <w:left w:w="115" w:type="dxa"/>
              <w:bottom w:w="0" w:type="dxa"/>
              <w:right w:w="115" w:type="dxa"/>
            </w:tcMar>
            <w:vAlign w:val="bottom"/>
            <w:hideMark/>
          </w:tcPr>
          <w:p w14:paraId="181EF575" w14:textId="77777777" w:rsidR="007D37A4" w:rsidRPr="007D37A4" w:rsidRDefault="007D37A4" w:rsidP="007D37A4">
            <w:pPr>
              <w:spacing w:line="240" w:lineRule="auto"/>
              <w:jc w:val="both"/>
              <w:rPr>
                <w:rFonts w:asciiTheme="majorBidi" w:hAnsiTheme="majorBidi" w:cstheme="majorBidi"/>
                <w:sz w:val="24"/>
                <w:szCs w:val="24"/>
              </w:rPr>
            </w:pPr>
            <w:r w:rsidRPr="007D37A4">
              <w:rPr>
                <w:rFonts w:asciiTheme="majorBidi" w:hAnsiTheme="majorBidi" w:cstheme="majorBidi"/>
                <w:sz w:val="24"/>
                <w:szCs w:val="24"/>
              </w:rPr>
              <w:t>Audit opinion*</w:t>
            </w:r>
          </w:p>
        </w:tc>
        <w:tc>
          <w:tcPr>
            <w:tcW w:w="2395" w:type="pct"/>
            <w:tcMar>
              <w:top w:w="0" w:type="dxa"/>
              <w:left w:w="115" w:type="dxa"/>
              <w:bottom w:w="0" w:type="dxa"/>
              <w:right w:w="115" w:type="dxa"/>
            </w:tcMar>
            <w:vAlign w:val="bottom"/>
            <w:hideMark/>
          </w:tcPr>
          <w:p w14:paraId="76BB4465" w14:textId="77777777" w:rsidR="007D37A4" w:rsidRPr="007D37A4" w:rsidRDefault="007D37A4" w:rsidP="007D37A4">
            <w:pPr>
              <w:spacing w:line="240" w:lineRule="auto"/>
              <w:jc w:val="both"/>
              <w:rPr>
                <w:rFonts w:asciiTheme="majorBidi" w:hAnsiTheme="majorBidi" w:cstheme="majorBidi"/>
                <w:sz w:val="24"/>
                <w:szCs w:val="24"/>
              </w:rPr>
            </w:pPr>
            <w:r w:rsidRPr="007D37A4">
              <w:rPr>
                <w:rFonts w:asciiTheme="majorBidi" w:hAnsiTheme="majorBidi" w:cstheme="majorBidi"/>
                <w:sz w:val="24"/>
                <w:szCs w:val="24"/>
              </w:rPr>
              <w:t>-</w:t>
            </w:r>
          </w:p>
        </w:tc>
      </w:tr>
      <w:tr w:rsidR="007D37A4" w:rsidRPr="007D37A4" w14:paraId="0813C80A" w14:textId="77777777" w:rsidTr="001F6F74">
        <w:trPr>
          <w:trHeight w:val="246"/>
          <w:jc w:val="center"/>
        </w:trPr>
        <w:tc>
          <w:tcPr>
            <w:tcW w:w="2605" w:type="pct"/>
            <w:tcBorders>
              <w:bottom w:val="single" w:sz="4" w:space="0" w:color="000000"/>
            </w:tcBorders>
            <w:tcMar>
              <w:top w:w="0" w:type="dxa"/>
              <w:left w:w="115" w:type="dxa"/>
              <w:bottom w:w="0" w:type="dxa"/>
              <w:right w:w="115" w:type="dxa"/>
            </w:tcMar>
            <w:vAlign w:val="bottom"/>
            <w:hideMark/>
          </w:tcPr>
          <w:p w14:paraId="565CB033" w14:textId="77777777" w:rsidR="007D37A4" w:rsidRPr="007D37A4" w:rsidRDefault="007D37A4" w:rsidP="007D37A4">
            <w:pPr>
              <w:spacing w:line="240" w:lineRule="auto"/>
              <w:jc w:val="both"/>
              <w:rPr>
                <w:rFonts w:asciiTheme="majorBidi" w:hAnsiTheme="majorBidi" w:cstheme="majorBidi"/>
                <w:sz w:val="24"/>
                <w:szCs w:val="24"/>
              </w:rPr>
            </w:pPr>
            <w:r w:rsidRPr="007D37A4">
              <w:rPr>
                <w:rFonts w:asciiTheme="majorBidi" w:hAnsiTheme="majorBidi" w:cstheme="majorBidi"/>
                <w:sz w:val="24"/>
                <w:szCs w:val="24"/>
              </w:rPr>
              <w:t>(Constant)</w:t>
            </w:r>
          </w:p>
        </w:tc>
        <w:tc>
          <w:tcPr>
            <w:tcW w:w="2395" w:type="pct"/>
            <w:tcBorders>
              <w:bottom w:val="single" w:sz="4" w:space="0" w:color="000000"/>
            </w:tcBorders>
            <w:tcMar>
              <w:top w:w="0" w:type="dxa"/>
              <w:left w:w="115" w:type="dxa"/>
              <w:bottom w:w="0" w:type="dxa"/>
              <w:right w:w="115" w:type="dxa"/>
            </w:tcMar>
            <w:vAlign w:val="bottom"/>
            <w:hideMark/>
          </w:tcPr>
          <w:p w14:paraId="3CE06873" w14:textId="77777777" w:rsidR="007D37A4" w:rsidRPr="007D37A4" w:rsidRDefault="007D37A4" w:rsidP="007D37A4">
            <w:pPr>
              <w:spacing w:line="240" w:lineRule="auto"/>
              <w:jc w:val="both"/>
              <w:rPr>
                <w:rFonts w:asciiTheme="majorBidi" w:hAnsiTheme="majorBidi" w:cstheme="majorBidi"/>
                <w:sz w:val="24"/>
                <w:szCs w:val="24"/>
              </w:rPr>
            </w:pPr>
            <w:r w:rsidRPr="007D37A4">
              <w:rPr>
                <w:rFonts w:asciiTheme="majorBidi" w:hAnsiTheme="majorBidi" w:cstheme="majorBidi"/>
                <w:sz w:val="24"/>
                <w:szCs w:val="24"/>
              </w:rPr>
              <w:t>25,738</w:t>
            </w:r>
          </w:p>
        </w:tc>
      </w:tr>
    </w:tbl>
    <w:p w14:paraId="79EDED50" w14:textId="77777777" w:rsidR="007D37A4" w:rsidRPr="001F6F74" w:rsidRDefault="007D37A4" w:rsidP="007D37A4">
      <w:pPr>
        <w:spacing w:line="240" w:lineRule="auto"/>
        <w:jc w:val="both"/>
        <w:rPr>
          <w:rFonts w:asciiTheme="majorBidi" w:hAnsiTheme="majorBidi" w:cstheme="majorBidi"/>
          <w:sz w:val="20"/>
          <w:szCs w:val="20"/>
        </w:rPr>
      </w:pPr>
      <w:r w:rsidRPr="001F6F74">
        <w:rPr>
          <w:rFonts w:asciiTheme="majorBidi" w:hAnsiTheme="majorBidi" w:cstheme="majorBidi"/>
          <w:sz w:val="20"/>
          <w:szCs w:val="20"/>
        </w:rPr>
        <w:t>* The audit opinion value does not appear, because everyone received the same audit opinion, namely 1 = unqualified opinion.</w:t>
      </w:r>
    </w:p>
    <w:p w14:paraId="37B6136B" w14:textId="77777777" w:rsidR="007D37A4" w:rsidRPr="001F6F74" w:rsidRDefault="007D37A4" w:rsidP="007D37A4">
      <w:pPr>
        <w:spacing w:line="240" w:lineRule="auto"/>
        <w:jc w:val="both"/>
        <w:rPr>
          <w:rFonts w:asciiTheme="majorBidi" w:hAnsiTheme="majorBidi" w:cstheme="majorBidi"/>
          <w:sz w:val="20"/>
          <w:szCs w:val="20"/>
        </w:rPr>
      </w:pPr>
      <w:r w:rsidRPr="001F6F74">
        <w:rPr>
          <w:rFonts w:asciiTheme="majorBidi" w:hAnsiTheme="majorBidi" w:cstheme="majorBidi"/>
          <w:sz w:val="20"/>
          <w:szCs w:val="20"/>
        </w:rPr>
        <w:t>Source: Processed secondary data, 2025.</w:t>
      </w:r>
    </w:p>
    <w:p w14:paraId="5F13C55D" w14:textId="77777777" w:rsidR="007D37A4" w:rsidRPr="007D37A4" w:rsidRDefault="007D37A4" w:rsidP="007D37A4">
      <w:pPr>
        <w:spacing w:line="240" w:lineRule="auto"/>
        <w:jc w:val="both"/>
        <w:rPr>
          <w:rFonts w:asciiTheme="majorBidi" w:hAnsiTheme="majorBidi" w:cstheme="majorBidi"/>
          <w:sz w:val="24"/>
          <w:szCs w:val="24"/>
        </w:rPr>
      </w:pPr>
    </w:p>
    <w:p w14:paraId="1487644B" w14:textId="77777777" w:rsidR="007D37A4" w:rsidRPr="007D37A4" w:rsidRDefault="007D37A4" w:rsidP="001F6F74">
      <w:pPr>
        <w:spacing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Based on the results of the logistic regression test in Table 2, the following regression equation was obtained:</w:t>
      </w:r>
    </w:p>
    <w:p w14:paraId="291F4D1E" w14:textId="77777777" w:rsidR="007D37A4" w:rsidRPr="007D37A4" w:rsidRDefault="007D37A4" w:rsidP="007D37A4">
      <w:pPr>
        <w:spacing w:line="240" w:lineRule="auto"/>
        <w:jc w:val="both"/>
        <w:rPr>
          <w:rFonts w:asciiTheme="majorBidi" w:hAnsiTheme="majorBidi" w:cstheme="majorBidi"/>
          <w:sz w:val="24"/>
          <w:szCs w:val="24"/>
        </w:rPr>
      </w:pPr>
      <w:r w:rsidRPr="007D37A4">
        <w:rPr>
          <w:rFonts w:asciiTheme="majorBidi" w:hAnsiTheme="majorBidi" w:cstheme="majorBidi"/>
          <w:sz w:val="24"/>
          <w:szCs w:val="24"/>
        </w:rPr>
        <w:t>Y = 25.738 + 0.149X1 - 0.351X2 - 3.265X3 + e</w:t>
      </w:r>
    </w:p>
    <w:p w14:paraId="30DE3065" w14:textId="77777777" w:rsidR="007D37A4" w:rsidRPr="007D37A4" w:rsidRDefault="007D37A4" w:rsidP="001F6F74">
      <w:pPr>
        <w:spacing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The explanation of each coefficient in the equation is as follows:</w:t>
      </w:r>
    </w:p>
    <w:p w14:paraId="56F36AE2" w14:textId="13B56351" w:rsidR="007D37A4" w:rsidRPr="001F6F74" w:rsidRDefault="007D37A4" w:rsidP="00856618">
      <w:pPr>
        <w:pStyle w:val="ListParagraph"/>
        <w:numPr>
          <w:ilvl w:val="2"/>
          <w:numId w:val="57"/>
        </w:numPr>
        <w:spacing w:after="0" w:line="240" w:lineRule="auto"/>
        <w:jc w:val="both"/>
        <w:rPr>
          <w:rFonts w:asciiTheme="majorBidi" w:hAnsiTheme="majorBidi" w:cstheme="majorBidi"/>
          <w:b/>
          <w:bCs/>
          <w:sz w:val="24"/>
          <w:szCs w:val="24"/>
        </w:rPr>
      </w:pPr>
      <w:r w:rsidRPr="001F6F74">
        <w:rPr>
          <w:rFonts w:asciiTheme="majorBidi" w:hAnsiTheme="majorBidi" w:cstheme="majorBidi"/>
          <w:b/>
          <w:bCs/>
          <w:sz w:val="24"/>
          <w:szCs w:val="24"/>
        </w:rPr>
        <w:t>Constant (Intercept) of 25.738</w:t>
      </w:r>
    </w:p>
    <w:p w14:paraId="535831EC" w14:textId="77777777" w:rsidR="007D37A4" w:rsidRPr="007D37A4" w:rsidRDefault="007D37A4" w:rsidP="001F6F74">
      <w:pPr>
        <w:spacing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This value shows that if all independent variables are zero, then the logit value of the probability that the company will not experience an audit delay is 25.738.</w:t>
      </w:r>
    </w:p>
    <w:p w14:paraId="7980120F" w14:textId="4B9E7E79" w:rsidR="007D37A4" w:rsidRPr="001F6F74" w:rsidRDefault="007D37A4" w:rsidP="00856618">
      <w:pPr>
        <w:pStyle w:val="ListParagraph"/>
        <w:numPr>
          <w:ilvl w:val="2"/>
          <w:numId w:val="57"/>
        </w:numPr>
        <w:spacing w:after="0" w:line="240" w:lineRule="auto"/>
        <w:jc w:val="both"/>
        <w:rPr>
          <w:rFonts w:asciiTheme="majorBidi" w:hAnsiTheme="majorBidi" w:cstheme="majorBidi"/>
          <w:b/>
          <w:bCs/>
          <w:sz w:val="24"/>
          <w:szCs w:val="24"/>
        </w:rPr>
      </w:pPr>
      <w:r w:rsidRPr="001F6F74">
        <w:rPr>
          <w:rFonts w:asciiTheme="majorBidi" w:hAnsiTheme="majorBidi" w:cstheme="majorBidi"/>
          <w:b/>
          <w:bCs/>
          <w:sz w:val="24"/>
          <w:szCs w:val="24"/>
        </w:rPr>
        <w:t>Financial Performance Coefficient (ROA) of 0.149</w:t>
      </w:r>
    </w:p>
    <w:p w14:paraId="4141B5CC" w14:textId="77777777" w:rsidR="007D37A4" w:rsidRDefault="007D37A4" w:rsidP="00634B41">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lastRenderedPageBreak/>
        <w:t>This coefficient is positive, indicating that the higher a company's financial performance, the greater the likelihood of audit delay. This means that companies with high profit-generating capabilities are relatively more timely in submitting their financial reports.</w:t>
      </w:r>
    </w:p>
    <w:p w14:paraId="4EE45E45" w14:textId="77777777" w:rsidR="00634B41" w:rsidRPr="007D37A4" w:rsidRDefault="00634B41" w:rsidP="00634B41">
      <w:pPr>
        <w:spacing w:after="0" w:line="240" w:lineRule="auto"/>
        <w:ind w:firstLine="426"/>
        <w:jc w:val="both"/>
        <w:rPr>
          <w:rFonts w:asciiTheme="majorBidi" w:hAnsiTheme="majorBidi" w:cstheme="majorBidi"/>
          <w:sz w:val="24"/>
          <w:szCs w:val="24"/>
        </w:rPr>
      </w:pPr>
    </w:p>
    <w:p w14:paraId="10E81FC4" w14:textId="130EB57A" w:rsidR="007D37A4" w:rsidRPr="001F6F74" w:rsidRDefault="007D37A4" w:rsidP="00856618">
      <w:pPr>
        <w:pStyle w:val="ListParagraph"/>
        <w:numPr>
          <w:ilvl w:val="2"/>
          <w:numId w:val="57"/>
        </w:numPr>
        <w:spacing w:after="0" w:line="240" w:lineRule="auto"/>
        <w:jc w:val="both"/>
        <w:rPr>
          <w:rFonts w:asciiTheme="majorBidi" w:hAnsiTheme="majorBidi" w:cstheme="majorBidi"/>
          <w:b/>
          <w:bCs/>
          <w:sz w:val="24"/>
          <w:szCs w:val="24"/>
        </w:rPr>
      </w:pPr>
      <w:r w:rsidRPr="001F6F74">
        <w:rPr>
          <w:rFonts w:asciiTheme="majorBidi" w:hAnsiTheme="majorBidi" w:cstheme="majorBidi"/>
          <w:b/>
          <w:bCs/>
          <w:sz w:val="24"/>
          <w:szCs w:val="24"/>
        </w:rPr>
        <w:t>Company Characteristics Coefficient is -0.351</w:t>
      </w:r>
    </w:p>
    <w:p w14:paraId="34174EB6" w14:textId="77777777" w:rsidR="007D37A4" w:rsidRDefault="007D37A4" w:rsidP="00634B41">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This coefficient is negative, indicating that the larger the company size (based on the natural log of total assets), the greater the likelihood of audit delay. This may occur because larger companies tend to have more complex organizational structures and transactions, resulting in longer audit times.</w:t>
      </w:r>
    </w:p>
    <w:p w14:paraId="126F7CF0" w14:textId="77777777" w:rsidR="00634B41" w:rsidRPr="007D37A4" w:rsidRDefault="00634B41" w:rsidP="00634B41">
      <w:pPr>
        <w:spacing w:after="0" w:line="240" w:lineRule="auto"/>
        <w:ind w:firstLine="426"/>
        <w:jc w:val="both"/>
        <w:rPr>
          <w:rFonts w:asciiTheme="majorBidi" w:hAnsiTheme="majorBidi" w:cstheme="majorBidi"/>
          <w:sz w:val="24"/>
          <w:szCs w:val="24"/>
        </w:rPr>
      </w:pPr>
    </w:p>
    <w:p w14:paraId="7D3371E8" w14:textId="797ED96D" w:rsidR="007D37A4" w:rsidRPr="001F6F74" w:rsidRDefault="007D37A4" w:rsidP="00856618">
      <w:pPr>
        <w:pStyle w:val="ListParagraph"/>
        <w:numPr>
          <w:ilvl w:val="2"/>
          <w:numId w:val="57"/>
        </w:numPr>
        <w:spacing w:after="0" w:line="240" w:lineRule="auto"/>
        <w:jc w:val="both"/>
        <w:rPr>
          <w:rFonts w:asciiTheme="majorBidi" w:hAnsiTheme="majorBidi" w:cstheme="majorBidi"/>
          <w:b/>
          <w:bCs/>
          <w:sz w:val="24"/>
          <w:szCs w:val="24"/>
        </w:rPr>
      </w:pPr>
      <w:r w:rsidRPr="001F6F74">
        <w:rPr>
          <w:rFonts w:asciiTheme="majorBidi" w:hAnsiTheme="majorBidi" w:cstheme="majorBidi"/>
          <w:b/>
          <w:bCs/>
          <w:sz w:val="24"/>
          <w:szCs w:val="24"/>
        </w:rPr>
        <w:t>The Audit Committee coefficient is -3.265</w:t>
      </w:r>
    </w:p>
    <w:p w14:paraId="39A5D0A9" w14:textId="77777777" w:rsidR="007D37A4" w:rsidRDefault="007D37A4" w:rsidP="00634B41">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This coefficient is also negative, indicating that the larger the number of audit committee members, the higher the likelihood of a company experiencing audit delays. This could mean that a large audit committee does not necessarily increase the effectiveness of oversight of timely reporting, or it could also indicate coordination challenges in audit committee decision-making.</w:t>
      </w:r>
    </w:p>
    <w:p w14:paraId="0060F23A" w14:textId="77777777" w:rsidR="00634B41" w:rsidRPr="007D37A4" w:rsidRDefault="00634B41" w:rsidP="00634B41">
      <w:pPr>
        <w:spacing w:after="0" w:line="240" w:lineRule="auto"/>
        <w:ind w:firstLine="426"/>
        <w:jc w:val="both"/>
        <w:rPr>
          <w:rFonts w:asciiTheme="majorBidi" w:hAnsiTheme="majorBidi" w:cstheme="majorBidi"/>
          <w:sz w:val="24"/>
          <w:szCs w:val="24"/>
        </w:rPr>
      </w:pPr>
    </w:p>
    <w:p w14:paraId="2942B525" w14:textId="7655FE73" w:rsidR="007D37A4" w:rsidRPr="001F6F74" w:rsidRDefault="007D37A4" w:rsidP="00856618">
      <w:pPr>
        <w:pStyle w:val="ListParagraph"/>
        <w:numPr>
          <w:ilvl w:val="2"/>
          <w:numId w:val="57"/>
        </w:numPr>
        <w:spacing w:after="0" w:line="240" w:lineRule="auto"/>
        <w:jc w:val="both"/>
        <w:rPr>
          <w:rFonts w:asciiTheme="majorBidi" w:hAnsiTheme="majorBidi" w:cstheme="majorBidi"/>
          <w:b/>
          <w:bCs/>
          <w:sz w:val="24"/>
          <w:szCs w:val="24"/>
        </w:rPr>
      </w:pPr>
      <w:r w:rsidRPr="001F6F74">
        <w:rPr>
          <w:rFonts w:asciiTheme="majorBidi" w:hAnsiTheme="majorBidi" w:cstheme="majorBidi"/>
          <w:b/>
          <w:bCs/>
          <w:sz w:val="24"/>
          <w:szCs w:val="24"/>
        </w:rPr>
        <w:t>Audit Opinion variable is not included in the model</w:t>
      </w:r>
    </w:p>
    <w:p w14:paraId="7F2C066F" w14:textId="77777777" w:rsidR="007D37A4" w:rsidRPr="007D37A4" w:rsidRDefault="007D37A4" w:rsidP="00634B41">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This is because all companies in the sample obtained the same audit opinion, namely an unqualified opinion, with a value of 1. Because there is no variation, this variable cannot be estimated in the logistic regression model, because it does not contribute information to the differences in the dependent variable.   </w:t>
      </w:r>
    </w:p>
    <w:p w14:paraId="56FFC0CA" w14:textId="77777777" w:rsidR="007D37A4" w:rsidRPr="007D37A4" w:rsidRDefault="007D37A4" w:rsidP="00634B41">
      <w:pPr>
        <w:spacing w:after="0" w:line="240" w:lineRule="auto"/>
        <w:jc w:val="both"/>
        <w:rPr>
          <w:rFonts w:asciiTheme="majorBidi" w:hAnsiTheme="majorBidi" w:cstheme="majorBidi"/>
          <w:sz w:val="24"/>
          <w:szCs w:val="24"/>
        </w:rPr>
      </w:pPr>
    </w:p>
    <w:p w14:paraId="2C93F7F3" w14:textId="1B6D7FC6" w:rsidR="007D37A4" w:rsidRPr="007D37A4" w:rsidRDefault="001F6F74" w:rsidP="00634B41">
      <w:pPr>
        <w:spacing w:after="0" w:line="240" w:lineRule="auto"/>
        <w:jc w:val="both"/>
        <w:rPr>
          <w:rFonts w:asciiTheme="majorBidi" w:hAnsiTheme="majorBidi" w:cstheme="majorBidi"/>
          <w:b/>
          <w:bCs/>
          <w:sz w:val="24"/>
          <w:szCs w:val="24"/>
        </w:rPr>
      </w:pPr>
      <w:r>
        <w:rPr>
          <w:rFonts w:asciiTheme="majorBidi" w:hAnsiTheme="majorBidi" w:cstheme="majorBidi"/>
          <w:b/>
          <w:bCs/>
          <w:sz w:val="24"/>
          <w:szCs w:val="24"/>
        </w:rPr>
        <w:t xml:space="preserve">4.3 </w:t>
      </w:r>
      <w:r w:rsidR="007D37A4" w:rsidRPr="007D37A4">
        <w:rPr>
          <w:rFonts w:asciiTheme="majorBidi" w:hAnsiTheme="majorBidi" w:cstheme="majorBidi"/>
          <w:b/>
          <w:bCs/>
          <w:sz w:val="24"/>
          <w:szCs w:val="24"/>
        </w:rPr>
        <w:t>Hypothesis Testing</w:t>
      </w:r>
    </w:p>
    <w:p w14:paraId="439BF4B4" w14:textId="2CBB20EA" w:rsidR="007D37A4" w:rsidRPr="001F6F74" w:rsidRDefault="007D37A4" w:rsidP="00856618">
      <w:pPr>
        <w:pStyle w:val="ListParagraph"/>
        <w:numPr>
          <w:ilvl w:val="2"/>
          <w:numId w:val="26"/>
        </w:numPr>
        <w:spacing w:after="0" w:line="240" w:lineRule="auto"/>
        <w:ind w:left="0" w:firstLine="426"/>
        <w:jc w:val="both"/>
        <w:rPr>
          <w:rFonts w:asciiTheme="majorBidi" w:hAnsiTheme="majorBidi" w:cstheme="majorBidi"/>
          <w:b/>
          <w:bCs/>
          <w:sz w:val="24"/>
          <w:szCs w:val="24"/>
        </w:rPr>
      </w:pPr>
      <w:r w:rsidRPr="001F6F74">
        <w:rPr>
          <w:rFonts w:asciiTheme="majorBidi" w:hAnsiTheme="majorBidi" w:cstheme="majorBidi"/>
          <w:b/>
          <w:bCs/>
          <w:sz w:val="24"/>
          <w:szCs w:val="24"/>
        </w:rPr>
        <w:t>Hypothesis Testing 1</w:t>
      </w:r>
    </w:p>
    <w:p w14:paraId="5107658C" w14:textId="77777777" w:rsidR="007D37A4" w:rsidRDefault="007D37A4" w:rsidP="00634B41">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The Wald test of financial performance yielded a significance value of 0.295, greater than 0.05. This indicates that financial performance has no significant effect on audit delay. Therefore, the first hypothesis is not statistically tested.</w:t>
      </w:r>
    </w:p>
    <w:p w14:paraId="0D364F23" w14:textId="77777777" w:rsidR="00634B41" w:rsidRPr="007D37A4" w:rsidRDefault="00634B41" w:rsidP="00634B41">
      <w:pPr>
        <w:spacing w:after="0" w:line="240" w:lineRule="auto"/>
        <w:ind w:firstLine="426"/>
        <w:jc w:val="both"/>
        <w:rPr>
          <w:rFonts w:asciiTheme="majorBidi" w:hAnsiTheme="majorBidi" w:cstheme="majorBidi"/>
          <w:sz w:val="24"/>
          <w:szCs w:val="24"/>
        </w:rPr>
      </w:pPr>
    </w:p>
    <w:p w14:paraId="23CF82A1" w14:textId="61B148CB" w:rsidR="007D37A4" w:rsidRPr="001F6F74" w:rsidRDefault="007D37A4" w:rsidP="00856618">
      <w:pPr>
        <w:pStyle w:val="ListParagraph"/>
        <w:numPr>
          <w:ilvl w:val="2"/>
          <w:numId w:val="58"/>
        </w:numPr>
        <w:spacing w:after="0" w:line="240" w:lineRule="auto"/>
        <w:ind w:left="1134" w:hanging="708"/>
        <w:jc w:val="both"/>
        <w:rPr>
          <w:rFonts w:asciiTheme="majorBidi" w:hAnsiTheme="majorBidi" w:cstheme="majorBidi"/>
          <w:b/>
          <w:bCs/>
          <w:sz w:val="24"/>
          <w:szCs w:val="24"/>
        </w:rPr>
      </w:pPr>
      <w:r w:rsidRPr="001F6F74">
        <w:rPr>
          <w:rFonts w:asciiTheme="majorBidi" w:hAnsiTheme="majorBidi" w:cstheme="majorBidi"/>
          <w:b/>
          <w:bCs/>
          <w:sz w:val="24"/>
          <w:szCs w:val="24"/>
        </w:rPr>
        <w:t>Hypothesis Testing 2</w:t>
      </w:r>
    </w:p>
    <w:p w14:paraId="6AD31B00" w14:textId="77777777" w:rsidR="007D37A4" w:rsidRDefault="007D37A4" w:rsidP="00634B41">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The hypothesis testing findings show a Wald value of company characteristics with a significance value of 0.682, greater than 0.05. This means that company characteristics do not significantly influence the audit delay variable. This indicates that the second hypothesis is not statistically tested.</w:t>
      </w:r>
    </w:p>
    <w:p w14:paraId="04EC09EC" w14:textId="77777777" w:rsidR="00634B41" w:rsidRPr="007D37A4" w:rsidRDefault="00634B41" w:rsidP="00634B41">
      <w:pPr>
        <w:spacing w:after="0" w:line="240" w:lineRule="auto"/>
        <w:ind w:firstLine="426"/>
        <w:jc w:val="both"/>
        <w:rPr>
          <w:rFonts w:asciiTheme="majorBidi" w:hAnsiTheme="majorBidi" w:cstheme="majorBidi"/>
          <w:sz w:val="24"/>
          <w:szCs w:val="24"/>
        </w:rPr>
      </w:pPr>
    </w:p>
    <w:p w14:paraId="3FBFB7E6" w14:textId="39ECE583" w:rsidR="007D37A4" w:rsidRPr="00337E5E" w:rsidRDefault="007D37A4" w:rsidP="00856618">
      <w:pPr>
        <w:pStyle w:val="ListParagraph"/>
        <w:numPr>
          <w:ilvl w:val="2"/>
          <w:numId w:val="58"/>
        </w:numPr>
        <w:spacing w:after="0" w:line="240" w:lineRule="auto"/>
        <w:ind w:left="1134"/>
        <w:jc w:val="both"/>
        <w:rPr>
          <w:rFonts w:asciiTheme="majorBidi" w:hAnsiTheme="majorBidi" w:cstheme="majorBidi"/>
          <w:b/>
          <w:bCs/>
          <w:sz w:val="24"/>
          <w:szCs w:val="24"/>
        </w:rPr>
      </w:pPr>
      <w:r w:rsidRPr="00337E5E">
        <w:rPr>
          <w:rFonts w:asciiTheme="majorBidi" w:hAnsiTheme="majorBidi" w:cstheme="majorBidi"/>
          <w:b/>
          <w:bCs/>
          <w:sz w:val="24"/>
          <w:szCs w:val="24"/>
        </w:rPr>
        <w:t>Hypothesis Testing 3</w:t>
      </w:r>
    </w:p>
    <w:p w14:paraId="38FED7C9" w14:textId="77777777" w:rsidR="007D37A4" w:rsidRDefault="007D37A4" w:rsidP="00634B41">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The hypothesis testing findings show that the Wald value for the audit committee is 0.009, which is less than 0.05. This indicates that the audit committee has a significant influence on the audit delay variable. This indicates that the third hypothesis has been statistically tested.</w:t>
      </w:r>
    </w:p>
    <w:p w14:paraId="766D9740" w14:textId="77777777" w:rsidR="00634B41" w:rsidRPr="007D37A4" w:rsidRDefault="00634B41" w:rsidP="00634B41">
      <w:pPr>
        <w:spacing w:after="0" w:line="240" w:lineRule="auto"/>
        <w:ind w:firstLine="426"/>
        <w:jc w:val="both"/>
        <w:rPr>
          <w:rFonts w:asciiTheme="majorBidi" w:hAnsiTheme="majorBidi" w:cstheme="majorBidi"/>
          <w:sz w:val="24"/>
          <w:szCs w:val="24"/>
        </w:rPr>
      </w:pPr>
    </w:p>
    <w:p w14:paraId="23A8FCB5" w14:textId="723EEAA7" w:rsidR="007D37A4" w:rsidRPr="00337E5E" w:rsidRDefault="007D37A4" w:rsidP="00856618">
      <w:pPr>
        <w:pStyle w:val="ListParagraph"/>
        <w:numPr>
          <w:ilvl w:val="2"/>
          <w:numId w:val="58"/>
        </w:numPr>
        <w:spacing w:after="0" w:line="240" w:lineRule="auto"/>
        <w:ind w:left="1134" w:hanging="708"/>
        <w:jc w:val="both"/>
        <w:rPr>
          <w:rFonts w:asciiTheme="majorBidi" w:hAnsiTheme="majorBidi" w:cstheme="majorBidi"/>
          <w:b/>
          <w:bCs/>
          <w:sz w:val="24"/>
          <w:szCs w:val="24"/>
        </w:rPr>
      </w:pPr>
      <w:r w:rsidRPr="00337E5E">
        <w:rPr>
          <w:rFonts w:asciiTheme="majorBidi" w:hAnsiTheme="majorBidi" w:cstheme="majorBidi"/>
          <w:b/>
          <w:bCs/>
          <w:sz w:val="24"/>
          <w:szCs w:val="24"/>
        </w:rPr>
        <w:t>Hypothesis Testing 4</w:t>
      </w:r>
    </w:p>
    <w:p w14:paraId="24F3788F" w14:textId="77777777" w:rsidR="007D37A4" w:rsidRPr="007D37A4" w:rsidRDefault="007D37A4" w:rsidP="00634B41">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This hypothesis could not be statistically tested in this study because the audit opinion variable was constant across the sample (all companies received an unqualified opinion). Due to its lack of variation, this variable could not be included in the regression model, and its effect on audit delay could not be empirically inferred. This finding suggests that in the basic chemical industry sector, financial report quality is relatively homogeneous in terms of audit opinion, thus providing no variable information for statistical analysis. This indicates that the fourth hypothesis was statistically tested.</w:t>
      </w:r>
    </w:p>
    <w:p w14:paraId="2B64C065" w14:textId="77777777" w:rsidR="007D37A4" w:rsidRPr="007D37A4" w:rsidRDefault="007D37A4" w:rsidP="007D37A4">
      <w:pPr>
        <w:spacing w:line="240" w:lineRule="auto"/>
        <w:jc w:val="both"/>
        <w:rPr>
          <w:rFonts w:asciiTheme="majorBidi" w:hAnsiTheme="majorBidi" w:cstheme="majorBidi"/>
          <w:sz w:val="24"/>
          <w:szCs w:val="24"/>
        </w:rPr>
      </w:pPr>
      <w:r w:rsidRPr="007D37A4">
        <w:rPr>
          <w:rFonts w:asciiTheme="majorBidi" w:hAnsiTheme="majorBidi" w:cstheme="majorBidi"/>
          <w:sz w:val="24"/>
          <w:szCs w:val="24"/>
        </w:rPr>
        <w:t>     </w:t>
      </w:r>
    </w:p>
    <w:p w14:paraId="5335B03E" w14:textId="35CD2B2F" w:rsidR="007D37A4" w:rsidRPr="007D37A4" w:rsidRDefault="00337E5E" w:rsidP="00337E5E">
      <w:pPr>
        <w:spacing w:line="240" w:lineRule="auto"/>
        <w:jc w:val="center"/>
        <w:rPr>
          <w:rFonts w:asciiTheme="majorBidi" w:hAnsiTheme="majorBidi" w:cstheme="majorBidi"/>
          <w:b/>
          <w:bCs/>
          <w:sz w:val="24"/>
          <w:szCs w:val="24"/>
        </w:rPr>
      </w:pPr>
      <w:r>
        <w:rPr>
          <w:rFonts w:asciiTheme="majorBidi" w:hAnsiTheme="majorBidi" w:cstheme="majorBidi"/>
          <w:b/>
          <w:bCs/>
          <w:sz w:val="24"/>
          <w:szCs w:val="24"/>
        </w:rPr>
        <w:lastRenderedPageBreak/>
        <w:t xml:space="preserve">5. </w:t>
      </w:r>
      <w:r w:rsidRPr="007D37A4">
        <w:rPr>
          <w:rFonts w:asciiTheme="majorBidi" w:hAnsiTheme="majorBidi" w:cstheme="majorBidi"/>
          <w:b/>
          <w:bCs/>
          <w:sz w:val="24"/>
          <w:szCs w:val="24"/>
        </w:rPr>
        <w:t>DISCUSSION</w:t>
      </w:r>
    </w:p>
    <w:p w14:paraId="4DB71449" w14:textId="5AA0BAC8" w:rsidR="007D37A4" w:rsidRPr="007D37A4" w:rsidRDefault="00337E5E" w:rsidP="00634B41">
      <w:pPr>
        <w:spacing w:after="0" w:line="240" w:lineRule="auto"/>
        <w:jc w:val="both"/>
        <w:rPr>
          <w:rFonts w:asciiTheme="majorBidi" w:hAnsiTheme="majorBidi" w:cstheme="majorBidi"/>
          <w:b/>
          <w:bCs/>
          <w:sz w:val="24"/>
          <w:szCs w:val="24"/>
        </w:rPr>
      </w:pPr>
      <w:r>
        <w:rPr>
          <w:rFonts w:asciiTheme="majorBidi" w:hAnsiTheme="majorBidi" w:cstheme="majorBidi"/>
          <w:b/>
          <w:bCs/>
          <w:sz w:val="24"/>
          <w:szCs w:val="24"/>
        </w:rPr>
        <w:t xml:space="preserve">5.1 </w:t>
      </w:r>
      <w:r w:rsidR="007D37A4" w:rsidRPr="007D37A4">
        <w:rPr>
          <w:rFonts w:asciiTheme="majorBidi" w:hAnsiTheme="majorBidi" w:cstheme="majorBidi"/>
          <w:b/>
          <w:bCs/>
          <w:sz w:val="24"/>
          <w:szCs w:val="24"/>
        </w:rPr>
        <w:t>The Influence of Financial Performance on Audit Delay</w:t>
      </w:r>
    </w:p>
    <w:p w14:paraId="03922597" w14:textId="77777777" w:rsidR="007D37A4" w:rsidRPr="007D37A4" w:rsidRDefault="007D37A4" w:rsidP="00337E5E">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The results of the logistic regression test in this study indicate that financial performance does not significantly influence audit delay. This means that a company's profitability, measured by Return on Assets (ROA), does not determine the length of time required for auditors to complete the financial statement audit process. ROA itself is the ratio of net income after tax to total assets (</w:t>
      </w:r>
      <w:proofErr w:type="spellStart"/>
      <w:r w:rsidRPr="007D37A4">
        <w:rPr>
          <w:rFonts w:asciiTheme="majorBidi" w:hAnsiTheme="majorBidi" w:cstheme="majorBidi"/>
          <w:sz w:val="24"/>
          <w:szCs w:val="24"/>
        </w:rPr>
        <w:t>Findriani</w:t>
      </w:r>
      <w:proofErr w:type="spellEnd"/>
      <w:r w:rsidRPr="007D37A4">
        <w:rPr>
          <w:rFonts w:asciiTheme="majorBidi" w:hAnsiTheme="majorBidi" w:cstheme="majorBidi"/>
          <w:sz w:val="24"/>
          <w:szCs w:val="24"/>
        </w:rPr>
        <w:t xml:space="preserve">, 2021). This ratio reflects a company's efficiency in managing all its resources to generate profit. A higher ROA indicates a company's ability to optimally utilize its assets to generate profit, while a lower ROA indicates a less optimal use of its assets to generate profit (Evani, Susilowati, and </w:t>
      </w:r>
      <w:proofErr w:type="spellStart"/>
      <w:r w:rsidRPr="007D37A4">
        <w:rPr>
          <w:rFonts w:asciiTheme="majorBidi" w:hAnsiTheme="majorBidi" w:cstheme="majorBidi"/>
          <w:sz w:val="24"/>
          <w:szCs w:val="24"/>
        </w:rPr>
        <w:t>Kusumastati</w:t>
      </w:r>
      <w:proofErr w:type="spellEnd"/>
      <w:r w:rsidRPr="007D37A4">
        <w:rPr>
          <w:rFonts w:asciiTheme="majorBidi" w:hAnsiTheme="majorBidi" w:cstheme="majorBidi"/>
          <w:sz w:val="24"/>
          <w:szCs w:val="24"/>
        </w:rPr>
        <w:t>, 2022).</w:t>
      </w:r>
    </w:p>
    <w:p w14:paraId="18B8C901" w14:textId="77777777" w:rsidR="007D37A4" w:rsidRPr="007D37A4" w:rsidRDefault="007D37A4" w:rsidP="00337E5E">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Theoretically, companies with good financial performance tend to want to promptly submit audited financial reports as a form of accountability to stakeholders and to project a positive corporate image. This aligns with the view of Wild et al. (in Darmawan, 2018), who stated that companies recording profits typically want to demonstrate these positive results to the public and investors, thus tending to expedite the financial reporting process. In many cases, companies showing good performance will pressure auditors to complete audits more quickly because good financial reports can increase investor confidence, attract potential new investors, and positively influence the company's stock price.</w:t>
      </w:r>
    </w:p>
    <w:p w14:paraId="0403F938" w14:textId="77777777" w:rsidR="007D37A4" w:rsidRPr="007D37A4" w:rsidRDefault="007D37A4" w:rsidP="00337E5E">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However, the results of this study indicate that financial performance does not significantly impact audit delay. This may occur because auditors adhere to professional audit standards and applicable procedures, regardless of whether the company records a profit or loss. In other words, auditors do not accelerate or delay audit completion solely based on the company's financial performance, but rather conduct audits according to the scope, complexity, and risk level of each entity.</w:t>
      </w:r>
    </w:p>
    <w:p w14:paraId="277C8242" w14:textId="77777777" w:rsidR="007D37A4" w:rsidRPr="007D37A4" w:rsidRDefault="007D37A4" w:rsidP="00337E5E">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 xml:space="preserve">This finding aligns with several previous studies showing no significant relationship between financial performance and audit delay, as found in a study by </w:t>
      </w:r>
      <w:proofErr w:type="spellStart"/>
      <w:r w:rsidRPr="007D37A4">
        <w:rPr>
          <w:rFonts w:asciiTheme="majorBidi" w:hAnsiTheme="majorBidi" w:cstheme="majorBidi"/>
          <w:sz w:val="24"/>
          <w:szCs w:val="24"/>
        </w:rPr>
        <w:t>Armansyah</w:t>
      </w:r>
      <w:proofErr w:type="spellEnd"/>
      <w:r w:rsidRPr="007D37A4">
        <w:rPr>
          <w:rFonts w:asciiTheme="majorBidi" w:hAnsiTheme="majorBidi" w:cstheme="majorBidi"/>
          <w:sz w:val="24"/>
          <w:szCs w:val="24"/>
        </w:rPr>
        <w:t xml:space="preserve"> &amp; Kurnia (2015), which stated that profitability is not the primary determinant of audit completion speed. Meanwhile, other studies, such as those by Utomo et al. (2017); </w:t>
      </w:r>
      <w:proofErr w:type="spellStart"/>
      <w:r w:rsidRPr="007D37A4">
        <w:rPr>
          <w:rFonts w:asciiTheme="majorBidi" w:hAnsiTheme="majorBidi" w:cstheme="majorBidi"/>
          <w:sz w:val="24"/>
          <w:szCs w:val="24"/>
        </w:rPr>
        <w:t>Purba</w:t>
      </w:r>
      <w:proofErr w:type="spellEnd"/>
      <w:r w:rsidRPr="007D37A4">
        <w:rPr>
          <w:rFonts w:asciiTheme="majorBidi" w:hAnsiTheme="majorBidi" w:cstheme="majorBidi"/>
          <w:sz w:val="24"/>
          <w:szCs w:val="24"/>
        </w:rPr>
        <w:t xml:space="preserve"> (2018); </w:t>
      </w:r>
      <w:proofErr w:type="spellStart"/>
      <w:r w:rsidRPr="007D37A4">
        <w:rPr>
          <w:rFonts w:asciiTheme="majorBidi" w:hAnsiTheme="majorBidi" w:cstheme="majorBidi"/>
          <w:sz w:val="24"/>
          <w:szCs w:val="24"/>
        </w:rPr>
        <w:t>Findriani</w:t>
      </w:r>
      <w:proofErr w:type="spellEnd"/>
      <w:r w:rsidRPr="007D37A4">
        <w:rPr>
          <w:rFonts w:asciiTheme="majorBidi" w:hAnsiTheme="majorBidi" w:cstheme="majorBidi"/>
          <w:sz w:val="24"/>
          <w:szCs w:val="24"/>
        </w:rPr>
        <w:t xml:space="preserve"> (2021); and Evani, Susilowati, and </w:t>
      </w:r>
      <w:proofErr w:type="spellStart"/>
      <w:r w:rsidRPr="007D37A4">
        <w:rPr>
          <w:rFonts w:asciiTheme="majorBidi" w:hAnsiTheme="majorBidi" w:cstheme="majorBidi"/>
          <w:sz w:val="24"/>
          <w:szCs w:val="24"/>
        </w:rPr>
        <w:t>Kusumastati</w:t>
      </w:r>
      <w:proofErr w:type="spellEnd"/>
      <w:r w:rsidRPr="007D37A4">
        <w:rPr>
          <w:rFonts w:asciiTheme="majorBidi" w:hAnsiTheme="majorBidi" w:cstheme="majorBidi"/>
          <w:sz w:val="24"/>
          <w:szCs w:val="24"/>
        </w:rPr>
        <w:t xml:space="preserve"> (2022), have shown a significant relationship.</w:t>
      </w:r>
    </w:p>
    <w:p w14:paraId="6E9DD831" w14:textId="77777777" w:rsidR="007D37A4" w:rsidRPr="007D37A4" w:rsidRDefault="007D37A4" w:rsidP="00337E5E">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Furthermore, it can be assumed that basic chemical companies have a relatively high level of compliance with financial reporting regulations established by authorities such as the Financial Services Authority (OJK) or the Indonesian Stock Exchange (BEI), resulting in companies completing audits within a relatively similar timeframe, regardless of whether they are in profit or loss. Therefore, while in theory, profitable companies will submit their financial reports more quickly, in practice, this is not always the case if other factors dominate the audit duration. This suggests that high profitability is not always the primary motivation for companies to expedite audits, particularly if the company has a complex reporting system or management that is unresponsive to auditor requests.</w:t>
      </w:r>
    </w:p>
    <w:p w14:paraId="387BD52D" w14:textId="77777777" w:rsidR="007D37A4" w:rsidRPr="007D37A4" w:rsidRDefault="007D37A4" w:rsidP="007D37A4">
      <w:pPr>
        <w:spacing w:line="240" w:lineRule="auto"/>
        <w:jc w:val="both"/>
        <w:rPr>
          <w:rFonts w:asciiTheme="majorBidi" w:hAnsiTheme="majorBidi" w:cstheme="majorBidi"/>
          <w:sz w:val="24"/>
          <w:szCs w:val="24"/>
        </w:rPr>
      </w:pPr>
    </w:p>
    <w:p w14:paraId="01ADDF1E" w14:textId="7C819EF6" w:rsidR="007D37A4" w:rsidRPr="007D37A4" w:rsidRDefault="00337E5E" w:rsidP="00634B41">
      <w:pPr>
        <w:spacing w:after="0" w:line="240" w:lineRule="auto"/>
        <w:jc w:val="both"/>
        <w:rPr>
          <w:rFonts w:asciiTheme="majorBidi" w:hAnsiTheme="majorBidi" w:cstheme="majorBidi"/>
          <w:b/>
          <w:bCs/>
          <w:sz w:val="24"/>
          <w:szCs w:val="24"/>
        </w:rPr>
      </w:pPr>
      <w:r>
        <w:rPr>
          <w:rFonts w:asciiTheme="majorBidi" w:hAnsiTheme="majorBidi" w:cstheme="majorBidi"/>
          <w:b/>
          <w:bCs/>
          <w:sz w:val="24"/>
          <w:szCs w:val="24"/>
        </w:rPr>
        <w:t xml:space="preserve">5.2 </w:t>
      </w:r>
      <w:r w:rsidR="007D37A4" w:rsidRPr="007D37A4">
        <w:rPr>
          <w:rFonts w:asciiTheme="majorBidi" w:hAnsiTheme="majorBidi" w:cstheme="majorBidi"/>
          <w:b/>
          <w:bCs/>
          <w:sz w:val="24"/>
          <w:szCs w:val="24"/>
        </w:rPr>
        <w:t>The Influence of Company Characteristics on Audit Delay</w:t>
      </w:r>
    </w:p>
    <w:p w14:paraId="0655251E" w14:textId="77777777" w:rsidR="007D37A4" w:rsidRPr="007D37A4" w:rsidRDefault="007D37A4" w:rsidP="00337E5E">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The research results show that company characteristics, as measured by company size, do not significantly influence audit delay. This finding indicates that the size of a company's assets is not a primary determinant of the length of time it takes auditors to complete a financial statement audit. In other words, even though a company has a large amount of assets, which theoretically reflects operational complexity, this does not necessarily lead to longer or shorter audit delays.</w:t>
      </w:r>
    </w:p>
    <w:p w14:paraId="0B7DB19E" w14:textId="77777777" w:rsidR="007D37A4" w:rsidRPr="007D37A4" w:rsidRDefault="007D37A4" w:rsidP="00337E5E">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 xml:space="preserve">Theoretically, large companies are often assumed to have more streamlined, centralized, and efficient reporting systems supported by more adequate human resources and technology. In fact, according to </w:t>
      </w:r>
      <w:proofErr w:type="spellStart"/>
      <w:r w:rsidRPr="007D37A4">
        <w:rPr>
          <w:rFonts w:asciiTheme="majorBidi" w:hAnsiTheme="majorBidi" w:cstheme="majorBidi"/>
          <w:sz w:val="24"/>
          <w:szCs w:val="24"/>
        </w:rPr>
        <w:t>Sudjono</w:t>
      </w:r>
      <w:proofErr w:type="spellEnd"/>
      <w:r w:rsidRPr="007D37A4">
        <w:rPr>
          <w:rFonts w:asciiTheme="majorBidi" w:hAnsiTheme="majorBidi" w:cstheme="majorBidi"/>
          <w:sz w:val="24"/>
          <w:szCs w:val="24"/>
        </w:rPr>
        <w:t xml:space="preserve"> and Setiawan (2022), large companies tend to be more prudent </w:t>
      </w:r>
      <w:r w:rsidRPr="007D37A4">
        <w:rPr>
          <w:rFonts w:asciiTheme="majorBidi" w:hAnsiTheme="majorBidi" w:cstheme="majorBidi"/>
          <w:sz w:val="24"/>
          <w:szCs w:val="24"/>
        </w:rPr>
        <w:lastRenderedPageBreak/>
        <w:t>in their management and manage their finances efficiently, enabling them to report their financial condition more accurately. However, this efficiency and accuracy in reporting do not necessarily reduce audit time, especially when operational complexity and the large number of branches or subsidiaries present challenges to the audit process.</w:t>
      </w:r>
    </w:p>
    <w:p w14:paraId="7013A9F7" w14:textId="77777777" w:rsidR="007D37A4" w:rsidRPr="007D37A4" w:rsidRDefault="007D37A4" w:rsidP="00337E5E">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In this context, agency theory can be used to explain the dynamics of the relationship between management (agent) and company owners (principals). Auditors act as independent parties tasked with providing an opinion on the fairness of the financial statements prepared by management. Auditors often use company size as a basis for developing necessary audit procedures. However, auditors must still perform audit procedures in accordance with applicable professional standards, regardless of company size and audit duration. In other words, company size is not significant enough to speed up or slow down the audit process, as auditors still require thoroughness and caution in ensuring the fairness of the financial information presented.</w:t>
      </w:r>
    </w:p>
    <w:p w14:paraId="3D6C66CA" w14:textId="77777777" w:rsidR="007D37A4" w:rsidRPr="007D37A4" w:rsidRDefault="007D37A4" w:rsidP="00337E5E">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 xml:space="preserve">This finding does not support research by </w:t>
      </w:r>
      <w:proofErr w:type="spellStart"/>
      <w:r w:rsidRPr="007D37A4">
        <w:rPr>
          <w:rFonts w:asciiTheme="majorBidi" w:hAnsiTheme="majorBidi" w:cstheme="majorBidi"/>
          <w:sz w:val="24"/>
          <w:szCs w:val="24"/>
        </w:rPr>
        <w:t>Mardijuwono</w:t>
      </w:r>
      <w:proofErr w:type="spellEnd"/>
      <w:r w:rsidRPr="007D37A4">
        <w:rPr>
          <w:rFonts w:asciiTheme="majorBidi" w:hAnsiTheme="majorBidi" w:cstheme="majorBidi"/>
          <w:sz w:val="24"/>
          <w:szCs w:val="24"/>
        </w:rPr>
        <w:t xml:space="preserve"> and </w:t>
      </w:r>
      <w:proofErr w:type="spellStart"/>
      <w:r w:rsidRPr="007D37A4">
        <w:rPr>
          <w:rFonts w:asciiTheme="majorBidi" w:hAnsiTheme="majorBidi" w:cstheme="majorBidi"/>
          <w:sz w:val="24"/>
          <w:szCs w:val="24"/>
        </w:rPr>
        <w:t>Habiburrochman</w:t>
      </w:r>
      <w:proofErr w:type="spellEnd"/>
      <w:r w:rsidRPr="007D37A4">
        <w:rPr>
          <w:rFonts w:asciiTheme="majorBidi" w:hAnsiTheme="majorBidi" w:cstheme="majorBidi"/>
          <w:sz w:val="24"/>
          <w:szCs w:val="24"/>
        </w:rPr>
        <w:t xml:space="preserve"> (2019), </w:t>
      </w:r>
      <w:proofErr w:type="spellStart"/>
      <w:r w:rsidRPr="007D37A4">
        <w:rPr>
          <w:rFonts w:asciiTheme="majorBidi" w:hAnsiTheme="majorBidi" w:cstheme="majorBidi"/>
          <w:sz w:val="24"/>
          <w:szCs w:val="24"/>
        </w:rPr>
        <w:t>Safitri</w:t>
      </w:r>
      <w:proofErr w:type="spellEnd"/>
      <w:r w:rsidRPr="007D37A4">
        <w:rPr>
          <w:rFonts w:asciiTheme="majorBidi" w:hAnsiTheme="majorBidi" w:cstheme="majorBidi"/>
          <w:sz w:val="24"/>
          <w:szCs w:val="24"/>
        </w:rPr>
        <w:t xml:space="preserve"> and Triani (2021), and Utami, </w:t>
      </w:r>
      <w:proofErr w:type="spellStart"/>
      <w:r w:rsidRPr="007D37A4">
        <w:rPr>
          <w:rFonts w:asciiTheme="majorBidi" w:hAnsiTheme="majorBidi" w:cstheme="majorBidi"/>
          <w:sz w:val="24"/>
          <w:szCs w:val="24"/>
        </w:rPr>
        <w:t>Arisudhana</w:t>
      </w:r>
      <w:proofErr w:type="spellEnd"/>
      <w:r w:rsidRPr="007D37A4">
        <w:rPr>
          <w:rFonts w:asciiTheme="majorBidi" w:hAnsiTheme="majorBidi" w:cstheme="majorBidi"/>
          <w:sz w:val="24"/>
          <w:szCs w:val="24"/>
        </w:rPr>
        <w:t>, and Vina (2023), which found that larger companies tend to complete audits faster due to better reporting systems. However, in this study, company size did not appear to be a dominant factor, as other factors such as transaction complexity, internal controls, audit team effectiveness, and management performance significantly influenced audit completion speed.</w:t>
      </w:r>
    </w:p>
    <w:p w14:paraId="02B02249" w14:textId="77777777" w:rsidR="007D37A4" w:rsidRPr="007D37A4" w:rsidRDefault="007D37A4" w:rsidP="00337E5E">
      <w:pPr>
        <w:spacing w:after="0"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Thus, while large companies typically have well-organized and carefully managed financial systems, this does not necessarily guarantee faster audit completion. Company size is not the sole key variable in explaining audit delays; it is only part of a complex organizational structure that needs to be considered comprehensively.</w:t>
      </w:r>
    </w:p>
    <w:p w14:paraId="3A200843" w14:textId="77777777" w:rsidR="007D37A4" w:rsidRPr="007D37A4" w:rsidRDefault="007D37A4" w:rsidP="007D37A4">
      <w:pPr>
        <w:spacing w:line="240" w:lineRule="auto"/>
        <w:jc w:val="both"/>
        <w:rPr>
          <w:rFonts w:asciiTheme="majorBidi" w:hAnsiTheme="majorBidi" w:cstheme="majorBidi"/>
          <w:sz w:val="24"/>
          <w:szCs w:val="24"/>
        </w:rPr>
      </w:pPr>
    </w:p>
    <w:p w14:paraId="79E9BF97" w14:textId="73BC9F79" w:rsidR="007D37A4" w:rsidRPr="007D37A4" w:rsidRDefault="00337E5E" w:rsidP="00634B41">
      <w:pPr>
        <w:spacing w:after="0" w:line="240" w:lineRule="auto"/>
        <w:jc w:val="both"/>
        <w:rPr>
          <w:rFonts w:asciiTheme="majorBidi" w:hAnsiTheme="majorBidi" w:cstheme="majorBidi"/>
          <w:b/>
          <w:bCs/>
          <w:sz w:val="24"/>
          <w:szCs w:val="24"/>
        </w:rPr>
      </w:pPr>
      <w:r>
        <w:rPr>
          <w:rFonts w:asciiTheme="majorBidi" w:hAnsiTheme="majorBidi" w:cstheme="majorBidi"/>
          <w:b/>
          <w:bCs/>
          <w:sz w:val="24"/>
          <w:szCs w:val="24"/>
        </w:rPr>
        <w:t xml:space="preserve">5.3 </w:t>
      </w:r>
      <w:r w:rsidR="007D37A4" w:rsidRPr="007D37A4">
        <w:rPr>
          <w:rFonts w:asciiTheme="majorBidi" w:hAnsiTheme="majorBidi" w:cstheme="majorBidi"/>
          <w:b/>
          <w:bCs/>
          <w:sz w:val="24"/>
          <w:szCs w:val="24"/>
        </w:rPr>
        <w:t>The Influence of Corporate Governance on Audit Delay</w:t>
      </w:r>
    </w:p>
    <w:p w14:paraId="1767FF1E" w14:textId="77777777" w:rsidR="007D37A4" w:rsidRPr="007D37A4" w:rsidRDefault="007D37A4" w:rsidP="00337E5E">
      <w:pPr>
        <w:spacing w:after="0" w:line="240" w:lineRule="auto"/>
        <w:ind w:firstLine="720"/>
        <w:jc w:val="both"/>
        <w:rPr>
          <w:rFonts w:asciiTheme="majorBidi" w:hAnsiTheme="majorBidi" w:cstheme="majorBidi"/>
          <w:sz w:val="24"/>
          <w:szCs w:val="24"/>
        </w:rPr>
      </w:pPr>
      <w:r w:rsidRPr="007D37A4">
        <w:rPr>
          <w:rFonts w:asciiTheme="majorBidi" w:hAnsiTheme="majorBidi" w:cstheme="majorBidi"/>
          <w:sz w:val="24"/>
          <w:szCs w:val="24"/>
        </w:rPr>
        <w:t>The research results show that corporate governance, as measured by the existence of an audit committee, has a significant negative effect on audit delay. This means that the better the corporate governance mechanisms, as reflected in the existence of an effective audit committee, the shorter the time required to complete the financial statement audit process. In other words, companies with a strong audit committee structure tend to be able to accelerate the publication of financial statements because their reporting and internal oversight processes are more structured and efficient.</w:t>
      </w:r>
    </w:p>
    <w:p w14:paraId="0BB2CDBC" w14:textId="77777777" w:rsidR="007D37A4" w:rsidRPr="007D37A4" w:rsidRDefault="007D37A4" w:rsidP="00337E5E">
      <w:pPr>
        <w:spacing w:after="0" w:line="240" w:lineRule="auto"/>
        <w:ind w:firstLine="720"/>
        <w:jc w:val="both"/>
        <w:rPr>
          <w:rFonts w:asciiTheme="majorBidi" w:hAnsiTheme="majorBidi" w:cstheme="majorBidi"/>
          <w:sz w:val="24"/>
          <w:szCs w:val="24"/>
        </w:rPr>
      </w:pPr>
      <w:r w:rsidRPr="007D37A4">
        <w:rPr>
          <w:rFonts w:asciiTheme="majorBidi" w:hAnsiTheme="majorBidi" w:cstheme="majorBidi"/>
          <w:sz w:val="24"/>
          <w:szCs w:val="24"/>
        </w:rPr>
        <w:t>The audit committee plays a crucial role in overseeing the financial reporting process and maintaining the quality of external audits. The audit committee must consist of independent individuals who are not involved in the day-to-day management of the company and who possess the experience to effectively carry out their oversight function (Utama, 2004). This independence is crucial for the audit committee to be objective and unaffected by management interests, thus enabling it to optimally oversee the audit process and promote transparency.</w:t>
      </w:r>
    </w:p>
    <w:p w14:paraId="658B62BC" w14:textId="77777777" w:rsidR="007D37A4" w:rsidRPr="007D37A4" w:rsidRDefault="007D37A4" w:rsidP="00337E5E">
      <w:pPr>
        <w:spacing w:after="0" w:line="240" w:lineRule="auto"/>
        <w:ind w:firstLine="720"/>
        <w:jc w:val="both"/>
        <w:rPr>
          <w:rFonts w:asciiTheme="majorBidi" w:hAnsiTheme="majorBidi" w:cstheme="majorBidi"/>
          <w:sz w:val="24"/>
          <w:szCs w:val="24"/>
        </w:rPr>
      </w:pPr>
      <w:r w:rsidRPr="007D37A4">
        <w:rPr>
          <w:rFonts w:asciiTheme="majorBidi" w:hAnsiTheme="majorBidi" w:cstheme="majorBidi"/>
          <w:sz w:val="24"/>
          <w:szCs w:val="24"/>
        </w:rPr>
        <w:t xml:space="preserve">According to Arens and </w:t>
      </w:r>
      <w:proofErr w:type="spellStart"/>
      <w:r w:rsidRPr="007D37A4">
        <w:rPr>
          <w:rFonts w:asciiTheme="majorBidi" w:hAnsiTheme="majorBidi" w:cstheme="majorBidi"/>
          <w:sz w:val="24"/>
          <w:szCs w:val="24"/>
        </w:rPr>
        <w:t>Loebbecke</w:t>
      </w:r>
      <w:proofErr w:type="spellEnd"/>
      <w:r w:rsidRPr="007D37A4">
        <w:rPr>
          <w:rFonts w:asciiTheme="majorBidi" w:hAnsiTheme="majorBidi" w:cstheme="majorBidi"/>
          <w:sz w:val="24"/>
          <w:szCs w:val="24"/>
        </w:rPr>
        <w:t xml:space="preserve"> (2000), an audit committee consists of members of the board of directors who are independent from management and tasked with maintaining auditor independence and ensuring that the audit process is carried out according to standards. Their presence bridges the interests of the company's owners (principals) with those of the operational implementers (agents), thereby minimizing the possibility of financial statement manipulation. Furthermore, companies with good governance, as demonstrated by the presence of an active and professional audit committee, are able to provide adequate internal controls and financial information systems. This facilitates external auditors in obtaining timely and complete audit evidence. With accurate and timely information, auditors can carry out audit procedures more efficiently, thereby significantly reducing audit delays.</w:t>
      </w:r>
    </w:p>
    <w:p w14:paraId="2F57C467" w14:textId="77777777" w:rsidR="007D37A4" w:rsidRPr="007D37A4" w:rsidRDefault="007D37A4" w:rsidP="00337E5E">
      <w:pPr>
        <w:spacing w:after="0" w:line="240" w:lineRule="auto"/>
        <w:ind w:firstLine="720"/>
        <w:jc w:val="both"/>
        <w:rPr>
          <w:rFonts w:asciiTheme="majorBidi" w:hAnsiTheme="majorBidi" w:cstheme="majorBidi"/>
          <w:sz w:val="24"/>
          <w:szCs w:val="24"/>
        </w:rPr>
      </w:pPr>
      <w:r w:rsidRPr="007D37A4">
        <w:rPr>
          <w:rFonts w:asciiTheme="majorBidi" w:hAnsiTheme="majorBidi" w:cstheme="majorBidi"/>
          <w:sz w:val="24"/>
          <w:szCs w:val="24"/>
        </w:rPr>
        <w:lastRenderedPageBreak/>
        <w:t xml:space="preserve">The findings of this study align with those of </w:t>
      </w:r>
      <w:proofErr w:type="spellStart"/>
      <w:r w:rsidRPr="007D37A4">
        <w:rPr>
          <w:rFonts w:asciiTheme="majorBidi" w:hAnsiTheme="majorBidi" w:cstheme="majorBidi"/>
          <w:sz w:val="24"/>
          <w:szCs w:val="24"/>
        </w:rPr>
        <w:t>Hariindahyani</w:t>
      </w:r>
      <w:proofErr w:type="spellEnd"/>
      <w:r w:rsidRPr="007D37A4">
        <w:rPr>
          <w:rFonts w:asciiTheme="majorBidi" w:hAnsiTheme="majorBidi" w:cstheme="majorBidi"/>
          <w:sz w:val="24"/>
          <w:szCs w:val="24"/>
        </w:rPr>
        <w:t xml:space="preserve"> and </w:t>
      </w:r>
      <w:proofErr w:type="spellStart"/>
      <w:r w:rsidRPr="007D37A4">
        <w:rPr>
          <w:rFonts w:asciiTheme="majorBidi" w:hAnsiTheme="majorBidi" w:cstheme="majorBidi"/>
          <w:sz w:val="24"/>
          <w:szCs w:val="24"/>
        </w:rPr>
        <w:t>Hariindahyani</w:t>
      </w:r>
      <w:proofErr w:type="spellEnd"/>
      <w:r w:rsidRPr="007D37A4">
        <w:rPr>
          <w:rFonts w:asciiTheme="majorBidi" w:hAnsiTheme="majorBidi" w:cstheme="majorBidi"/>
          <w:sz w:val="24"/>
          <w:szCs w:val="24"/>
        </w:rPr>
        <w:t xml:space="preserve"> (2018), Gede and Ratna (2021), </w:t>
      </w:r>
      <w:proofErr w:type="spellStart"/>
      <w:r w:rsidRPr="007D37A4">
        <w:rPr>
          <w:rFonts w:asciiTheme="majorBidi" w:hAnsiTheme="majorBidi" w:cstheme="majorBidi"/>
          <w:sz w:val="24"/>
          <w:szCs w:val="24"/>
        </w:rPr>
        <w:t>Setianingsih</w:t>
      </w:r>
      <w:proofErr w:type="spellEnd"/>
      <w:r w:rsidRPr="007D37A4">
        <w:rPr>
          <w:rFonts w:asciiTheme="majorBidi" w:hAnsiTheme="majorBidi" w:cstheme="majorBidi"/>
          <w:sz w:val="24"/>
          <w:szCs w:val="24"/>
        </w:rPr>
        <w:t xml:space="preserve"> and </w:t>
      </w:r>
      <w:proofErr w:type="spellStart"/>
      <w:r w:rsidRPr="007D37A4">
        <w:rPr>
          <w:rFonts w:asciiTheme="majorBidi" w:hAnsiTheme="majorBidi" w:cstheme="majorBidi"/>
          <w:sz w:val="24"/>
          <w:szCs w:val="24"/>
        </w:rPr>
        <w:t>Kritianti</w:t>
      </w:r>
      <w:proofErr w:type="spellEnd"/>
      <w:r w:rsidRPr="007D37A4">
        <w:rPr>
          <w:rFonts w:asciiTheme="majorBidi" w:hAnsiTheme="majorBidi" w:cstheme="majorBidi"/>
          <w:sz w:val="24"/>
          <w:szCs w:val="24"/>
        </w:rPr>
        <w:t xml:space="preserve"> (2022), and Riswan and Serly (2023), which stated that the presence and quality of an audit committee accelerates the financial reporting process by encouraging transparency and discipline in the preparation of financial statements. A proactive audit committee is typically also directly involved in reviewing financial statements before they are audited and overseeing the implementation of audit recommendations from the previous period.</w:t>
      </w:r>
    </w:p>
    <w:p w14:paraId="551671CB" w14:textId="77777777" w:rsidR="007D37A4" w:rsidRPr="007D37A4" w:rsidRDefault="007D37A4" w:rsidP="00337E5E">
      <w:pPr>
        <w:spacing w:after="0" w:line="240" w:lineRule="auto"/>
        <w:ind w:firstLine="720"/>
        <w:jc w:val="both"/>
        <w:rPr>
          <w:rFonts w:asciiTheme="majorBidi" w:hAnsiTheme="majorBidi" w:cstheme="majorBidi"/>
          <w:sz w:val="24"/>
          <w:szCs w:val="24"/>
        </w:rPr>
      </w:pPr>
      <w:r w:rsidRPr="007D37A4">
        <w:rPr>
          <w:rFonts w:asciiTheme="majorBidi" w:hAnsiTheme="majorBidi" w:cstheme="majorBidi"/>
          <w:sz w:val="24"/>
          <w:szCs w:val="24"/>
        </w:rPr>
        <w:t>From a corporate governance perspective, the audit committee is a key pillar in ensuring the integrity of financial statements. Companies with effective audit committees demonstrate better governance quality, ultimately contributing to a reduced risk of audit delay. Therefore, enhancing the audit committee's role not only impacts the quality of financial statements but also the speed and efficiency of the audit process itself.</w:t>
      </w:r>
    </w:p>
    <w:p w14:paraId="5918526F" w14:textId="77777777" w:rsidR="007D37A4" w:rsidRPr="007D37A4" w:rsidRDefault="007D37A4" w:rsidP="007D37A4">
      <w:pPr>
        <w:spacing w:line="240" w:lineRule="auto"/>
        <w:jc w:val="both"/>
        <w:rPr>
          <w:rFonts w:asciiTheme="majorBidi" w:hAnsiTheme="majorBidi" w:cstheme="majorBidi"/>
          <w:sz w:val="24"/>
          <w:szCs w:val="24"/>
        </w:rPr>
      </w:pPr>
    </w:p>
    <w:p w14:paraId="151F566D" w14:textId="5E0344ED" w:rsidR="007D37A4" w:rsidRPr="007D37A4" w:rsidRDefault="00337E5E" w:rsidP="00634B41">
      <w:pPr>
        <w:spacing w:after="0" w:line="240" w:lineRule="auto"/>
        <w:jc w:val="both"/>
        <w:rPr>
          <w:rFonts w:asciiTheme="majorBidi" w:hAnsiTheme="majorBidi" w:cstheme="majorBidi"/>
          <w:b/>
          <w:bCs/>
          <w:sz w:val="24"/>
          <w:szCs w:val="24"/>
        </w:rPr>
      </w:pPr>
      <w:r>
        <w:rPr>
          <w:rFonts w:asciiTheme="majorBidi" w:hAnsiTheme="majorBidi" w:cstheme="majorBidi"/>
          <w:b/>
          <w:bCs/>
          <w:sz w:val="24"/>
          <w:szCs w:val="24"/>
        </w:rPr>
        <w:t xml:space="preserve">5.4 </w:t>
      </w:r>
      <w:r w:rsidR="007D37A4" w:rsidRPr="007D37A4">
        <w:rPr>
          <w:rFonts w:asciiTheme="majorBidi" w:hAnsiTheme="majorBidi" w:cstheme="majorBidi"/>
          <w:b/>
          <w:bCs/>
          <w:sz w:val="24"/>
          <w:szCs w:val="24"/>
        </w:rPr>
        <w:t>The Influence of Audit Opinion on Audit Delay</w:t>
      </w:r>
    </w:p>
    <w:p w14:paraId="6E434EDD" w14:textId="77777777" w:rsidR="007D37A4" w:rsidRPr="007D37A4" w:rsidRDefault="007D37A4" w:rsidP="00337E5E">
      <w:pPr>
        <w:spacing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 xml:space="preserve">In this study, the audit opinion variable could not be tested for its effect on audit delay because all sample companies received the same audit opinion, namely Unqualified (WTP). The lack of variation in the data makes this variable constant, making it unsuitable for regression </w:t>
      </w:r>
      <w:proofErr w:type="spellStart"/>
      <w:r w:rsidRPr="007D37A4">
        <w:rPr>
          <w:rFonts w:asciiTheme="majorBidi" w:hAnsiTheme="majorBidi" w:cstheme="majorBidi"/>
          <w:sz w:val="24"/>
          <w:szCs w:val="24"/>
        </w:rPr>
        <w:t>modeling</w:t>
      </w:r>
      <w:proofErr w:type="spellEnd"/>
      <w:r w:rsidRPr="007D37A4">
        <w:rPr>
          <w:rFonts w:asciiTheme="majorBidi" w:hAnsiTheme="majorBidi" w:cstheme="majorBidi"/>
          <w:sz w:val="24"/>
          <w:szCs w:val="24"/>
        </w:rPr>
        <w:t>. In statistical software such as SPSS, variables that do not vary across units of analysis are automatically excluded from the model because they do not contribute to explaining the dependent variable (in this case, audit delay).</w:t>
      </w:r>
    </w:p>
    <w:p w14:paraId="27356820" w14:textId="77777777" w:rsidR="007D37A4" w:rsidRPr="007D37A4" w:rsidRDefault="007D37A4" w:rsidP="00337E5E">
      <w:pPr>
        <w:spacing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An audit opinion is a report provided by a registered auditor stating that the audit has been conducted in accordance with accounting standards or rules, accompanied by an opinion on the fairness of the financial statements being audited (</w:t>
      </w:r>
      <w:proofErr w:type="spellStart"/>
      <w:r w:rsidRPr="007D37A4">
        <w:rPr>
          <w:rFonts w:asciiTheme="majorBidi" w:hAnsiTheme="majorBidi" w:cstheme="majorBidi"/>
          <w:sz w:val="24"/>
          <w:szCs w:val="24"/>
        </w:rPr>
        <w:t>Tobing</w:t>
      </w:r>
      <w:proofErr w:type="spellEnd"/>
      <w:r w:rsidRPr="007D37A4">
        <w:rPr>
          <w:rFonts w:asciiTheme="majorBidi" w:hAnsiTheme="majorBidi" w:cstheme="majorBidi"/>
          <w:sz w:val="24"/>
          <w:szCs w:val="24"/>
        </w:rPr>
        <w:t xml:space="preserve"> &amp; </w:t>
      </w:r>
      <w:proofErr w:type="spellStart"/>
      <w:r w:rsidRPr="007D37A4">
        <w:rPr>
          <w:rFonts w:asciiTheme="majorBidi" w:hAnsiTheme="majorBidi" w:cstheme="majorBidi"/>
          <w:sz w:val="24"/>
          <w:szCs w:val="24"/>
        </w:rPr>
        <w:t>Nirwana</w:t>
      </w:r>
      <w:proofErr w:type="spellEnd"/>
      <w:r w:rsidRPr="007D37A4">
        <w:rPr>
          <w:rFonts w:asciiTheme="majorBidi" w:hAnsiTheme="majorBidi" w:cstheme="majorBidi"/>
          <w:sz w:val="24"/>
          <w:szCs w:val="24"/>
        </w:rPr>
        <w:t>, 2004). This opinion represents the auditor's professional accountability for the audit results of an entity's financial statements.</w:t>
      </w:r>
    </w:p>
    <w:p w14:paraId="46E86692" w14:textId="77777777" w:rsidR="007D37A4" w:rsidRPr="007D37A4" w:rsidRDefault="007D37A4" w:rsidP="00337E5E">
      <w:pPr>
        <w:spacing w:line="240" w:lineRule="auto"/>
        <w:ind w:firstLine="426"/>
        <w:jc w:val="both"/>
        <w:rPr>
          <w:rFonts w:asciiTheme="majorBidi" w:hAnsiTheme="majorBidi" w:cstheme="majorBidi"/>
          <w:sz w:val="24"/>
          <w:szCs w:val="24"/>
        </w:rPr>
      </w:pPr>
      <w:r w:rsidRPr="007D37A4">
        <w:rPr>
          <w:rFonts w:asciiTheme="majorBidi" w:hAnsiTheme="majorBidi" w:cstheme="majorBidi"/>
          <w:sz w:val="24"/>
          <w:szCs w:val="24"/>
        </w:rPr>
        <w:t xml:space="preserve">Therefore, the absence of an effect of audit opinion on audit delay in this study is not due to a conceptual lack of relationship, but rather because the data technically did not meet the requirements for quantitative analysis. This constitutes a limitation of this study. This situation indicates that audit opinions in basic chemical companies listed on the IDX tend to be uniform, reflecting good and consistent financial reporting quality. However, due to the homogeneity of the data, this variable is unable to explain the variation in audit delay between companies. Therefore, it cannot be concluded empirically whether audit opinion influences audit delay in this study. The results of this study do not support the findings of </w:t>
      </w:r>
      <w:proofErr w:type="spellStart"/>
      <w:r w:rsidRPr="007D37A4">
        <w:rPr>
          <w:rFonts w:asciiTheme="majorBidi" w:hAnsiTheme="majorBidi" w:cstheme="majorBidi"/>
          <w:sz w:val="24"/>
          <w:szCs w:val="24"/>
        </w:rPr>
        <w:t>Safitri</w:t>
      </w:r>
      <w:proofErr w:type="spellEnd"/>
      <w:r w:rsidRPr="007D37A4">
        <w:rPr>
          <w:rFonts w:asciiTheme="majorBidi" w:hAnsiTheme="majorBidi" w:cstheme="majorBidi"/>
          <w:sz w:val="24"/>
          <w:szCs w:val="24"/>
        </w:rPr>
        <w:t xml:space="preserve"> and Triani (2021) and </w:t>
      </w:r>
      <w:proofErr w:type="spellStart"/>
      <w:r w:rsidRPr="007D37A4">
        <w:rPr>
          <w:rFonts w:asciiTheme="majorBidi" w:hAnsiTheme="majorBidi" w:cstheme="majorBidi"/>
          <w:sz w:val="24"/>
          <w:szCs w:val="24"/>
        </w:rPr>
        <w:t>Hariindahyani</w:t>
      </w:r>
      <w:proofErr w:type="spellEnd"/>
      <w:r w:rsidRPr="007D37A4">
        <w:rPr>
          <w:rFonts w:asciiTheme="majorBidi" w:hAnsiTheme="majorBidi" w:cstheme="majorBidi"/>
          <w:sz w:val="24"/>
          <w:szCs w:val="24"/>
        </w:rPr>
        <w:t xml:space="preserve"> and </w:t>
      </w:r>
      <w:proofErr w:type="spellStart"/>
      <w:r w:rsidRPr="007D37A4">
        <w:rPr>
          <w:rFonts w:asciiTheme="majorBidi" w:hAnsiTheme="majorBidi" w:cstheme="majorBidi"/>
          <w:sz w:val="24"/>
          <w:szCs w:val="24"/>
        </w:rPr>
        <w:t>Hariindahyani</w:t>
      </w:r>
      <w:proofErr w:type="spellEnd"/>
      <w:r w:rsidRPr="007D37A4">
        <w:rPr>
          <w:rFonts w:asciiTheme="majorBidi" w:hAnsiTheme="majorBidi" w:cstheme="majorBidi"/>
          <w:sz w:val="24"/>
          <w:szCs w:val="24"/>
        </w:rPr>
        <w:t xml:space="preserve"> (2018) that audit opinion influences audit delay.</w:t>
      </w:r>
    </w:p>
    <w:p w14:paraId="5CB3CBCD" w14:textId="77777777" w:rsidR="007D37A4" w:rsidRPr="007D37A4" w:rsidRDefault="007D37A4" w:rsidP="007D37A4">
      <w:pPr>
        <w:jc w:val="both"/>
      </w:pPr>
    </w:p>
    <w:p w14:paraId="789E4C5D" w14:textId="52C5F854" w:rsidR="007D37A4" w:rsidRPr="007D37A4" w:rsidRDefault="00337E5E" w:rsidP="007D37A4">
      <w:pPr>
        <w:jc w:val="center"/>
        <w:rPr>
          <w:rFonts w:asciiTheme="majorBidi" w:hAnsiTheme="majorBidi" w:cstheme="majorBidi"/>
          <w:sz w:val="24"/>
          <w:szCs w:val="24"/>
        </w:rPr>
      </w:pPr>
      <w:r>
        <w:rPr>
          <w:rFonts w:asciiTheme="majorBidi" w:hAnsiTheme="majorBidi" w:cstheme="majorBidi"/>
          <w:b/>
          <w:bCs/>
          <w:sz w:val="24"/>
          <w:szCs w:val="24"/>
        </w:rPr>
        <w:t>6</w:t>
      </w:r>
      <w:r w:rsidR="007D37A4" w:rsidRPr="007D37A4">
        <w:rPr>
          <w:rFonts w:asciiTheme="majorBidi" w:hAnsiTheme="majorBidi" w:cstheme="majorBidi"/>
          <w:b/>
          <w:bCs/>
          <w:sz w:val="24"/>
          <w:szCs w:val="24"/>
        </w:rPr>
        <w:t>. CONCLUSIONS</w:t>
      </w:r>
    </w:p>
    <w:p w14:paraId="6BE48444" w14:textId="77777777" w:rsidR="007D37A4" w:rsidRPr="007D37A4" w:rsidRDefault="007D37A4" w:rsidP="00634B41">
      <w:pPr>
        <w:spacing w:after="0"/>
        <w:ind w:firstLine="426"/>
        <w:jc w:val="both"/>
        <w:rPr>
          <w:rFonts w:asciiTheme="majorBidi" w:hAnsiTheme="majorBidi" w:cstheme="majorBidi"/>
          <w:sz w:val="24"/>
          <w:szCs w:val="24"/>
        </w:rPr>
      </w:pPr>
      <w:r w:rsidRPr="007D37A4">
        <w:rPr>
          <w:rFonts w:asciiTheme="majorBidi" w:hAnsiTheme="majorBidi" w:cstheme="majorBidi"/>
          <w:sz w:val="24"/>
          <w:szCs w:val="24"/>
        </w:rPr>
        <w:t>Financial performance, as measured by Return on Assets (ROA), has no significant effect on audit delay. This indicates that a company's ability to generate profits from its total assets does not determine the length of time required to complete a financial statement audit.</w:t>
      </w:r>
    </w:p>
    <w:p w14:paraId="38B327E7" w14:textId="77777777" w:rsidR="007D37A4" w:rsidRPr="007D37A4" w:rsidRDefault="007D37A4" w:rsidP="00634B41">
      <w:pPr>
        <w:spacing w:after="0"/>
        <w:ind w:firstLine="426"/>
        <w:jc w:val="both"/>
        <w:rPr>
          <w:rFonts w:asciiTheme="majorBidi" w:hAnsiTheme="majorBidi" w:cstheme="majorBidi"/>
          <w:sz w:val="24"/>
          <w:szCs w:val="24"/>
        </w:rPr>
      </w:pPr>
      <w:r w:rsidRPr="007D37A4">
        <w:rPr>
          <w:rFonts w:asciiTheme="majorBidi" w:hAnsiTheme="majorBidi" w:cstheme="majorBidi"/>
          <w:sz w:val="24"/>
          <w:szCs w:val="24"/>
        </w:rPr>
        <w:t>Company characteristics, measured by size, do not significantly impact audit delay. This means that company size does not guarantee faster audits of financial statements. This could be because, despite having adequate resources and systems, large companies often have high transaction complexity and a high level of caution in the audit process, which can actually increase audit delays. Furthermore, large companies tend to be more careful and accurate in their financial management, emphasizing information quality over reporting speed.</w:t>
      </w:r>
    </w:p>
    <w:p w14:paraId="4C0EA4DB" w14:textId="77777777" w:rsidR="007D37A4" w:rsidRPr="007D37A4" w:rsidRDefault="007D37A4" w:rsidP="00634B41">
      <w:pPr>
        <w:spacing w:after="0"/>
        <w:ind w:firstLine="426"/>
        <w:jc w:val="both"/>
        <w:rPr>
          <w:rFonts w:asciiTheme="majorBidi" w:hAnsiTheme="majorBidi" w:cstheme="majorBidi"/>
          <w:sz w:val="24"/>
          <w:szCs w:val="24"/>
        </w:rPr>
      </w:pPr>
      <w:r w:rsidRPr="007D37A4">
        <w:rPr>
          <w:rFonts w:asciiTheme="majorBidi" w:hAnsiTheme="majorBidi" w:cstheme="majorBidi"/>
          <w:sz w:val="24"/>
          <w:szCs w:val="24"/>
        </w:rPr>
        <w:lastRenderedPageBreak/>
        <w:t>Corporate governance, as measured by the existence of an audit committee, has a significant negative effect on audit delay. This finding indicates that companies with active, independent, and professional audit committees tend to complete audits more quickly. Audit committees play a role in ensuring the completeness of financial information and maintaining auditor independence, thus supporting a smooth and expedited audit process.</w:t>
      </w:r>
    </w:p>
    <w:p w14:paraId="68D73A86" w14:textId="77777777" w:rsidR="007D37A4" w:rsidRPr="007D37A4" w:rsidRDefault="007D37A4" w:rsidP="00634B41">
      <w:pPr>
        <w:spacing w:after="0"/>
        <w:ind w:firstLine="426"/>
        <w:jc w:val="both"/>
        <w:rPr>
          <w:rFonts w:asciiTheme="majorBidi" w:hAnsiTheme="majorBidi" w:cstheme="majorBidi"/>
          <w:sz w:val="24"/>
          <w:szCs w:val="24"/>
        </w:rPr>
      </w:pPr>
      <w:r w:rsidRPr="007D37A4">
        <w:rPr>
          <w:rFonts w:asciiTheme="majorBidi" w:hAnsiTheme="majorBidi" w:cstheme="majorBidi"/>
          <w:sz w:val="24"/>
          <w:szCs w:val="24"/>
        </w:rPr>
        <w:t>Based on the results of the data analysis, it is known that all basic chemical companies sampled in this study obtained the same audit opinion, namely Unqualified (WTP). Because there is no data variation in the audit opinion variable, this variable is constant and is automatically removed from the regression model by SPSS software. Thus, the effect of audit opinion on audit delay cannot be tested statistically and cannot be concluded empirically whether audit opinion has an influence on audit delay in the context of this study. This condition reflects that in the basic chemical sector, company audit opinions tend to be uniform and do not provide a significant difference in the completion time of financial statement audits.</w:t>
      </w:r>
    </w:p>
    <w:p w14:paraId="23ED2622" w14:textId="77777777" w:rsidR="007D37A4" w:rsidRDefault="007D37A4" w:rsidP="007D37A4">
      <w:pPr>
        <w:jc w:val="both"/>
      </w:pPr>
    </w:p>
    <w:p w14:paraId="6B03D0C6" w14:textId="77777777" w:rsidR="00337E5E" w:rsidRPr="007D37A4" w:rsidRDefault="00337E5E" w:rsidP="007D37A4">
      <w:pPr>
        <w:jc w:val="both"/>
      </w:pPr>
    </w:p>
    <w:p w14:paraId="5BDCBF11" w14:textId="649AB406" w:rsidR="007D37A4" w:rsidRPr="007D37A4" w:rsidRDefault="007D37A4" w:rsidP="007D37A4">
      <w:pPr>
        <w:jc w:val="center"/>
        <w:rPr>
          <w:rFonts w:asciiTheme="majorBidi" w:hAnsiTheme="majorBidi" w:cstheme="majorBidi"/>
          <w:sz w:val="24"/>
          <w:szCs w:val="24"/>
        </w:rPr>
      </w:pPr>
      <w:r w:rsidRPr="007D37A4">
        <w:rPr>
          <w:rFonts w:asciiTheme="majorBidi" w:hAnsiTheme="majorBidi" w:cstheme="majorBidi"/>
          <w:b/>
          <w:bCs/>
          <w:sz w:val="24"/>
          <w:szCs w:val="24"/>
        </w:rPr>
        <w:t>REFERENCES</w:t>
      </w:r>
    </w:p>
    <w:p w14:paraId="537A6BFC"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r w:rsidRPr="00337E5E">
        <w:rPr>
          <w:rFonts w:asciiTheme="majorBidi" w:hAnsiTheme="majorBidi" w:cstheme="majorBidi"/>
          <w:sz w:val="24"/>
          <w:szCs w:val="24"/>
        </w:rPr>
        <w:t xml:space="preserve">Abdillah, M. R., </w:t>
      </w:r>
      <w:proofErr w:type="spellStart"/>
      <w:r w:rsidRPr="00337E5E">
        <w:rPr>
          <w:rFonts w:asciiTheme="majorBidi" w:hAnsiTheme="majorBidi" w:cstheme="majorBidi"/>
          <w:sz w:val="24"/>
          <w:szCs w:val="24"/>
        </w:rPr>
        <w:t>Mardijuwono</w:t>
      </w:r>
      <w:proofErr w:type="spellEnd"/>
      <w:r w:rsidRPr="00337E5E">
        <w:rPr>
          <w:rFonts w:asciiTheme="majorBidi" w:hAnsiTheme="majorBidi" w:cstheme="majorBidi"/>
          <w:sz w:val="24"/>
          <w:szCs w:val="24"/>
        </w:rPr>
        <w:t xml:space="preserve">, A. W., &amp; </w:t>
      </w:r>
      <w:proofErr w:type="spellStart"/>
      <w:r w:rsidRPr="00337E5E">
        <w:rPr>
          <w:rFonts w:asciiTheme="majorBidi" w:hAnsiTheme="majorBidi" w:cstheme="majorBidi"/>
          <w:sz w:val="24"/>
          <w:szCs w:val="24"/>
        </w:rPr>
        <w:t>Habiburrochman</w:t>
      </w:r>
      <w:proofErr w:type="spellEnd"/>
      <w:r w:rsidRPr="00337E5E">
        <w:rPr>
          <w:rFonts w:asciiTheme="majorBidi" w:hAnsiTheme="majorBidi" w:cstheme="majorBidi"/>
          <w:sz w:val="24"/>
          <w:szCs w:val="24"/>
        </w:rPr>
        <w:t xml:space="preserve">, H. (2019). The effect of company characteristics and auditor characteristics to audit report lag. </w:t>
      </w:r>
      <w:r w:rsidRPr="00337E5E">
        <w:rPr>
          <w:rFonts w:asciiTheme="majorBidi" w:hAnsiTheme="majorBidi" w:cstheme="majorBidi"/>
          <w:i/>
          <w:iCs/>
          <w:sz w:val="24"/>
          <w:szCs w:val="24"/>
        </w:rPr>
        <w:t>Asian Journal of Accounting Research</w:t>
      </w:r>
      <w:r w:rsidRPr="00337E5E">
        <w:rPr>
          <w:rFonts w:asciiTheme="majorBidi" w:hAnsiTheme="majorBidi" w:cstheme="majorBidi"/>
          <w:sz w:val="24"/>
          <w:szCs w:val="24"/>
        </w:rPr>
        <w:t xml:space="preserve">, </w:t>
      </w:r>
      <w:r w:rsidRPr="00337E5E">
        <w:rPr>
          <w:rFonts w:asciiTheme="majorBidi" w:hAnsiTheme="majorBidi" w:cstheme="majorBidi"/>
          <w:i/>
          <w:iCs/>
          <w:sz w:val="24"/>
          <w:szCs w:val="24"/>
        </w:rPr>
        <w:t>4</w:t>
      </w:r>
      <w:r w:rsidRPr="00337E5E">
        <w:rPr>
          <w:rFonts w:asciiTheme="majorBidi" w:hAnsiTheme="majorBidi" w:cstheme="majorBidi"/>
          <w:sz w:val="24"/>
          <w:szCs w:val="24"/>
        </w:rPr>
        <w:t>(1), 129–144. https://doi.org/10.1108/AJAR-05-2019-0038</w:t>
      </w:r>
    </w:p>
    <w:p w14:paraId="1A8D9185"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r w:rsidRPr="00337E5E">
        <w:rPr>
          <w:rFonts w:asciiTheme="majorBidi" w:hAnsiTheme="majorBidi" w:cstheme="majorBidi"/>
          <w:sz w:val="24"/>
          <w:szCs w:val="24"/>
        </w:rPr>
        <w:t xml:space="preserve">Arens, A. A., &amp; Loebbecke, J. K. (2000). </w:t>
      </w:r>
      <w:r w:rsidRPr="00337E5E">
        <w:rPr>
          <w:rFonts w:asciiTheme="majorBidi" w:hAnsiTheme="majorBidi" w:cstheme="majorBidi"/>
          <w:i/>
          <w:iCs/>
          <w:sz w:val="24"/>
          <w:szCs w:val="24"/>
        </w:rPr>
        <w:t>Auditing: An integrated approach</w:t>
      </w:r>
      <w:r w:rsidRPr="00337E5E">
        <w:rPr>
          <w:rFonts w:asciiTheme="majorBidi" w:hAnsiTheme="majorBidi" w:cstheme="majorBidi"/>
          <w:sz w:val="24"/>
          <w:szCs w:val="24"/>
        </w:rPr>
        <w:t xml:space="preserve"> (8th ed.). New Jersey: Prentice-Hall, Inc.</w:t>
      </w:r>
    </w:p>
    <w:p w14:paraId="44144F2B"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r w:rsidRPr="00337E5E">
        <w:rPr>
          <w:rFonts w:asciiTheme="majorBidi" w:hAnsiTheme="majorBidi" w:cstheme="majorBidi"/>
          <w:sz w:val="24"/>
          <w:szCs w:val="24"/>
        </w:rPr>
        <w:t xml:space="preserve">Arens, A. A., Elder, R. J., &amp; Beasley, M. S. (2008). </w:t>
      </w:r>
      <w:r w:rsidRPr="00337E5E">
        <w:rPr>
          <w:rFonts w:asciiTheme="majorBidi" w:hAnsiTheme="majorBidi" w:cstheme="majorBidi"/>
          <w:i/>
          <w:iCs/>
          <w:sz w:val="24"/>
          <w:szCs w:val="24"/>
        </w:rPr>
        <w:t xml:space="preserve">Auditing dan </w:t>
      </w:r>
      <w:proofErr w:type="spellStart"/>
      <w:r w:rsidRPr="00337E5E">
        <w:rPr>
          <w:rFonts w:asciiTheme="majorBidi" w:hAnsiTheme="majorBidi" w:cstheme="majorBidi"/>
          <w:i/>
          <w:iCs/>
          <w:sz w:val="24"/>
          <w:szCs w:val="24"/>
        </w:rPr>
        <w:t>jasa</w:t>
      </w:r>
      <w:proofErr w:type="spellEnd"/>
      <w:r w:rsidRPr="00337E5E">
        <w:rPr>
          <w:rFonts w:asciiTheme="majorBidi" w:hAnsiTheme="majorBidi" w:cstheme="majorBidi"/>
          <w:i/>
          <w:iCs/>
          <w:sz w:val="24"/>
          <w:szCs w:val="24"/>
        </w:rPr>
        <w:t xml:space="preserve"> assurance: </w:t>
      </w:r>
      <w:proofErr w:type="spellStart"/>
      <w:r w:rsidRPr="00337E5E">
        <w:rPr>
          <w:rFonts w:asciiTheme="majorBidi" w:hAnsiTheme="majorBidi" w:cstheme="majorBidi"/>
          <w:i/>
          <w:iCs/>
          <w:sz w:val="24"/>
          <w:szCs w:val="24"/>
        </w:rPr>
        <w:t>Pendekatan</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terintegrasi</w:t>
      </w:r>
      <w:proofErr w:type="spellEnd"/>
      <w:r w:rsidRPr="00337E5E">
        <w:rPr>
          <w:rFonts w:asciiTheme="majorBidi" w:hAnsiTheme="majorBidi" w:cstheme="majorBidi"/>
          <w:sz w:val="24"/>
          <w:szCs w:val="24"/>
        </w:rPr>
        <w:t xml:space="preserve"> (Jilid 1, Edisi 12). Jakarta: </w:t>
      </w:r>
      <w:proofErr w:type="spellStart"/>
      <w:r w:rsidRPr="00337E5E">
        <w:rPr>
          <w:rFonts w:asciiTheme="majorBidi" w:hAnsiTheme="majorBidi" w:cstheme="majorBidi"/>
          <w:sz w:val="24"/>
          <w:szCs w:val="24"/>
        </w:rPr>
        <w:t>Erlangga</w:t>
      </w:r>
      <w:proofErr w:type="spellEnd"/>
      <w:r w:rsidRPr="00337E5E">
        <w:rPr>
          <w:rFonts w:asciiTheme="majorBidi" w:hAnsiTheme="majorBidi" w:cstheme="majorBidi"/>
          <w:sz w:val="24"/>
          <w:szCs w:val="24"/>
        </w:rPr>
        <w:t>.</w:t>
      </w:r>
    </w:p>
    <w:p w14:paraId="5A2DF2C5"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proofErr w:type="spellStart"/>
      <w:r w:rsidRPr="00337E5E">
        <w:rPr>
          <w:rFonts w:asciiTheme="majorBidi" w:hAnsiTheme="majorBidi" w:cstheme="majorBidi"/>
          <w:sz w:val="24"/>
          <w:szCs w:val="24"/>
        </w:rPr>
        <w:t>Armansyah</w:t>
      </w:r>
      <w:proofErr w:type="spellEnd"/>
      <w:r w:rsidRPr="00337E5E">
        <w:rPr>
          <w:rFonts w:asciiTheme="majorBidi" w:hAnsiTheme="majorBidi" w:cstheme="majorBidi"/>
          <w:sz w:val="24"/>
          <w:szCs w:val="24"/>
        </w:rPr>
        <w:t xml:space="preserve">, F., &amp; Kurnia, K. (2015). </w:t>
      </w:r>
      <w:proofErr w:type="spellStart"/>
      <w:r w:rsidRPr="00337E5E">
        <w:rPr>
          <w:rFonts w:asciiTheme="majorBidi" w:hAnsiTheme="majorBidi" w:cstheme="majorBidi"/>
          <w:sz w:val="24"/>
          <w:szCs w:val="24"/>
        </w:rPr>
        <w:t>Pengaruh</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ukuran</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perusahaan</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profitabilitas</w:t>
      </w:r>
      <w:proofErr w:type="spellEnd"/>
      <w:r w:rsidRPr="00337E5E">
        <w:rPr>
          <w:rFonts w:asciiTheme="majorBidi" w:hAnsiTheme="majorBidi" w:cstheme="majorBidi"/>
          <w:sz w:val="24"/>
          <w:szCs w:val="24"/>
        </w:rPr>
        <w:t xml:space="preserve">, dan </w:t>
      </w:r>
      <w:proofErr w:type="spellStart"/>
      <w:r w:rsidRPr="00337E5E">
        <w:rPr>
          <w:rFonts w:asciiTheme="majorBidi" w:hAnsiTheme="majorBidi" w:cstheme="majorBidi"/>
          <w:sz w:val="24"/>
          <w:szCs w:val="24"/>
        </w:rPr>
        <w:t>opini</w:t>
      </w:r>
      <w:proofErr w:type="spellEnd"/>
      <w:r w:rsidRPr="00337E5E">
        <w:rPr>
          <w:rFonts w:asciiTheme="majorBidi" w:hAnsiTheme="majorBidi" w:cstheme="majorBidi"/>
          <w:sz w:val="24"/>
          <w:szCs w:val="24"/>
        </w:rPr>
        <w:t xml:space="preserve"> auditor </w:t>
      </w:r>
      <w:proofErr w:type="spellStart"/>
      <w:r w:rsidRPr="00337E5E">
        <w:rPr>
          <w:rFonts w:asciiTheme="majorBidi" w:hAnsiTheme="majorBidi" w:cstheme="majorBidi"/>
          <w:sz w:val="24"/>
          <w:szCs w:val="24"/>
        </w:rPr>
        <w:t>terhadap</w:t>
      </w:r>
      <w:proofErr w:type="spellEnd"/>
      <w:r w:rsidRPr="00337E5E">
        <w:rPr>
          <w:rFonts w:asciiTheme="majorBidi" w:hAnsiTheme="majorBidi" w:cstheme="majorBidi"/>
          <w:sz w:val="24"/>
          <w:szCs w:val="24"/>
        </w:rPr>
        <w:t xml:space="preserve"> audit delay. </w:t>
      </w:r>
      <w:proofErr w:type="spellStart"/>
      <w:r w:rsidRPr="00337E5E">
        <w:rPr>
          <w:rFonts w:asciiTheme="majorBidi" w:hAnsiTheme="majorBidi" w:cstheme="majorBidi"/>
          <w:i/>
          <w:iCs/>
          <w:sz w:val="24"/>
          <w:szCs w:val="24"/>
        </w:rPr>
        <w:t>Jurnal</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Ilmu</w:t>
      </w:r>
      <w:proofErr w:type="spellEnd"/>
      <w:r w:rsidRPr="00337E5E">
        <w:rPr>
          <w:rFonts w:asciiTheme="majorBidi" w:hAnsiTheme="majorBidi" w:cstheme="majorBidi"/>
          <w:i/>
          <w:iCs/>
          <w:sz w:val="24"/>
          <w:szCs w:val="24"/>
        </w:rPr>
        <w:t xml:space="preserve"> dan Riset Akuntansi (JIRA)</w:t>
      </w:r>
      <w:r w:rsidRPr="00337E5E">
        <w:rPr>
          <w:rFonts w:asciiTheme="majorBidi" w:hAnsiTheme="majorBidi" w:cstheme="majorBidi"/>
          <w:sz w:val="24"/>
          <w:szCs w:val="24"/>
        </w:rPr>
        <w:t xml:space="preserve">, </w:t>
      </w:r>
      <w:r w:rsidRPr="00337E5E">
        <w:rPr>
          <w:rFonts w:asciiTheme="majorBidi" w:hAnsiTheme="majorBidi" w:cstheme="majorBidi"/>
          <w:i/>
          <w:iCs/>
          <w:sz w:val="24"/>
          <w:szCs w:val="24"/>
        </w:rPr>
        <w:t>4</w:t>
      </w:r>
      <w:r w:rsidRPr="00337E5E">
        <w:rPr>
          <w:rFonts w:asciiTheme="majorBidi" w:hAnsiTheme="majorBidi" w:cstheme="majorBidi"/>
          <w:sz w:val="24"/>
          <w:szCs w:val="24"/>
        </w:rPr>
        <w:t>(10), 1–16.</w:t>
      </w:r>
    </w:p>
    <w:p w14:paraId="2FC75AB7"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r w:rsidRPr="00337E5E">
        <w:rPr>
          <w:rFonts w:asciiTheme="majorBidi" w:hAnsiTheme="majorBidi" w:cstheme="majorBidi"/>
          <w:sz w:val="24"/>
          <w:szCs w:val="24"/>
        </w:rPr>
        <w:t xml:space="preserve">Barth, M. E., Beaver, W. H., &amp; Landsman, W. R. (2001). The relevance of the value relevance literature for financial accounting standard setting: Another view. </w:t>
      </w:r>
      <w:r w:rsidRPr="00337E5E">
        <w:rPr>
          <w:rFonts w:asciiTheme="majorBidi" w:hAnsiTheme="majorBidi" w:cstheme="majorBidi"/>
          <w:i/>
          <w:iCs/>
          <w:sz w:val="24"/>
          <w:szCs w:val="24"/>
        </w:rPr>
        <w:t>Journal of Accounting and Economics</w:t>
      </w:r>
      <w:r w:rsidRPr="00337E5E">
        <w:rPr>
          <w:rFonts w:asciiTheme="majorBidi" w:hAnsiTheme="majorBidi" w:cstheme="majorBidi"/>
          <w:sz w:val="24"/>
          <w:szCs w:val="24"/>
        </w:rPr>
        <w:t xml:space="preserve">, </w:t>
      </w:r>
      <w:r w:rsidRPr="00337E5E">
        <w:rPr>
          <w:rFonts w:asciiTheme="majorBidi" w:hAnsiTheme="majorBidi" w:cstheme="majorBidi"/>
          <w:i/>
          <w:iCs/>
          <w:sz w:val="24"/>
          <w:szCs w:val="24"/>
        </w:rPr>
        <w:t>31</w:t>
      </w:r>
      <w:r w:rsidRPr="00337E5E">
        <w:rPr>
          <w:rFonts w:asciiTheme="majorBidi" w:hAnsiTheme="majorBidi" w:cstheme="majorBidi"/>
          <w:sz w:val="24"/>
          <w:szCs w:val="24"/>
        </w:rPr>
        <w:t>(1–3), 77–104. https://doi.org/10.1016/S0165-4101(01)00019-2</w:t>
      </w:r>
    </w:p>
    <w:p w14:paraId="0DEFEE95" w14:textId="77777777" w:rsidR="007D37A4" w:rsidRPr="00337E5E" w:rsidRDefault="007D37A4" w:rsidP="00337E5E">
      <w:pPr>
        <w:spacing w:after="0" w:line="240" w:lineRule="auto"/>
        <w:ind w:left="720" w:hanging="720"/>
        <w:jc w:val="both"/>
        <w:rPr>
          <w:rFonts w:asciiTheme="majorBidi" w:hAnsiTheme="majorBidi" w:cstheme="majorBidi"/>
          <w:sz w:val="24"/>
          <w:szCs w:val="24"/>
          <w:lang w:val="de-DE"/>
        </w:rPr>
      </w:pPr>
      <w:r w:rsidRPr="00337E5E">
        <w:rPr>
          <w:rFonts w:asciiTheme="majorBidi" w:hAnsiTheme="majorBidi" w:cstheme="majorBidi"/>
          <w:sz w:val="24"/>
          <w:szCs w:val="24"/>
        </w:rPr>
        <w:t xml:space="preserve">David, M. H. A., &amp; Butar </w:t>
      </w:r>
      <w:proofErr w:type="spellStart"/>
      <w:r w:rsidRPr="00337E5E">
        <w:rPr>
          <w:rFonts w:asciiTheme="majorBidi" w:hAnsiTheme="majorBidi" w:cstheme="majorBidi"/>
          <w:sz w:val="24"/>
          <w:szCs w:val="24"/>
        </w:rPr>
        <w:t>Butar</w:t>
      </w:r>
      <w:proofErr w:type="spellEnd"/>
      <w:r w:rsidRPr="00337E5E">
        <w:rPr>
          <w:rFonts w:asciiTheme="majorBidi" w:hAnsiTheme="majorBidi" w:cstheme="majorBidi"/>
          <w:sz w:val="24"/>
          <w:szCs w:val="24"/>
        </w:rPr>
        <w:t xml:space="preserve">, S. (2020). </w:t>
      </w:r>
      <w:proofErr w:type="spellStart"/>
      <w:r w:rsidRPr="00337E5E">
        <w:rPr>
          <w:rFonts w:asciiTheme="majorBidi" w:hAnsiTheme="majorBidi" w:cstheme="majorBidi"/>
          <w:sz w:val="24"/>
          <w:szCs w:val="24"/>
        </w:rPr>
        <w:t>Pengaruh</w:t>
      </w:r>
      <w:proofErr w:type="spellEnd"/>
      <w:r w:rsidRPr="00337E5E">
        <w:rPr>
          <w:rFonts w:asciiTheme="majorBidi" w:hAnsiTheme="majorBidi" w:cstheme="majorBidi"/>
          <w:sz w:val="24"/>
          <w:szCs w:val="24"/>
        </w:rPr>
        <w:t xml:space="preserve"> tata </w:t>
      </w:r>
      <w:proofErr w:type="spellStart"/>
      <w:r w:rsidRPr="00337E5E">
        <w:rPr>
          <w:rFonts w:asciiTheme="majorBidi" w:hAnsiTheme="majorBidi" w:cstheme="majorBidi"/>
          <w:sz w:val="24"/>
          <w:szCs w:val="24"/>
        </w:rPr>
        <w:t>kelola</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perusahaan</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reputasi</w:t>
      </w:r>
      <w:proofErr w:type="spellEnd"/>
      <w:r w:rsidRPr="00337E5E">
        <w:rPr>
          <w:rFonts w:asciiTheme="majorBidi" w:hAnsiTheme="majorBidi" w:cstheme="majorBidi"/>
          <w:sz w:val="24"/>
          <w:szCs w:val="24"/>
        </w:rPr>
        <w:t xml:space="preserve"> KAP, </w:t>
      </w:r>
      <w:proofErr w:type="spellStart"/>
      <w:r w:rsidRPr="00337E5E">
        <w:rPr>
          <w:rFonts w:asciiTheme="majorBidi" w:hAnsiTheme="majorBidi" w:cstheme="majorBidi"/>
          <w:sz w:val="24"/>
          <w:szCs w:val="24"/>
        </w:rPr>
        <w:t>karakteristik</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perusahaan</w:t>
      </w:r>
      <w:proofErr w:type="spellEnd"/>
      <w:r w:rsidRPr="00337E5E">
        <w:rPr>
          <w:rFonts w:asciiTheme="majorBidi" w:hAnsiTheme="majorBidi" w:cstheme="majorBidi"/>
          <w:sz w:val="24"/>
          <w:szCs w:val="24"/>
        </w:rPr>
        <w:t xml:space="preserve"> dan </w:t>
      </w:r>
      <w:proofErr w:type="spellStart"/>
      <w:r w:rsidRPr="00337E5E">
        <w:rPr>
          <w:rFonts w:asciiTheme="majorBidi" w:hAnsiTheme="majorBidi" w:cstheme="majorBidi"/>
          <w:sz w:val="24"/>
          <w:szCs w:val="24"/>
        </w:rPr>
        <w:t>opini</w:t>
      </w:r>
      <w:proofErr w:type="spellEnd"/>
      <w:r w:rsidRPr="00337E5E">
        <w:rPr>
          <w:rFonts w:asciiTheme="majorBidi" w:hAnsiTheme="majorBidi" w:cstheme="majorBidi"/>
          <w:sz w:val="24"/>
          <w:szCs w:val="24"/>
        </w:rPr>
        <w:t xml:space="preserve"> audit </w:t>
      </w:r>
      <w:proofErr w:type="spellStart"/>
      <w:r w:rsidRPr="00337E5E">
        <w:rPr>
          <w:rFonts w:asciiTheme="majorBidi" w:hAnsiTheme="majorBidi" w:cstheme="majorBidi"/>
          <w:sz w:val="24"/>
          <w:szCs w:val="24"/>
        </w:rPr>
        <w:t>terhadap</w:t>
      </w:r>
      <w:proofErr w:type="spellEnd"/>
      <w:r w:rsidRPr="00337E5E">
        <w:rPr>
          <w:rFonts w:asciiTheme="majorBidi" w:hAnsiTheme="majorBidi" w:cstheme="majorBidi"/>
          <w:sz w:val="24"/>
          <w:szCs w:val="24"/>
        </w:rPr>
        <w:t xml:space="preserve"> audit delay. </w:t>
      </w:r>
      <w:r w:rsidRPr="00337E5E">
        <w:rPr>
          <w:rFonts w:asciiTheme="majorBidi" w:hAnsiTheme="majorBidi" w:cstheme="majorBidi"/>
          <w:i/>
          <w:iCs/>
          <w:sz w:val="24"/>
          <w:szCs w:val="24"/>
          <w:lang w:val="de-DE"/>
        </w:rPr>
        <w:t>Jurnal Akuntansi dan Bisnis</w:t>
      </w:r>
      <w:r w:rsidRPr="00337E5E">
        <w:rPr>
          <w:rFonts w:asciiTheme="majorBidi" w:hAnsiTheme="majorBidi" w:cstheme="majorBidi"/>
          <w:sz w:val="24"/>
          <w:szCs w:val="24"/>
          <w:lang w:val="de-DE"/>
        </w:rPr>
        <w:t xml:space="preserve">, </w:t>
      </w:r>
      <w:r w:rsidRPr="00337E5E">
        <w:rPr>
          <w:rFonts w:asciiTheme="majorBidi" w:hAnsiTheme="majorBidi" w:cstheme="majorBidi"/>
          <w:i/>
          <w:iCs/>
          <w:sz w:val="24"/>
          <w:szCs w:val="24"/>
          <w:lang w:val="de-DE"/>
        </w:rPr>
        <w:t>18</w:t>
      </w:r>
      <w:r w:rsidRPr="00337E5E">
        <w:rPr>
          <w:rFonts w:asciiTheme="majorBidi" w:hAnsiTheme="majorBidi" w:cstheme="majorBidi"/>
          <w:sz w:val="24"/>
          <w:szCs w:val="24"/>
          <w:lang w:val="de-DE"/>
        </w:rPr>
        <w:t>(1), 1–19.</w:t>
      </w:r>
    </w:p>
    <w:p w14:paraId="48A08446"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r w:rsidRPr="00337E5E">
        <w:rPr>
          <w:rFonts w:asciiTheme="majorBidi" w:hAnsiTheme="majorBidi" w:cstheme="majorBidi"/>
          <w:sz w:val="24"/>
          <w:szCs w:val="24"/>
          <w:lang w:val="de-DE"/>
        </w:rPr>
        <w:t xml:space="preserve">Dewanto, I. G. A., &amp; Dwirandra, A. A. N. B. (2018). </w:t>
      </w:r>
      <w:proofErr w:type="spellStart"/>
      <w:r w:rsidRPr="00337E5E">
        <w:rPr>
          <w:rFonts w:asciiTheme="majorBidi" w:hAnsiTheme="majorBidi" w:cstheme="majorBidi"/>
          <w:sz w:val="24"/>
          <w:szCs w:val="24"/>
        </w:rPr>
        <w:t>Opini</w:t>
      </w:r>
      <w:proofErr w:type="spellEnd"/>
      <w:r w:rsidRPr="00337E5E">
        <w:rPr>
          <w:rFonts w:asciiTheme="majorBidi" w:hAnsiTheme="majorBidi" w:cstheme="majorBidi"/>
          <w:sz w:val="24"/>
          <w:szCs w:val="24"/>
        </w:rPr>
        <w:t xml:space="preserve"> auditor dan </w:t>
      </w:r>
      <w:proofErr w:type="spellStart"/>
      <w:r w:rsidRPr="00337E5E">
        <w:rPr>
          <w:rFonts w:asciiTheme="majorBidi" w:hAnsiTheme="majorBidi" w:cstheme="majorBidi"/>
          <w:sz w:val="24"/>
          <w:szCs w:val="24"/>
        </w:rPr>
        <w:t>solvabilitas</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sebagai</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pemoderasi</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pengaruh</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profitabilitas</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terhadap</w:t>
      </w:r>
      <w:proofErr w:type="spellEnd"/>
      <w:r w:rsidRPr="00337E5E">
        <w:rPr>
          <w:rFonts w:asciiTheme="majorBidi" w:hAnsiTheme="majorBidi" w:cstheme="majorBidi"/>
          <w:sz w:val="24"/>
          <w:szCs w:val="24"/>
        </w:rPr>
        <w:t xml:space="preserve"> audit delay. </w:t>
      </w:r>
      <w:r w:rsidRPr="00337E5E">
        <w:rPr>
          <w:rFonts w:asciiTheme="majorBidi" w:hAnsiTheme="majorBidi" w:cstheme="majorBidi"/>
          <w:i/>
          <w:iCs/>
          <w:sz w:val="24"/>
          <w:szCs w:val="24"/>
        </w:rPr>
        <w:t>E-</w:t>
      </w:r>
      <w:proofErr w:type="spellStart"/>
      <w:r w:rsidRPr="00337E5E">
        <w:rPr>
          <w:rFonts w:asciiTheme="majorBidi" w:hAnsiTheme="majorBidi" w:cstheme="majorBidi"/>
          <w:i/>
          <w:iCs/>
          <w:sz w:val="24"/>
          <w:szCs w:val="24"/>
        </w:rPr>
        <w:t>Jurnal</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Akuntansi</w:t>
      </w:r>
      <w:proofErr w:type="spellEnd"/>
      <w:r w:rsidRPr="00337E5E">
        <w:rPr>
          <w:rFonts w:asciiTheme="majorBidi" w:hAnsiTheme="majorBidi" w:cstheme="majorBidi"/>
          <w:sz w:val="24"/>
          <w:szCs w:val="24"/>
        </w:rPr>
        <w:t xml:space="preserve">, </w:t>
      </w:r>
      <w:r w:rsidRPr="00337E5E">
        <w:rPr>
          <w:rFonts w:asciiTheme="majorBidi" w:hAnsiTheme="majorBidi" w:cstheme="majorBidi"/>
          <w:i/>
          <w:iCs/>
          <w:sz w:val="24"/>
          <w:szCs w:val="24"/>
        </w:rPr>
        <w:t>24</w:t>
      </w:r>
      <w:r w:rsidRPr="00337E5E">
        <w:rPr>
          <w:rFonts w:asciiTheme="majorBidi" w:hAnsiTheme="majorBidi" w:cstheme="majorBidi"/>
          <w:sz w:val="24"/>
          <w:szCs w:val="24"/>
        </w:rPr>
        <w:t>, 1799–1826.</w:t>
      </w:r>
    </w:p>
    <w:p w14:paraId="50FF4978"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r w:rsidRPr="00337E5E">
        <w:rPr>
          <w:rFonts w:asciiTheme="majorBidi" w:hAnsiTheme="majorBidi" w:cstheme="majorBidi"/>
          <w:sz w:val="24"/>
          <w:szCs w:val="24"/>
        </w:rPr>
        <w:t xml:space="preserve">Evani, E. S., Susilowati, D., &amp; </w:t>
      </w:r>
      <w:proofErr w:type="spellStart"/>
      <w:r w:rsidRPr="00337E5E">
        <w:rPr>
          <w:rFonts w:asciiTheme="majorBidi" w:hAnsiTheme="majorBidi" w:cstheme="majorBidi"/>
          <w:sz w:val="24"/>
          <w:szCs w:val="24"/>
        </w:rPr>
        <w:t>Kusumastati</w:t>
      </w:r>
      <w:proofErr w:type="spellEnd"/>
      <w:r w:rsidRPr="00337E5E">
        <w:rPr>
          <w:rFonts w:asciiTheme="majorBidi" w:hAnsiTheme="majorBidi" w:cstheme="majorBidi"/>
          <w:sz w:val="24"/>
          <w:szCs w:val="24"/>
        </w:rPr>
        <w:t xml:space="preserve">, W. W. (2022). The influence of company performance on audit delay with public accounting firm quality as the moderating variable. </w:t>
      </w:r>
      <w:proofErr w:type="spellStart"/>
      <w:r w:rsidRPr="00337E5E">
        <w:rPr>
          <w:rFonts w:asciiTheme="majorBidi" w:hAnsiTheme="majorBidi" w:cstheme="majorBidi"/>
          <w:i/>
          <w:iCs/>
          <w:sz w:val="24"/>
          <w:szCs w:val="24"/>
        </w:rPr>
        <w:t>Soedirman</w:t>
      </w:r>
      <w:proofErr w:type="spellEnd"/>
      <w:r w:rsidRPr="00337E5E">
        <w:rPr>
          <w:rFonts w:asciiTheme="majorBidi" w:hAnsiTheme="majorBidi" w:cstheme="majorBidi"/>
          <w:i/>
          <w:iCs/>
          <w:sz w:val="24"/>
          <w:szCs w:val="24"/>
        </w:rPr>
        <w:t xml:space="preserve"> Accounting, Auditing and Public Sector Journal (SAAP)</w:t>
      </w:r>
      <w:r w:rsidRPr="00337E5E">
        <w:rPr>
          <w:rFonts w:asciiTheme="majorBidi" w:hAnsiTheme="majorBidi" w:cstheme="majorBidi"/>
          <w:sz w:val="24"/>
          <w:szCs w:val="24"/>
        </w:rPr>
        <w:t xml:space="preserve">, </w:t>
      </w:r>
      <w:r w:rsidRPr="00337E5E">
        <w:rPr>
          <w:rFonts w:asciiTheme="majorBidi" w:hAnsiTheme="majorBidi" w:cstheme="majorBidi"/>
          <w:i/>
          <w:iCs/>
          <w:sz w:val="24"/>
          <w:szCs w:val="24"/>
        </w:rPr>
        <w:t>1</w:t>
      </w:r>
      <w:r w:rsidRPr="00337E5E">
        <w:rPr>
          <w:rFonts w:asciiTheme="majorBidi" w:hAnsiTheme="majorBidi" w:cstheme="majorBidi"/>
          <w:sz w:val="24"/>
          <w:szCs w:val="24"/>
        </w:rPr>
        <w:t>(2), 47–63.</w:t>
      </w:r>
    </w:p>
    <w:p w14:paraId="6CB26AD7" w14:textId="77777777" w:rsidR="007D37A4" w:rsidRPr="00337E5E" w:rsidRDefault="007D37A4" w:rsidP="00337E5E">
      <w:pPr>
        <w:spacing w:after="0" w:line="240" w:lineRule="auto"/>
        <w:ind w:left="720" w:hanging="720"/>
        <w:jc w:val="both"/>
        <w:rPr>
          <w:rFonts w:asciiTheme="majorBidi" w:hAnsiTheme="majorBidi" w:cstheme="majorBidi"/>
          <w:sz w:val="24"/>
          <w:szCs w:val="24"/>
          <w:lang w:val="de-DE"/>
        </w:rPr>
      </w:pPr>
      <w:r w:rsidRPr="00337E5E">
        <w:rPr>
          <w:rFonts w:asciiTheme="majorBidi" w:hAnsiTheme="majorBidi" w:cstheme="majorBidi"/>
          <w:sz w:val="24"/>
          <w:szCs w:val="24"/>
        </w:rPr>
        <w:t xml:space="preserve">Felicia, W., &amp; </w:t>
      </w:r>
      <w:proofErr w:type="spellStart"/>
      <w:r w:rsidRPr="00337E5E">
        <w:rPr>
          <w:rFonts w:asciiTheme="majorBidi" w:hAnsiTheme="majorBidi" w:cstheme="majorBidi"/>
          <w:sz w:val="24"/>
          <w:szCs w:val="24"/>
        </w:rPr>
        <w:t>Pesudo</w:t>
      </w:r>
      <w:proofErr w:type="spellEnd"/>
      <w:r w:rsidRPr="00337E5E">
        <w:rPr>
          <w:rFonts w:asciiTheme="majorBidi" w:hAnsiTheme="majorBidi" w:cstheme="majorBidi"/>
          <w:sz w:val="24"/>
          <w:szCs w:val="24"/>
        </w:rPr>
        <w:t xml:space="preserve">, D. A. A. (2019). </w:t>
      </w:r>
      <w:r w:rsidRPr="00337E5E">
        <w:rPr>
          <w:rFonts w:asciiTheme="majorBidi" w:hAnsiTheme="majorBidi" w:cstheme="majorBidi"/>
          <w:sz w:val="24"/>
          <w:szCs w:val="24"/>
          <w:lang w:val="de-DE"/>
        </w:rPr>
        <w:t xml:space="preserve">Mengapa perusahaan terlambat menerbitkan laporan keuangan? </w:t>
      </w:r>
      <w:r w:rsidRPr="00337E5E">
        <w:rPr>
          <w:rFonts w:asciiTheme="majorBidi" w:hAnsiTheme="majorBidi" w:cstheme="majorBidi"/>
          <w:i/>
          <w:iCs/>
          <w:sz w:val="24"/>
          <w:szCs w:val="24"/>
          <w:lang w:val="de-DE"/>
        </w:rPr>
        <w:t>Perspektif Akuntansi</w:t>
      </w:r>
      <w:r w:rsidRPr="00337E5E">
        <w:rPr>
          <w:rFonts w:asciiTheme="majorBidi" w:hAnsiTheme="majorBidi" w:cstheme="majorBidi"/>
          <w:sz w:val="24"/>
          <w:szCs w:val="24"/>
          <w:lang w:val="de-DE"/>
        </w:rPr>
        <w:t xml:space="preserve">, </w:t>
      </w:r>
      <w:r w:rsidRPr="00337E5E">
        <w:rPr>
          <w:rFonts w:asciiTheme="majorBidi" w:hAnsiTheme="majorBidi" w:cstheme="majorBidi"/>
          <w:i/>
          <w:iCs/>
          <w:sz w:val="24"/>
          <w:szCs w:val="24"/>
          <w:lang w:val="de-DE"/>
        </w:rPr>
        <w:t>2</w:t>
      </w:r>
      <w:r w:rsidRPr="00337E5E">
        <w:rPr>
          <w:rFonts w:asciiTheme="majorBidi" w:hAnsiTheme="majorBidi" w:cstheme="majorBidi"/>
          <w:sz w:val="24"/>
          <w:szCs w:val="24"/>
          <w:lang w:val="de-DE"/>
        </w:rPr>
        <w:t>(1), 71–88.</w:t>
      </w:r>
    </w:p>
    <w:p w14:paraId="13B9A9AD"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r w:rsidRPr="00337E5E">
        <w:rPr>
          <w:rFonts w:asciiTheme="majorBidi" w:hAnsiTheme="majorBidi" w:cstheme="majorBidi"/>
          <w:sz w:val="24"/>
          <w:szCs w:val="24"/>
          <w:lang w:val="de-DE"/>
        </w:rPr>
        <w:t xml:space="preserve">Findriani, V. E. L. I. A., &amp; Tjahjono, R. S. (2021). </w:t>
      </w:r>
      <w:proofErr w:type="spellStart"/>
      <w:r w:rsidRPr="00337E5E">
        <w:rPr>
          <w:rFonts w:asciiTheme="majorBidi" w:hAnsiTheme="majorBidi" w:cstheme="majorBidi"/>
          <w:sz w:val="24"/>
          <w:szCs w:val="24"/>
        </w:rPr>
        <w:t>Pengaruh</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kinerja</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keuangan</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entitas</w:t>
      </w:r>
      <w:proofErr w:type="spellEnd"/>
      <w:r w:rsidRPr="00337E5E">
        <w:rPr>
          <w:rFonts w:asciiTheme="majorBidi" w:hAnsiTheme="majorBidi" w:cstheme="majorBidi"/>
          <w:sz w:val="24"/>
          <w:szCs w:val="24"/>
        </w:rPr>
        <w:t xml:space="preserve"> dan </w:t>
      </w:r>
      <w:proofErr w:type="spellStart"/>
      <w:r w:rsidRPr="00337E5E">
        <w:rPr>
          <w:rFonts w:asciiTheme="majorBidi" w:hAnsiTheme="majorBidi" w:cstheme="majorBidi"/>
          <w:sz w:val="24"/>
          <w:szCs w:val="24"/>
        </w:rPr>
        <w:t>faktor</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lainnya</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terhadap</w:t>
      </w:r>
      <w:proofErr w:type="spellEnd"/>
      <w:r w:rsidRPr="00337E5E">
        <w:rPr>
          <w:rFonts w:asciiTheme="majorBidi" w:hAnsiTheme="majorBidi" w:cstheme="majorBidi"/>
          <w:sz w:val="24"/>
          <w:szCs w:val="24"/>
        </w:rPr>
        <w:t xml:space="preserve"> audit delay. </w:t>
      </w:r>
      <w:r w:rsidRPr="00337E5E">
        <w:rPr>
          <w:rFonts w:asciiTheme="majorBidi" w:hAnsiTheme="majorBidi" w:cstheme="majorBidi"/>
          <w:i/>
          <w:iCs/>
          <w:sz w:val="24"/>
          <w:szCs w:val="24"/>
        </w:rPr>
        <w:t>E-</w:t>
      </w:r>
      <w:proofErr w:type="spellStart"/>
      <w:r w:rsidRPr="00337E5E">
        <w:rPr>
          <w:rFonts w:asciiTheme="majorBidi" w:hAnsiTheme="majorBidi" w:cstheme="majorBidi"/>
          <w:i/>
          <w:iCs/>
          <w:sz w:val="24"/>
          <w:szCs w:val="24"/>
        </w:rPr>
        <w:t>Jurnal</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Akuntansi</w:t>
      </w:r>
      <w:proofErr w:type="spellEnd"/>
      <w:r w:rsidRPr="00337E5E">
        <w:rPr>
          <w:rFonts w:asciiTheme="majorBidi" w:hAnsiTheme="majorBidi" w:cstheme="majorBidi"/>
          <w:i/>
          <w:iCs/>
          <w:sz w:val="24"/>
          <w:szCs w:val="24"/>
        </w:rPr>
        <w:t xml:space="preserve"> TSM</w:t>
      </w:r>
      <w:r w:rsidRPr="00337E5E">
        <w:rPr>
          <w:rFonts w:asciiTheme="majorBidi" w:hAnsiTheme="majorBidi" w:cstheme="majorBidi"/>
          <w:sz w:val="24"/>
          <w:szCs w:val="24"/>
        </w:rPr>
        <w:t xml:space="preserve">, </w:t>
      </w:r>
      <w:r w:rsidRPr="00337E5E">
        <w:rPr>
          <w:rFonts w:asciiTheme="majorBidi" w:hAnsiTheme="majorBidi" w:cstheme="majorBidi"/>
          <w:i/>
          <w:iCs/>
          <w:sz w:val="24"/>
          <w:szCs w:val="24"/>
        </w:rPr>
        <w:t>1</w:t>
      </w:r>
      <w:r w:rsidRPr="00337E5E">
        <w:rPr>
          <w:rFonts w:asciiTheme="majorBidi" w:hAnsiTheme="majorBidi" w:cstheme="majorBidi"/>
          <w:sz w:val="24"/>
          <w:szCs w:val="24"/>
        </w:rPr>
        <w:t>(4), 325–334.</w:t>
      </w:r>
    </w:p>
    <w:p w14:paraId="54AF1728" w14:textId="77777777" w:rsidR="007D37A4" w:rsidRPr="00337E5E" w:rsidRDefault="007D37A4" w:rsidP="00337E5E">
      <w:pPr>
        <w:spacing w:after="0" w:line="240" w:lineRule="auto"/>
        <w:ind w:left="720" w:hanging="720"/>
        <w:jc w:val="both"/>
        <w:rPr>
          <w:rFonts w:asciiTheme="majorBidi" w:hAnsiTheme="majorBidi" w:cstheme="majorBidi"/>
          <w:sz w:val="24"/>
          <w:szCs w:val="24"/>
          <w:lang w:val="de-DE"/>
        </w:rPr>
      </w:pPr>
      <w:r w:rsidRPr="00337E5E">
        <w:rPr>
          <w:rFonts w:asciiTheme="majorBidi" w:hAnsiTheme="majorBidi" w:cstheme="majorBidi"/>
          <w:sz w:val="24"/>
          <w:szCs w:val="24"/>
        </w:rPr>
        <w:t xml:space="preserve">Gantino, R., &amp; Susanti, H. A. (2019). </w:t>
      </w:r>
      <w:proofErr w:type="spellStart"/>
      <w:r w:rsidRPr="00337E5E">
        <w:rPr>
          <w:rFonts w:asciiTheme="majorBidi" w:hAnsiTheme="majorBidi" w:cstheme="majorBidi"/>
          <w:sz w:val="24"/>
          <w:szCs w:val="24"/>
        </w:rPr>
        <w:t>Perbandingan</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pengaruh</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profitabilitas</w:t>
      </w:r>
      <w:proofErr w:type="spellEnd"/>
      <w:r w:rsidRPr="00337E5E">
        <w:rPr>
          <w:rFonts w:asciiTheme="majorBidi" w:hAnsiTheme="majorBidi" w:cstheme="majorBidi"/>
          <w:sz w:val="24"/>
          <w:szCs w:val="24"/>
        </w:rPr>
        <w:t xml:space="preserve">, leverage, dan </w:t>
      </w:r>
      <w:proofErr w:type="spellStart"/>
      <w:r w:rsidRPr="00337E5E">
        <w:rPr>
          <w:rFonts w:asciiTheme="majorBidi" w:hAnsiTheme="majorBidi" w:cstheme="majorBidi"/>
          <w:sz w:val="24"/>
          <w:szCs w:val="24"/>
        </w:rPr>
        <w:t>ukuran</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perusahaan</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terhadap</w:t>
      </w:r>
      <w:proofErr w:type="spellEnd"/>
      <w:r w:rsidRPr="00337E5E">
        <w:rPr>
          <w:rFonts w:asciiTheme="majorBidi" w:hAnsiTheme="majorBidi" w:cstheme="majorBidi"/>
          <w:sz w:val="24"/>
          <w:szCs w:val="24"/>
        </w:rPr>
        <w:t xml:space="preserve"> audit report lag pada </w:t>
      </w:r>
      <w:proofErr w:type="spellStart"/>
      <w:r w:rsidRPr="00337E5E">
        <w:rPr>
          <w:rFonts w:asciiTheme="majorBidi" w:hAnsiTheme="majorBidi" w:cstheme="majorBidi"/>
          <w:sz w:val="24"/>
          <w:szCs w:val="24"/>
        </w:rPr>
        <w:t>perusahaan</w:t>
      </w:r>
      <w:proofErr w:type="spellEnd"/>
      <w:r w:rsidRPr="00337E5E">
        <w:rPr>
          <w:rFonts w:asciiTheme="majorBidi" w:hAnsiTheme="majorBidi" w:cstheme="majorBidi"/>
          <w:sz w:val="24"/>
          <w:szCs w:val="24"/>
        </w:rPr>
        <w:t xml:space="preserve"> food and beverage &amp; property and real estate yang </w:t>
      </w:r>
      <w:proofErr w:type="spellStart"/>
      <w:r w:rsidRPr="00337E5E">
        <w:rPr>
          <w:rFonts w:asciiTheme="majorBidi" w:hAnsiTheme="majorBidi" w:cstheme="majorBidi"/>
          <w:sz w:val="24"/>
          <w:szCs w:val="24"/>
        </w:rPr>
        <w:t>terdaftar</w:t>
      </w:r>
      <w:proofErr w:type="spellEnd"/>
      <w:r w:rsidRPr="00337E5E">
        <w:rPr>
          <w:rFonts w:asciiTheme="majorBidi" w:hAnsiTheme="majorBidi" w:cstheme="majorBidi"/>
          <w:sz w:val="24"/>
          <w:szCs w:val="24"/>
        </w:rPr>
        <w:t xml:space="preserve"> di Bursa </w:t>
      </w:r>
      <w:proofErr w:type="spellStart"/>
      <w:r w:rsidRPr="00337E5E">
        <w:rPr>
          <w:rFonts w:asciiTheme="majorBidi" w:hAnsiTheme="majorBidi" w:cstheme="majorBidi"/>
          <w:sz w:val="24"/>
          <w:szCs w:val="24"/>
        </w:rPr>
        <w:t>Efek</w:t>
      </w:r>
      <w:proofErr w:type="spellEnd"/>
      <w:r w:rsidRPr="00337E5E">
        <w:rPr>
          <w:rFonts w:asciiTheme="majorBidi" w:hAnsiTheme="majorBidi" w:cstheme="majorBidi"/>
          <w:sz w:val="24"/>
          <w:szCs w:val="24"/>
        </w:rPr>
        <w:t xml:space="preserve"> Indonesia (BEI) </w:t>
      </w:r>
      <w:proofErr w:type="spellStart"/>
      <w:r w:rsidRPr="00337E5E">
        <w:rPr>
          <w:rFonts w:asciiTheme="majorBidi" w:hAnsiTheme="majorBidi" w:cstheme="majorBidi"/>
          <w:sz w:val="24"/>
          <w:szCs w:val="24"/>
        </w:rPr>
        <w:t>periode</w:t>
      </w:r>
      <w:proofErr w:type="spellEnd"/>
      <w:r w:rsidRPr="00337E5E">
        <w:rPr>
          <w:rFonts w:asciiTheme="majorBidi" w:hAnsiTheme="majorBidi" w:cstheme="majorBidi"/>
          <w:sz w:val="24"/>
          <w:szCs w:val="24"/>
        </w:rPr>
        <w:t xml:space="preserve"> 2013–2017. </w:t>
      </w:r>
      <w:r w:rsidRPr="00337E5E">
        <w:rPr>
          <w:rFonts w:asciiTheme="majorBidi" w:hAnsiTheme="majorBidi" w:cstheme="majorBidi"/>
          <w:i/>
          <w:iCs/>
          <w:sz w:val="24"/>
          <w:szCs w:val="24"/>
          <w:lang w:val="de-DE"/>
        </w:rPr>
        <w:t>Jurnal Riset Akuntansi dan Keuangan</w:t>
      </w:r>
      <w:r w:rsidRPr="00337E5E">
        <w:rPr>
          <w:rFonts w:asciiTheme="majorBidi" w:hAnsiTheme="majorBidi" w:cstheme="majorBidi"/>
          <w:sz w:val="24"/>
          <w:szCs w:val="24"/>
          <w:lang w:val="de-DE"/>
        </w:rPr>
        <w:t xml:space="preserve">, </w:t>
      </w:r>
      <w:r w:rsidRPr="00337E5E">
        <w:rPr>
          <w:rFonts w:asciiTheme="majorBidi" w:hAnsiTheme="majorBidi" w:cstheme="majorBidi"/>
          <w:i/>
          <w:iCs/>
          <w:sz w:val="24"/>
          <w:szCs w:val="24"/>
          <w:lang w:val="de-DE"/>
        </w:rPr>
        <w:t>7</w:t>
      </w:r>
      <w:r w:rsidRPr="00337E5E">
        <w:rPr>
          <w:rFonts w:asciiTheme="majorBidi" w:hAnsiTheme="majorBidi" w:cstheme="majorBidi"/>
          <w:sz w:val="24"/>
          <w:szCs w:val="24"/>
          <w:lang w:val="de-DE"/>
        </w:rPr>
        <w:t>(3), 601–618.</w:t>
      </w:r>
    </w:p>
    <w:p w14:paraId="5C18340B"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r w:rsidRPr="00337E5E">
        <w:rPr>
          <w:rFonts w:asciiTheme="majorBidi" w:hAnsiTheme="majorBidi" w:cstheme="majorBidi"/>
          <w:sz w:val="24"/>
          <w:szCs w:val="24"/>
          <w:lang w:val="de-DE"/>
        </w:rPr>
        <w:lastRenderedPageBreak/>
        <w:t xml:space="preserve">Gede, W. A., &amp; Ratna, S. M. M. (2021). </w:t>
      </w:r>
      <w:r w:rsidRPr="00337E5E">
        <w:rPr>
          <w:rFonts w:asciiTheme="majorBidi" w:hAnsiTheme="majorBidi" w:cstheme="majorBidi"/>
          <w:sz w:val="24"/>
          <w:szCs w:val="24"/>
        </w:rPr>
        <w:t xml:space="preserve">The effect of good corporate governance on audit delay. </w:t>
      </w:r>
      <w:r w:rsidRPr="00337E5E">
        <w:rPr>
          <w:rFonts w:asciiTheme="majorBidi" w:hAnsiTheme="majorBidi" w:cstheme="majorBidi"/>
          <w:i/>
          <w:iCs/>
          <w:sz w:val="24"/>
          <w:szCs w:val="24"/>
        </w:rPr>
        <w:t>Eurasia: Economics &amp; Business</w:t>
      </w:r>
      <w:r w:rsidRPr="00337E5E">
        <w:rPr>
          <w:rFonts w:asciiTheme="majorBidi" w:hAnsiTheme="majorBidi" w:cstheme="majorBidi"/>
          <w:sz w:val="24"/>
          <w:szCs w:val="24"/>
        </w:rPr>
        <w:t xml:space="preserve">, </w:t>
      </w:r>
      <w:r w:rsidRPr="00337E5E">
        <w:rPr>
          <w:rFonts w:asciiTheme="majorBidi" w:hAnsiTheme="majorBidi" w:cstheme="majorBidi"/>
          <w:i/>
          <w:iCs/>
          <w:sz w:val="24"/>
          <w:szCs w:val="24"/>
        </w:rPr>
        <w:t>1</w:t>
      </w:r>
      <w:r w:rsidRPr="00337E5E">
        <w:rPr>
          <w:rFonts w:asciiTheme="majorBidi" w:hAnsiTheme="majorBidi" w:cstheme="majorBidi"/>
          <w:sz w:val="24"/>
          <w:szCs w:val="24"/>
        </w:rPr>
        <w:t>(43), 22–33.</w:t>
      </w:r>
    </w:p>
    <w:p w14:paraId="27917405"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r w:rsidRPr="00337E5E">
        <w:rPr>
          <w:rFonts w:asciiTheme="majorBidi" w:hAnsiTheme="majorBidi" w:cstheme="majorBidi"/>
          <w:sz w:val="24"/>
          <w:szCs w:val="24"/>
        </w:rPr>
        <w:t xml:space="preserve">Hanafi, M. M., &amp; Halim, A. (2016). </w:t>
      </w:r>
      <w:proofErr w:type="spellStart"/>
      <w:r w:rsidRPr="00337E5E">
        <w:rPr>
          <w:rFonts w:asciiTheme="majorBidi" w:hAnsiTheme="majorBidi" w:cstheme="majorBidi"/>
          <w:i/>
          <w:iCs/>
          <w:sz w:val="24"/>
          <w:szCs w:val="24"/>
        </w:rPr>
        <w:t>Analisis</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laporan</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keuangan</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Edisi</w:t>
      </w:r>
      <w:proofErr w:type="spellEnd"/>
      <w:r w:rsidRPr="00337E5E">
        <w:rPr>
          <w:rFonts w:asciiTheme="majorBidi" w:hAnsiTheme="majorBidi" w:cstheme="majorBidi"/>
          <w:sz w:val="24"/>
          <w:szCs w:val="24"/>
        </w:rPr>
        <w:t xml:space="preserve"> ke-5). Yogyakarta: UPP STIM YKPN.</w:t>
      </w:r>
    </w:p>
    <w:p w14:paraId="121CBE7C"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proofErr w:type="spellStart"/>
      <w:r w:rsidRPr="00337E5E">
        <w:rPr>
          <w:rFonts w:asciiTheme="majorBidi" w:hAnsiTheme="majorBidi" w:cstheme="majorBidi"/>
          <w:sz w:val="24"/>
          <w:szCs w:val="24"/>
        </w:rPr>
        <w:t>Harindahyani</w:t>
      </w:r>
      <w:proofErr w:type="spellEnd"/>
      <w:r w:rsidRPr="00337E5E">
        <w:rPr>
          <w:rFonts w:asciiTheme="majorBidi" w:hAnsiTheme="majorBidi" w:cstheme="majorBidi"/>
          <w:sz w:val="24"/>
          <w:szCs w:val="24"/>
        </w:rPr>
        <w:t xml:space="preserve">, D., &amp; </w:t>
      </w:r>
      <w:proofErr w:type="spellStart"/>
      <w:r w:rsidRPr="00337E5E">
        <w:rPr>
          <w:rFonts w:asciiTheme="majorBidi" w:hAnsiTheme="majorBidi" w:cstheme="majorBidi"/>
          <w:sz w:val="24"/>
          <w:szCs w:val="24"/>
        </w:rPr>
        <w:t>Harindahyani</w:t>
      </w:r>
      <w:proofErr w:type="spellEnd"/>
      <w:r w:rsidRPr="00337E5E">
        <w:rPr>
          <w:rFonts w:asciiTheme="majorBidi" w:hAnsiTheme="majorBidi" w:cstheme="majorBidi"/>
          <w:sz w:val="24"/>
          <w:szCs w:val="24"/>
        </w:rPr>
        <w:t xml:space="preserve">, S. (2018). The effect of corporate governance on audit report timeliness in Indonesia. </w:t>
      </w:r>
      <w:proofErr w:type="spellStart"/>
      <w:r w:rsidRPr="00337E5E">
        <w:rPr>
          <w:rFonts w:asciiTheme="majorBidi" w:hAnsiTheme="majorBidi" w:cstheme="majorBidi"/>
          <w:i/>
          <w:iCs/>
          <w:sz w:val="24"/>
          <w:szCs w:val="24"/>
        </w:rPr>
        <w:t>Jurnal</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Akuntansi</w:t>
      </w:r>
      <w:proofErr w:type="spellEnd"/>
      <w:r w:rsidRPr="00337E5E">
        <w:rPr>
          <w:rFonts w:asciiTheme="majorBidi" w:hAnsiTheme="majorBidi" w:cstheme="majorBidi"/>
          <w:i/>
          <w:iCs/>
          <w:sz w:val="24"/>
          <w:szCs w:val="24"/>
        </w:rPr>
        <w:t xml:space="preserve"> Bisnis</w:t>
      </w:r>
      <w:r w:rsidRPr="00337E5E">
        <w:rPr>
          <w:rFonts w:asciiTheme="majorBidi" w:hAnsiTheme="majorBidi" w:cstheme="majorBidi"/>
          <w:sz w:val="24"/>
          <w:szCs w:val="24"/>
        </w:rPr>
        <w:t xml:space="preserve">, </w:t>
      </w:r>
      <w:r w:rsidRPr="00337E5E">
        <w:rPr>
          <w:rFonts w:asciiTheme="majorBidi" w:hAnsiTheme="majorBidi" w:cstheme="majorBidi"/>
          <w:i/>
          <w:iCs/>
          <w:sz w:val="24"/>
          <w:szCs w:val="24"/>
        </w:rPr>
        <w:t>16</w:t>
      </w:r>
      <w:r w:rsidRPr="00337E5E">
        <w:rPr>
          <w:rFonts w:asciiTheme="majorBidi" w:hAnsiTheme="majorBidi" w:cstheme="majorBidi"/>
          <w:sz w:val="24"/>
          <w:szCs w:val="24"/>
        </w:rPr>
        <w:t>(2), 209–223.</w:t>
      </w:r>
    </w:p>
    <w:p w14:paraId="73C44647"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proofErr w:type="spellStart"/>
      <w:r w:rsidRPr="00337E5E">
        <w:rPr>
          <w:rFonts w:asciiTheme="majorBidi" w:hAnsiTheme="majorBidi" w:cstheme="majorBidi"/>
          <w:sz w:val="24"/>
          <w:szCs w:val="24"/>
        </w:rPr>
        <w:t>Ikatan</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Akuntan</w:t>
      </w:r>
      <w:proofErr w:type="spellEnd"/>
      <w:r w:rsidRPr="00337E5E">
        <w:rPr>
          <w:rFonts w:asciiTheme="majorBidi" w:hAnsiTheme="majorBidi" w:cstheme="majorBidi"/>
          <w:sz w:val="24"/>
          <w:szCs w:val="24"/>
        </w:rPr>
        <w:t xml:space="preserve"> Indonesia. (2002). </w:t>
      </w:r>
      <w:proofErr w:type="spellStart"/>
      <w:r w:rsidRPr="00337E5E">
        <w:rPr>
          <w:rFonts w:asciiTheme="majorBidi" w:hAnsiTheme="majorBidi" w:cstheme="majorBidi"/>
          <w:i/>
          <w:iCs/>
          <w:sz w:val="24"/>
          <w:szCs w:val="24"/>
        </w:rPr>
        <w:t>Standar</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Akuntansi</w:t>
      </w:r>
      <w:proofErr w:type="spellEnd"/>
      <w:r w:rsidRPr="00337E5E">
        <w:rPr>
          <w:rFonts w:asciiTheme="majorBidi" w:hAnsiTheme="majorBidi" w:cstheme="majorBidi"/>
          <w:i/>
          <w:iCs/>
          <w:sz w:val="24"/>
          <w:szCs w:val="24"/>
        </w:rPr>
        <w:t xml:space="preserve"> Keuangan: PSAK No. 31 </w:t>
      </w:r>
      <w:proofErr w:type="spellStart"/>
      <w:r w:rsidRPr="00337E5E">
        <w:rPr>
          <w:rFonts w:asciiTheme="majorBidi" w:hAnsiTheme="majorBidi" w:cstheme="majorBidi"/>
          <w:i/>
          <w:iCs/>
          <w:sz w:val="24"/>
          <w:szCs w:val="24"/>
        </w:rPr>
        <w:t>Perbankan</w:t>
      </w:r>
      <w:proofErr w:type="spellEnd"/>
      <w:r w:rsidRPr="00337E5E">
        <w:rPr>
          <w:rFonts w:asciiTheme="majorBidi" w:hAnsiTheme="majorBidi" w:cstheme="majorBidi"/>
          <w:sz w:val="24"/>
          <w:szCs w:val="24"/>
        </w:rPr>
        <w:t xml:space="preserve">. Jakarta: </w:t>
      </w:r>
      <w:proofErr w:type="spellStart"/>
      <w:r w:rsidRPr="00337E5E">
        <w:rPr>
          <w:rFonts w:asciiTheme="majorBidi" w:hAnsiTheme="majorBidi" w:cstheme="majorBidi"/>
          <w:sz w:val="24"/>
          <w:szCs w:val="24"/>
        </w:rPr>
        <w:t>Salemba</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Empat</w:t>
      </w:r>
      <w:proofErr w:type="spellEnd"/>
      <w:r w:rsidRPr="00337E5E">
        <w:rPr>
          <w:rFonts w:asciiTheme="majorBidi" w:hAnsiTheme="majorBidi" w:cstheme="majorBidi"/>
          <w:sz w:val="24"/>
          <w:szCs w:val="24"/>
        </w:rPr>
        <w:t>.</w:t>
      </w:r>
    </w:p>
    <w:p w14:paraId="4BC90A94"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r w:rsidRPr="00337E5E">
        <w:rPr>
          <w:rFonts w:asciiTheme="majorBidi" w:hAnsiTheme="majorBidi" w:cstheme="majorBidi"/>
          <w:sz w:val="24"/>
          <w:szCs w:val="24"/>
          <w:lang w:val="de-DE"/>
        </w:rPr>
        <w:t xml:space="preserve">Kasmir. (2016). </w:t>
      </w:r>
      <w:r w:rsidRPr="00337E5E">
        <w:rPr>
          <w:rFonts w:asciiTheme="majorBidi" w:hAnsiTheme="majorBidi" w:cstheme="majorBidi"/>
          <w:i/>
          <w:iCs/>
          <w:sz w:val="24"/>
          <w:szCs w:val="24"/>
          <w:lang w:val="de-DE"/>
        </w:rPr>
        <w:t>Manajemen sumber daya manusia: Teori dan praktik</w:t>
      </w:r>
      <w:r w:rsidRPr="00337E5E">
        <w:rPr>
          <w:rFonts w:asciiTheme="majorBidi" w:hAnsiTheme="majorBidi" w:cstheme="majorBidi"/>
          <w:sz w:val="24"/>
          <w:szCs w:val="24"/>
          <w:lang w:val="de-DE"/>
        </w:rPr>
        <w:t xml:space="preserve">. </w:t>
      </w:r>
      <w:r w:rsidRPr="00337E5E">
        <w:rPr>
          <w:rFonts w:asciiTheme="majorBidi" w:hAnsiTheme="majorBidi" w:cstheme="majorBidi"/>
          <w:sz w:val="24"/>
          <w:szCs w:val="24"/>
        </w:rPr>
        <w:t xml:space="preserve">Depok: </w:t>
      </w:r>
      <w:proofErr w:type="spellStart"/>
      <w:r w:rsidRPr="00337E5E">
        <w:rPr>
          <w:rFonts w:asciiTheme="majorBidi" w:hAnsiTheme="majorBidi" w:cstheme="majorBidi"/>
          <w:sz w:val="24"/>
          <w:szCs w:val="24"/>
        </w:rPr>
        <w:t>Rajagrafindo</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Persada</w:t>
      </w:r>
      <w:proofErr w:type="spellEnd"/>
      <w:r w:rsidRPr="00337E5E">
        <w:rPr>
          <w:rFonts w:asciiTheme="majorBidi" w:hAnsiTheme="majorBidi" w:cstheme="majorBidi"/>
          <w:sz w:val="24"/>
          <w:szCs w:val="24"/>
        </w:rPr>
        <w:t>.</w:t>
      </w:r>
    </w:p>
    <w:p w14:paraId="7AA7A21C"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proofErr w:type="spellStart"/>
      <w:r w:rsidRPr="00337E5E">
        <w:rPr>
          <w:rFonts w:asciiTheme="majorBidi" w:hAnsiTheme="majorBidi" w:cstheme="majorBidi"/>
          <w:sz w:val="24"/>
          <w:szCs w:val="24"/>
        </w:rPr>
        <w:t>Kieso</w:t>
      </w:r>
      <w:proofErr w:type="spellEnd"/>
      <w:r w:rsidRPr="00337E5E">
        <w:rPr>
          <w:rFonts w:asciiTheme="majorBidi" w:hAnsiTheme="majorBidi" w:cstheme="majorBidi"/>
          <w:sz w:val="24"/>
          <w:szCs w:val="24"/>
        </w:rPr>
        <w:t xml:space="preserve">, D. E., Weygandt, J. J., &amp; Warfield, T. D. (2013). </w:t>
      </w:r>
      <w:r w:rsidRPr="00337E5E">
        <w:rPr>
          <w:rFonts w:asciiTheme="majorBidi" w:hAnsiTheme="majorBidi" w:cstheme="majorBidi"/>
          <w:i/>
          <w:iCs/>
          <w:sz w:val="24"/>
          <w:szCs w:val="24"/>
        </w:rPr>
        <w:t>Intermediate accounting</w:t>
      </w:r>
      <w:r w:rsidRPr="00337E5E">
        <w:rPr>
          <w:rFonts w:asciiTheme="majorBidi" w:hAnsiTheme="majorBidi" w:cstheme="majorBidi"/>
          <w:sz w:val="24"/>
          <w:szCs w:val="24"/>
        </w:rPr>
        <w:t xml:space="preserve"> (15th ed.). New Jersey: John Wiley &amp; Sons.</w:t>
      </w:r>
    </w:p>
    <w:p w14:paraId="0C02FDEB"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proofErr w:type="spellStart"/>
      <w:r w:rsidRPr="00337E5E">
        <w:rPr>
          <w:rFonts w:asciiTheme="majorBidi" w:hAnsiTheme="majorBidi" w:cstheme="majorBidi"/>
          <w:sz w:val="24"/>
          <w:szCs w:val="24"/>
        </w:rPr>
        <w:t>Kieso</w:t>
      </w:r>
      <w:proofErr w:type="spellEnd"/>
      <w:r w:rsidRPr="00337E5E">
        <w:rPr>
          <w:rFonts w:asciiTheme="majorBidi" w:hAnsiTheme="majorBidi" w:cstheme="majorBidi"/>
          <w:sz w:val="24"/>
          <w:szCs w:val="24"/>
        </w:rPr>
        <w:t xml:space="preserve">, D. E., Weygandt, J. J., Warfield, T. D., Wiecek, I. M., &amp; McConomy, B. J. (2019). </w:t>
      </w:r>
      <w:r w:rsidRPr="00337E5E">
        <w:rPr>
          <w:rFonts w:asciiTheme="majorBidi" w:hAnsiTheme="majorBidi" w:cstheme="majorBidi"/>
          <w:i/>
          <w:iCs/>
          <w:sz w:val="24"/>
          <w:szCs w:val="24"/>
        </w:rPr>
        <w:t>Intermediate accounting</w:t>
      </w:r>
      <w:r w:rsidRPr="00337E5E">
        <w:rPr>
          <w:rFonts w:asciiTheme="majorBidi" w:hAnsiTheme="majorBidi" w:cstheme="majorBidi"/>
          <w:sz w:val="24"/>
          <w:szCs w:val="24"/>
        </w:rPr>
        <w:t xml:space="preserve"> (IFRS ed.). Hoboken, NJ: John Wiley &amp; Sons.</w:t>
      </w:r>
    </w:p>
    <w:p w14:paraId="69D3C9A8"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r w:rsidRPr="00337E5E">
        <w:rPr>
          <w:rFonts w:asciiTheme="majorBidi" w:hAnsiTheme="majorBidi" w:cstheme="majorBidi"/>
          <w:sz w:val="24"/>
          <w:szCs w:val="24"/>
        </w:rPr>
        <w:t xml:space="preserve">Melani, A. (2017, September 22). </w:t>
      </w:r>
      <w:r w:rsidRPr="00337E5E">
        <w:rPr>
          <w:rFonts w:asciiTheme="majorBidi" w:hAnsiTheme="majorBidi" w:cstheme="majorBidi"/>
          <w:sz w:val="24"/>
          <w:szCs w:val="24"/>
          <w:lang w:val="de-DE"/>
        </w:rPr>
        <w:t xml:space="preserve">Belum sampaikan laporan keuangan, BEI suspensi 17 saham emiten. </w:t>
      </w:r>
      <w:r w:rsidRPr="00337E5E">
        <w:rPr>
          <w:rFonts w:asciiTheme="majorBidi" w:hAnsiTheme="majorBidi" w:cstheme="majorBidi"/>
          <w:i/>
          <w:iCs/>
          <w:sz w:val="24"/>
          <w:szCs w:val="24"/>
        </w:rPr>
        <w:t>Liputan6.com</w:t>
      </w:r>
      <w:r w:rsidRPr="00337E5E">
        <w:rPr>
          <w:rFonts w:asciiTheme="majorBidi" w:hAnsiTheme="majorBidi" w:cstheme="majorBidi"/>
          <w:sz w:val="24"/>
          <w:szCs w:val="24"/>
        </w:rPr>
        <w:t xml:space="preserve">. Retrieved from </w:t>
      </w:r>
      <w:hyperlink r:id="rId145" w:history="1">
        <w:r w:rsidRPr="00337E5E">
          <w:rPr>
            <w:rStyle w:val="Hyperlink"/>
            <w:rFonts w:asciiTheme="majorBidi" w:hAnsiTheme="majorBidi" w:cstheme="majorBidi"/>
            <w:color w:val="auto"/>
            <w:sz w:val="24"/>
            <w:szCs w:val="24"/>
            <w:u w:val="none"/>
          </w:rPr>
          <w:t>http://www.liputan6.com</w:t>
        </w:r>
      </w:hyperlink>
    </w:p>
    <w:p w14:paraId="7CEC0F17"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proofErr w:type="spellStart"/>
      <w:r w:rsidRPr="00337E5E">
        <w:rPr>
          <w:rFonts w:asciiTheme="majorBidi" w:hAnsiTheme="majorBidi" w:cstheme="majorBidi"/>
          <w:sz w:val="24"/>
          <w:szCs w:val="24"/>
        </w:rPr>
        <w:t>Nabhani</w:t>
      </w:r>
      <w:proofErr w:type="spellEnd"/>
      <w:r w:rsidRPr="00337E5E">
        <w:rPr>
          <w:rFonts w:asciiTheme="majorBidi" w:hAnsiTheme="majorBidi" w:cstheme="majorBidi"/>
          <w:sz w:val="24"/>
          <w:szCs w:val="24"/>
        </w:rPr>
        <w:t xml:space="preserve">, A. (2015, September 22). </w:t>
      </w:r>
      <w:r w:rsidRPr="00337E5E">
        <w:rPr>
          <w:rFonts w:asciiTheme="majorBidi" w:hAnsiTheme="majorBidi" w:cstheme="majorBidi"/>
          <w:sz w:val="24"/>
          <w:szCs w:val="24"/>
          <w:lang w:val="de-DE"/>
        </w:rPr>
        <w:t xml:space="preserve">Payah, 52 emiten telat laporkan keuangan. </w:t>
      </w:r>
      <w:r w:rsidRPr="00337E5E">
        <w:rPr>
          <w:rFonts w:asciiTheme="majorBidi" w:hAnsiTheme="majorBidi" w:cstheme="majorBidi"/>
          <w:i/>
          <w:iCs/>
          <w:sz w:val="24"/>
          <w:szCs w:val="24"/>
        </w:rPr>
        <w:t>Harian Ekonomi Neraca</w:t>
      </w:r>
      <w:r w:rsidRPr="00337E5E">
        <w:rPr>
          <w:rFonts w:asciiTheme="majorBidi" w:hAnsiTheme="majorBidi" w:cstheme="majorBidi"/>
          <w:sz w:val="24"/>
          <w:szCs w:val="24"/>
        </w:rPr>
        <w:t xml:space="preserve">. Retrieved from </w:t>
      </w:r>
      <w:hyperlink r:id="rId146" w:history="1">
        <w:r w:rsidRPr="00337E5E">
          <w:rPr>
            <w:rStyle w:val="Hyperlink"/>
            <w:rFonts w:asciiTheme="majorBidi" w:hAnsiTheme="majorBidi" w:cstheme="majorBidi"/>
            <w:color w:val="auto"/>
            <w:sz w:val="24"/>
            <w:szCs w:val="24"/>
            <w:u w:val="none"/>
          </w:rPr>
          <w:t>http://www.neraca.co.id/article/52481</w:t>
        </w:r>
      </w:hyperlink>
    </w:p>
    <w:p w14:paraId="070BD620"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r w:rsidRPr="00337E5E">
        <w:rPr>
          <w:rFonts w:asciiTheme="majorBidi" w:hAnsiTheme="majorBidi" w:cstheme="majorBidi"/>
          <w:sz w:val="24"/>
          <w:szCs w:val="24"/>
          <w:lang w:val="de-DE"/>
        </w:rPr>
        <w:t xml:space="preserve">Nahdiya, L., Suyono, E., &amp; Wulandari, R. A. S. (2022). </w:t>
      </w:r>
      <w:r w:rsidRPr="00337E5E">
        <w:rPr>
          <w:rFonts w:asciiTheme="majorBidi" w:hAnsiTheme="majorBidi" w:cstheme="majorBidi"/>
          <w:sz w:val="24"/>
          <w:szCs w:val="24"/>
        </w:rPr>
        <w:t xml:space="preserve">The effect of firm size, profitability and solvability toward audit delay with industry specialist auditor as moderating variable. </w:t>
      </w:r>
      <w:r w:rsidRPr="00337E5E">
        <w:rPr>
          <w:rFonts w:asciiTheme="majorBidi" w:hAnsiTheme="majorBidi" w:cstheme="majorBidi"/>
          <w:i/>
          <w:iCs/>
          <w:sz w:val="24"/>
          <w:szCs w:val="24"/>
        </w:rPr>
        <w:t>International Conference on Sustainable Competitive Advantage</w:t>
      </w:r>
      <w:r w:rsidRPr="00337E5E">
        <w:rPr>
          <w:rFonts w:asciiTheme="majorBidi" w:hAnsiTheme="majorBidi" w:cstheme="majorBidi"/>
          <w:sz w:val="24"/>
          <w:szCs w:val="24"/>
        </w:rPr>
        <w:t xml:space="preserve">, </w:t>
      </w:r>
      <w:r w:rsidRPr="00337E5E">
        <w:rPr>
          <w:rFonts w:asciiTheme="majorBidi" w:hAnsiTheme="majorBidi" w:cstheme="majorBidi"/>
          <w:i/>
          <w:iCs/>
          <w:sz w:val="24"/>
          <w:szCs w:val="24"/>
        </w:rPr>
        <w:t>12</w:t>
      </w:r>
      <w:r w:rsidRPr="00337E5E">
        <w:rPr>
          <w:rFonts w:asciiTheme="majorBidi" w:hAnsiTheme="majorBidi" w:cstheme="majorBidi"/>
          <w:sz w:val="24"/>
          <w:szCs w:val="24"/>
        </w:rPr>
        <w:t>(1), 1–14.</w:t>
      </w:r>
    </w:p>
    <w:p w14:paraId="6C224B56"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r w:rsidRPr="00337E5E">
        <w:rPr>
          <w:rFonts w:asciiTheme="majorBidi" w:hAnsiTheme="majorBidi" w:cstheme="majorBidi"/>
          <w:sz w:val="24"/>
          <w:szCs w:val="24"/>
        </w:rPr>
        <w:t xml:space="preserve">Niresh, J. A., &amp; </w:t>
      </w:r>
      <w:proofErr w:type="spellStart"/>
      <w:r w:rsidRPr="00337E5E">
        <w:rPr>
          <w:rFonts w:asciiTheme="majorBidi" w:hAnsiTheme="majorBidi" w:cstheme="majorBidi"/>
          <w:sz w:val="24"/>
          <w:szCs w:val="24"/>
        </w:rPr>
        <w:t>Velnampy</w:t>
      </w:r>
      <w:proofErr w:type="spellEnd"/>
      <w:r w:rsidRPr="00337E5E">
        <w:rPr>
          <w:rFonts w:asciiTheme="majorBidi" w:hAnsiTheme="majorBidi" w:cstheme="majorBidi"/>
          <w:sz w:val="24"/>
          <w:szCs w:val="24"/>
        </w:rPr>
        <w:t xml:space="preserve">, T. (2014). Firm size and profitability: A study of listed manufacturing firms in Sri Lanka. </w:t>
      </w:r>
      <w:r w:rsidRPr="00337E5E">
        <w:rPr>
          <w:rFonts w:asciiTheme="majorBidi" w:hAnsiTheme="majorBidi" w:cstheme="majorBidi"/>
          <w:i/>
          <w:iCs/>
          <w:sz w:val="24"/>
          <w:szCs w:val="24"/>
        </w:rPr>
        <w:t>International Journal of Business and Management</w:t>
      </w:r>
      <w:r w:rsidRPr="00337E5E">
        <w:rPr>
          <w:rFonts w:asciiTheme="majorBidi" w:hAnsiTheme="majorBidi" w:cstheme="majorBidi"/>
          <w:sz w:val="24"/>
          <w:szCs w:val="24"/>
        </w:rPr>
        <w:t xml:space="preserve">, </w:t>
      </w:r>
      <w:r w:rsidRPr="00337E5E">
        <w:rPr>
          <w:rFonts w:asciiTheme="majorBidi" w:hAnsiTheme="majorBidi" w:cstheme="majorBidi"/>
          <w:i/>
          <w:iCs/>
          <w:sz w:val="24"/>
          <w:szCs w:val="24"/>
        </w:rPr>
        <w:t>9</w:t>
      </w:r>
      <w:r w:rsidRPr="00337E5E">
        <w:rPr>
          <w:rFonts w:asciiTheme="majorBidi" w:hAnsiTheme="majorBidi" w:cstheme="majorBidi"/>
          <w:sz w:val="24"/>
          <w:szCs w:val="24"/>
        </w:rPr>
        <w:t>(4), 57–64.</w:t>
      </w:r>
    </w:p>
    <w:p w14:paraId="7AB1078B"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proofErr w:type="spellStart"/>
      <w:r w:rsidRPr="00337E5E">
        <w:rPr>
          <w:rFonts w:asciiTheme="majorBidi" w:hAnsiTheme="majorBidi" w:cstheme="majorBidi"/>
          <w:sz w:val="24"/>
          <w:szCs w:val="24"/>
        </w:rPr>
        <w:t>Novit</w:t>
      </w:r>
      <w:proofErr w:type="spellEnd"/>
      <w:r w:rsidRPr="00337E5E">
        <w:rPr>
          <w:rFonts w:asciiTheme="majorBidi" w:hAnsiTheme="majorBidi" w:cstheme="majorBidi"/>
          <w:sz w:val="24"/>
          <w:szCs w:val="24"/>
        </w:rPr>
        <w:t xml:space="preserve">, F. L. (2016). </w:t>
      </w:r>
      <w:r w:rsidRPr="00337E5E">
        <w:rPr>
          <w:rFonts w:asciiTheme="majorBidi" w:hAnsiTheme="majorBidi" w:cstheme="majorBidi"/>
          <w:i/>
          <w:iCs/>
          <w:sz w:val="24"/>
          <w:szCs w:val="24"/>
        </w:rPr>
        <w:t>Faktor-</w:t>
      </w:r>
      <w:proofErr w:type="spellStart"/>
      <w:r w:rsidRPr="00337E5E">
        <w:rPr>
          <w:rFonts w:asciiTheme="majorBidi" w:hAnsiTheme="majorBidi" w:cstheme="majorBidi"/>
          <w:i/>
          <w:iCs/>
          <w:sz w:val="24"/>
          <w:szCs w:val="24"/>
        </w:rPr>
        <w:t>faktor</w:t>
      </w:r>
      <w:proofErr w:type="spellEnd"/>
      <w:r w:rsidRPr="00337E5E">
        <w:rPr>
          <w:rFonts w:asciiTheme="majorBidi" w:hAnsiTheme="majorBidi" w:cstheme="majorBidi"/>
          <w:i/>
          <w:iCs/>
          <w:sz w:val="24"/>
          <w:szCs w:val="24"/>
        </w:rPr>
        <w:t xml:space="preserve"> yang </w:t>
      </w:r>
      <w:proofErr w:type="spellStart"/>
      <w:r w:rsidRPr="00337E5E">
        <w:rPr>
          <w:rFonts w:asciiTheme="majorBidi" w:hAnsiTheme="majorBidi" w:cstheme="majorBidi"/>
          <w:i/>
          <w:iCs/>
          <w:sz w:val="24"/>
          <w:szCs w:val="24"/>
        </w:rPr>
        <w:t>mempengaruhi</w:t>
      </w:r>
      <w:proofErr w:type="spellEnd"/>
      <w:r w:rsidRPr="00337E5E">
        <w:rPr>
          <w:rFonts w:asciiTheme="majorBidi" w:hAnsiTheme="majorBidi" w:cstheme="majorBidi"/>
          <w:i/>
          <w:iCs/>
          <w:sz w:val="24"/>
          <w:szCs w:val="24"/>
        </w:rPr>
        <w:t xml:space="preserve"> audit delay (Studi </w:t>
      </w:r>
      <w:proofErr w:type="spellStart"/>
      <w:r w:rsidRPr="00337E5E">
        <w:rPr>
          <w:rFonts w:asciiTheme="majorBidi" w:hAnsiTheme="majorBidi" w:cstheme="majorBidi"/>
          <w:i/>
          <w:iCs/>
          <w:sz w:val="24"/>
          <w:szCs w:val="24"/>
        </w:rPr>
        <w:t>kasus</w:t>
      </w:r>
      <w:proofErr w:type="spellEnd"/>
      <w:r w:rsidRPr="00337E5E">
        <w:rPr>
          <w:rFonts w:asciiTheme="majorBidi" w:hAnsiTheme="majorBidi" w:cstheme="majorBidi"/>
          <w:i/>
          <w:iCs/>
          <w:sz w:val="24"/>
          <w:szCs w:val="24"/>
        </w:rPr>
        <w:t xml:space="preserve"> pada </w:t>
      </w:r>
      <w:proofErr w:type="spellStart"/>
      <w:r w:rsidRPr="00337E5E">
        <w:rPr>
          <w:rFonts w:asciiTheme="majorBidi" w:hAnsiTheme="majorBidi" w:cstheme="majorBidi"/>
          <w:i/>
          <w:iCs/>
          <w:sz w:val="24"/>
          <w:szCs w:val="24"/>
        </w:rPr>
        <w:t>perusahaan</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manufaktur</w:t>
      </w:r>
      <w:proofErr w:type="spellEnd"/>
      <w:r w:rsidRPr="00337E5E">
        <w:rPr>
          <w:rFonts w:asciiTheme="majorBidi" w:hAnsiTheme="majorBidi" w:cstheme="majorBidi"/>
          <w:i/>
          <w:iCs/>
          <w:sz w:val="24"/>
          <w:szCs w:val="24"/>
        </w:rPr>
        <w:t xml:space="preserve"> yang </w:t>
      </w:r>
      <w:proofErr w:type="spellStart"/>
      <w:r w:rsidRPr="00337E5E">
        <w:rPr>
          <w:rFonts w:asciiTheme="majorBidi" w:hAnsiTheme="majorBidi" w:cstheme="majorBidi"/>
          <w:i/>
          <w:iCs/>
          <w:sz w:val="24"/>
          <w:szCs w:val="24"/>
        </w:rPr>
        <w:t>terdaftar</w:t>
      </w:r>
      <w:proofErr w:type="spellEnd"/>
      <w:r w:rsidRPr="00337E5E">
        <w:rPr>
          <w:rFonts w:asciiTheme="majorBidi" w:hAnsiTheme="majorBidi" w:cstheme="majorBidi"/>
          <w:i/>
          <w:iCs/>
          <w:sz w:val="24"/>
          <w:szCs w:val="24"/>
        </w:rPr>
        <w:t xml:space="preserve"> di Bursa </w:t>
      </w:r>
      <w:proofErr w:type="spellStart"/>
      <w:r w:rsidRPr="00337E5E">
        <w:rPr>
          <w:rFonts w:asciiTheme="majorBidi" w:hAnsiTheme="majorBidi" w:cstheme="majorBidi"/>
          <w:i/>
          <w:iCs/>
          <w:sz w:val="24"/>
          <w:szCs w:val="24"/>
        </w:rPr>
        <w:t>Efek</w:t>
      </w:r>
      <w:proofErr w:type="spellEnd"/>
      <w:r w:rsidRPr="00337E5E">
        <w:rPr>
          <w:rFonts w:asciiTheme="majorBidi" w:hAnsiTheme="majorBidi" w:cstheme="majorBidi"/>
          <w:i/>
          <w:iCs/>
          <w:sz w:val="24"/>
          <w:szCs w:val="24"/>
        </w:rPr>
        <w:t xml:space="preserve"> Indonesia </w:t>
      </w:r>
      <w:proofErr w:type="spellStart"/>
      <w:r w:rsidRPr="00337E5E">
        <w:rPr>
          <w:rFonts w:asciiTheme="majorBidi" w:hAnsiTheme="majorBidi" w:cstheme="majorBidi"/>
          <w:i/>
          <w:iCs/>
          <w:sz w:val="24"/>
          <w:szCs w:val="24"/>
        </w:rPr>
        <w:t>tahun</w:t>
      </w:r>
      <w:proofErr w:type="spellEnd"/>
      <w:r w:rsidRPr="00337E5E">
        <w:rPr>
          <w:rFonts w:asciiTheme="majorBidi" w:hAnsiTheme="majorBidi" w:cstheme="majorBidi"/>
          <w:i/>
          <w:iCs/>
          <w:sz w:val="24"/>
          <w:szCs w:val="24"/>
        </w:rPr>
        <w:t xml:space="preserve"> 2013–2015)</w:t>
      </w:r>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Skripsi</w:t>
      </w:r>
      <w:proofErr w:type="spellEnd"/>
      <w:r w:rsidRPr="00337E5E">
        <w:rPr>
          <w:rFonts w:asciiTheme="majorBidi" w:hAnsiTheme="majorBidi" w:cstheme="majorBidi"/>
          <w:sz w:val="24"/>
          <w:szCs w:val="24"/>
        </w:rPr>
        <w:t xml:space="preserve">, Universitas Muhammadiyah Surakarta]. </w:t>
      </w:r>
      <w:hyperlink r:id="rId147" w:history="1">
        <w:r w:rsidRPr="00337E5E">
          <w:rPr>
            <w:rStyle w:val="Hyperlink"/>
            <w:rFonts w:asciiTheme="majorBidi" w:hAnsiTheme="majorBidi" w:cstheme="majorBidi"/>
            <w:color w:val="auto"/>
            <w:sz w:val="24"/>
            <w:szCs w:val="24"/>
            <w:u w:val="none"/>
          </w:rPr>
          <w:t>http://eprints.ums.ac.id/46088/</w:t>
        </w:r>
      </w:hyperlink>
    </w:p>
    <w:p w14:paraId="747B4F83"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r w:rsidRPr="00337E5E">
        <w:rPr>
          <w:rFonts w:asciiTheme="majorBidi" w:hAnsiTheme="majorBidi" w:cstheme="majorBidi"/>
          <w:sz w:val="24"/>
          <w:szCs w:val="24"/>
        </w:rPr>
        <w:t xml:space="preserve">Owusu-Ansah, S. (2000). Timeliness of corporate financial reporting in emerging capital markets: Empirical evidence from the Zimbabwe Stock Exchange. </w:t>
      </w:r>
      <w:r w:rsidRPr="00337E5E">
        <w:rPr>
          <w:rFonts w:asciiTheme="majorBidi" w:hAnsiTheme="majorBidi" w:cstheme="majorBidi"/>
          <w:i/>
          <w:iCs/>
          <w:sz w:val="24"/>
          <w:szCs w:val="24"/>
        </w:rPr>
        <w:t>Accounting and Business Research</w:t>
      </w:r>
      <w:r w:rsidRPr="00337E5E">
        <w:rPr>
          <w:rFonts w:asciiTheme="majorBidi" w:hAnsiTheme="majorBidi" w:cstheme="majorBidi"/>
          <w:sz w:val="24"/>
          <w:szCs w:val="24"/>
        </w:rPr>
        <w:t xml:space="preserve">, </w:t>
      </w:r>
      <w:r w:rsidRPr="00337E5E">
        <w:rPr>
          <w:rFonts w:asciiTheme="majorBidi" w:hAnsiTheme="majorBidi" w:cstheme="majorBidi"/>
          <w:i/>
          <w:iCs/>
          <w:sz w:val="24"/>
          <w:szCs w:val="24"/>
        </w:rPr>
        <w:t>30</w:t>
      </w:r>
      <w:r w:rsidRPr="00337E5E">
        <w:rPr>
          <w:rFonts w:asciiTheme="majorBidi" w:hAnsiTheme="majorBidi" w:cstheme="majorBidi"/>
          <w:sz w:val="24"/>
          <w:szCs w:val="24"/>
        </w:rPr>
        <w:t>(3), 241–254. https://doi.org/10.1080/00014788.2000.9728945</w:t>
      </w:r>
    </w:p>
    <w:p w14:paraId="39A643B6"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proofErr w:type="spellStart"/>
      <w:r w:rsidRPr="00337E5E">
        <w:rPr>
          <w:rFonts w:asciiTheme="majorBidi" w:hAnsiTheme="majorBidi" w:cstheme="majorBidi"/>
          <w:sz w:val="24"/>
          <w:szCs w:val="24"/>
        </w:rPr>
        <w:t>Pasopati</w:t>
      </w:r>
      <w:proofErr w:type="spellEnd"/>
      <w:r w:rsidRPr="00337E5E">
        <w:rPr>
          <w:rFonts w:asciiTheme="majorBidi" w:hAnsiTheme="majorBidi" w:cstheme="majorBidi"/>
          <w:sz w:val="24"/>
          <w:szCs w:val="24"/>
        </w:rPr>
        <w:t xml:space="preserve">, G. (2016, Juni 30). </w:t>
      </w:r>
      <w:r w:rsidRPr="00337E5E">
        <w:rPr>
          <w:rFonts w:asciiTheme="majorBidi" w:hAnsiTheme="majorBidi" w:cstheme="majorBidi"/>
          <w:sz w:val="24"/>
          <w:szCs w:val="24"/>
          <w:lang w:val="de-DE"/>
        </w:rPr>
        <w:t xml:space="preserve">Telat sampaikan lapkeu, BEI suspensi saham 18 perusahaan. </w:t>
      </w:r>
      <w:r w:rsidRPr="00337E5E">
        <w:rPr>
          <w:rFonts w:asciiTheme="majorBidi" w:hAnsiTheme="majorBidi" w:cstheme="majorBidi"/>
          <w:i/>
          <w:iCs/>
          <w:sz w:val="24"/>
          <w:szCs w:val="24"/>
        </w:rPr>
        <w:t>CNN Indonesia</w:t>
      </w:r>
      <w:r w:rsidRPr="00337E5E">
        <w:rPr>
          <w:rFonts w:asciiTheme="majorBidi" w:hAnsiTheme="majorBidi" w:cstheme="majorBidi"/>
          <w:sz w:val="24"/>
          <w:szCs w:val="24"/>
        </w:rPr>
        <w:t xml:space="preserve">. Retrieved from </w:t>
      </w:r>
      <w:hyperlink r:id="rId148" w:history="1">
        <w:r w:rsidRPr="00337E5E">
          <w:rPr>
            <w:rStyle w:val="Hyperlink"/>
            <w:rFonts w:asciiTheme="majorBidi" w:hAnsiTheme="majorBidi" w:cstheme="majorBidi"/>
            <w:color w:val="auto"/>
            <w:sz w:val="24"/>
            <w:szCs w:val="24"/>
            <w:u w:val="none"/>
          </w:rPr>
          <w:t>https://www.cnnindonesia.com</w:t>
        </w:r>
      </w:hyperlink>
    </w:p>
    <w:p w14:paraId="3A805EFB"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proofErr w:type="spellStart"/>
      <w:r w:rsidRPr="00337E5E">
        <w:rPr>
          <w:rFonts w:asciiTheme="majorBidi" w:hAnsiTheme="majorBidi" w:cstheme="majorBidi"/>
          <w:sz w:val="24"/>
          <w:szCs w:val="24"/>
        </w:rPr>
        <w:t>Polii</w:t>
      </w:r>
      <w:proofErr w:type="spellEnd"/>
      <w:r w:rsidRPr="00337E5E">
        <w:rPr>
          <w:rFonts w:asciiTheme="majorBidi" w:hAnsiTheme="majorBidi" w:cstheme="majorBidi"/>
          <w:sz w:val="24"/>
          <w:szCs w:val="24"/>
        </w:rPr>
        <w:t xml:space="preserve">, H. R. L., </w:t>
      </w:r>
      <w:proofErr w:type="spellStart"/>
      <w:r w:rsidRPr="00337E5E">
        <w:rPr>
          <w:rFonts w:asciiTheme="majorBidi" w:hAnsiTheme="majorBidi" w:cstheme="majorBidi"/>
          <w:sz w:val="24"/>
          <w:szCs w:val="24"/>
        </w:rPr>
        <w:t>Morasa</w:t>
      </w:r>
      <w:proofErr w:type="spellEnd"/>
      <w:r w:rsidRPr="00337E5E">
        <w:rPr>
          <w:rFonts w:asciiTheme="majorBidi" w:hAnsiTheme="majorBidi" w:cstheme="majorBidi"/>
          <w:sz w:val="24"/>
          <w:szCs w:val="24"/>
        </w:rPr>
        <w:t xml:space="preserve">, J., &amp; Wokas, H. R. W. (2023). </w:t>
      </w:r>
      <w:proofErr w:type="spellStart"/>
      <w:r w:rsidRPr="00337E5E">
        <w:rPr>
          <w:rFonts w:asciiTheme="majorBidi" w:hAnsiTheme="majorBidi" w:cstheme="majorBidi"/>
          <w:sz w:val="24"/>
          <w:szCs w:val="24"/>
        </w:rPr>
        <w:t>Unraveling</w:t>
      </w:r>
      <w:proofErr w:type="spellEnd"/>
      <w:r w:rsidRPr="00337E5E">
        <w:rPr>
          <w:rFonts w:asciiTheme="majorBidi" w:hAnsiTheme="majorBidi" w:cstheme="majorBidi"/>
          <w:sz w:val="24"/>
          <w:szCs w:val="24"/>
        </w:rPr>
        <w:t xml:space="preserve"> the mystery of audit delay: How financial performance and non-financial factors affect audit timing. </w:t>
      </w:r>
      <w:r w:rsidRPr="00337E5E">
        <w:rPr>
          <w:rFonts w:asciiTheme="majorBidi" w:hAnsiTheme="majorBidi" w:cstheme="majorBidi"/>
          <w:i/>
          <w:iCs/>
          <w:sz w:val="24"/>
          <w:szCs w:val="24"/>
        </w:rPr>
        <w:t>Accountability</w:t>
      </w:r>
      <w:r w:rsidRPr="00337E5E">
        <w:rPr>
          <w:rFonts w:asciiTheme="majorBidi" w:hAnsiTheme="majorBidi" w:cstheme="majorBidi"/>
          <w:sz w:val="24"/>
          <w:szCs w:val="24"/>
        </w:rPr>
        <w:t xml:space="preserve">, </w:t>
      </w:r>
      <w:r w:rsidRPr="00337E5E">
        <w:rPr>
          <w:rFonts w:asciiTheme="majorBidi" w:hAnsiTheme="majorBidi" w:cstheme="majorBidi"/>
          <w:i/>
          <w:iCs/>
          <w:sz w:val="24"/>
          <w:szCs w:val="24"/>
        </w:rPr>
        <w:t>12</w:t>
      </w:r>
      <w:r w:rsidRPr="00337E5E">
        <w:rPr>
          <w:rFonts w:asciiTheme="majorBidi" w:hAnsiTheme="majorBidi" w:cstheme="majorBidi"/>
          <w:sz w:val="24"/>
          <w:szCs w:val="24"/>
        </w:rPr>
        <w:t>(2), 15–25.</w:t>
      </w:r>
    </w:p>
    <w:p w14:paraId="69C8900F"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proofErr w:type="spellStart"/>
      <w:r w:rsidRPr="00337E5E">
        <w:rPr>
          <w:rFonts w:asciiTheme="majorBidi" w:hAnsiTheme="majorBidi" w:cstheme="majorBidi"/>
          <w:sz w:val="24"/>
          <w:szCs w:val="24"/>
        </w:rPr>
        <w:t>Purba</w:t>
      </w:r>
      <w:proofErr w:type="spellEnd"/>
      <w:r w:rsidRPr="00337E5E">
        <w:rPr>
          <w:rFonts w:asciiTheme="majorBidi" w:hAnsiTheme="majorBidi" w:cstheme="majorBidi"/>
          <w:sz w:val="24"/>
          <w:szCs w:val="24"/>
        </w:rPr>
        <w:t xml:space="preserve">, D. M. (2018). </w:t>
      </w:r>
      <w:proofErr w:type="spellStart"/>
      <w:r w:rsidRPr="00337E5E">
        <w:rPr>
          <w:rFonts w:asciiTheme="majorBidi" w:hAnsiTheme="majorBidi" w:cstheme="majorBidi"/>
          <w:sz w:val="24"/>
          <w:szCs w:val="24"/>
        </w:rPr>
        <w:t>Pengaruh</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profitabilitas</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struktur</w:t>
      </w:r>
      <w:proofErr w:type="spellEnd"/>
      <w:r w:rsidRPr="00337E5E">
        <w:rPr>
          <w:rFonts w:asciiTheme="majorBidi" w:hAnsiTheme="majorBidi" w:cstheme="majorBidi"/>
          <w:sz w:val="24"/>
          <w:szCs w:val="24"/>
        </w:rPr>
        <w:t xml:space="preserve"> good corporate governance dan </w:t>
      </w:r>
      <w:proofErr w:type="spellStart"/>
      <w:r w:rsidRPr="00337E5E">
        <w:rPr>
          <w:rFonts w:asciiTheme="majorBidi" w:hAnsiTheme="majorBidi" w:cstheme="majorBidi"/>
          <w:sz w:val="24"/>
          <w:szCs w:val="24"/>
        </w:rPr>
        <w:t>kualitas</w:t>
      </w:r>
      <w:proofErr w:type="spellEnd"/>
      <w:r w:rsidRPr="00337E5E">
        <w:rPr>
          <w:rFonts w:asciiTheme="majorBidi" w:hAnsiTheme="majorBidi" w:cstheme="majorBidi"/>
          <w:sz w:val="24"/>
          <w:szCs w:val="24"/>
        </w:rPr>
        <w:t xml:space="preserve"> audit </w:t>
      </w:r>
      <w:proofErr w:type="spellStart"/>
      <w:r w:rsidRPr="00337E5E">
        <w:rPr>
          <w:rFonts w:asciiTheme="majorBidi" w:hAnsiTheme="majorBidi" w:cstheme="majorBidi"/>
          <w:sz w:val="24"/>
          <w:szCs w:val="24"/>
        </w:rPr>
        <w:t>terhadap</w:t>
      </w:r>
      <w:proofErr w:type="spellEnd"/>
      <w:r w:rsidRPr="00337E5E">
        <w:rPr>
          <w:rFonts w:asciiTheme="majorBidi" w:hAnsiTheme="majorBidi" w:cstheme="majorBidi"/>
          <w:sz w:val="24"/>
          <w:szCs w:val="24"/>
        </w:rPr>
        <w:t xml:space="preserve"> audit delay. </w:t>
      </w:r>
      <w:r w:rsidRPr="00337E5E">
        <w:rPr>
          <w:rFonts w:asciiTheme="majorBidi" w:hAnsiTheme="majorBidi" w:cstheme="majorBidi"/>
          <w:i/>
          <w:iCs/>
          <w:sz w:val="24"/>
          <w:szCs w:val="24"/>
        </w:rPr>
        <w:t xml:space="preserve">JIAKES: </w:t>
      </w:r>
      <w:proofErr w:type="spellStart"/>
      <w:r w:rsidRPr="00337E5E">
        <w:rPr>
          <w:rFonts w:asciiTheme="majorBidi" w:hAnsiTheme="majorBidi" w:cstheme="majorBidi"/>
          <w:i/>
          <w:iCs/>
          <w:sz w:val="24"/>
          <w:szCs w:val="24"/>
        </w:rPr>
        <w:t>Jurnal</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Ilmiah</w:t>
      </w:r>
      <w:proofErr w:type="spellEnd"/>
      <w:r w:rsidRPr="00337E5E">
        <w:rPr>
          <w:rFonts w:asciiTheme="majorBidi" w:hAnsiTheme="majorBidi" w:cstheme="majorBidi"/>
          <w:i/>
          <w:iCs/>
          <w:sz w:val="24"/>
          <w:szCs w:val="24"/>
        </w:rPr>
        <w:t xml:space="preserve"> Akuntansi Kesatuan</w:t>
      </w:r>
      <w:r w:rsidRPr="00337E5E">
        <w:rPr>
          <w:rFonts w:asciiTheme="majorBidi" w:hAnsiTheme="majorBidi" w:cstheme="majorBidi"/>
          <w:sz w:val="24"/>
          <w:szCs w:val="24"/>
        </w:rPr>
        <w:t xml:space="preserve">, </w:t>
      </w:r>
      <w:r w:rsidRPr="00337E5E">
        <w:rPr>
          <w:rFonts w:asciiTheme="majorBidi" w:hAnsiTheme="majorBidi" w:cstheme="majorBidi"/>
          <w:i/>
          <w:iCs/>
          <w:sz w:val="24"/>
          <w:szCs w:val="24"/>
        </w:rPr>
        <w:t>6</w:t>
      </w:r>
      <w:r w:rsidRPr="00337E5E">
        <w:rPr>
          <w:rFonts w:asciiTheme="majorBidi" w:hAnsiTheme="majorBidi" w:cstheme="majorBidi"/>
          <w:sz w:val="24"/>
          <w:szCs w:val="24"/>
        </w:rPr>
        <w:t>(1), 9–22.</w:t>
      </w:r>
    </w:p>
    <w:p w14:paraId="4E4B7739"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r w:rsidRPr="00337E5E">
        <w:rPr>
          <w:rFonts w:asciiTheme="majorBidi" w:hAnsiTheme="majorBidi" w:cstheme="majorBidi"/>
          <w:sz w:val="24"/>
          <w:szCs w:val="24"/>
        </w:rPr>
        <w:t xml:space="preserve">Riswan, W., &amp; Serly, V. (2023). </w:t>
      </w:r>
      <w:proofErr w:type="spellStart"/>
      <w:r w:rsidRPr="00337E5E">
        <w:rPr>
          <w:rFonts w:asciiTheme="majorBidi" w:hAnsiTheme="majorBidi" w:cstheme="majorBidi"/>
          <w:sz w:val="24"/>
          <w:szCs w:val="24"/>
        </w:rPr>
        <w:t>Pengaruh</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karakteristik</w:t>
      </w:r>
      <w:proofErr w:type="spellEnd"/>
      <w:r w:rsidRPr="00337E5E">
        <w:rPr>
          <w:rFonts w:asciiTheme="majorBidi" w:hAnsiTheme="majorBidi" w:cstheme="majorBidi"/>
          <w:sz w:val="24"/>
          <w:szCs w:val="24"/>
        </w:rPr>
        <w:t xml:space="preserve"> good corporate governance </w:t>
      </w:r>
      <w:proofErr w:type="spellStart"/>
      <w:r w:rsidRPr="00337E5E">
        <w:rPr>
          <w:rFonts w:asciiTheme="majorBidi" w:hAnsiTheme="majorBidi" w:cstheme="majorBidi"/>
          <w:sz w:val="24"/>
          <w:szCs w:val="24"/>
        </w:rPr>
        <w:t>terhadap</w:t>
      </w:r>
      <w:proofErr w:type="spellEnd"/>
      <w:r w:rsidRPr="00337E5E">
        <w:rPr>
          <w:rFonts w:asciiTheme="majorBidi" w:hAnsiTheme="majorBidi" w:cstheme="majorBidi"/>
          <w:sz w:val="24"/>
          <w:szCs w:val="24"/>
        </w:rPr>
        <w:t xml:space="preserve"> audit delay pada </w:t>
      </w:r>
      <w:proofErr w:type="spellStart"/>
      <w:r w:rsidRPr="00337E5E">
        <w:rPr>
          <w:rFonts w:asciiTheme="majorBidi" w:hAnsiTheme="majorBidi" w:cstheme="majorBidi"/>
          <w:sz w:val="24"/>
          <w:szCs w:val="24"/>
        </w:rPr>
        <w:t>perbankan</w:t>
      </w:r>
      <w:proofErr w:type="spellEnd"/>
      <w:r w:rsidRPr="00337E5E">
        <w:rPr>
          <w:rFonts w:asciiTheme="majorBidi" w:hAnsiTheme="majorBidi" w:cstheme="majorBidi"/>
          <w:sz w:val="24"/>
          <w:szCs w:val="24"/>
        </w:rPr>
        <w:t xml:space="preserve"> syariah di </w:t>
      </w:r>
      <w:proofErr w:type="spellStart"/>
      <w:r w:rsidRPr="00337E5E">
        <w:rPr>
          <w:rFonts w:asciiTheme="majorBidi" w:hAnsiTheme="majorBidi" w:cstheme="majorBidi"/>
          <w:sz w:val="24"/>
          <w:szCs w:val="24"/>
        </w:rPr>
        <w:t>Otoritas</w:t>
      </w:r>
      <w:proofErr w:type="spellEnd"/>
      <w:r w:rsidRPr="00337E5E">
        <w:rPr>
          <w:rFonts w:asciiTheme="majorBidi" w:hAnsiTheme="majorBidi" w:cstheme="majorBidi"/>
          <w:sz w:val="24"/>
          <w:szCs w:val="24"/>
        </w:rPr>
        <w:t xml:space="preserve"> Jasa Keuangan. </w:t>
      </w:r>
      <w:proofErr w:type="spellStart"/>
      <w:r w:rsidRPr="00337E5E">
        <w:rPr>
          <w:rFonts w:asciiTheme="majorBidi" w:hAnsiTheme="majorBidi" w:cstheme="majorBidi"/>
          <w:i/>
          <w:iCs/>
          <w:sz w:val="24"/>
          <w:szCs w:val="24"/>
        </w:rPr>
        <w:t>Jurnal</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Eksplorasi</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Akuntansi</w:t>
      </w:r>
      <w:proofErr w:type="spellEnd"/>
      <w:r w:rsidRPr="00337E5E">
        <w:rPr>
          <w:rFonts w:asciiTheme="majorBidi" w:hAnsiTheme="majorBidi" w:cstheme="majorBidi"/>
          <w:i/>
          <w:iCs/>
          <w:sz w:val="24"/>
          <w:szCs w:val="24"/>
        </w:rPr>
        <w:t xml:space="preserve"> (JEA)</w:t>
      </w:r>
      <w:r w:rsidRPr="00337E5E">
        <w:rPr>
          <w:rFonts w:asciiTheme="majorBidi" w:hAnsiTheme="majorBidi" w:cstheme="majorBidi"/>
          <w:sz w:val="24"/>
          <w:szCs w:val="24"/>
        </w:rPr>
        <w:t xml:space="preserve">, </w:t>
      </w:r>
      <w:r w:rsidRPr="00337E5E">
        <w:rPr>
          <w:rFonts w:asciiTheme="majorBidi" w:hAnsiTheme="majorBidi" w:cstheme="majorBidi"/>
          <w:i/>
          <w:iCs/>
          <w:sz w:val="24"/>
          <w:szCs w:val="24"/>
        </w:rPr>
        <w:t>5</w:t>
      </w:r>
      <w:r w:rsidRPr="00337E5E">
        <w:rPr>
          <w:rFonts w:asciiTheme="majorBidi" w:hAnsiTheme="majorBidi" w:cstheme="majorBidi"/>
          <w:sz w:val="24"/>
          <w:szCs w:val="24"/>
        </w:rPr>
        <w:t>(1), 331–343.</w:t>
      </w:r>
    </w:p>
    <w:p w14:paraId="4029B580"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proofErr w:type="spellStart"/>
      <w:r w:rsidRPr="00337E5E">
        <w:rPr>
          <w:rFonts w:asciiTheme="majorBidi" w:hAnsiTheme="majorBidi" w:cstheme="majorBidi"/>
          <w:sz w:val="24"/>
          <w:szCs w:val="24"/>
        </w:rPr>
        <w:t>Robbitasari</w:t>
      </w:r>
      <w:proofErr w:type="spellEnd"/>
      <w:r w:rsidRPr="00337E5E">
        <w:rPr>
          <w:rFonts w:asciiTheme="majorBidi" w:hAnsiTheme="majorBidi" w:cstheme="majorBidi"/>
          <w:sz w:val="24"/>
          <w:szCs w:val="24"/>
        </w:rPr>
        <w:t xml:space="preserve">, A. P. (2013). </w:t>
      </w:r>
      <w:proofErr w:type="spellStart"/>
      <w:r w:rsidRPr="00337E5E">
        <w:rPr>
          <w:rFonts w:asciiTheme="majorBidi" w:hAnsiTheme="majorBidi" w:cstheme="majorBidi"/>
          <w:sz w:val="24"/>
          <w:szCs w:val="24"/>
        </w:rPr>
        <w:t>Pengaruh</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opini</w:t>
      </w:r>
      <w:proofErr w:type="spellEnd"/>
      <w:r w:rsidRPr="00337E5E">
        <w:rPr>
          <w:rFonts w:asciiTheme="majorBidi" w:hAnsiTheme="majorBidi" w:cstheme="majorBidi"/>
          <w:sz w:val="24"/>
          <w:szCs w:val="24"/>
        </w:rPr>
        <w:t xml:space="preserve"> audit going concern, </w:t>
      </w:r>
      <w:proofErr w:type="spellStart"/>
      <w:r w:rsidRPr="00337E5E">
        <w:rPr>
          <w:rFonts w:asciiTheme="majorBidi" w:hAnsiTheme="majorBidi" w:cstheme="majorBidi"/>
          <w:sz w:val="24"/>
          <w:szCs w:val="24"/>
        </w:rPr>
        <w:t>kepemilikan</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institusional</w:t>
      </w:r>
      <w:proofErr w:type="spellEnd"/>
      <w:r w:rsidRPr="00337E5E">
        <w:rPr>
          <w:rFonts w:asciiTheme="majorBidi" w:hAnsiTheme="majorBidi" w:cstheme="majorBidi"/>
          <w:sz w:val="24"/>
          <w:szCs w:val="24"/>
        </w:rPr>
        <w:t xml:space="preserve"> dan audit delay pada voluntary auditor switching [</w:t>
      </w:r>
      <w:proofErr w:type="spellStart"/>
      <w:r w:rsidRPr="00337E5E">
        <w:rPr>
          <w:rFonts w:asciiTheme="majorBidi" w:hAnsiTheme="majorBidi" w:cstheme="majorBidi"/>
          <w:sz w:val="24"/>
          <w:szCs w:val="24"/>
        </w:rPr>
        <w:t>Skripsi</w:t>
      </w:r>
      <w:proofErr w:type="spellEnd"/>
      <w:r w:rsidRPr="00337E5E">
        <w:rPr>
          <w:rFonts w:asciiTheme="majorBidi" w:hAnsiTheme="majorBidi" w:cstheme="majorBidi"/>
          <w:sz w:val="24"/>
          <w:szCs w:val="24"/>
        </w:rPr>
        <w:t>, Universitas Udayana]. https://ojs.unud.ac.id</w:t>
      </w:r>
    </w:p>
    <w:p w14:paraId="1B24C9A4"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proofErr w:type="spellStart"/>
      <w:r w:rsidRPr="00337E5E">
        <w:rPr>
          <w:rFonts w:asciiTheme="majorBidi" w:hAnsiTheme="majorBidi" w:cstheme="majorBidi"/>
          <w:sz w:val="24"/>
          <w:szCs w:val="24"/>
        </w:rPr>
        <w:t>Safitri</w:t>
      </w:r>
      <w:proofErr w:type="spellEnd"/>
      <w:r w:rsidRPr="00337E5E">
        <w:rPr>
          <w:rFonts w:asciiTheme="majorBidi" w:hAnsiTheme="majorBidi" w:cstheme="majorBidi"/>
          <w:sz w:val="24"/>
          <w:szCs w:val="24"/>
        </w:rPr>
        <w:t xml:space="preserve">, R. D., &amp; Triani, N. N. A. (2021). Factors that influence audit delay in the trade, service, and investment sector that listed on Indonesian Stock Exchange. </w:t>
      </w:r>
      <w:proofErr w:type="spellStart"/>
      <w:r w:rsidRPr="00337E5E">
        <w:rPr>
          <w:rFonts w:asciiTheme="majorBidi" w:hAnsiTheme="majorBidi" w:cstheme="majorBidi"/>
          <w:i/>
          <w:iCs/>
          <w:sz w:val="24"/>
          <w:szCs w:val="24"/>
        </w:rPr>
        <w:t>Jurnal</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Akuntansi</w:t>
      </w:r>
      <w:proofErr w:type="spellEnd"/>
      <w:r w:rsidRPr="00337E5E">
        <w:rPr>
          <w:rFonts w:asciiTheme="majorBidi" w:hAnsiTheme="majorBidi" w:cstheme="majorBidi"/>
          <w:i/>
          <w:iCs/>
          <w:sz w:val="24"/>
          <w:szCs w:val="24"/>
        </w:rPr>
        <w:t xml:space="preserve"> dan </w:t>
      </w:r>
      <w:proofErr w:type="spellStart"/>
      <w:r w:rsidRPr="00337E5E">
        <w:rPr>
          <w:rFonts w:asciiTheme="majorBidi" w:hAnsiTheme="majorBidi" w:cstheme="majorBidi"/>
          <w:i/>
          <w:iCs/>
          <w:sz w:val="24"/>
          <w:szCs w:val="24"/>
        </w:rPr>
        <w:t>Keuangan</w:t>
      </w:r>
      <w:proofErr w:type="spellEnd"/>
      <w:r w:rsidRPr="00337E5E">
        <w:rPr>
          <w:rFonts w:asciiTheme="majorBidi" w:hAnsiTheme="majorBidi" w:cstheme="majorBidi"/>
          <w:sz w:val="24"/>
          <w:szCs w:val="24"/>
        </w:rPr>
        <w:t xml:space="preserve">, </w:t>
      </w:r>
      <w:r w:rsidRPr="00337E5E">
        <w:rPr>
          <w:rFonts w:asciiTheme="majorBidi" w:hAnsiTheme="majorBidi" w:cstheme="majorBidi"/>
          <w:i/>
          <w:iCs/>
          <w:sz w:val="24"/>
          <w:szCs w:val="24"/>
        </w:rPr>
        <w:t>23</w:t>
      </w:r>
      <w:r w:rsidRPr="00337E5E">
        <w:rPr>
          <w:rFonts w:asciiTheme="majorBidi" w:hAnsiTheme="majorBidi" w:cstheme="majorBidi"/>
          <w:sz w:val="24"/>
          <w:szCs w:val="24"/>
        </w:rPr>
        <w:t>(1), 41–50.</w:t>
      </w:r>
    </w:p>
    <w:p w14:paraId="6D585FC2"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proofErr w:type="spellStart"/>
      <w:r w:rsidRPr="00337E5E">
        <w:rPr>
          <w:rFonts w:asciiTheme="majorBidi" w:hAnsiTheme="majorBidi" w:cstheme="majorBidi"/>
          <w:sz w:val="24"/>
          <w:szCs w:val="24"/>
        </w:rPr>
        <w:t>Setianingsih</w:t>
      </w:r>
      <w:proofErr w:type="spellEnd"/>
      <w:r w:rsidRPr="00337E5E">
        <w:rPr>
          <w:rFonts w:asciiTheme="majorBidi" w:hAnsiTheme="majorBidi" w:cstheme="majorBidi"/>
          <w:sz w:val="24"/>
          <w:szCs w:val="24"/>
        </w:rPr>
        <w:t xml:space="preserve">, A., &amp; </w:t>
      </w:r>
      <w:proofErr w:type="spellStart"/>
      <w:r w:rsidRPr="00337E5E">
        <w:rPr>
          <w:rFonts w:asciiTheme="majorBidi" w:hAnsiTheme="majorBidi" w:cstheme="majorBidi"/>
          <w:sz w:val="24"/>
          <w:szCs w:val="24"/>
        </w:rPr>
        <w:t>Kristianti</w:t>
      </w:r>
      <w:proofErr w:type="spellEnd"/>
      <w:r w:rsidRPr="00337E5E">
        <w:rPr>
          <w:rFonts w:asciiTheme="majorBidi" w:hAnsiTheme="majorBidi" w:cstheme="majorBidi"/>
          <w:sz w:val="24"/>
          <w:szCs w:val="24"/>
        </w:rPr>
        <w:t xml:space="preserve">, I. (2022). </w:t>
      </w:r>
      <w:proofErr w:type="spellStart"/>
      <w:r w:rsidRPr="00337E5E">
        <w:rPr>
          <w:rFonts w:asciiTheme="majorBidi" w:hAnsiTheme="majorBidi" w:cstheme="majorBidi"/>
          <w:sz w:val="24"/>
          <w:szCs w:val="24"/>
        </w:rPr>
        <w:t>Pengaruh</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manajemen</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laba</w:t>
      </w:r>
      <w:proofErr w:type="spellEnd"/>
      <w:r w:rsidRPr="00337E5E">
        <w:rPr>
          <w:rFonts w:asciiTheme="majorBidi" w:hAnsiTheme="majorBidi" w:cstheme="majorBidi"/>
          <w:sz w:val="24"/>
          <w:szCs w:val="24"/>
        </w:rPr>
        <w:t xml:space="preserve"> dan tata </w:t>
      </w:r>
      <w:proofErr w:type="spellStart"/>
      <w:r w:rsidRPr="00337E5E">
        <w:rPr>
          <w:rFonts w:asciiTheme="majorBidi" w:hAnsiTheme="majorBidi" w:cstheme="majorBidi"/>
          <w:sz w:val="24"/>
          <w:szCs w:val="24"/>
        </w:rPr>
        <w:t>kelola</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perusahaan</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terhadap</w:t>
      </w:r>
      <w:proofErr w:type="spellEnd"/>
      <w:r w:rsidRPr="00337E5E">
        <w:rPr>
          <w:rFonts w:asciiTheme="majorBidi" w:hAnsiTheme="majorBidi" w:cstheme="majorBidi"/>
          <w:sz w:val="24"/>
          <w:szCs w:val="24"/>
        </w:rPr>
        <w:t xml:space="preserve"> audit delay. </w:t>
      </w:r>
      <w:r w:rsidRPr="00337E5E">
        <w:rPr>
          <w:rFonts w:asciiTheme="majorBidi" w:hAnsiTheme="majorBidi" w:cstheme="majorBidi"/>
          <w:i/>
          <w:iCs/>
          <w:sz w:val="24"/>
          <w:szCs w:val="24"/>
        </w:rPr>
        <w:t xml:space="preserve">OWNER: Riset &amp; </w:t>
      </w:r>
      <w:proofErr w:type="spellStart"/>
      <w:r w:rsidRPr="00337E5E">
        <w:rPr>
          <w:rFonts w:asciiTheme="majorBidi" w:hAnsiTheme="majorBidi" w:cstheme="majorBidi"/>
          <w:i/>
          <w:iCs/>
          <w:sz w:val="24"/>
          <w:szCs w:val="24"/>
        </w:rPr>
        <w:t>Jurnal</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Akuntansi</w:t>
      </w:r>
      <w:proofErr w:type="spellEnd"/>
      <w:r w:rsidRPr="00337E5E">
        <w:rPr>
          <w:rFonts w:asciiTheme="majorBidi" w:hAnsiTheme="majorBidi" w:cstheme="majorBidi"/>
          <w:sz w:val="24"/>
          <w:szCs w:val="24"/>
        </w:rPr>
        <w:t xml:space="preserve">, </w:t>
      </w:r>
      <w:r w:rsidRPr="00337E5E">
        <w:rPr>
          <w:rFonts w:asciiTheme="majorBidi" w:hAnsiTheme="majorBidi" w:cstheme="majorBidi"/>
          <w:i/>
          <w:iCs/>
          <w:sz w:val="24"/>
          <w:szCs w:val="24"/>
        </w:rPr>
        <w:t>6</w:t>
      </w:r>
      <w:r w:rsidRPr="00337E5E">
        <w:rPr>
          <w:rFonts w:asciiTheme="majorBidi" w:hAnsiTheme="majorBidi" w:cstheme="majorBidi"/>
          <w:sz w:val="24"/>
          <w:szCs w:val="24"/>
        </w:rPr>
        <w:t>(2), 1621–1632.</w:t>
      </w:r>
    </w:p>
    <w:p w14:paraId="725E84BE"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proofErr w:type="spellStart"/>
      <w:r w:rsidRPr="00337E5E">
        <w:rPr>
          <w:rFonts w:asciiTheme="majorBidi" w:hAnsiTheme="majorBidi" w:cstheme="majorBidi"/>
          <w:sz w:val="24"/>
          <w:szCs w:val="24"/>
        </w:rPr>
        <w:lastRenderedPageBreak/>
        <w:t>Sudjono</w:t>
      </w:r>
      <w:proofErr w:type="spellEnd"/>
      <w:r w:rsidRPr="00337E5E">
        <w:rPr>
          <w:rFonts w:asciiTheme="majorBidi" w:hAnsiTheme="majorBidi" w:cstheme="majorBidi"/>
          <w:sz w:val="24"/>
          <w:szCs w:val="24"/>
        </w:rPr>
        <w:t xml:space="preserve">, A. C., &amp; Setiawan, A. (2022). Apakah </w:t>
      </w:r>
      <w:proofErr w:type="spellStart"/>
      <w:r w:rsidRPr="00337E5E">
        <w:rPr>
          <w:rFonts w:asciiTheme="majorBidi" w:hAnsiTheme="majorBidi" w:cstheme="majorBidi"/>
          <w:sz w:val="24"/>
          <w:szCs w:val="24"/>
        </w:rPr>
        <w:t>karakteristik</w:t>
      </w:r>
      <w:proofErr w:type="spellEnd"/>
      <w:r w:rsidRPr="00337E5E">
        <w:rPr>
          <w:rFonts w:asciiTheme="majorBidi" w:hAnsiTheme="majorBidi" w:cstheme="majorBidi"/>
          <w:sz w:val="24"/>
          <w:szCs w:val="24"/>
        </w:rPr>
        <w:t xml:space="preserve"> internal </w:t>
      </w:r>
      <w:proofErr w:type="spellStart"/>
      <w:r w:rsidRPr="00337E5E">
        <w:rPr>
          <w:rFonts w:asciiTheme="majorBidi" w:hAnsiTheme="majorBidi" w:cstheme="majorBidi"/>
          <w:sz w:val="24"/>
          <w:szCs w:val="24"/>
        </w:rPr>
        <w:t>perusahaan</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turut</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berkontribusi</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terhadap</w:t>
      </w:r>
      <w:proofErr w:type="spellEnd"/>
      <w:r w:rsidRPr="00337E5E">
        <w:rPr>
          <w:rFonts w:asciiTheme="majorBidi" w:hAnsiTheme="majorBidi" w:cstheme="majorBidi"/>
          <w:sz w:val="24"/>
          <w:szCs w:val="24"/>
        </w:rPr>
        <w:t xml:space="preserve"> audit delay </w:t>
      </w:r>
      <w:proofErr w:type="spellStart"/>
      <w:r w:rsidRPr="00337E5E">
        <w:rPr>
          <w:rFonts w:asciiTheme="majorBidi" w:hAnsiTheme="majorBidi" w:cstheme="majorBidi"/>
          <w:sz w:val="24"/>
          <w:szCs w:val="24"/>
        </w:rPr>
        <w:t>perusahaan</w:t>
      </w:r>
      <w:proofErr w:type="spellEnd"/>
      <w:r w:rsidRPr="00337E5E">
        <w:rPr>
          <w:rFonts w:asciiTheme="majorBidi" w:hAnsiTheme="majorBidi" w:cstheme="majorBidi"/>
          <w:sz w:val="24"/>
          <w:szCs w:val="24"/>
        </w:rPr>
        <w:t xml:space="preserve"> consumer goods di Indonesia? </w:t>
      </w:r>
      <w:proofErr w:type="spellStart"/>
      <w:r w:rsidRPr="00337E5E">
        <w:rPr>
          <w:rFonts w:asciiTheme="majorBidi" w:hAnsiTheme="majorBidi" w:cstheme="majorBidi"/>
          <w:i/>
          <w:iCs/>
          <w:sz w:val="24"/>
          <w:szCs w:val="24"/>
        </w:rPr>
        <w:t>Jurnal</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Ilmiah</w:t>
      </w:r>
      <w:proofErr w:type="spellEnd"/>
      <w:r w:rsidRPr="00337E5E">
        <w:rPr>
          <w:rFonts w:asciiTheme="majorBidi" w:hAnsiTheme="majorBidi" w:cstheme="majorBidi"/>
          <w:i/>
          <w:iCs/>
          <w:sz w:val="24"/>
          <w:szCs w:val="24"/>
        </w:rPr>
        <w:t xml:space="preserve"> Akuntansi Fakultas Ekonomi</w:t>
      </w:r>
      <w:r w:rsidRPr="00337E5E">
        <w:rPr>
          <w:rFonts w:asciiTheme="majorBidi" w:hAnsiTheme="majorBidi" w:cstheme="majorBidi"/>
          <w:sz w:val="24"/>
          <w:szCs w:val="24"/>
        </w:rPr>
        <w:t xml:space="preserve">, </w:t>
      </w:r>
      <w:r w:rsidRPr="00337E5E">
        <w:rPr>
          <w:rFonts w:asciiTheme="majorBidi" w:hAnsiTheme="majorBidi" w:cstheme="majorBidi"/>
          <w:i/>
          <w:iCs/>
          <w:sz w:val="24"/>
          <w:szCs w:val="24"/>
        </w:rPr>
        <w:t>8</w:t>
      </w:r>
      <w:r w:rsidRPr="00337E5E">
        <w:rPr>
          <w:rFonts w:asciiTheme="majorBidi" w:hAnsiTheme="majorBidi" w:cstheme="majorBidi"/>
          <w:sz w:val="24"/>
          <w:szCs w:val="24"/>
        </w:rPr>
        <w:t>(2), 207–220.</w:t>
      </w:r>
    </w:p>
    <w:p w14:paraId="2F176330"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r w:rsidRPr="00337E5E">
        <w:rPr>
          <w:rFonts w:asciiTheme="majorBidi" w:hAnsiTheme="majorBidi" w:cstheme="majorBidi"/>
          <w:sz w:val="24"/>
          <w:szCs w:val="24"/>
        </w:rPr>
        <w:t xml:space="preserve">Sugiyono. (2019). </w:t>
      </w:r>
      <w:r w:rsidRPr="00337E5E">
        <w:rPr>
          <w:rFonts w:asciiTheme="majorBidi" w:hAnsiTheme="majorBidi" w:cstheme="majorBidi"/>
          <w:i/>
          <w:iCs/>
          <w:sz w:val="24"/>
          <w:szCs w:val="24"/>
        </w:rPr>
        <w:t xml:space="preserve">Metode </w:t>
      </w:r>
      <w:proofErr w:type="spellStart"/>
      <w:r w:rsidRPr="00337E5E">
        <w:rPr>
          <w:rFonts w:asciiTheme="majorBidi" w:hAnsiTheme="majorBidi" w:cstheme="majorBidi"/>
          <w:i/>
          <w:iCs/>
          <w:sz w:val="24"/>
          <w:szCs w:val="24"/>
        </w:rPr>
        <w:t>penelitian</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kuantitatif</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kualitatif</w:t>
      </w:r>
      <w:proofErr w:type="spellEnd"/>
      <w:r w:rsidRPr="00337E5E">
        <w:rPr>
          <w:rFonts w:asciiTheme="majorBidi" w:hAnsiTheme="majorBidi" w:cstheme="majorBidi"/>
          <w:i/>
          <w:iCs/>
          <w:sz w:val="24"/>
          <w:szCs w:val="24"/>
        </w:rPr>
        <w:t>, dan R&amp;D</w:t>
      </w:r>
      <w:r w:rsidRPr="00337E5E">
        <w:rPr>
          <w:rFonts w:asciiTheme="majorBidi" w:hAnsiTheme="majorBidi" w:cstheme="majorBidi"/>
          <w:sz w:val="24"/>
          <w:szCs w:val="24"/>
        </w:rPr>
        <w:t xml:space="preserve">. Bandung: </w:t>
      </w:r>
      <w:proofErr w:type="spellStart"/>
      <w:r w:rsidRPr="00337E5E">
        <w:rPr>
          <w:rFonts w:asciiTheme="majorBidi" w:hAnsiTheme="majorBidi" w:cstheme="majorBidi"/>
          <w:sz w:val="24"/>
          <w:szCs w:val="24"/>
        </w:rPr>
        <w:t>Alfabeta</w:t>
      </w:r>
      <w:proofErr w:type="spellEnd"/>
      <w:r w:rsidRPr="00337E5E">
        <w:rPr>
          <w:rFonts w:asciiTheme="majorBidi" w:hAnsiTheme="majorBidi" w:cstheme="majorBidi"/>
          <w:sz w:val="24"/>
          <w:szCs w:val="24"/>
        </w:rPr>
        <w:t>.</w:t>
      </w:r>
    </w:p>
    <w:p w14:paraId="2F44ED26"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r w:rsidRPr="00337E5E">
        <w:rPr>
          <w:rFonts w:asciiTheme="majorBidi" w:hAnsiTheme="majorBidi" w:cstheme="majorBidi"/>
          <w:sz w:val="24"/>
          <w:szCs w:val="24"/>
          <w:lang w:val="de-DE"/>
        </w:rPr>
        <w:t xml:space="preserve">Sukirno. (2015, Juni 30). BEI suspensi 6 emiten: BORN, BUMI, BRAU termasuk. </w:t>
      </w:r>
      <w:r w:rsidRPr="00337E5E">
        <w:rPr>
          <w:rFonts w:asciiTheme="majorBidi" w:hAnsiTheme="majorBidi" w:cstheme="majorBidi"/>
          <w:i/>
          <w:iCs/>
          <w:sz w:val="24"/>
          <w:szCs w:val="24"/>
        </w:rPr>
        <w:t>Bisnis.com</w:t>
      </w:r>
      <w:r w:rsidRPr="00337E5E">
        <w:rPr>
          <w:rFonts w:asciiTheme="majorBidi" w:hAnsiTheme="majorBidi" w:cstheme="majorBidi"/>
          <w:sz w:val="24"/>
          <w:szCs w:val="24"/>
        </w:rPr>
        <w:t xml:space="preserve">. Retrieved from </w:t>
      </w:r>
      <w:hyperlink r:id="rId149" w:history="1">
        <w:r w:rsidRPr="00337E5E">
          <w:rPr>
            <w:rStyle w:val="Hyperlink"/>
            <w:rFonts w:asciiTheme="majorBidi" w:hAnsiTheme="majorBidi" w:cstheme="majorBidi"/>
            <w:color w:val="auto"/>
            <w:sz w:val="24"/>
            <w:szCs w:val="24"/>
            <w:u w:val="none"/>
          </w:rPr>
          <w:t>http://market.bisnis.com</w:t>
        </w:r>
      </w:hyperlink>
    </w:p>
    <w:p w14:paraId="024A93F0"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proofErr w:type="spellStart"/>
      <w:r w:rsidRPr="00337E5E">
        <w:rPr>
          <w:rFonts w:asciiTheme="majorBidi" w:hAnsiTheme="majorBidi" w:cstheme="majorBidi"/>
          <w:sz w:val="24"/>
          <w:szCs w:val="24"/>
        </w:rPr>
        <w:t>Sulmi</w:t>
      </w:r>
      <w:proofErr w:type="spellEnd"/>
      <w:r w:rsidRPr="00337E5E">
        <w:rPr>
          <w:rFonts w:asciiTheme="majorBidi" w:hAnsiTheme="majorBidi" w:cstheme="majorBidi"/>
          <w:sz w:val="24"/>
          <w:szCs w:val="24"/>
        </w:rPr>
        <w:t xml:space="preserve">, F., </w:t>
      </w:r>
      <w:proofErr w:type="spellStart"/>
      <w:r w:rsidRPr="00337E5E">
        <w:rPr>
          <w:rFonts w:asciiTheme="majorBidi" w:hAnsiTheme="majorBidi" w:cstheme="majorBidi"/>
          <w:sz w:val="24"/>
          <w:szCs w:val="24"/>
        </w:rPr>
        <w:t>Hamrul</w:t>
      </w:r>
      <w:proofErr w:type="spellEnd"/>
      <w:r w:rsidRPr="00337E5E">
        <w:rPr>
          <w:rFonts w:asciiTheme="majorBidi" w:hAnsiTheme="majorBidi" w:cstheme="majorBidi"/>
          <w:sz w:val="24"/>
          <w:szCs w:val="24"/>
        </w:rPr>
        <w:t xml:space="preserve">, &amp; </w:t>
      </w:r>
      <w:proofErr w:type="spellStart"/>
      <w:r w:rsidRPr="00337E5E">
        <w:rPr>
          <w:rFonts w:asciiTheme="majorBidi" w:hAnsiTheme="majorBidi" w:cstheme="majorBidi"/>
          <w:sz w:val="24"/>
          <w:szCs w:val="24"/>
        </w:rPr>
        <w:t>Nopiyanti</w:t>
      </w:r>
      <w:proofErr w:type="spellEnd"/>
      <w:r w:rsidRPr="00337E5E">
        <w:rPr>
          <w:rFonts w:asciiTheme="majorBidi" w:hAnsiTheme="majorBidi" w:cstheme="majorBidi"/>
          <w:sz w:val="24"/>
          <w:szCs w:val="24"/>
        </w:rPr>
        <w:t xml:space="preserve">, A. (2020). </w:t>
      </w:r>
      <w:proofErr w:type="spellStart"/>
      <w:r w:rsidRPr="00337E5E">
        <w:rPr>
          <w:rFonts w:asciiTheme="majorBidi" w:hAnsiTheme="majorBidi" w:cstheme="majorBidi"/>
          <w:sz w:val="24"/>
          <w:szCs w:val="24"/>
        </w:rPr>
        <w:t>Pengaruh</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opini</w:t>
      </w:r>
      <w:proofErr w:type="spellEnd"/>
      <w:r w:rsidRPr="00337E5E">
        <w:rPr>
          <w:rFonts w:asciiTheme="majorBidi" w:hAnsiTheme="majorBidi" w:cstheme="majorBidi"/>
          <w:sz w:val="24"/>
          <w:szCs w:val="24"/>
        </w:rPr>
        <w:t xml:space="preserve"> audit, </w:t>
      </w:r>
      <w:proofErr w:type="spellStart"/>
      <w:r w:rsidRPr="00337E5E">
        <w:rPr>
          <w:rFonts w:asciiTheme="majorBidi" w:hAnsiTheme="majorBidi" w:cstheme="majorBidi"/>
          <w:sz w:val="24"/>
          <w:szCs w:val="24"/>
        </w:rPr>
        <w:t>komite</w:t>
      </w:r>
      <w:proofErr w:type="spellEnd"/>
      <w:r w:rsidRPr="00337E5E">
        <w:rPr>
          <w:rFonts w:asciiTheme="majorBidi" w:hAnsiTheme="majorBidi" w:cstheme="majorBidi"/>
          <w:sz w:val="24"/>
          <w:szCs w:val="24"/>
        </w:rPr>
        <w:t xml:space="preserve"> audit, dan </w:t>
      </w:r>
      <w:proofErr w:type="spellStart"/>
      <w:r w:rsidRPr="00337E5E">
        <w:rPr>
          <w:rFonts w:asciiTheme="majorBidi" w:hAnsiTheme="majorBidi" w:cstheme="majorBidi"/>
          <w:sz w:val="24"/>
          <w:szCs w:val="24"/>
        </w:rPr>
        <w:t>ukuran</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perusahaan</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terhadap</w:t>
      </w:r>
      <w:proofErr w:type="spellEnd"/>
      <w:r w:rsidRPr="00337E5E">
        <w:rPr>
          <w:rFonts w:asciiTheme="majorBidi" w:hAnsiTheme="majorBidi" w:cstheme="majorBidi"/>
          <w:sz w:val="24"/>
          <w:szCs w:val="24"/>
        </w:rPr>
        <w:t xml:space="preserve"> audit delay. </w:t>
      </w:r>
      <w:proofErr w:type="spellStart"/>
      <w:r w:rsidRPr="00337E5E">
        <w:rPr>
          <w:rFonts w:asciiTheme="majorBidi" w:hAnsiTheme="majorBidi" w:cstheme="majorBidi"/>
          <w:i/>
          <w:iCs/>
          <w:sz w:val="24"/>
          <w:szCs w:val="24"/>
        </w:rPr>
        <w:t>Jurnal</w:t>
      </w:r>
      <w:proofErr w:type="spellEnd"/>
      <w:r w:rsidRPr="00337E5E">
        <w:rPr>
          <w:rFonts w:asciiTheme="majorBidi" w:hAnsiTheme="majorBidi" w:cstheme="majorBidi"/>
          <w:i/>
          <w:iCs/>
          <w:sz w:val="24"/>
          <w:szCs w:val="24"/>
        </w:rPr>
        <w:t xml:space="preserve"> Syntax Transformation</w:t>
      </w:r>
      <w:r w:rsidRPr="00337E5E">
        <w:rPr>
          <w:rFonts w:asciiTheme="majorBidi" w:hAnsiTheme="majorBidi" w:cstheme="majorBidi"/>
          <w:sz w:val="24"/>
          <w:szCs w:val="24"/>
        </w:rPr>
        <w:t xml:space="preserve">, </w:t>
      </w:r>
      <w:r w:rsidRPr="00337E5E">
        <w:rPr>
          <w:rFonts w:asciiTheme="majorBidi" w:hAnsiTheme="majorBidi" w:cstheme="majorBidi"/>
          <w:i/>
          <w:iCs/>
          <w:sz w:val="24"/>
          <w:szCs w:val="24"/>
        </w:rPr>
        <w:t>1</w:t>
      </w:r>
      <w:r w:rsidRPr="00337E5E">
        <w:rPr>
          <w:rFonts w:asciiTheme="majorBidi" w:hAnsiTheme="majorBidi" w:cstheme="majorBidi"/>
          <w:sz w:val="24"/>
          <w:szCs w:val="24"/>
        </w:rPr>
        <w:t>(8), 2721–2769.</w:t>
      </w:r>
    </w:p>
    <w:p w14:paraId="021A1C75"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r w:rsidRPr="00337E5E">
        <w:rPr>
          <w:rFonts w:asciiTheme="majorBidi" w:hAnsiTheme="majorBidi" w:cstheme="majorBidi"/>
          <w:sz w:val="24"/>
          <w:szCs w:val="24"/>
        </w:rPr>
        <w:t xml:space="preserve">Susanto, A. (2013). </w:t>
      </w:r>
      <w:proofErr w:type="spellStart"/>
      <w:r w:rsidRPr="00337E5E">
        <w:rPr>
          <w:rFonts w:asciiTheme="majorBidi" w:hAnsiTheme="majorBidi" w:cstheme="majorBidi"/>
          <w:i/>
          <w:iCs/>
          <w:sz w:val="24"/>
          <w:szCs w:val="24"/>
        </w:rPr>
        <w:t>Sistem</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informasi</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akuntansi</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Struktur</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pengendalian</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risiko</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pengembangan</w:t>
      </w:r>
      <w:proofErr w:type="spellEnd"/>
      <w:r w:rsidRPr="00337E5E">
        <w:rPr>
          <w:rFonts w:asciiTheme="majorBidi" w:hAnsiTheme="majorBidi" w:cstheme="majorBidi"/>
          <w:sz w:val="24"/>
          <w:szCs w:val="24"/>
        </w:rPr>
        <w:t xml:space="preserve"> (Ed. 1). Bandung: </w:t>
      </w:r>
      <w:proofErr w:type="spellStart"/>
      <w:r w:rsidRPr="00337E5E">
        <w:rPr>
          <w:rFonts w:asciiTheme="majorBidi" w:hAnsiTheme="majorBidi" w:cstheme="majorBidi"/>
          <w:sz w:val="24"/>
          <w:szCs w:val="24"/>
        </w:rPr>
        <w:t>Lingga</w:t>
      </w:r>
      <w:proofErr w:type="spellEnd"/>
      <w:r w:rsidRPr="00337E5E">
        <w:rPr>
          <w:rFonts w:asciiTheme="majorBidi" w:hAnsiTheme="majorBidi" w:cstheme="majorBidi"/>
          <w:sz w:val="24"/>
          <w:szCs w:val="24"/>
        </w:rPr>
        <w:t xml:space="preserve"> Jaya.</w:t>
      </w:r>
    </w:p>
    <w:p w14:paraId="3EC265CF"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proofErr w:type="spellStart"/>
      <w:r w:rsidRPr="00337E5E">
        <w:rPr>
          <w:rFonts w:asciiTheme="majorBidi" w:hAnsiTheme="majorBidi" w:cstheme="majorBidi"/>
          <w:sz w:val="24"/>
          <w:szCs w:val="24"/>
        </w:rPr>
        <w:t>Tanujaya</w:t>
      </w:r>
      <w:proofErr w:type="spellEnd"/>
      <w:r w:rsidRPr="00337E5E">
        <w:rPr>
          <w:rFonts w:asciiTheme="majorBidi" w:hAnsiTheme="majorBidi" w:cstheme="majorBidi"/>
          <w:sz w:val="24"/>
          <w:szCs w:val="24"/>
        </w:rPr>
        <w:t xml:space="preserve">, K., &amp; Reny. (2022). </w:t>
      </w:r>
      <w:proofErr w:type="spellStart"/>
      <w:r w:rsidRPr="00337E5E">
        <w:rPr>
          <w:rFonts w:asciiTheme="majorBidi" w:hAnsiTheme="majorBidi" w:cstheme="majorBidi"/>
          <w:sz w:val="24"/>
          <w:szCs w:val="24"/>
        </w:rPr>
        <w:t>Pengaruh</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karakteristik</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perusahaan</w:t>
      </w:r>
      <w:proofErr w:type="spellEnd"/>
      <w:r w:rsidRPr="00337E5E">
        <w:rPr>
          <w:rFonts w:asciiTheme="majorBidi" w:hAnsiTheme="majorBidi" w:cstheme="majorBidi"/>
          <w:sz w:val="24"/>
          <w:szCs w:val="24"/>
        </w:rPr>
        <w:t xml:space="preserve"> dan </w:t>
      </w:r>
      <w:proofErr w:type="spellStart"/>
      <w:r w:rsidRPr="00337E5E">
        <w:rPr>
          <w:rFonts w:asciiTheme="majorBidi" w:hAnsiTheme="majorBidi" w:cstheme="majorBidi"/>
          <w:sz w:val="24"/>
          <w:szCs w:val="24"/>
        </w:rPr>
        <w:t>komite</w:t>
      </w:r>
      <w:proofErr w:type="spellEnd"/>
      <w:r w:rsidRPr="00337E5E">
        <w:rPr>
          <w:rFonts w:asciiTheme="majorBidi" w:hAnsiTheme="majorBidi" w:cstheme="majorBidi"/>
          <w:sz w:val="24"/>
          <w:szCs w:val="24"/>
        </w:rPr>
        <w:t xml:space="preserve"> audit </w:t>
      </w:r>
      <w:proofErr w:type="spellStart"/>
      <w:r w:rsidRPr="00337E5E">
        <w:rPr>
          <w:rFonts w:asciiTheme="majorBidi" w:hAnsiTheme="majorBidi" w:cstheme="majorBidi"/>
          <w:sz w:val="24"/>
          <w:szCs w:val="24"/>
        </w:rPr>
        <w:t>terhadap</w:t>
      </w:r>
      <w:proofErr w:type="spellEnd"/>
      <w:r w:rsidRPr="00337E5E">
        <w:rPr>
          <w:rFonts w:asciiTheme="majorBidi" w:hAnsiTheme="majorBidi" w:cstheme="majorBidi"/>
          <w:sz w:val="24"/>
          <w:szCs w:val="24"/>
        </w:rPr>
        <w:t xml:space="preserve"> audit report lag. </w:t>
      </w:r>
      <w:r w:rsidRPr="00337E5E">
        <w:rPr>
          <w:rFonts w:asciiTheme="majorBidi" w:hAnsiTheme="majorBidi" w:cstheme="majorBidi"/>
          <w:i/>
          <w:iCs/>
          <w:sz w:val="24"/>
          <w:szCs w:val="24"/>
        </w:rPr>
        <w:t xml:space="preserve">Fair Value: </w:t>
      </w:r>
      <w:proofErr w:type="spellStart"/>
      <w:r w:rsidRPr="00337E5E">
        <w:rPr>
          <w:rFonts w:asciiTheme="majorBidi" w:hAnsiTheme="majorBidi" w:cstheme="majorBidi"/>
          <w:i/>
          <w:iCs/>
          <w:sz w:val="24"/>
          <w:szCs w:val="24"/>
        </w:rPr>
        <w:t>Jurnal</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Ilmiah</w:t>
      </w:r>
      <w:proofErr w:type="spellEnd"/>
      <w:r w:rsidRPr="00337E5E">
        <w:rPr>
          <w:rFonts w:asciiTheme="majorBidi" w:hAnsiTheme="majorBidi" w:cstheme="majorBidi"/>
          <w:i/>
          <w:iCs/>
          <w:sz w:val="24"/>
          <w:szCs w:val="24"/>
        </w:rPr>
        <w:t xml:space="preserve"> Akuntansi dan Keuangan</w:t>
      </w:r>
      <w:r w:rsidRPr="00337E5E">
        <w:rPr>
          <w:rFonts w:asciiTheme="majorBidi" w:hAnsiTheme="majorBidi" w:cstheme="majorBidi"/>
          <w:sz w:val="24"/>
          <w:szCs w:val="24"/>
        </w:rPr>
        <w:t xml:space="preserve">, </w:t>
      </w:r>
      <w:r w:rsidRPr="00337E5E">
        <w:rPr>
          <w:rFonts w:asciiTheme="majorBidi" w:hAnsiTheme="majorBidi" w:cstheme="majorBidi"/>
          <w:i/>
          <w:iCs/>
          <w:sz w:val="24"/>
          <w:szCs w:val="24"/>
        </w:rPr>
        <w:t>4</w:t>
      </w:r>
      <w:r w:rsidRPr="00337E5E">
        <w:rPr>
          <w:rFonts w:asciiTheme="majorBidi" w:hAnsiTheme="majorBidi" w:cstheme="majorBidi"/>
          <w:sz w:val="24"/>
          <w:szCs w:val="24"/>
        </w:rPr>
        <w:t>(3), 1375–1393.</w:t>
      </w:r>
    </w:p>
    <w:p w14:paraId="42C8949B" w14:textId="77777777" w:rsidR="007D37A4" w:rsidRPr="00337E5E" w:rsidRDefault="007D37A4" w:rsidP="00337E5E">
      <w:pPr>
        <w:spacing w:after="0" w:line="240" w:lineRule="auto"/>
        <w:ind w:left="720" w:hanging="720"/>
        <w:jc w:val="both"/>
        <w:rPr>
          <w:rFonts w:asciiTheme="majorBidi" w:hAnsiTheme="majorBidi" w:cstheme="majorBidi"/>
          <w:sz w:val="24"/>
          <w:szCs w:val="24"/>
          <w:lang w:val="de-DE"/>
        </w:rPr>
      </w:pPr>
      <w:r w:rsidRPr="00337E5E">
        <w:rPr>
          <w:rFonts w:asciiTheme="majorBidi" w:hAnsiTheme="majorBidi" w:cstheme="majorBidi"/>
          <w:sz w:val="24"/>
          <w:szCs w:val="24"/>
        </w:rPr>
        <w:t xml:space="preserve">The Indonesian Institute for Corporate Governance (IICG). </w:t>
      </w:r>
      <w:r w:rsidRPr="00337E5E">
        <w:rPr>
          <w:rFonts w:asciiTheme="majorBidi" w:hAnsiTheme="majorBidi" w:cstheme="majorBidi"/>
          <w:sz w:val="24"/>
          <w:szCs w:val="24"/>
          <w:lang w:val="de-DE"/>
        </w:rPr>
        <w:t xml:space="preserve">(2000). </w:t>
      </w:r>
      <w:r w:rsidRPr="00337E5E">
        <w:rPr>
          <w:rFonts w:asciiTheme="majorBidi" w:hAnsiTheme="majorBidi" w:cstheme="majorBidi"/>
          <w:i/>
          <w:iCs/>
          <w:sz w:val="24"/>
          <w:szCs w:val="24"/>
          <w:lang w:val="de-DE"/>
        </w:rPr>
        <w:t>Membangun dewan komisaris yang efektif</w:t>
      </w:r>
      <w:r w:rsidRPr="00337E5E">
        <w:rPr>
          <w:rFonts w:asciiTheme="majorBidi" w:hAnsiTheme="majorBidi" w:cstheme="majorBidi"/>
          <w:sz w:val="24"/>
          <w:szCs w:val="24"/>
          <w:lang w:val="de-DE"/>
        </w:rPr>
        <w:t>. Jakarta: IICG.</w:t>
      </w:r>
    </w:p>
    <w:p w14:paraId="23F9CB69" w14:textId="77777777" w:rsidR="007D37A4" w:rsidRPr="00337E5E" w:rsidRDefault="007D37A4" w:rsidP="00337E5E">
      <w:pPr>
        <w:spacing w:after="0" w:line="240" w:lineRule="auto"/>
        <w:ind w:left="720" w:hanging="720"/>
        <w:jc w:val="both"/>
        <w:rPr>
          <w:rFonts w:asciiTheme="majorBidi" w:hAnsiTheme="majorBidi" w:cstheme="majorBidi"/>
          <w:sz w:val="24"/>
          <w:szCs w:val="24"/>
          <w:lang w:val="de-DE"/>
        </w:rPr>
      </w:pPr>
      <w:r w:rsidRPr="00337E5E">
        <w:rPr>
          <w:rFonts w:asciiTheme="majorBidi" w:hAnsiTheme="majorBidi" w:cstheme="majorBidi"/>
          <w:sz w:val="24"/>
          <w:szCs w:val="24"/>
          <w:lang w:val="de-DE"/>
        </w:rPr>
        <w:t xml:space="preserve">Tobing, R., &amp; Nirwana. (2004). </w:t>
      </w:r>
      <w:r w:rsidRPr="00337E5E">
        <w:rPr>
          <w:rFonts w:asciiTheme="majorBidi" w:hAnsiTheme="majorBidi" w:cstheme="majorBidi"/>
          <w:i/>
          <w:iCs/>
          <w:sz w:val="24"/>
          <w:szCs w:val="24"/>
          <w:lang w:val="de-DE"/>
        </w:rPr>
        <w:t>Kamus istilah akuntansi</w:t>
      </w:r>
      <w:r w:rsidRPr="00337E5E">
        <w:rPr>
          <w:rFonts w:asciiTheme="majorBidi" w:hAnsiTheme="majorBidi" w:cstheme="majorBidi"/>
          <w:sz w:val="24"/>
          <w:szCs w:val="24"/>
          <w:lang w:val="de-DE"/>
        </w:rPr>
        <w:t>. Jakarta: Atalya Rileni Sucedo.</w:t>
      </w:r>
    </w:p>
    <w:p w14:paraId="40FD5176"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r w:rsidRPr="00337E5E">
        <w:rPr>
          <w:rFonts w:asciiTheme="majorBidi" w:hAnsiTheme="majorBidi" w:cstheme="majorBidi"/>
          <w:sz w:val="24"/>
          <w:szCs w:val="24"/>
          <w:lang w:val="de-DE"/>
        </w:rPr>
        <w:t xml:space="preserve">Trisnadewi, N. K. A., Trisnadewi, N. L. D. E., &amp; Kartika, R. D. (2023). </w:t>
      </w:r>
      <w:r w:rsidRPr="00337E5E">
        <w:rPr>
          <w:rFonts w:asciiTheme="majorBidi" w:hAnsiTheme="majorBidi" w:cstheme="majorBidi"/>
          <w:sz w:val="24"/>
          <w:szCs w:val="24"/>
        </w:rPr>
        <w:t xml:space="preserve">Analysis of profitability, good corporate governance and audit quality on audit delay. </w:t>
      </w:r>
      <w:proofErr w:type="spellStart"/>
      <w:r w:rsidRPr="00337E5E">
        <w:rPr>
          <w:rFonts w:asciiTheme="majorBidi" w:hAnsiTheme="majorBidi" w:cstheme="majorBidi"/>
          <w:i/>
          <w:iCs/>
          <w:sz w:val="24"/>
          <w:szCs w:val="24"/>
        </w:rPr>
        <w:t>Jurnal</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Inovasi</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Bisnis</w:t>
      </w:r>
      <w:proofErr w:type="spellEnd"/>
      <w:r w:rsidRPr="00337E5E">
        <w:rPr>
          <w:rFonts w:asciiTheme="majorBidi" w:hAnsiTheme="majorBidi" w:cstheme="majorBidi"/>
          <w:i/>
          <w:iCs/>
          <w:sz w:val="24"/>
          <w:szCs w:val="24"/>
        </w:rPr>
        <w:t xml:space="preserve"> dan Akuntansi</w:t>
      </w:r>
      <w:r w:rsidRPr="00337E5E">
        <w:rPr>
          <w:rFonts w:asciiTheme="majorBidi" w:hAnsiTheme="majorBidi" w:cstheme="majorBidi"/>
          <w:sz w:val="24"/>
          <w:szCs w:val="24"/>
        </w:rPr>
        <w:t xml:space="preserve">, </w:t>
      </w:r>
      <w:r w:rsidRPr="00337E5E">
        <w:rPr>
          <w:rFonts w:asciiTheme="majorBidi" w:hAnsiTheme="majorBidi" w:cstheme="majorBidi"/>
          <w:i/>
          <w:iCs/>
          <w:sz w:val="24"/>
          <w:szCs w:val="24"/>
        </w:rPr>
        <w:t>4</w:t>
      </w:r>
      <w:r w:rsidRPr="00337E5E">
        <w:rPr>
          <w:rFonts w:asciiTheme="majorBidi" w:hAnsiTheme="majorBidi" w:cstheme="majorBidi"/>
          <w:sz w:val="24"/>
          <w:szCs w:val="24"/>
        </w:rPr>
        <w:t>(1), 26–40.</w:t>
      </w:r>
    </w:p>
    <w:p w14:paraId="512AFF4C"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proofErr w:type="spellStart"/>
      <w:r w:rsidRPr="00337E5E">
        <w:rPr>
          <w:rFonts w:asciiTheme="majorBidi" w:hAnsiTheme="majorBidi" w:cstheme="majorBidi"/>
          <w:sz w:val="24"/>
          <w:szCs w:val="24"/>
        </w:rPr>
        <w:t>Triyulianto</w:t>
      </w:r>
      <w:proofErr w:type="spellEnd"/>
      <w:r w:rsidRPr="00337E5E">
        <w:rPr>
          <w:rFonts w:asciiTheme="majorBidi" w:hAnsiTheme="majorBidi" w:cstheme="majorBidi"/>
          <w:sz w:val="24"/>
          <w:szCs w:val="24"/>
        </w:rPr>
        <w:t xml:space="preserve">, T., </w:t>
      </w:r>
      <w:proofErr w:type="spellStart"/>
      <w:r w:rsidRPr="00337E5E">
        <w:rPr>
          <w:rFonts w:asciiTheme="majorBidi" w:hAnsiTheme="majorBidi" w:cstheme="majorBidi"/>
          <w:sz w:val="24"/>
          <w:szCs w:val="24"/>
        </w:rPr>
        <w:t>Hermiyetti</w:t>
      </w:r>
      <w:proofErr w:type="spellEnd"/>
      <w:r w:rsidRPr="00337E5E">
        <w:rPr>
          <w:rFonts w:asciiTheme="majorBidi" w:hAnsiTheme="majorBidi" w:cstheme="majorBidi"/>
          <w:sz w:val="24"/>
          <w:szCs w:val="24"/>
        </w:rPr>
        <w:t xml:space="preserve">, &amp; </w:t>
      </w:r>
      <w:proofErr w:type="spellStart"/>
      <w:r w:rsidRPr="00337E5E">
        <w:rPr>
          <w:rFonts w:asciiTheme="majorBidi" w:hAnsiTheme="majorBidi" w:cstheme="majorBidi"/>
          <w:sz w:val="24"/>
          <w:szCs w:val="24"/>
        </w:rPr>
        <w:t>Syahrefi</w:t>
      </w:r>
      <w:proofErr w:type="spellEnd"/>
      <w:r w:rsidRPr="00337E5E">
        <w:rPr>
          <w:rFonts w:asciiTheme="majorBidi" w:hAnsiTheme="majorBidi" w:cstheme="majorBidi"/>
          <w:sz w:val="24"/>
          <w:szCs w:val="24"/>
        </w:rPr>
        <w:t xml:space="preserve">, I. (2021). </w:t>
      </w:r>
      <w:proofErr w:type="spellStart"/>
      <w:r w:rsidRPr="00337E5E">
        <w:rPr>
          <w:rFonts w:asciiTheme="majorBidi" w:hAnsiTheme="majorBidi" w:cstheme="majorBidi"/>
          <w:sz w:val="24"/>
          <w:szCs w:val="24"/>
        </w:rPr>
        <w:t>Pengaruh</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kinerja</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keuangan</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terhadap</w:t>
      </w:r>
      <w:proofErr w:type="spellEnd"/>
      <w:r w:rsidRPr="00337E5E">
        <w:rPr>
          <w:rFonts w:asciiTheme="majorBidi" w:hAnsiTheme="majorBidi" w:cstheme="majorBidi"/>
          <w:sz w:val="24"/>
          <w:szCs w:val="24"/>
        </w:rPr>
        <w:t xml:space="preserve"> audit delay. </w:t>
      </w:r>
      <w:r w:rsidRPr="00337E5E">
        <w:rPr>
          <w:rFonts w:asciiTheme="majorBidi" w:hAnsiTheme="majorBidi" w:cstheme="majorBidi"/>
          <w:i/>
          <w:iCs/>
          <w:sz w:val="24"/>
          <w:szCs w:val="24"/>
        </w:rPr>
        <w:t xml:space="preserve">Media Riset </w:t>
      </w:r>
      <w:proofErr w:type="spellStart"/>
      <w:r w:rsidRPr="00337E5E">
        <w:rPr>
          <w:rFonts w:asciiTheme="majorBidi" w:hAnsiTheme="majorBidi" w:cstheme="majorBidi"/>
          <w:i/>
          <w:iCs/>
          <w:sz w:val="24"/>
          <w:szCs w:val="24"/>
        </w:rPr>
        <w:t>Akuntansi</w:t>
      </w:r>
      <w:proofErr w:type="spellEnd"/>
      <w:r w:rsidRPr="00337E5E">
        <w:rPr>
          <w:rFonts w:asciiTheme="majorBidi" w:hAnsiTheme="majorBidi" w:cstheme="majorBidi"/>
          <w:sz w:val="24"/>
          <w:szCs w:val="24"/>
        </w:rPr>
        <w:t xml:space="preserve">, </w:t>
      </w:r>
      <w:r w:rsidRPr="00337E5E">
        <w:rPr>
          <w:rFonts w:asciiTheme="majorBidi" w:hAnsiTheme="majorBidi" w:cstheme="majorBidi"/>
          <w:i/>
          <w:iCs/>
          <w:sz w:val="24"/>
          <w:szCs w:val="24"/>
        </w:rPr>
        <w:t>11</w:t>
      </w:r>
      <w:r w:rsidRPr="00337E5E">
        <w:rPr>
          <w:rFonts w:asciiTheme="majorBidi" w:hAnsiTheme="majorBidi" w:cstheme="majorBidi"/>
          <w:sz w:val="24"/>
          <w:szCs w:val="24"/>
        </w:rPr>
        <w:t>(2), 199–226.</w:t>
      </w:r>
    </w:p>
    <w:p w14:paraId="7990E1DE"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r w:rsidRPr="00337E5E">
        <w:rPr>
          <w:rFonts w:asciiTheme="majorBidi" w:hAnsiTheme="majorBidi" w:cstheme="majorBidi"/>
          <w:sz w:val="24"/>
          <w:szCs w:val="24"/>
        </w:rPr>
        <w:t xml:space="preserve">Utami, N., </w:t>
      </w:r>
      <w:proofErr w:type="spellStart"/>
      <w:r w:rsidRPr="00337E5E">
        <w:rPr>
          <w:rFonts w:asciiTheme="majorBidi" w:hAnsiTheme="majorBidi" w:cstheme="majorBidi"/>
          <w:sz w:val="24"/>
          <w:szCs w:val="24"/>
        </w:rPr>
        <w:t>Arisudhana</w:t>
      </w:r>
      <w:proofErr w:type="spellEnd"/>
      <w:r w:rsidRPr="00337E5E">
        <w:rPr>
          <w:rFonts w:asciiTheme="majorBidi" w:hAnsiTheme="majorBidi" w:cstheme="majorBidi"/>
          <w:sz w:val="24"/>
          <w:szCs w:val="24"/>
        </w:rPr>
        <w:t xml:space="preserve">, D., &amp; Vina. (2023). </w:t>
      </w:r>
      <w:proofErr w:type="spellStart"/>
      <w:r w:rsidRPr="00337E5E">
        <w:rPr>
          <w:rFonts w:asciiTheme="majorBidi" w:hAnsiTheme="majorBidi" w:cstheme="majorBidi"/>
          <w:sz w:val="24"/>
          <w:szCs w:val="24"/>
        </w:rPr>
        <w:t>Pengaruh</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ukuran</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perusahaan</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opini</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akuntan</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publik</w:t>
      </w:r>
      <w:proofErr w:type="spellEnd"/>
      <w:r w:rsidRPr="00337E5E">
        <w:rPr>
          <w:rFonts w:asciiTheme="majorBidi" w:hAnsiTheme="majorBidi" w:cstheme="majorBidi"/>
          <w:sz w:val="24"/>
          <w:szCs w:val="24"/>
        </w:rPr>
        <w:t xml:space="preserve"> dan </w:t>
      </w:r>
      <w:proofErr w:type="spellStart"/>
      <w:r w:rsidRPr="00337E5E">
        <w:rPr>
          <w:rFonts w:asciiTheme="majorBidi" w:hAnsiTheme="majorBidi" w:cstheme="majorBidi"/>
          <w:sz w:val="24"/>
          <w:szCs w:val="24"/>
        </w:rPr>
        <w:t>kualitas</w:t>
      </w:r>
      <w:proofErr w:type="spellEnd"/>
      <w:r w:rsidRPr="00337E5E">
        <w:rPr>
          <w:rFonts w:asciiTheme="majorBidi" w:hAnsiTheme="majorBidi" w:cstheme="majorBidi"/>
          <w:sz w:val="24"/>
          <w:szCs w:val="24"/>
        </w:rPr>
        <w:t xml:space="preserve"> auditor </w:t>
      </w:r>
      <w:proofErr w:type="spellStart"/>
      <w:r w:rsidRPr="00337E5E">
        <w:rPr>
          <w:rFonts w:asciiTheme="majorBidi" w:hAnsiTheme="majorBidi" w:cstheme="majorBidi"/>
          <w:sz w:val="24"/>
          <w:szCs w:val="24"/>
        </w:rPr>
        <w:t>terhadap</w:t>
      </w:r>
      <w:proofErr w:type="spellEnd"/>
      <w:r w:rsidRPr="00337E5E">
        <w:rPr>
          <w:rFonts w:asciiTheme="majorBidi" w:hAnsiTheme="majorBidi" w:cstheme="majorBidi"/>
          <w:sz w:val="24"/>
          <w:szCs w:val="24"/>
        </w:rPr>
        <w:t xml:space="preserve"> audit delay. </w:t>
      </w:r>
      <w:r w:rsidRPr="00337E5E">
        <w:rPr>
          <w:rFonts w:asciiTheme="majorBidi" w:hAnsiTheme="majorBidi" w:cstheme="majorBidi"/>
          <w:i/>
          <w:iCs/>
          <w:sz w:val="24"/>
          <w:szCs w:val="24"/>
        </w:rPr>
        <w:t>NCAFA</w:t>
      </w:r>
      <w:r w:rsidRPr="00337E5E">
        <w:rPr>
          <w:rFonts w:asciiTheme="majorBidi" w:hAnsiTheme="majorBidi" w:cstheme="majorBidi"/>
          <w:sz w:val="24"/>
          <w:szCs w:val="24"/>
        </w:rPr>
        <w:t xml:space="preserve">, </w:t>
      </w:r>
      <w:r w:rsidRPr="00337E5E">
        <w:rPr>
          <w:rFonts w:asciiTheme="majorBidi" w:hAnsiTheme="majorBidi" w:cstheme="majorBidi"/>
          <w:i/>
          <w:iCs/>
          <w:sz w:val="24"/>
          <w:szCs w:val="24"/>
        </w:rPr>
        <w:t>4</w:t>
      </w:r>
      <w:r w:rsidRPr="00337E5E">
        <w:rPr>
          <w:rFonts w:asciiTheme="majorBidi" w:hAnsiTheme="majorBidi" w:cstheme="majorBidi"/>
          <w:sz w:val="24"/>
          <w:szCs w:val="24"/>
        </w:rPr>
        <w:t>(1), 1–12.</w:t>
      </w:r>
    </w:p>
    <w:p w14:paraId="46360AFE" w14:textId="77777777" w:rsidR="007D37A4" w:rsidRPr="00337E5E" w:rsidRDefault="007D37A4" w:rsidP="00337E5E">
      <w:pPr>
        <w:spacing w:after="0" w:line="240" w:lineRule="auto"/>
        <w:ind w:left="720" w:hanging="720"/>
        <w:jc w:val="both"/>
        <w:rPr>
          <w:rFonts w:asciiTheme="majorBidi" w:hAnsiTheme="majorBidi" w:cstheme="majorBidi"/>
          <w:sz w:val="24"/>
          <w:szCs w:val="24"/>
          <w:lang w:val="de-DE"/>
        </w:rPr>
      </w:pPr>
      <w:r w:rsidRPr="00337E5E">
        <w:rPr>
          <w:rFonts w:asciiTheme="majorBidi" w:hAnsiTheme="majorBidi" w:cstheme="majorBidi"/>
          <w:sz w:val="24"/>
          <w:szCs w:val="24"/>
        </w:rPr>
        <w:t xml:space="preserve">Utomo, S. D., </w:t>
      </w:r>
      <w:proofErr w:type="spellStart"/>
      <w:r w:rsidRPr="00337E5E">
        <w:rPr>
          <w:rFonts w:asciiTheme="majorBidi" w:hAnsiTheme="majorBidi" w:cstheme="majorBidi"/>
          <w:sz w:val="24"/>
          <w:szCs w:val="24"/>
        </w:rPr>
        <w:t>Kumalasari</w:t>
      </w:r>
      <w:proofErr w:type="spellEnd"/>
      <w:r w:rsidRPr="00337E5E">
        <w:rPr>
          <w:rFonts w:asciiTheme="majorBidi" w:hAnsiTheme="majorBidi" w:cstheme="majorBidi"/>
          <w:sz w:val="24"/>
          <w:szCs w:val="24"/>
        </w:rPr>
        <w:t xml:space="preserve">, M. A., &amp; </w:t>
      </w:r>
      <w:proofErr w:type="spellStart"/>
      <w:r w:rsidRPr="00337E5E">
        <w:rPr>
          <w:rFonts w:asciiTheme="majorBidi" w:hAnsiTheme="majorBidi" w:cstheme="majorBidi"/>
          <w:sz w:val="24"/>
          <w:szCs w:val="24"/>
        </w:rPr>
        <w:t>Machmuddah</w:t>
      </w:r>
      <w:proofErr w:type="spellEnd"/>
      <w:r w:rsidRPr="00337E5E">
        <w:rPr>
          <w:rFonts w:asciiTheme="majorBidi" w:hAnsiTheme="majorBidi" w:cstheme="majorBidi"/>
          <w:sz w:val="24"/>
          <w:szCs w:val="24"/>
        </w:rPr>
        <w:t xml:space="preserve">, Z. (2017). Financial performance, audit delay and firm values banking in Indonesia. </w:t>
      </w:r>
      <w:r w:rsidRPr="00337E5E">
        <w:rPr>
          <w:rFonts w:asciiTheme="majorBidi" w:hAnsiTheme="majorBidi" w:cstheme="majorBidi"/>
          <w:i/>
          <w:iCs/>
          <w:sz w:val="24"/>
          <w:szCs w:val="24"/>
          <w:lang w:val="de-DE"/>
        </w:rPr>
        <w:t>Jurnal Keuangan dan Perbankan</w:t>
      </w:r>
      <w:r w:rsidRPr="00337E5E">
        <w:rPr>
          <w:rFonts w:asciiTheme="majorBidi" w:hAnsiTheme="majorBidi" w:cstheme="majorBidi"/>
          <w:sz w:val="24"/>
          <w:szCs w:val="24"/>
          <w:lang w:val="de-DE"/>
        </w:rPr>
        <w:t xml:space="preserve">, </w:t>
      </w:r>
      <w:r w:rsidRPr="00337E5E">
        <w:rPr>
          <w:rFonts w:asciiTheme="majorBidi" w:hAnsiTheme="majorBidi" w:cstheme="majorBidi"/>
          <w:i/>
          <w:iCs/>
          <w:sz w:val="24"/>
          <w:szCs w:val="24"/>
          <w:lang w:val="de-DE"/>
        </w:rPr>
        <w:t>21</w:t>
      </w:r>
      <w:r w:rsidRPr="00337E5E">
        <w:rPr>
          <w:rFonts w:asciiTheme="majorBidi" w:hAnsiTheme="majorBidi" w:cstheme="majorBidi"/>
          <w:sz w:val="24"/>
          <w:szCs w:val="24"/>
          <w:lang w:val="de-DE"/>
        </w:rPr>
        <w:t>(1), 90–101.</w:t>
      </w:r>
    </w:p>
    <w:p w14:paraId="22508A2B" w14:textId="77777777" w:rsidR="007D37A4" w:rsidRPr="00337E5E" w:rsidRDefault="007D37A4" w:rsidP="00337E5E">
      <w:pPr>
        <w:spacing w:after="0" w:line="240" w:lineRule="auto"/>
        <w:ind w:left="720" w:hanging="720"/>
        <w:jc w:val="both"/>
        <w:rPr>
          <w:rFonts w:asciiTheme="majorBidi" w:hAnsiTheme="majorBidi" w:cstheme="majorBidi"/>
          <w:sz w:val="24"/>
          <w:szCs w:val="24"/>
        </w:rPr>
      </w:pPr>
      <w:r w:rsidRPr="00337E5E">
        <w:rPr>
          <w:rFonts w:asciiTheme="majorBidi" w:hAnsiTheme="majorBidi" w:cstheme="majorBidi"/>
          <w:sz w:val="24"/>
          <w:szCs w:val="24"/>
          <w:lang w:val="de-DE"/>
        </w:rPr>
        <w:t xml:space="preserve">Wijaya, I. G. G., &amp; Wisadha, I. G. S. (2016). </w:t>
      </w:r>
      <w:proofErr w:type="spellStart"/>
      <w:r w:rsidRPr="00337E5E">
        <w:rPr>
          <w:rFonts w:asciiTheme="majorBidi" w:hAnsiTheme="majorBidi" w:cstheme="majorBidi"/>
          <w:sz w:val="24"/>
          <w:szCs w:val="24"/>
        </w:rPr>
        <w:t>Opini</w:t>
      </w:r>
      <w:proofErr w:type="spellEnd"/>
      <w:r w:rsidRPr="00337E5E">
        <w:rPr>
          <w:rFonts w:asciiTheme="majorBidi" w:hAnsiTheme="majorBidi" w:cstheme="majorBidi"/>
          <w:sz w:val="24"/>
          <w:szCs w:val="24"/>
        </w:rPr>
        <w:t xml:space="preserve"> audit </w:t>
      </w:r>
      <w:proofErr w:type="spellStart"/>
      <w:r w:rsidRPr="00337E5E">
        <w:rPr>
          <w:rFonts w:asciiTheme="majorBidi" w:hAnsiTheme="majorBidi" w:cstheme="majorBidi"/>
          <w:sz w:val="24"/>
          <w:szCs w:val="24"/>
        </w:rPr>
        <w:t>sebagai</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pemoderasi</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pengaruh</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ukuran</w:t>
      </w:r>
      <w:proofErr w:type="spellEnd"/>
      <w:r w:rsidRPr="00337E5E">
        <w:rPr>
          <w:rFonts w:asciiTheme="majorBidi" w:hAnsiTheme="majorBidi" w:cstheme="majorBidi"/>
          <w:sz w:val="24"/>
          <w:szCs w:val="24"/>
        </w:rPr>
        <w:t xml:space="preserve"> </w:t>
      </w:r>
      <w:proofErr w:type="spellStart"/>
      <w:r w:rsidRPr="00337E5E">
        <w:rPr>
          <w:rFonts w:asciiTheme="majorBidi" w:hAnsiTheme="majorBidi" w:cstheme="majorBidi"/>
          <w:sz w:val="24"/>
          <w:szCs w:val="24"/>
        </w:rPr>
        <w:t>perusahaan</w:t>
      </w:r>
      <w:proofErr w:type="spellEnd"/>
      <w:r w:rsidRPr="00337E5E">
        <w:rPr>
          <w:rFonts w:asciiTheme="majorBidi" w:hAnsiTheme="majorBidi" w:cstheme="majorBidi"/>
          <w:sz w:val="24"/>
          <w:szCs w:val="24"/>
        </w:rPr>
        <w:t xml:space="preserve"> pada audit report lag. </w:t>
      </w:r>
      <w:r w:rsidRPr="00337E5E">
        <w:rPr>
          <w:rFonts w:asciiTheme="majorBidi" w:hAnsiTheme="majorBidi" w:cstheme="majorBidi"/>
          <w:i/>
          <w:iCs/>
          <w:sz w:val="24"/>
          <w:szCs w:val="24"/>
        </w:rPr>
        <w:t>E-</w:t>
      </w:r>
      <w:proofErr w:type="spellStart"/>
      <w:r w:rsidRPr="00337E5E">
        <w:rPr>
          <w:rFonts w:asciiTheme="majorBidi" w:hAnsiTheme="majorBidi" w:cstheme="majorBidi"/>
          <w:i/>
          <w:iCs/>
          <w:sz w:val="24"/>
          <w:szCs w:val="24"/>
        </w:rPr>
        <w:t>Jurnal</w:t>
      </w:r>
      <w:proofErr w:type="spellEnd"/>
      <w:r w:rsidRPr="00337E5E">
        <w:rPr>
          <w:rFonts w:asciiTheme="majorBidi" w:hAnsiTheme="majorBidi" w:cstheme="majorBidi"/>
          <w:i/>
          <w:iCs/>
          <w:sz w:val="24"/>
          <w:szCs w:val="24"/>
        </w:rPr>
        <w:t xml:space="preserve"> </w:t>
      </w:r>
      <w:proofErr w:type="spellStart"/>
      <w:r w:rsidRPr="00337E5E">
        <w:rPr>
          <w:rFonts w:asciiTheme="majorBidi" w:hAnsiTheme="majorBidi" w:cstheme="majorBidi"/>
          <w:i/>
          <w:iCs/>
          <w:sz w:val="24"/>
          <w:szCs w:val="24"/>
        </w:rPr>
        <w:t>Akuntansi</w:t>
      </w:r>
      <w:proofErr w:type="spellEnd"/>
      <w:r w:rsidRPr="00337E5E">
        <w:rPr>
          <w:rFonts w:asciiTheme="majorBidi" w:hAnsiTheme="majorBidi" w:cstheme="majorBidi"/>
          <w:i/>
          <w:iCs/>
          <w:sz w:val="24"/>
          <w:szCs w:val="24"/>
        </w:rPr>
        <w:t xml:space="preserve"> Universitas Udayana</w:t>
      </w:r>
      <w:r w:rsidRPr="00337E5E">
        <w:rPr>
          <w:rFonts w:asciiTheme="majorBidi" w:hAnsiTheme="majorBidi" w:cstheme="majorBidi"/>
          <w:sz w:val="24"/>
          <w:szCs w:val="24"/>
        </w:rPr>
        <w:t xml:space="preserve">, </w:t>
      </w:r>
      <w:r w:rsidRPr="00337E5E">
        <w:rPr>
          <w:rFonts w:asciiTheme="majorBidi" w:hAnsiTheme="majorBidi" w:cstheme="majorBidi"/>
          <w:i/>
          <w:iCs/>
          <w:sz w:val="24"/>
          <w:szCs w:val="24"/>
        </w:rPr>
        <w:t>14</w:t>
      </w:r>
      <w:r w:rsidRPr="00337E5E">
        <w:rPr>
          <w:rFonts w:asciiTheme="majorBidi" w:hAnsiTheme="majorBidi" w:cstheme="majorBidi"/>
          <w:sz w:val="24"/>
          <w:szCs w:val="24"/>
        </w:rPr>
        <w:t>, 312–339.</w:t>
      </w:r>
    </w:p>
    <w:p w14:paraId="22C1D474" w14:textId="77777777" w:rsidR="007D37A4" w:rsidRDefault="007D37A4">
      <w:pPr>
        <w:jc w:val="both"/>
      </w:pPr>
    </w:p>
    <w:p w14:paraId="3AE76982" w14:textId="77777777" w:rsidR="00B85640" w:rsidRDefault="00B85640" w:rsidP="00B85640"/>
    <w:p w14:paraId="33437D19" w14:textId="37983BC7" w:rsidR="00634B41" w:rsidRDefault="00634B41">
      <w:r>
        <w:br w:type="page"/>
      </w:r>
    </w:p>
    <w:p w14:paraId="14A99D7E" w14:textId="77777777" w:rsidR="007373F6" w:rsidRDefault="00000000">
      <w:pPr>
        <w:pStyle w:val="Heading1"/>
      </w:pPr>
      <w:bookmarkStart w:id="82" w:name="_Toc211808156"/>
      <w:r>
        <w:lastRenderedPageBreak/>
        <w:t>Paper ID 60</w:t>
      </w:r>
      <w:bookmarkEnd w:id="82"/>
    </w:p>
    <w:p w14:paraId="4A0BA3DE" w14:textId="77777777" w:rsidR="007373F6" w:rsidRDefault="00000000">
      <w:pPr>
        <w:pStyle w:val="Heading2"/>
        <w:spacing w:after="0" w:line="240" w:lineRule="auto"/>
      </w:pPr>
      <w:bookmarkStart w:id="83" w:name="_Toc211808157"/>
      <w:r>
        <w:t>IMPACT OF PROFESSIONAL COMPETENCY ON RISK ASSESSMENT AND AUDIT JUDGMENT PERFORMANCE IN INDONESIA: THE MODERATING ROLE OF ENFORCEMENT PRESSURE</w:t>
      </w:r>
      <w:bookmarkEnd w:id="83"/>
    </w:p>
    <w:p w14:paraId="3B9A6539" w14:textId="77777777" w:rsidR="007373F6" w:rsidRDefault="007373F6">
      <w:pPr>
        <w:spacing w:after="0" w:line="240" w:lineRule="auto"/>
        <w:jc w:val="center"/>
        <w:rPr>
          <w:rFonts w:ascii="Times New Roman" w:eastAsia="Times New Roman" w:hAnsi="Times New Roman" w:cs="Times New Roman"/>
          <w:b/>
          <w:sz w:val="26"/>
          <w:szCs w:val="26"/>
        </w:rPr>
      </w:pPr>
    </w:p>
    <w:p w14:paraId="2D2A12ED" w14:textId="77777777" w:rsidR="007373F6" w:rsidRDefault="00000000">
      <w:pPr>
        <w:shd w:val="clear" w:color="auto" w:fill="FFFFFF"/>
        <w:jc w:val="cente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b/>
          <w:color w:val="222222"/>
          <w:sz w:val="24"/>
          <w:szCs w:val="24"/>
        </w:rPr>
        <w:t>Sudradjat</w:t>
      </w:r>
      <w:proofErr w:type="spellEnd"/>
      <w:r>
        <w:rPr>
          <w:rFonts w:ascii="Times New Roman" w:eastAsia="Times New Roman" w:hAnsi="Times New Roman" w:cs="Times New Roman"/>
          <w:color w:val="222222"/>
          <w:sz w:val="24"/>
          <w:szCs w:val="24"/>
        </w:rPr>
        <w:t>, Accounting Research Institute, Universiti Teknologi MARA, Malaysia (2022412272@student.uitm.edu.my)</w:t>
      </w:r>
    </w:p>
    <w:p w14:paraId="4224D20F" w14:textId="77777777" w:rsidR="007373F6" w:rsidRDefault="00000000">
      <w:pPr>
        <w:shd w:val="clear" w:color="auto" w:fill="FFFFFF"/>
        <w:jc w:val="cente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b/>
          <w:color w:val="222222"/>
          <w:sz w:val="24"/>
          <w:szCs w:val="24"/>
        </w:rPr>
        <w:t>Zuraidah</w:t>
      </w:r>
      <w:proofErr w:type="spellEnd"/>
      <w:r>
        <w:rPr>
          <w:rFonts w:ascii="Times New Roman" w:eastAsia="Times New Roman" w:hAnsi="Times New Roman" w:cs="Times New Roman"/>
          <w:b/>
          <w:color w:val="222222"/>
          <w:sz w:val="24"/>
          <w:szCs w:val="24"/>
        </w:rPr>
        <w:t xml:space="preserve"> Mohd. Sanusi*</w:t>
      </w:r>
      <w:r>
        <w:rPr>
          <w:rFonts w:ascii="Times New Roman" w:eastAsia="Times New Roman" w:hAnsi="Times New Roman" w:cs="Times New Roman"/>
          <w:color w:val="222222"/>
          <w:sz w:val="24"/>
          <w:szCs w:val="24"/>
        </w:rPr>
        <w:t>, Accounting Research Institute, Universiti Teknologi MARA, Malaysia (zuraidahms@uitm.edu.my)</w:t>
      </w:r>
    </w:p>
    <w:p w14:paraId="199B59A0" w14:textId="77777777" w:rsidR="007373F6" w:rsidRDefault="00000000">
      <w:pPr>
        <w:shd w:val="clear" w:color="auto" w:fill="FFFFFF"/>
        <w:jc w:val="cente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b/>
          <w:color w:val="222222"/>
          <w:sz w:val="24"/>
          <w:szCs w:val="24"/>
        </w:rPr>
        <w:t>Fazlida</w:t>
      </w:r>
      <w:proofErr w:type="spellEnd"/>
      <w:r>
        <w:rPr>
          <w:rFonts w:ascii="Times New Roman" w:eastAsia="Times New Roman" w:hAnsi="Times New Roman" w:cs="Times New Roman"/>
          <w:b/>
          <w:color w:val="222222"/>
          <w:sz w:val="24"/>
          <w:szCs w:val="24"/>
        </w:rPr>
        <w:t xml:space="preserve"> Mohd. Razali</w:t>
      </w:r>
      <w:r>
        <w:rPr>
          <w:rFonts w:ascii="Times New Roman" w:eastAsia="Times New Roman" w:hAnsi="Times New Roman" w:cs="Times New Roman"/>
          <w:color w:val="222222"/>
          <w:sz w:val="24"/>
          <w:szCs w:val="24"/>
        </w:rPr>
        <w:t>, Accounting Research Institute, Universiti Teknologi MARA, Malaysia (fazlida@uitm.edu.my)</w:t>
      </w:r>
    </w:p>
    <w:p w14:paraId="77CA103C" w14:textId="77777777" w:rsidR="007373F6" w:rsidRDefault="00000000">
      <w:pPr>
        <w:spacing w:after="0" w:line="240" w:lineRule="auto"/>
        <w:jc w:val="center"/>
        <w:rPr>
          <w:sz w:val="24"/>
          <w:szCs w:val="24"/>
        </w:rPr>
      </w:pPr>
      <w:r>
        <w:rPr>
          <w:rFonts w:ascii="Times New Roman" w:eastAsia="Times New Roman" w:hAnsi="Times New Roman" w:cs="Times New Roman"/>
          <w:b/>
          <w:sz w:val="24"/>
          <w:szCs w:val="24"/>
        </w:rPr>
        <w:t>Firdaus Amyar</w:t>
      </w:r>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Institut</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Bisnis</w:t>
      </w:r>
      <w:proofErr w:type="spellEnd"/>
      <w:r>
        <w:rPr>
          <w:rFonts w:ascii="Times New Roman" w:eastAsia="Times New Roman" w:hAnsi="Times New Roman" w:cs="Times New Roman"/>
          <w:color w:val="222222"/>
          <w:sz w:val="24"/>
          <w:szCs w:val="24"/>
        </w:rPr>
        <w:t xml:space="preserve"> dan </w:t>
      </w:r>
      <w:proofErr w:type="spellStart"/>
      <w:r>
        <w:rPr>
          <w:rFonts w:ascii="Times New Roman" w:eastAsia="Times New Roman" w:hAnsi="Times New Roman" w:cs="Times New Roman"/>
          <w:color w:val="222222"/>
          <w:sz w:val="24"/>
          <w:szCs w:val="24"/>
        </w:rPr>
        <w:t>Informatika</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Kesatuan</w:t>
      </w:r>
      <w:proofErr w:type="spellEnd"/>
      <w:r>
        <w:rPr>
          <w:rFonts w:ascii="Times New Roman" w:eastAsia="Times New Roman" w:hAnsi="Times New Roman" w:cs="Times New Roman"/>
          <w:color w:val="222222"/>
          <w:sz w:val="24"/>
          <w:szCs w:val="24"/>
        </w:rPr>
        <w:t>, Indonesia (firdaus.amyar@ibik.ac.id)</w:t>
      </w:r>
    </w:p>
    <w:p w14:paraId="1DDDC815" w14:textId="77777777" w:rsidR="007373F6" w:rsidRDefault="007373F6">
      <w:pPr>
        <w:jc w:val="center"/>
      </w:pPr>
    </w:p>
    <w:p w14:paraId="605191E3" w14:textId="77777777" w:rsidR="007373F6"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ABSTRACT</w:t>
      </w:r>
    </w:p>
    <w:p w14:paraId="34569D83"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Risk assessment is an important part of the audit process because it has a significant effect on the audit judgment performance. This study investigates how professional competence and enforcement pressure affect risk assessment and, as a result, the performance of audit judgments. A survey was done with 42 government auditors from the Audit Board of the Republic of Indonesia. The results show that both professional competence and enforcement pressure have a positive effect on risk assessment. Skilled auditors are better at finding and analysing audit risks. Also, pressure from the law makes people more thorough and makes sure they follow the rules. The study also shows that better audit judgment performance comes from better risk assessment. Mediation analysis shows that risk assessment plays a role in the relationship between professional competency and enforcement pressure with audit judgment performance. Moderation analysis, on the other hand, shows that enforcement pressure does not change the relationship between professional competency and risk assessment. These results suggest that auditors who are very skilled at their jobs can do good risk assessments, no matter how strict the rules are. This study adds to the existing literature by showing how the qualities of individual auditors and regulatory factors work together to affect how well audits work.</w:t>
      </w:r>
    </w:p>
    <w:p w14:paraId="79E58194" w14:textId="77777777" w:rsidR="007373F6" w:rsidRDefault="007373F6">
      <w:pPr>
        <w:spacing w:after="0" w:line="240" w:lineRule="auto"/>
        <w:jc w:val="both"/>
        <w:rPr>
          <w:rFonts w:ascii="Times New Roman" w:eastAsia="Times New Roman" w:hAnsi="Times New Roman" w:cs="Times New Roman"/>
          <w:sz w:val="24"/>
          <w:szCs w:val="24"/>
        </w:rPr>
      </w:pPr>
    </w:p>
    <w:p w14:paraId="74A9068B" w14:textId="77777777" w:rsidR="007373F6" w:rsidRDefault="00000000">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Keywords: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Professional Competency, Enforcement Pressure, Risk Assessment, Audit Judgment Performance </w:t>
      </w:r>
    </w:p>
    <w:p w14:paraId="136D0566" w14:textId="77777777" w:rsidR="007373F6" w:rsidRDefault="007373F6" w:rsidP="00DD6A02"/>
    <w:p w14:paraId="5874DA1E" w14:textId="77777777" w:rsidR="007373F6" w:rsidRDefault="00000000" w:rsidP="00856618">
      <w:pPr>
        <w:numPr>
          <w:ilvl w:val="0"/>
          <w:numId w:val="20"/>
        </w:numPr>
        <w:spacing w:after="0" w:line="240" w:lineRule="auto"/>
        <w:ind w:left="284" w:hanging="278"/>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INTRODUCTION</w:t>
      </w:r>
    </w:p>
    <w:p w14:paraId="15E0965B" w14:textId="77777777" w:rsidR="007373F6" w:rsidRDefault="007373F6">
      <w:pPr>
        <w:spacing w:after="0" w:line="240" w:lineRule="auto"/>
        <w:ind w:left="6"/>
        <w:jc w:val="both"/>
        <w:rPr>
          <w:rFonts w:ascii="Times New Roman" w:eastAsia="Times New Roman" w:hAnsi="Times New Roman" w:cs="Times New Roman"/>
          <w:b/>
          <w:sz w:val="24"/>
          <w:szCs w:val="24"/>
        </w:rPr>
      </w:pPr>
    </w:p>
    <w:p w14:paraId="63F4D249"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Public sector audits have a significant role in ensuring the process of transparency and accountability in the management of state finances (Ferry &amp; Midgley 2024). In carrying out their duties, auditors are required to be able to make reliable judgments to ensure that the financial statements presented are in accordance with applicable accounting standards. One of the important parts of the audit process is the auditor's ability to make judgments based on valid data and information (Giordano &amp; </w:t>
      </w:r>
      <w:proofErr w:type="spellStart"/>
      <w:r>
        <w:rPr>
          <w:rFonts w:ascii="Times New Roman" w:eastAsia="Times New Roman" w:hAnsi="Times New Roman" w:cs="Times New Roman"/>
          <w:sz w:val="24"/>
          <w:szCs w:val="24"/>
        </w:rPr>
        <w:t>Victoravich</w:t>
      </w:r>
      <w:proofErr w:type="spellEnd"/>
      <w:r>
        <w:rPr>
          <w:rFonts w:ascii="Times New Roman" w:eastAsia="Times New Roman" w:hAnsi="Times New Roman" w:cs="Times New Roman"/>
          <w:sz w:val="24"/>
          <w:szCs w:val="24"/>
        </w:rPr>
        <w:t xml:space="preserve">, 2024). The audit judgment-making process is influenced by the quality of risk assessment, which is used as the basis for determining the next audit steps (Wang et al., 2023). Accurate risk assessment will result in an accurate audit </w:t>
      </w:r>
      <w:r>
        <w:rPr>
          <w:rFonts w:ascii="Times New Roman" w:eastAsia="Times New Roman" w:hAnsi="Times New Roman" w:cs="Times New Roman"/>
          <w:sz w:val="24"/>
          <w:szCs w:val="24"/>
        </w:rPr>
        <w:lastRenderedPageBreak/>
        <w:t>judgment and ultimately benefit stakeholders (Wang et al., 2025). Based on this, there are several factors that affect risk assessment and audit judgments are necessary, including professional competency and enforcement pressure.</w:t>
      </w:r>
    </w:p>
    <w:p w14:paraId="42342152"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case of audit </w:t>
      </w:r>
      <w:proofErr w:type="spellStart"/>
      <w:r>
        <w:rPr>
          <w:rFonts w:ascii="Times New Roman" w:eastAsia="Times New Roman" w:hAnsi="Times New Roman" w:cs="Times New Roman"/>
          <w:sz w:val="24"/>
          <w:szCs w:val="24"/>
        </w:rPr>
        <w:t>judgmet</w:t>
      </w:r>
      <w:proofErr w:type="spellEnd"/>
      <w:r>
        <w:rPr>
          <w:rFonts w:ascii="Times New Roman" w:eastAsia="Times New Roman" w:hAnsi="Times New Roman" w:cs="Times New Roman"/>
          <w:sz w:val="24"/>
          <w:szCs w:val="24"/>
        </w:rPr>
        <w:t xml:space="preserve"> failure in Indonesia, the Financial Services Authority imposed sanctions on Public Accountant Kasner </w:t>
      </w:r>
      <w:proofErr w:type="spellStart"/>
      <w:r>
        <w:rPr>
          <w:rFonts w:ascii="Times New Roman" w:eastAsia="Times New Roman" w:hAnsi="Times New Roman" w:cs="Times New Roman"/>
          <w:sz w:val="24"/>
          <w:szCs w:val="24"/>
        </w:rPr>
        <w:t>Sirumapea</w:t>
      </w:r>
      <w:proofErr w:type="spellEnd"/>
      <w:r>
        <w:rPr>
          <w:rFonts w:ascii="Times New Roman" w:eastAsia="Times New Roman" w:hAnsi="Times New Roman" w:cs="Times New Roman"/>
          <w:sz w:val="24"/>
          <w:szCs w:val="24"/>
        </w:rPr>
        <w:t xml:space="preserve"> and Public Accounting Firm </w:t>
      </w:r>
      <w:proofErr w:type="spellStart"/>
      <w:r>
        <w:rPr>
          <w:rFonts w:ascii="Times New Roman" w:eastAsia="Times New Roman" w:hAnsi="Times New Roman" w:cs="Times New Roman"/>
          <w:sz w:val="24"/>
          <w:szCs w:val="24"/>
        </w:rPr>
        <w:t>Tanubrata</w:t>
      </w:r>
      <w:proofErr w:type="spellEnd"/>
      <w:r>
        <w:rPr>
          <w:rFonts w:ascii="Times New Roman" w:eastAsia="Times New Roman" w:hAnsi="Times New Roman" w:cs="Times New Roman"/>
          <w:sz w:val="24"/>
          <w:szCs w:val="24"/>
        </w:rPr>
        <w:t xml:space="preserve">, Sutanto, Fahmi, Bambang &amp; Rekan in a significant case involving PT. Garuda Indonesia </w:t>
      </w:r>
      <w:proofErr w:type="spellStart"/>
      <w:r>
        <w:rPr>
          <w:rFonts w:ascii="Times New Roman" w:eastAsia="Times New Roman" w:hAnsi="Times New Roman" w:cs="Times New Roman"/>
          <w:sz w:val="24"/>
          <w:szCs w:val="24"/>
        </w:rPr>
        <w:t>Tbk</w:t>
      </w:r>
      <w:proofErr w:type="spellEnd"/>
      <w:r>
        <w:rPr>
          <w:rFonts w:ascii="Times New Roman" w:eastAsia="Times New Roman" w:hAnsi="Times New Roman" w:cs="Times New Roman"/>
          <w:sz w:val="24"/>
          <w:szCs w:val="24"/>
        </w:rPr>
        <w:t xml:space="preserve"> for audit errors in the company's 2018 financial statements.  This issue was caused by the incorrect recognition of income from transactions with PT Mahata Aero Teknologi by Garuda Indonesia, which had an impact on the profit and loss report.  This resulted in an investigation by the Financial Professional Development Centre, Indonesian Ministry of Finance, which examined the auditor's work and the company, which is affiliated with the international audit organisation BDO. The investigation determined that they had contravened numerous audit standards, such as those pertaining to risk assessment, audit evidence, and the contemplation of subsequent events, as dictated by audit standards 315, 500, and 560 (</w:t>
      </w:r>
      <w:proofErr w:type="spellStart"/>
      <w:r>
        <w:rPr>
          <w:rFonts w:ascii="Times New Roman" w:eastAsia="Times New Roman" w:hAnsi="Times New Roman" w:cs="Times New Roman"/>
          <w:sz w:val="24"/>
          <w:szCs w:val="24"/>
        </w:rPr>
        <w:t>Hidayati</w:t>
      </w:r>
      <w:proofErr w:type="spellEnd"/>
      <w:r>
        <w:rPr>
          <w:rFonts w:ascii="Times New Roman" w:eastAsia="Times New Roman" w:hAnsi="Times New Roman" w:cs="Times New Roman"/>
          <w:sz w:val="24"/>
          <w:szCs w:val="24"/>
        </w:rPr>
        <w:t>, 2019).  This case emphasises the significance of adhering to audit standards and emphasises the repercussions of audit errors in financial reporting. Several factors influence risk assessment and audit judgment, including professional competency and enforcement pressure.</w:t>
      </w:r>
    </w:p>
    <w:p w14:paraId="64EF28B8"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Professional competency shows the technical ability, knowledge, and skills that the auditor has in carrying out their duties (</w:t>
      </w:r>
      <w:proofErr w:type="spellStart"/>
      <w:r>
        <w:rPr>
          <w:rFonts w:ascii="Times New Roman" w:eastAsia="Times New Roman" w:hAnsi="Times New Roman" w:cs="Times New Roman"/>
          <w:sz w:val="24"/>
          <w:szCs w:val="24"/>
        </w:rPr>
        <w:t>Shbail</w:t>
      </w:r>
      <w:proofErr w:type="spellEnd"/>
      <w:r>
        <w:rPr>
          <w:rFonts w:ascii="Times New Roman" w:eastAsia="Times New Roman" w:hAnsi="Times New Roman" w:cs="Times New Roman"/>
          <w:sz w:val="24"/>
          <w:szCs w:val="24"/>
        </w:rPr>
        <w:t xml:space="preserve"> et al., 2024). Auditors who have good competence will be able to identify risks and make appropriate audit decisions (Shen et al. 2023). Professional competency comes from education, work experience, training, and understanding of audit standards and applicable regulations (</w:t>
      </w:r>
      <w:proofErr w:type="spellStart"/>
      <w:r>
        <w:rPr>
          <w:rFonts w:ascii="Times New Roman" w:eastAsia="Times New Roman" w:hAnsi="Times New Roman" w:cs="Times New Roman"/>
          <w:sz w:val="24"/>
          <w:szCs w:val="24"/>
        </w:rPr>
        <w:t>Dierynck</w:t>
      </w:r>
      <w:proofErr w:type="spellEnd"/>
      <w:r>
        <w:rPr>
          <w:rFonts w:ascii="Times New Roman" w:eastAsia="Times New Roman" w:hAnsi="Times New Roman" w:cs="Times New Roman"/>
          <w:sz w:val="24"/>
          <w:szCs w:val="24"/>
        </w:rPr>
        <w:t xml:space="preserve"> et al. 2023). Previous studies have shown that professional competency has a significant contribution to risk assessment and audit quality (Barnes et al., 2024). In the context of public sector audits, competence is important because auditors are faced with limited data and bureaucratic complexity (Tuan &amp; Dung, 2024). Auditors who have high competence can maintain independence and produce appropriate </w:t>
      </w:r>
      <w:proofErr w:type="spellStart"/>
      <w:r>
        <w:rPr>
          <w:rFonts w:ascii="Times New Roman" w:eastAsia="Times New Roman" w:hAnsi="Times New Roman" w:cs="Times New Roman"/>
          <w:sz w:val="24"/>
          <w:szCs w:val="24"/>
        </w:rPr>
        <w:t>judgmet</w:t>
      </w:r>
      <w:proofErr w:type="spellEnd"/>
      <w:r>
        <w:rPr>
          <w:rFonts w:ascii="Times New Roman" w:eastAsia="Times New Roman" w:hAnsi="Times New Roman" w:cs="Times New Roman"/>
          <w:sz w:val="24"/>
          <w:szCs w:val="24"/>
        </w:rPr>
        <w:t xml:space="preserve"> audits. Based on this, it is necessary to further examine the contribution of professional competency to risk assessment and audit judgment.</w:t>
      </w:r>
    </w:p>
    <w:p w14:paraId="45FA0431"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Furthermore, enforcement pressure can come from laws and regulations, public demands, and expectations from supervisors or law enforcement agencies (</w:t>
      </w:r>
      <w:proofErr w:type="spellStart"/>
      <w:r>
        <w:rPr>
          <w:rFonts w:ascii="Times New Roman" w:eastAsia="Times New Roman" w:hAnsi="Times New Roman" w:cs="Times New Roman"/>
          <w:sz w:val="24"/>
          <w:szCs w:val="24"/>
        </w:rPr>
        <w:t>Larmande</w:t>
      </w:r>
      <w:proofErr w:type="spellEnd"/>
      <w:r>
        <w:rPr>
          <w:rFonts w:ascii="Times New Roman" w:eastAsia="Times New Roman" w:hAnsi="Times New Roman" w:cs="Times New Roman"/>
          <w:sz w:val="24"/>
          <w:szCs w:val="24"/>
        </w:rPr>
        <w:t xml:space="preserve"> &amp; Lesage, 2023). Auditors who are in a position of enforcement pressure tend to be more careful in assessing risks and preparing audit judgments (Dwyer et al., 2023). This pressure can be positive in encouraging auditors to work more professionally and adhere to established standards (Filosa et al., 2025). However, if the auditor receives excessive pressure, it can interfere with objectivity and cause fear in decision-making (</w:t>
      </w:r>
      <w:proofErr w:type="spellStart"/>
      <w:r>
        <w:rPr>
          <w:rFonts w:ascii="Times New Roman" w:eastAsia="Times New Roman" w:hAnsi="Times New Roman" w:cs="Times New Roman"/>
          <w:sz w:val="24"/>
          <w:szCs w:val="24"/>
        </w:rPr>
        <w:t>Samagaio</w:t>
      </w:r>
      <w:proofErr w:type="spellEnd"/>
      <w:r>
        <w:rPr>
          <w:rFonts w:ascii="Times New Roman" w:eastAsia="Times New Roman" w:hAnsi="Times New Roman" w:cs="Times New Roman"/>
          <w:sz w:val="24"/>
          <w:szCs w:val="24"/>
        </w:rPr>
        <w:t xml:space="preserve"> et al., 2025). Therefore, it is important to know how enforcement pressure has an effect on risk assessment and audit judgment. The interaction between external pressures and internal factors such as professional competence is an interesting topic to be studied further.</w:t>
      </w:r>
    </w:p>
    <w:p w14:paraId="237FB47A" w14:textId="77777777" w:rsidR="007373F6" w:rsidRDefault="00000000">
      <w:pPr>
        <w:spacing w:after="0" w:line="240" w:lineRule="auto"/>
        <w:ind w:firstLine="426"/>
        <w:jc w:val="both"/>
        <w:rPr>
          <w:rFonts w:ascii="Times New Roman" w:eastAsia="Times New Roman" w:hAnsi="Times New Roman" w:cs="Times New Roman"/>
          <w:sz w:val="24"/>
          <w:szCs w:val="24"/>
        </w:rPr>
      </w:pPr>
      <w:bookmarkStart w:id="84" w:name="_heading=h.iudqwzge4to4" w:colFirst="0" w:colLast="0"/>
      <w:bookmarkEnd w:id="84"/>
      <w:r>
        <w:rPr>
          <w:rFonts w:ascii="Times New Roman" w:eastAsia="Times New Roman" w:hAnsi="Times New Roman" w:cs="Times New Roman"/>
          <w:sz w:val="24"/>
          <w:szCs w:val="24"/>
        </w:rPr>
        <w:t>Risk assessment is the first step in determining the implementation of the audit process. This is because the results of the risk assessment will affect the allocation of resources and the focus of the audit carried out by the auditor (</w:t>
      </w:r>
      <w:proofErr w:type="spellStart"/>
      <w:r>
        <w:rPr>
          <w:rFonts w:ascii="Times New Roman" w:eastAsia="Times New Roman" w:hAnsi="Times New Roman" w:cs="Times New Roman"/>
          <w:sz w:val="24"/>
          <w:szCs w:val="24"/>
        </w:rPr>
        <w:t>Mugwira</w:t>
      </w:r>
      <w:proofErr w:type="spellEnd"/>
      <w:r>
        <w:rPr>
          <w:rFonts w:ascii="Times New Roman" w:eastAsia="Times New Roman" w:hAnsi="Times New Roman" w:cs="Times New Roman"/>
          <w:sz w:val="24"/>
          <w:szCs w:val="24"/>
        </w:rPr>
        <w:t xml:space="preserve"> et al., 2025). The quality of the risk assessment conducted by the auditor is largely determined by the ability to identify, understand, and </w:t>
      </w:r>
      <w:proofErr w:type="spellStart"/>
      <w:r>
        <w:rPr>
          <w:rFonts w:ascii="Times New Roman" w:eastAsia="Times New Roman" w:hAnsi="Times New Roman" w:cs="Times New Roman"/>
          <w:sz w:val="24"/>
          <w:szCs w:val="24"/>
        </w:rPr>
        <w:t>analyze</w:t>
      </w:r>
      <w:proofErr w:type="spellEnd"/>
      <w:r>
        <w:rPr>
          <w:rFonts w:ascii="Times New Roman" w:eastAsia="Times New Roman" w:hAnsi="Times New Roman" w:cs="Times New Roman"/>
          <w:sz w:val="24"/>
          <w:szCs w:val="24"/>
        </w:rPr>
        <w:t xml:space="preserve"> the risks inherent in the audited entity (Pe et al., 2023). Auditors who are highly competent and aware of enforcement pressure will be more careful in assessing risks and designing relevant audit procedures (Mannan et al., 2025). The combination of competence and pressure can form a more accurate audit judgment (</w:t>
      </w:r>
      <w:proofErr w:type="spellStart"/>
      <w:r>
        <w:rPr>
          <w:rFonts w:ascii="Times New Roman" w:eastAsia="Times New Roman" w:hAnsi="Times New Roman" w:cs="Times New Roman"/>
          <w:sz w:val="24"/>
          <w:szCs w:val="24"/>
        </w:rPr>
        <w:t>Adikaram</w:t>
      </w:r>
      <w:proofErr w:type="spellEnd"/>
      <w:r>
        <w:rPr>
          <w:rFonts w:ascii="Times New Roman" w:eastAsia="Times New Roman" w:hAnsi="Times New Roman" w:cs="Times New Roman"/>
          <w:sz w:val="24"/>
          <w:szCs w:val="24"/>
        </w:rPr>
        <w:t xml:space="preserve"> &amp; Higgs, 2024). Therefore, empirical research is needed that systematically examines the relationship between these three variables. By understanding the mechanism of the relationship, public audit institutions such as the Audit Board can design a comprehensive audit quality improvement strategy. In addition, </w:t>
      </w:r>
      <w:r>
        <w:rPr>
          <w:rFonts w:ascii="Times New Roman" w:eastAsia="Times New Roman" w:hAnsi="Times New Roman" w:cs="Times New Roman"/>
          <w:sz w:val="24"/>
          <w:szCs w:val="24"/>
        </w:rPr>
        <w:lastRenderedPageBreak/>
        <w:t>the results of this study can be used as a basis for developing policies to improve competence and manage work pressure for auditors.</w:t>
      </w:r>
    </w:p>
    <w:p w14:paraId="753B7CA4"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Auditors who have high competence should ideally be able to conduct risk assessments accurately and professionally (Razali et al., 2025). However, in practice, the existence of enforcement pressure can moderate the relationship by strengthening or even inhibiting the performance of risk assessment. Constructive enforcement pressure can encourage auditors to apply their competencies optimally in assessing risks carefully and responsibly (</w:t>
      </w:r>
      <w:proofErr w:type="spellStart"/>
      <w:r>
        <w:rPr>
          <w:rFonts w:ascii="Times New Roman" w:eastAsia="Times New Roman" w:hAnsi="Times New Roman" w:cs="Times New Roman"/>
          <w:sz w:val="24"/>
          <w:szCs w:val="24"/>
        </w:rPr>
        <w:t>Samiolo</w:t>
      </w:r>
      <w:proofErr w:type="spellEnd"/>
      <w:r>
        <w:rPr>
          <w:rFonts w:ascii="Times New Roman" w:eastAsia="Times New Roman" w:hAnsi="Times New Roman" w:cs="Times New Roman"/>
          <w:sz w:val="24"/>
          <w:szCs w:val="24"/>
        </w:rPr>
        <w:t xml:space="preserve"> et al. 2023). On the other hand, repressive or excessive pressure can reduce the effectiveness of auditor competence due to the emergence of fear or bias in decision-making (Abdallah et al., 2024). Examining the role of moderation is important to understand the complex dynamics that occur in the implementation of public sector audits.</w:t>
      </w:r>
    </w:p>
    <w:p w14:paraId="062994FF"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Based on this background, this study aims to </w:t>
      </w:r>
      <w:proofErr w:type="spellStart"/>
      <w:r>
        <w:rPr>
          <w:rFonts w:ascii="Times New Roman" w:eastAsia="Times New Roman" w:hAnsi="Times New Roman" w:cs="Times New Roman"/>
          <w:sz w:val="24"/>
          <w:szCs w:val="24"/>
        </w:rPr>
        <w:t>analyze</w:t>
      </w:r>
      <w:proofErr w:type="spellEnd"/>
      <w:r>
        <w:rPr>
          <w:rFonts w:ascii="Times New Roman" w:eastAsia="Times New Roman" w:hAnsi="Times New Roman" w:cs="Times New Roman"/>
          <w:sz w:val="24"/>
          <w:szCs w:val="24"/>
        </w:rPr>
        <w:t xml:space="preserve"> the influence of professional competency and enforcement pressure on risk assessment and audit judgment performance. This study examined the direct effect of professional competency and enforcement pressure on risk assessment and the direct effect of risk assessment on audit judgment performance. Furthermore, this study also examines the mediating role of risk assessment in the relationship between professional competency and enforcement pressure on audit performance judgment. Finally, this study examines the role of moderation of enforcement pressure in the relationship between professional competency and risk assessment. The results of the research can not only make a theoretical contribution to the development of public sector auditing science, but can also be used by the leaders of audit institutions to improve the quality of audit results through strengthening competence and managing work pressure. Thus, this research plays an important role in supporting the creation of a transparent, accountable, and professional state financial supervision system.</w:t>
      </w:r>
    </w:p>
    <w:p w14:paraId="0445A008" w14:textId="77777777" w:rsidR="007373F6" w:rsidRDefault="007373F6">
      <w:pPr>
        <w:spacing w:after="0" w:line="240" w:lineRule="auto"/>
        <w:ind w:firstLine="426"/>
        <w:jc w:val="both"/>
        <w:rPr>
          <w:rFonts w:ascii="Times New Roman" w:eastAsia="Times New Roman" w:hAnsi="Times New Roman" w:cs="Times New Roman"/>
          <w:sz w:val="24"/>
          <w:szCs w:val="24"/>
        </w:rPr>
      </w:pPr>
    </w:p>
    <w:p w14:paraId="7E18F884" w14:textId="77777777" w:rsidR="007373F6" w:rsidRDefault="00000000" w:rsidP="00856618">
      <w:pPr>
        <w:numPr>
          <w:ilvl w:val="0"/>
          <w:numId w:val="2"/>
        </w:numPr>
        <w:spacing w:after="0" w:line="240" w:lineRule="auto"/>
        <w:ind w:left="284"/>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LITERATURE REVIEW AND HYPOTHESIS DEVELOPMENT</w:t>
      </w:r>
    </w:p>
    <w:p w14:paraId="1F02E733" w14:textId="77777777" w:rsidR="007373F6" w:rsidRDefault="007373F6">
      <w:pPr>
        <w:widowControl w:val="0"/>
        <w:spacing w:after="0" w:line="240" w:lineRule="auto"/>
        <w:ind w:left="426"/>
        <w:jc w:val="both"/>
        <w:rPr>
          <w:rFonts w:ascii="Times New Roman" w:eastAsia="Times New Roman" w:hAnsi="Times New Roman" w:cs="Times New Roman"/>
          <w:b/>
          <w:sz w:val="24"/>
          <w:szCs w:val="24"/>
        </w:rPr>
      </w:pPr>
    </w:p>
    <w:p w14:paraId="4D6C641F" w14:textId="2B78429C" w:rsidR="007373F6" w:rsidRPr="00722934" w:rsidRDefault="00000000" w:rsidP="00856618">
      <w:pPr>
        <w:pStyle w:val="ListParagraph"/>
        <w:numPr>
          <w:ilvl w:val="1"/>
          <w:numId w:val="59"/>
        </w:numPr>
        <w:spacing w:after="0" w:line="240" w:lineRule="auto"/>
        <w:ind w:left="426" w:hanging="426"/>
        <w:jc w:val="both"/>
        <w:rPr>
          <w:rFonts w:ascii="Times New Roman" w:eastAsia="Times New Roman" w:hAnsi="Times New Roman" w:cs="Times New Roman"/>
          <w:b/>
          <w:color w:val="000000"/>
          <w:sz w:val="24"/>
          <w:szCs w:val="24"/>
        </w:rPr>
      </w:pPr>
      <w:r w:rsidRPr="00722934">
        <w:rPr>
          <w:rFonts w:ascii="Times New Roman" w:eastAsia="Times New Roman" w:hAnsi="Times New Roman" w:cs="Times New Roman"/>
          <w:b/>
          <w:sz w:val="24"/>
          <w:szCs w:val="24"/>
        </w:rPr>
        <w:t>Social Cognitive Theory</w:t>
      </w:r>
    </w:p>
    <w:p w14:paraId="759EB954" w14:textId="77777777" w:rsidR="007373F6" w:rsidRDefault="00000000">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Social Cognitive Theory (SCT), developed by Bandura, is a learning theory that emphasizes the importance of mutual interaction between individuals, the environment, and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This theory states that learning not only happens through direct experience, but also through observation of the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of others and the consequences of that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(Bandura, 1982). Key concepts of SCT include observational learning, self-efficacy, reciprocal determinism, and </w:t>
      </w: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capability (</w:t>
      </w:r>
      <w:proofErr w:type="spellStart"/>
      <w:r>
        <w:rPr>
          <w:rFonts w:ascii="Times New Roman" w:eastAsia="Times New Roman" w:hAnsi="Times New Roman" w:cs="Times New Roman"/>
          <w:sz w:val="24"/>
          <w:szCs w:val="24"/>
        </w:rPr>
        <w:t>Daradkeh</w:t>
      </w:r>
      <w:proofErr w:type="spellEnd"/>
      <w:r>
        <w:rPr>
          <w:rFonts w:ascii="Times New Roman" w:eastAsia="Times New Roman" w:hAnsi="Times New Roman" w:cs="Times New Roman"/>
          <w:sz w:val="24"/>
          <w:szCs w:val="24"/>
        </w:rPr>
        <w:t xml:space="preserve">, 2022). Among these concepts, self-efficacy is a central element that describes an individual's belief in his or her own abilities. The social environment has a huge role in shaping individual perceptions and influencing the decision-making process. Instead, individual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also shapes the environment around them, creating mutually influencing dynamics. Therefore, this theory is very relevant in understanding professional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in the work environment, including in the context of audit decision-making.</w:t>
      </w:r>
    </w:p>
    <w:p w14:paraId="6538CC3E" w14:textId="77777777" w:rsidR="007373F6" w:rsidRDefault="00000000">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context of this study, SCT is used as a theoretical framework to explain how professional competency is formed and impacts decision-making. Professional competency is not solely acquired through formal education, but also through social learning in the work environment, such as imitating the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of senior colleagues or discussing in an audit team (Chen et al.,  2023). SCT explained that </w:t>
      </w:r>
      <w:r>
        <w:rPr>
          <w:rFonts w:ascii="Times New Roman" w:eastAsia="Times New Roman" w:hAnsi="Times New Roman" w:cs="Times New Roman"/>
          <w:i/>
          <w:sz w:val="24"/>
          <w:szCs w:val="24"/>
        </w:rPr>
        <w:t xml:space="preserve">self-efficacy </w:t>
      </w:r>
      <w:r>
        <w:rPr>
          <w:rFonts w:ascii="Times New Roman" w:eastAsia="Times New Roman" w:hAnsi="Times New Roman" w:cs="Times New Roman"/>
          <w:sz w:val="24"/>
          <w:szCs w:val="24"/>
        </w:rPr>
        <w:t xml:space="preserve">plays an important role in strengthening professional competence. Auditors who are confident in their abilities will be more confident in assessing risks and making decisions (Aghazadeh &amp; Joe, 2022). A supportive work environment and providing positive feedback can strengthen self-efficacy (Hamdan &amp; Issa, 2021). Conversely, external pressures or uncertainty can weaken auditors' self-confidence and interfere with the optimal application of knowledge. Therefore, improving competencies </w:t>
      </w:r>
      <w:r>
        <w:rPr>
          <w:rFonts w:ascii="Times New Roman" w:eastAsia="Times New Roman" w:hAnsi="Times New Roman" w:cs="Times New Roman"/>
          <w:sz w:val="24"/>
          <w:szCs w:val="24"/>
        </w:rPr>
        <w:lastRenderedPageBreak/>
        <w:t>cannot be separated from efforts to create a work ecosystem that supports the social learning process.</w:t>
      </w:r>
    </w:p>
    <w:p w14:paraId="4F0042C2" w14:textId="77777777" w:rsidR="007373F6" w:rsidRDefault="00000000">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addition, the SCT also provides a framework for understanding how enforcement pressure affects risk assessment and audit judgment performance. Pressures from regulations, institutional expectations, and social dynamics in the workplace can affect auditors' perceptions of expected standards of professional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(Brown et al., 2016). In SCT's view, auditors adjust their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based on observations of how the environment responds to certain actions (Ahmed &amp; Hussain, 2024). For example, if an auditor sees that a colleague who is complying with external pressure is gaining recognition, he or she is likely to imitate the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This mechanism shows that enforcement pressure can shape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through vicarious learning and social reinforcement (</w:t>
      </w:r>
      <w:proofErr w:type="spellStart"/>
      <w:r>
        <w:rPr>
          <w:rFonts w:ascii="Times New Roman" w:eastAsia="Times New Roman" w:hAnsi="Times New Roman" w:cs="Times New Roman"/>
          <w:sz w:val="24"/>
          <w:szCs w:val="24"/>
        </w:rPr>
        <w:t>FeldmanHall</w:t>
      </w:r>
      <w:proofErr w:type="spellEnd"/>
      <w:r>
        <w:rPr>
          <w:rFonts w:ascii="Times New Roman" w:eastAsia="Times New Roman" w:hAnsi="Times New Roman" w:cs="Times New Roman"/>
          <w:sz w:val="24"/>
          <w:szCs w:val="24"/>
        </w:rPr>
        <w:t xml:space="preserve"> et al., 2018). However, excessive pressure can actually collapse self-efficacy and reduce the accuracy of risk assessment. Therefore, SCT-based understanding emphasizes the importance of managing pressure wisely so as not to undermine the integrity of the audit process.</w:t>
      </w:r>
    </w:p>
    <w:p w14:paraId="580DFD51" w14:textId="77777777" w:rsidR="007373F6" w:rsidRDefault="007373F6">
      <w:pPr>
        <w:widowControl w:val="0"/>
        <w:spacing w:after="0" w:line="240" w:lineRule="auto"/>
        <w:jc w:val="both"/>
        <w:rPr>
          <w:rFonts w:ascii="DengXian" w:eastAsia="DengXian" w:hAnsi="DengXian" w:cs="DengXian"/>
          <w:color w:val="FF0000"/>
          <w:sz w:val="21"/>
          <w:szCs w:val="21"/>
        </w:rPr>
      </w:pPr>
    </w:p>
    <w:p w14:paraId="65A82BE7" w14:textId="3304FD14" w:rsidR="007373F6" w:rsidRPr="00722934" w:rsidRDefault="00000000" w:rsidP="00856618">
      <w:pPr>
        <w:pStyle w:val="ListParagraph"/>
        <w:numPr>
          <w:ilvl w:val="1"/>
          <w:numId w:val="59"/>
        </w:numPr>
        <w:spacing w:after="0" w:line="240" w:lineRule="auto"/>
        <w:ind w:left="426" w:hanging="426"/>
        <w:jc w:val="both"/>
        <w:rPr>
          <w:rFonts w:ascii="Times New Roman" w:eastAsia="Times New Roman" w:hAnsi="Times New Roman" w:cs="Times New Roman"/>
          <w:b/>
          <w:color w:val="000000"/>
          <w:sz w:val="24"/>
          <w:szCs w:val="24"/>
        </w:rPr>
      </w:pPr>
      <w:r w:rsidRPr="00722934">
        <w:rPr>
          <w:rFonts w:ascii="Times New Roman" w:eastAsia="Times New Roman" w:hAnsi="Times New Roman" w:cs="Times New Roman"/>
          <w:b/>
          <w:sz w:val="24"/>
          <w:szCs w:val="24"/>
        </w:rPr>
        <w:t>Audit Judgment Performance</w:t>
      </w:r>
    </w:p>
    <w:p w14:paraId="7FA9316E" w14:textId="77777777" w:rsidR="007373F6" w:rsidRDefault="00000000">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Audit judgment is a decision-making process that auditors carry out in the face of complex situations and are not fully governed by definite technical rules (Friska &amp; Agustia, 2025). This decision involves a subjective assessment based on experience, professional knowledge, and an understanding of the available audit evidence. Audit judgments are needed especially in matters of an estimative nature, such as assessing the fairness of loss reserves, evaluating internal controls, and determining the level of materiality (Christensen et al., 2022). This process is greatly influenced by internal factors such as competence, professional intuition, and self-efficacy. In addition, auditor judgments can also be influenced by external pressures such as regulations, supervisory expectations, or legal risks. Therefore, the quality of the audit judgment greatly determines the success of the audit implementation as a whole (Abdallah et al., 2024) . A good audit judgment will produce reliable audit opinions and recommendations by stakeholders.</w:t>
      </w:r>
    </w:p>
    <w:p w14:paraId="18DA341C" w14:textId="77777777" w:rsidR="007373F6" w:rsidRDefault="00000000">
      <w:pPr>
        <w:widowControl w:val="0"/>
        <w:spacing w:after="0" w:line="240" w:lineRule="auto"/>
        <w:ind w:firstLine="426"/>
        <w:jc w:val="both"/>
        <w:rPr>
          <w:rFonts w:ascii="Times New Roman" w:eastAsia="Times New Roman" w:hAnsi="Times New Roman" w:cs="Times New Roman"/>
          <w:sz w:val="24"/>
          <w:szCs w:val="24"/>
        </w:rPr>
      </w:pPr>
      <w:bookmarkStart w:id="85" w:name="_heading=h.6t47rc2kabje" w:colFirst="0" w:colLast="0"/>
      <w:bookmarkEnd w:id="85"/>
      <w:r>
        <w:rPr>
          <w:rFonts w:ascii="Times New Roman" w:eastAsia="Times New Roman" w:hAnsi="Times New Roman" w:cs="Times New Roman"/>
          <w:sz w:val="24"/>
          <w:szCs w:val="24"/>
        </w:rPr>
        <w:t xml:space="preserve">In the context of public sector audits, audit performance is becoming an increasingly important issue as the demands for accountability and transparency in state financial management increase. Public sector auditors, such as auditors of the Audit Board (BPK), are often faced with complex auditing conditions with a variety of bureaucratic and political pressures (Abdallah et al., 2024). Therefore, the ability to make objective decisions based on risk analysis is key in maintaining the quality of audit results. Audit judgment performance not only reflects the accuracy of decisions, but also its effectiveness in responding to the dynamic conditions of the audit environment. The high performance of audit judgments will be seen from the accuracy in identifying problems, sharpness in </w:t>
      </w:r>
      <w:proofErr w:type="spellStart"/>
      <w:r>
        <w:rPr>
          <w:rFonts w:ascii="Times New Roman" w:eastAsia="Times New Roman" w:hAnsi="Times New Roman" w:cs="Times New Roman"/>
          <w:sz w:val="24"/>
          <w:szCs w:val="24"/>
        </w:rPr>
        <w:t>analyzing</w:t>
      </w:r>
      <w:proofErr w:type="spellEnd"/>
      <w:r>
        <w:rPr>
          <w:rFonts w:ascii="Times New Roman" w:eastAsia="Times New Roman" w:hAnsi="Times New Roman" w:cs="Times New Roman"/>
          <w:sz w:val="24"/>
          <w:szCs w:val="24"/>
        </w:rPr>
        <w:t xml:space="preserve"> findings, and firmness in compiling recommendations (Griffith et al., 2020). In this study, audit judgment performance is seen as the end result of the risk assessment process and the interaction of various individual factors and the auditor's work environment. Thus, understanding the factors that affect this performance is an important step in improving the quality of public sector audits.</w:t>
      </w:r>
    </w:p>
    <w:p w14:paraId="060DE66D" w14:textId="77777777" w:rsidR="007373F6" w:rsidRDefault="00000000">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Audit judgment performance in the public sector also reflects the integrity and professionalism of auditors in carrying out the duties of state financial supervision (Zhang et al., 2023). When auditors are able to make decisions based on a thorough analysis and not solely due to external pressure, the value of public trust in the audit institution will increase (Rezaee et al., 2024). In this study, two factors that are considered to have an influence on audit judgment performance are professional competence and enforcement pressure, both of which are assumed to contribute through the mediation of risk assessment. Professional competencies support the accuracy of assessment and decision-making, while enforcement pressure can be a driver or a deterrent depending on its intensity and context. If the risk assessment is done </w:t>
      </w:r>
      <w:r>
        <w:rPr>
          <w:rFonts w:ascii="Times New Roman" w:eastAsia="Times New Roman" w:hAnsi="Times New Roman" w:cs="Times New Roman"/>
          <w:sz w:val="24"/>
          <w:szCs w:val="24"/>
        </w:rPr>
        <w:lastRenderedPageBreak/>
        <w:t>correctly, then the auditor has a solid basis to prepare the right judgment (Cassel et al., 2021). Therefore, audit judgment performance is not only the result of technical skills, but also a reflection of pressure management and effective use of information. This comprehensive understanding of audit performance judgment is expected to be the basis for the formulation of strategies to improve the quality of public sector audits in a sustainable manner.</w:t>
      </w:r>
    </w:p>
    <w:p w14:paraId="5E4D8550" w14:textId="77777777" w:rsidR="007373F6" w:rsidRDefault="007373F6">
      <w:pPr>
        <w:widowControl w:val="0"/>
        <w:spacing w:after="0" w:line="240" w:lineRule="auto"/>
        <w:jc w:val="both"/>
        <w:rPr>
          <w:rFonts w:ascii="DengXian" w:eastAsia="DengXian" w:hAnsi="DengXian" w:cs="DengXian"/>
          <w:color w:val="FF0000"/>
          <w:sz w:val="21"/>
          <w:szCs w:val="21"/>
        </w:rPr>
      </w:pPr>
    </w:p>
    <w:p w14:paraId="5F004439" w14:textId="77777777" w:rsidR="007373F6" w:rsidRDefault="00000000" w:rsidP="00856618">
      <w:pPr>
        <w:numPr>
          <w:ilvl w:val="1"/>
          <w:numId w:val="59"/>
        </w:numPr>
        <w:spacing w:after="0" w:line="240" w:lineRule="auto"/>
        <w:ind w:left="426" w:hanging="426"/>
        <w:jc w:val="both"/>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Risk Assessment</w:t>
      </w:r>
    </w:p>
    <w:p w14:paraId="26BAC6EB" w14:textId="73010E00" w:rsidR="007373F6" w:rsidRDefault="00000000">
      <w:pPr>
        <w:spacing w:after="0" w:line="240" w:lineRule="auto"/>
        <w:ind w:firstLine="426"/>
        <w:jc w:val="both"/>
        <w:rPr>
          <w:rFonts w:ascii="Times New Roman" w:eastAsia="Times New Roman" w:hAnsi="Times New Roman" w:cs="Times New Roman"/>
          <w:sz w:val="24"/>
          <w:szCs w:val="24"/>
        </w:rPr>
      </w:pPr>
      <w:bookmarkStart w:id="86" w:name="_heading=h.8cey286rimyw" w:colFirst="0" w:colLast="0"/>
      <w:bookmarkEnd w:id="86"/>
      <w:r>
        <w:rPr>
          <w:rFonts w:ascii="Times New Roman" w:eastAsia="Times New Roman" w:hAnsi="Times New Roman" w:cs="Times New Roman"/>
          <w:sz w:val="24"/>
          <w:szCs w:val="24"/>
        </w:rPr>
        <w:t xml:space="preserve">Risk assessment is a systematic process carried out by auditors to identify and </w:t>
      </w:r>
      <w:proofErr w:type="spellStart"/>
      <w:r>
        <w:rPr>
          <w:rFonts w:ascii="Times New Roman" w:eastAsia="Times New Roman" w:hAnsi="Times New Roman" w:cs="Times New Roman"/>
          <w:sz w:val="24"/>
          <w:szCs w:val="24"/>
        </w:rPr>
        <w:t>analyze</w:t>
      </w:r>
      <w:proofErr w:type="spellEnd"/>
      <w:r>
        <w:rPr>
          <w:rFonts w:ascii="Times New Roman" w:eastAsia="Times New Roman" w:hAnsi="Times New Roman" w:cs="Times New Roman"/>
          <w:sz w:val="24"/>
          <w:szCs w:val="24"/>
        </w:rPr>
        <w:t xml:space="preserve"> material risks that can affect the fairness of financial statements (Cassel et al., 2021). This process is a crucial initial stage in the audit because it determines the direction and scope of the audit procedure to be carried out. In audit standards, risk assessment includes an understanding of the entity and its environment, including relevant internal controls (</w:t>
      </w:r>
      <w:proofErr w:type="spellStart"/>
      <w:r>
        <w:rPr>
          <w:rFonts w:ascii="Times New Roman" w:eastAsia="Times New Roman" w:hAnsi="Times New Roman" w:cs="Times New Roman"/>
          <w:sz w:val="24"/>
          <w:szCs w:val="24"/>
        </w:rPr>
        <w:t>Zemtsov</w:t>
      </w:r>
      <w:proofErr w:type="spellEnd"/>
      <w:r>
        <w:rPr>
          <w:rFonts w:ascii="Times New Roman" w:eastAsia="Times New Roman" w:hAnsi="Times New Roman" w:cs="Times New Roman"/>
          <w:sz w:val="24"/>
          <w:szCs w:val="24"/>
        </w:rPr>
        <w:t xml:space="preserve"> &amp; Sorokin, 2022). The goal is for auditors to design the right audit approach to address the risk of material misstatements, both caused by errors and fraud (Keune &amp; Johnstone, 2012). Risk assessment is not only technical, but also requires in-depth professional judgment. Therefore, the quality of risk assessment is highly dependent on the auditor's competence and the information available. Accurate risk assessment can improve the efficiency and effectiveness of the overall audit execution</w:t>
      </w:r>
      <w:r w:rsidR="0072293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(Loaiza-Tapia &amp; Torres-Negrete 2024).</w:t>
      </w:r>
    </w:p>
    <w:p w14:paraId="666DE7C1"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relation to audit performance judgment, risk assessment has a role as the main foundation in audit decision-making (Cassel et al., 2021). Auditors who are able to conduct a sharp risk assessment will be better able to prioritize significant audit areas and develop effective testing strategies (Fay et al., 2015). Audit decisions, including opinions provided and recommendations produced, are largely determined by the quality of risk assessments conducted in advance (Grosu et al., 2021). In addition, risk assessment assists auditors in considering materiality and allocating audit resources proportionately. If the risk assessment is done incorrectly, the risk of audit failure will increase, as the auditor may miss important areas that should have been further examined (</w:t>
      </w:r>
      <w:proofErr w:type="spellStart"/>
      <w:r>
        <w:rPr>
          <w:rFonts w:ascii="Times New Roman" w:eastAsia="Times New Roman" w:hAnsi="Times New Roman" w:cs="Times New Roman"/>
          <w:sz w:val="24"/>
          <w:szCs w:val="24"/>
        </w:rPr>
        <w:t>Adikaram</w:t>
      </w:r>
      <w:proofErr w:type="spellEnd"/>
      <w:r>
        <w:rPr>
          <w:rFonts w:ascii="Times New Roman" w:eastAsia="Times New Roman" w:hAnsi="Times New Roman" w:cs="Times New Roman"/>
          <w:sz w:val="24"/>
          <w:szCs w:val="24"/>
        </w:rPr>
        <w:t>, &amp; Higgs, 2024). Therefore, the relationship between risk assessment and audit judgment is very close and affects each other. This study examines how the quality of risk assessment mediates the influence of professional competence and law enforcement pressure on audit and judgment performance.</w:t>
      </w:r>
    </w:p>
    <w:p w14:paraId="1ACF547F" w14:textId="77777777" w:rsidR="007373F6" w:rsidRDefault="00000000">
      <w:pPr>
        <w:spacing w:after="0" w:line="240" w:lineRule="auto"/>
        <w:ind w:left="567"/>
        <w:jc w:val="both"/>
        <w:rPr>
          <w:rFonts w:ascii="Times New Roman" w:eastAsia="Times New Roman" w:hAnsi="Times New Roman" w:cs="Times New Roman"/>
          <w:sz w:val="24"/>
          <w:szCs w:val="24"/>
        </w:rPr>
      </w:pPr>
      <w:r w:rsidRPr="00722934">
        <w:rPr>
          <w:rFonts w:ascii="Times New Roman" w:eastAsia="Times New Roman" w:hAnsi="Times New Roman" w:cs="Times New Roman"/>
          <w:b/>
          <w:bCs/>
          <w:sz w:val="24"/>
          <w:szCs w:val="24"/>
        </w:rPr>
        <w:t>H</w:t>
      </w:r>
      <w:r w:rsidRPr="00722934">
        <w:rPr>
          <w:rFonts w:ascii="Times New Roman" w:eastAsia="Times New Roman" w:hAnsi="Times New Roman" w:cs="Times New Roman"/>
          <w:b/>
          <w:bCs/>
          <w:sz w:val="24"/>
          <w:szCs w:val="24"/>
          <w:vertAlign w:val="subscript"/>
        </w:rPr>
        <w:t>1</w:t>
      </w:r>
      <w:r w:rsidRPr="00722934">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 xml:space="preserve"> Risk assessment has a positive effect on audit judgment performance.</w:t>
      </w:r>
    </w:p>
    <w:p w14:paraId="7A42E2BB" w14:textId="77777777" w:rsidR="00722934" w:rsidRDefault="00722934">
      <w:pPr>
        <w:spacing w:after="0" w:line="240" w:lineRule="auto"/>
        <w:ind w:left="567"/>
        <w:jc w:val="both"/>
        <w:rPr>
          <w:rFonts w:ascii="Times New Roman" w:eastAsia="Times New Roman" w:hAnsi="Times New Roman" w:cs="Times New Roman"/>
          <w:sz w:val="24"/>
          <w:szCs w:val="24"/>
        </w:rPr>
      </w:pPr>
    </w:p>
    <w:p w14:paraId="1EE95831" w14:textId="77777777" w:rsidR="007373F6" w:rsidRDefault="00000000" w:rsidP="00856618">
      <w:pPr>
        <w:numPr>
          <w:ilvl w:val="1"/>
          <w:numId w:val="59"/>
        </w:numPr>
        <w:spacing w:after="0" w:line="240" w:lineRule="auto"/>
        <w:ind w:left="426" w:hanging="426"/>
        <w:jc w:val="both"/>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Professional Competency</w:t>
      </w:r>
    </w:p>
    <w:p w14:paraId="20491448"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Professional competency in public sector auditing is the combination of professional values, attitudes, skills, and knowledge that auditors must possess to effectively and responsibly accomplish this task.  The capabilities also include a comprehensive understanding of audit standards, a variety of financial regulations, and exceptional communication and analytical abilities (Syam et al., 2024).  Additionally, the technical aspect of professional competence is reflected in the professional life, as well as integrity, objectivity, and an independent attitude, which are the fundamental components of public trust (Ahmed et al., 2024).  Furthermore, public sector auditors should cultivate the capacity to manage the intricate bureaucratic nature and policy modifications.  Formal education, ongoing training, and quality work experience are typically employed to enhance this competency.  Additionally, according to social cognitive theory, the process of skill development is also influenced by self-efficacy, which refers to the auditor's perception of their ability to perform the audit tasks proficiently.  The auditor is more likely to be motivated to continue attempting to understand the intricate regulation and apply professional standards in the correct manner, and frequently with confidence as their self-efficacy increases (Alsabahi et al., 2021). Additionally, the significance of observational learning is underscored by the fact that auditors are afforded the opportunity to select the methods and perspectives of their more senior colleagues when confronted with </w:t>
      </w:r>
      <w:r>
        <w:rPr>
          <w:rFonts w:ascii="Times New Roman" w:eastAsia="Times New Roman" w:hAnsi="Times New Roman" w:cs="Times New Roman"/>
          <w:sz w:val="24"/>
          <w:szCs w:val="24"/>
        </w:rPr>
        <w:lastRenderedPageBreak/>
        <w:t>challenging cases. This enables them to apply the knowledge they have acquired in their own professional judgment.  If auditors lack the technical expertise and psychological support provided by self-efficacy and learning from role models, they will struggle to conduct effective audits. Consequently, they may misjudge the condition of the entity under audit.  Therefore, it can be concluded that professional competency is the primary foundation for the development of high-quality and credible audit results.</w:t>
      </w:r>
    </w:p>
    <w:p w14:paraId="2E9BE440"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auditor's ability to conduct risk assessments is a critical component of audit execution, and it is contingent upon their level of professional competency.  Auditors who are highly proficient will be capable of accurately identifying risk factors and determining how they will influence the accuracy of the financial statements (Nejad et al., 2024).  The risk assessment procedure necessitates a significant amount of technical knowledge and analytical skills, as it necessitates an understanding of the audited entity's characteristics, the industry, and the internal control systems (Hammond &amp; Oppong, 2020).  In addition, social cognitive theory is highly beneficial in this scenario: an auditor with a high level of self-efficacy is confident in their abilities to evaluate a complex risk scenario and, as a result, is capable of making a fair decision in the face of uncertainty.  Similarly, auditors acquire knowledge from discussions with peers and supervisors who are employing effective risk assessment strategies, and they become familiar with a variety of cases while surrounded by experts through observational learning. This provides a model for others to follow.  As a result, competent professionals are capable of transforming the most intricate information into logical considerations and utilizing them in the development of a risk-based audit approach (Susilo, 2023).  It is not an exaggeration to assert that critical thinking is one of the most critical decisions in the public sector, where organizational complexity and regulation must be considered.  It is essential for auditors to utilize constructive-thinking skills during the risk identification and evaluation procedure.  The caution is that auditors may frequently find themselves in a situation where they have overlooked substantial risks and have excessively focused on less significant risks, all due to a lack of the necessary competence and the stimulation of self-efficacy through observation and practice.  Therefore, it is evident that the strategic decision to improve the level of competence is a means of consolidating the quality of risk assessment.</w:t>
      </w:r>
    </w:p>
    <w:p w14:paraId="1105488F" w14:textId="77777777" w:rsidR="007373F6" w:rsidRDefault="00000000">
      <w:pPr>
        <w:spacing w:after="0" w:line="240" w:lineRule="auto"/>
        <w:ind w:left="567"/>
        <w:jc w:val="both"/>
        <w:rPr>
          <w:rFonts w:ascii="Times New Roman" w:eastAsia="Times New Roman" w:hAnsi="Times New Roman" w:cs="Times New Roman"/>
          <w:sz w:val="24"/>
          <w:szCs w:val="24"/>
        </w:rPr>
      </w:pPr>
      <w:r w:rsidRPr="00722934">
        <w:rPr>
          <w:rFonts w:ascii="Times New Roman" w:eastAsia="Times New Roman" w:hAnsi="Times New Roman" w:cs="Times New Roman"/>
          <w:b/>
          <w:bCs/>
          <w:sz w:val="24"/>
          <w:szCs w:val="24"/>
        </w:rPr>
        <w:t>H</w:t>
      </w:r>
      <w:r w:rsidRPr="00722934">
        <w:rPr>
          <w:rFonts w:ascii="Times New Roman" w:eastAsia="Times New Roman" w:hAnsi="Times New Roman" w:cs="Times New Roman"/>
          <w:b/>
          <w:bCs/>
          <w:sz w:val="24"/>
          <w:szCs w:val="24"/>
          <w:vertAlign w:val="subscript"/>
        </w:rPr>
        <w:t>2</w:t>
      </w:r>
      <w:r w:rsidRPr="00722934">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 xml:space="preserve"> Professional competency has a positive effect on risk assessment.</w:t>
      </w:r>
    </w:p>
    <w:p w14:paraId="12BD5172" w14:textId="77777777" w:rsidR="007373F6" w:rsidRDefault="007373F6">
      <w:pPr>
        <w:tabs>
          <w:tab w:val="left" w:pos="1510"/>
        </w:tabs>
        <w:spacing w:after="0" w:line="240" w:lineRule="auto"/>
        <w:jc w:val="both"/>
        <w:rPr>
          <w:rFonts w:ascii="DengXian" w:eastAsia="DengXian" w:hAnsi="DengXian" w:cs="DengXian"/>
          <w:color w:val="FF0000"/>
          <w:sz w:val="24"/>
          <w:szCs w:val="24"/>
        </w:rPr>
      </w:pPr>
    </w:p>
    <w:p w14:paraId="03EA3E70" w14:textId="77777777" w:rsidR="007373F6" w:rsidRDefault="00000000" w:rsidP="00856618">
      <w:pPr>
        <w:numPr>
          <w:ilvl w:val="1"/>
          <w:numId w:val="59"/>
        </w:numPr>
        <w:spacing w:after="0" w:line="240" w:lineRule="auto"/>
        <w:ind w:left="426" w:hanging="426"/>
        <w:jc w:val="both"/>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Enforcement Pressure</w:t>
      </w:r>
    </w:p>
    <w:p w14:paraId="16F9586E" w14:textId="77777777" w:rsidR="007373F6" w:rsidRDefault="00000000">
      <w:pPr>
        <w:spacing w:after="0" w:line="240" w:lineRule="auto"/>
        <w:ind w:firstLine="426"/>
        <w:jc w:val="both"/>
        <w:rPr>
          <w:rFonts w:ascii="Times New Roman" w:eastAsia="Times New Roman" w:hAnsi="Times New Roman" w:cs="Times New Roman"/>
          <w:sz w:val="24"/>
          <w:szCs w:val="24"/>
        </w:rPr>
      </w:pPr>
      <w:bookmarkStart w:id="87" w:name="_heading=h.rlldev27pv8z" w:colFirst="0" w:colLast="0"/>
      <w:bookmarkEnd w:id="87"/>
      <w:r>
        <w:rPr>
          <w:rFonts w:ascii="Times New Roman" w:eastAsia="Times New Roman" w:hAnsi="Times New Roman" w:cs="Times New Roman"/>
          <w:sz w:val="24"/>
          <w:szCs w:val="24"/>
        </w:rPr>
        <w:t xml:space="preserve">Enforcement pressure is a condition in which auditors feel encouragement from external and internal parties to comply with certain regulations, standards, or expectations in the implementation of audits (Friday et al., 2024). In the context of public sector audits, this pressure can come from supervisory institutions, laws, superiors, and public opinion that demand high accountability for the use of the state budget (Ewert &amp; Wagenhofer, 2019). Enforcement pressure is ambivalent: on the one hand it can be a motivator to improve compliance and professionalism, but on the other hand it can also generate psychological pressure that affects the independence of the auditor. Auditors who are under high pressure may feel compelled to make conservative decisions to avoid legal risks or administrative sanctions (Chy &amp; Hope, 2021). These pressures can affect an auditor's attitude, perception of risk, and even the quality of decision-making. Therefore, understanding enforcement pressure is important in </w:t>
      </w:r>
      <w:proofErr w:type="spellStart"/>
      <w:r>
        <w:rPr>
          <w:rFonts w:ascii="Times New Roman" w:eastAsia="Times New Roman" w:hAnsi="Times New Roman" w:cs="Times New Roman"/>
          <w:sz w:val="24"/>
          <w:szCs w:val="24"/>
        </w:rPr>
        <w:t>analyzing</w:t>
      </w:r>
      <w:proofErr w:type="spellEnd"/>
      <w:r>
        <w:rPr>
          <w:rFonts w:ascii="Times New Roman" w:eastAsia="Times New Roman" w:hAnsi="Times New Roman" w:cs="Times New Roman"/>
          <w:sz w:val="24"/>
          <w:szCs w:val="24"/>
        </w:rPr>
        <w:t xml:space="preserve"> auditor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in the context of a complex work environment. Enforcement pressure is one of the external factors that can strengthen or disrupt the integrity of the audit process.</w:t>
      </w:r>
    </w:p>
    <w:p w14:paraId="76C2202A"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Enforcement pressure is closely related to the risk assessment process carried out by auditors, especially in determining the focus and scope of the audit (Ewert &amp; Wagenhofer, 2019). When auditors are under high enforcement pressure, they tend to be more careful in assessing and responding to risks, so as not to miss things that could have legal or reputational </w:t>
      </w:r>
      <w:r>
        <w:rPr>
          <w:rFonts w:ascii="Times New Roman" w:eastAsia="Times New Roman" w:hAnsi="Times New Roman" w:cs="Times New Roman"/>
          <w:sz w:val="24"/>
          <w:szCs w:val="24"/>
        </w:rPr>
        <w:lastRenderedPageBreak/>
        <w:t>consequences. This pressure can push auditors to assess risk more conservatively, sometimes even excessively, in order to maintain prudence (Chy &amp; Hope, 2021). On the one hand, this can increase auditors' awareness of material risks, but on the other hand, it can lead to over-auditing or disproportionate use of resources. In the public sector, where audits often deal with complex and high-risk entities, enforcement pressure can strengthen auditors' seriousness in assessing risks (Brocard et al., 2018). However, if not managed properly, such pressure can interfere with the auditor's objectivity in assessing risks rationally. Therefore, it is important to balance enforcement pressure to continue to encourage accuracy without sacrificing professionalism.</w:t>
      </w:r>
    </w:p>
    <w:p w14:paraId="3F45147E" w14:textId="77777777" w:rsidR="007373F6" w:rsidRDefault="00000000">
      <w:pPr>
        <w:spacing w:after="0" w:line="240" w:lineRule="auto"/>
        <w:ind w:left="284"/>
        <w:jc w:val="both"/>
        <w:rPr>
          <w:rFonts w:ascii="Times New Roman" w:eastAsia="Times New Roman" w:hAnsi="Times New Roman" w:cs="Times New Roman"/>
          <w:sz w:val="24"/>
          <w:szCs w:val="24"/>
        </w:rPr>
      </w:pPr>
      <w:r w:rsidRPr="00722934">
        <w:rPr>
          <w:rFonts w:ascii="Times New Roman" w:eastAsia="Times New Roman" w:hAnsi="Times New Roman" w:cs="Times New Roman"/>
          <w:b/>
          <w:bCs/>
          <w:sz w:val="24"/>
          <w:szCs w:val="24"/>
        </w:rPr>
        <w:t>H</w:t>
      </w:r>
      <w:r w:rsidRPr="00722934">
        <w:rPr>
          <w:rFonts w:ascii="Times New Roman" w:eastAsia="Times New Roman" w:hAnsi="Times New Roman" w:cs="Times New Roman"/>
          <w:b/>
          <w:bCs/>
          <w:sz w:val="24"/>
          <w:szCs w:val="24"/>
          <w:vertAlign w:val="subscript"/>
        </w:rPr>
        <w:t>3</w:t>
      </w:r>
      <w:r>
        <w:rPr>
          <w:rFonts w:ascii="Times New Roman" w:eastAsia="Times New Roman" w:hAnsi="Times New Roman" w:cs="Times New Roman"/>
          <w:sz w:val="24"/>
          <w:szCs w:val="24"/>
        </w:rPr>
        <w:t>: Enforcement pressure has a positive effect on risk assessment.</w:t>
      </w:r>
    </w:p>
    <w:p w14:paraId="582FFCFD" w14:textId="77777777" w:rsidR="007373F6" w:rsidRDefault="007373F6">
      <w:pPr>
        <w:spacing w:after="0" w:line="240" w:lineRule="auto"/>
        <w:jc w:val="both"/>
        <w:rPr>
          <w:rFonts w:ascii="Times New Roman" w:eastAsia="Times New Roman" w:hAnsi="Times New Roman" w:cs="Times New Roman"/>
          <w:sz w:val="24"/>
          <w:szCs w:val="24"/>
        </w:rPr>
      </w:pPr>
    </w:p>
    <w:p w14:paraId="4409603C" w14:textId="77777777" w:rsidR="007373F6" w:rsidRDefault="00000000" w:rsidP="00856618">
      <w:pPr>
        <w:numPr>
          <w:ilvl w:val="1"/>
          <w:numId w:val="59"/>
        </w:numPr>
        <w:spacing w:after="0" w:line="240" w:lineRule="auto"/>
        <w:ind w:left="426" w:hanging="426"/>
        <w:jc w:val="both"/>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Mediating Role of Risk Assessment</w:t>
      </w:r>
    </w:p>
    <w:p w14:paraId="25C7EA92" w14:textId="77777777" w:rsidR="007373F6" w:rsidRDefault="00000000">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professional competency of the auditors has a direct impact on the quality of risk assessments that are conducted, which is why risk assessment is used as a mediating variable in the audit performance judgment.  Auditors who possess knowledge, skills, and experience are the most effective in accurately and comprehensively identifying audit risks (Susilo, 2023).  The self-efficacy principle is a significant component of the social cognitive theory process. Auditors who have confidence in their abilities are more precise, self-assured, and tenacious when addressing intricate audit risks (Iskandar and Sanusi, 2011; Amanda, </w:t>
      </w:r>
      <w:proofErr w:type="spellStart"/>
      <w:r>
        <w:rPr>
          <w:rFonts w:ascii="Times New Roman" w:eastAsia="Times New Roman" w:hAnsi="Times New Roman" w:cs="Times New Roman"/>
          <w:sz w:val="24"/>
          <w:szCs w:val="24"/>
        </w:rPr>
        <w:t>Haliah</w:t>
      </w:r>
      <w:proofErr w:type="spellEnd"/>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sz w:val="24"/>
          <w:szCs w:val="24"/>
        </w:rPr>
        <w:t>Kusumawati</w:t>
      </w:r>
      <w:proofErr w:type="spellEnd"/>
      <w:r>
        <w:rPr>
          <w:rFonts w:ascii="Times New Roman" w:eastAsia="Times New Roman" w:hAnsi="Times New Roman" w:cs="Times New Roman"/>
          <w:sz w:val="24"/>
          <w:szCs w:val="24"/>
        </w:rPr>
        <w:t>, 2023). Additionally, the method of observation enables auditors to improve their risk assessment skills by observing how experienced counterparts manage uncertainty, which necessitates a profound comprehension of the subject matter in order to apply it to their professional judgment.</w:t>
      </w:r>
    </w:p>
    <w:p w14:paraId="017EB6F7" w14:textId="77777777" w:rsidR="007373F6" w:rsidRDefault="00000000">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results of this quality risk assessment serve as a robust foundation for the development of appropriate audit decisions (Dung, 2024).  In other words, auditors' professional competence is not solely evident in their direct positive influence on the audit judgment, but also in their implementation of the most effective risk assessment.  The risk assessment is the mechanism that establishes a connection between the quality of audit decisions and the ability of an auditor.  The risk assessments conducted by competent auditors will be more focused and evidence-based, resulting in recommendations that are backed by high self-efficacy and further supported by learning from peers or mentors (Susilo, 2023).  That is why risk assessment serves as the intermediary in the relationship between professional competency and audit performance judgment by incorporating both cognitive self-assurance and learned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which are the foundation of effective decision-making.</w:t>
      </w:r>
    </w:p>
    <w:p w14:paraId="5CED492C" w14:textId="77777777" w:rsidR="007373F6" w:rsidRDefault="00000000" w:rsidP="00722934">
      <w:pPr>
        <w:spacing w:after="0" w:line="240" w:lineRule="auto"/>
        <w:ind w:firstLine="426"/>
        <w:jc w:val="both"/>
        <w:rPr>
          <w:rFonts w:ascii="Times New Roman" w:eastAsia="Times New Roman" w:hAnsi="Times New Roman" w:cs="Times New Roman"/>
          <w:sz w:val="24"/>
          <w:szCs w:val="24"/>
        </w:rPr>
      </w:pPr>
      <w:r w:rsidRPr="00722934">
        <w:rPr>
          <w:rFonts w:ascii="Times New Roman" w:eastAsia="Times New Roman" w:hAnsi="Times New Roman" w:cs="Times New Roman"/>
          <w:b/>
          <w:bCs/>
          <w:sz w:val="24"/>
          <w:szCs w:val="24"/>
        </w:rPr>
        <w:t>H</w:t>
      </w:r>
      <w:r w:rsidRPr="00722934">
        <w:rPr>
          <w:rFonts w:ascii="Times New Roman" w:eastAsia="Times New Roman" w:hAnsi="Times New Roman" w:cs="Times New Roman"/>
          <w:b/>
          <w:bCs/>
          <w:sz w:val="24"/>
          <w:szCs w:val="24"/>
          <w:vertAlign w:val="subscript"/>
        </w:rPr>
        <w:t>4</w:t>
      </w:r>
      <w:r>
        <w:rPr>
          <w:rFonts w:ascii="Times New Roman" w:eastAsia="Times New Roman" w:hAnsi="Times New Roman" w:cs="Times New Roman"/>
          <w:sz w:val="24"/>
          <w:szCs w:val="24"/>
        </w:rPr>
        <w:t>: Risk assessment mediates the relationship between professional competency and audit judgment performance.</w:t>
      </w:r>
    </w:p>
    <w:p w14:paraId="71833F52" w14:textId="77777777" w:rsidR="007373F6" w:rsidRDefault="00000000">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Risk assessment also functions as a mediator between the enforcement pressure and the audit performance judgment. The latter anticipates that the risk assessment will be enhanced by the rules and regulations, and as a result, the audit decisions are made accordingly. In contrast, auditors are typically encouraged to exercise greater diligence, diligence, and adherence to the audit standards during the risk identification process when they encounter a high level of enforcement pressure (Chy &amp; Hope, 2021). In conjunction with the principles of social cognitive theory, the situation is not solely influenced by external regulation, but also by self-efficacy.  That is, the auditors are more likely to exhibit appropriate risk evaluation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when they are able to renew their self-assurance as a consequence of their professional skill mastery, rather than viewing stress as a hindrance (Sabry and Gomaa, 2021).  Simultaneously, this process is also influenced by observational learning, in which auditors develop a habit of observing the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of their colleagues and mentors who are efficient in adhering to regulatory requirements. Consequently, they thoroughly internalize the strategies for conducting the risk in a neutral and objective manner.  Auditors are motivated to conduct </w:t>
      </w:r>
      <w:r>
        <w:rPr>
          <w:rFonts w:ascii="Times New Roman" w:eastAsia="Times New Roman" w:hAnsi="Times New Roman" w:cs="Times New Roman"/>
          <w:sz w:val="24"/>
          <w:szCs w:val="24"/>
        </w:rPr>
        <w:lastRenderedPageBreak/>
        <w:t>systematic risk assessments by the pressure and confidence they receive from others. This ensures that the decisions they make during their audits are not solely based on intuition, but also on objective risk evaluations (Brocard et al., 2018). To put it simply, audit judgments are not directly influenced by enforcement pressure; rather, they are influenced by risk assessments that are conducted by the auditors in a more professional and qualitative manner.  Effective risk assessment establishes a more robust foundation for the development of professional and accurate audit judgments (Cassel et al., 2021). In conclusion, the performance of the audit judgement is strongly influenced by the regulator pressure, which is linked to the phenomenon of risk assessment. The mediating effect is substantially influenced by self-efficacy and observation learning.</w:t>
      </w:r>
    </w:p>
    <w:p w14:paraId="38103D51" w14:textId="77777777" w:rsidR="007373F6" w:rsidRDefault="00000000">
      <w:pPr>
        <w:spacing w:after="0" w:line="240" w:lineRule="auto"/>
        <w:ind w:left="426"/>
        <w:jc w:val="both"/>
        <w:rPr>
          <w:rFonts w:ascii="Times New Roman" w:eastAsia="Times New Roman" w:hAnsi="Times New Roman" w:cs="Times New Roman"/>
          <w:sz w:val="24"/>
          <w:szCs w:val="24"/>
        </w:rPr>
      </w:pPr>
      <w:r w:rsidRPr="002748F8">
        <w:rPr>
          <w:rFonts w:ascii="Times New Roman" w:eastAsia="Times New Roman" w:hAnsi="Times New Roman" w:cs="Times New Roman"/>
          <w:b/>
          <w:bCs/>
          <w:sz w:val="24"/>
          <w:szCs w:val="24"/>
        </w:rPr>
        <w:t>H</w:t>
      </w:r>
      <w:r w:rsidRPr="002748F8">
        <w:rPr>
          <w:rFonts w:ascii="Times New Roman" w:eastAsia="Times New Roman" w:hAnsi="Times New Roman" w:cs="Times New Roman"/>
          <w:b/>
          <w:bCs/>
          <w:sz w:val="24"/>
          <w:szCs w:val="24"/>
          <w:vertAlign w:val="subscript"/>
        </w:rPr>
        <w:t>5</w:t>
      </w:r>
      <w:r>
        <w:rPr>
          <w:rFonts w:ascii="Times New Roman" w:eastAsia="Times New Roman" w:hAnsi="Times New Roman" w:cs="Times New Roman"/>
          <w:sz w:val="24"/>
          <w:szCs w:val="24"/>
        </w:rPr>
        <w:t>: Risk assessment mediates the relationship between enforcement pressure and audit judgment performance.</w:t>
      </w:r>
    </w:p>
    <w:p w14:paraId="620D2CA2" w14:textId="77777777" w:rsidR="007373F6" w:rsidRDefault="007373F6">
      <w:pPr>
        <w:spacing w:after="0" w:line="240" w:lineRule="auto"/>
        <w:ind w:firstLine="851"/>
        <w:jc w:val="both"/>
        <w:rPr>
          <w:rFonts w:ascii="Times New Roman" w:eastAsia="Times New Roman" w:hAnsi="Times New Roman" w:cs="Times New Roman"/>
          <w:sz w:val="24"/>
          <w:szCs w:val="24"/>
        </w:rPr>
      </w:pPr>
    </w:p>
    <w:p w14:paraId="2E762562" w14:textId="77777777" w:rsidR="007373F6" w:rsidRDefault="00000000" w:rsidP="00856618">
      <w:pPr>
        <w:numPr>
          <w:ilvl w:val="1"/>
          <w:numId w:val="59"/>
        </w:numPr>
        <w:spacing w:after="0" w:line="240" w:lineRule="auto"/>
        <w:ind w:left="426"/>
        <w:jc w:val="both"/>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Moderating Role of Enforcement Pressure</w:t>
      </w:r>
    </w:p>
    <w:p w14:paraId="0584F4FA" w14:textId="77777777" w:rsidR="007373F6" w:rsidRDefault="007373F6">
      <w:pPr>
        <w:spacing w:after="0" w:line="240" w:lineRule="auto"/>
        <w:ind w:firstLine="426"/>
        <w:jc w:val="both"/>
        <w:rPr>
          <w:rFonts w:ascii="Times New Roman" w:eastAsia="Times New Roman" w:hAnsi="Times New Roman" w:cs="Times New Roman"/>
          <w:sz w:val="24"/>
          <w:szCs w:val="24"/>
        </w:rPr>
      </w:pPr>
    </w:p>
    <w:p w14:paraId="58B6BC2A"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Enforcement pressure can serve as a moderator that strengthens the relationship between professional competency and risk assessment.  Auditors who possess a high level of professional competence are capable of conducting precise risk assessments (Nejad et al., 2024). However, their motivation to utilize their competencies to the fullest may be influenced by supervisors or regulators (</w:t>
      </w:r>
      <w:proofErr w:type="spellStart"/>
      <w:r>
        <w:rPr>
          <w:rFonts w:ascii="Times New Roman" w:eastAsia="Times New Roman" w:hAnsi="Times New Roman" w:cs="Times New Roman"/>
          <w:sz w:val="24"/>
          <w:szCs w:val="24"/>
        </w:rPr>
        <w:t>Aswar</w:t>
      </w:r>
      <w:proofErr w:type="spellEnd"/>
      <w:r>
        <w:rPr>
          <w:rFonts w:ascii="Times New Roman" w:eastAsia="Times New Roman" w:hAnsi="Times New Roman" w:cs="Times New Roman"/>
          <w:sz w:val="24"/>
          <w:szCs w:val="24"/>
        </w:rPr>
        <w:t xml:space="preserve"> et al., 2021).  From the perspective of social cognitive theory, this motivation is further bolstered by self-efficacy, as auditors who are confident in their ability to manage intricate tasks are more inclined to respond </w:t>
      </w:r>
      <w:proofErr w:type="spellStart"/>
      <w:r>
        <w:rPr>
          <w:rFonts w:ascii="Times New Roman" w:eastAsia="Times New Roman" w:hAnsi="Times New Roman" w:cs="Times New Roman"/>
          <w:sz w:val="24"/>
          <w:szCs w:val="24"/>
        </w:rPr>
        <w:t>favorably</w:t>
      </w:r>
      <w:proofErr w:type="spellEnd"/>
      <w:r>
        <w:rPr>
          <w:rFonts w:ascii="Times New Roman" w:eastAsia="Times New Roman" w:hAnsi="Times New Roman" w:cs="Times New Roman"/>
          <w:sz w:val="24"/>
          <w:szCs w:val="24"/>
        </w:rPr>
        <w:t xml:space="preserve"> to enforcement pressure by employing their knowledge and abilities with greater precision. Simultaneously, observational learning is crucial, as auditors frequently observe the strategies employed by their peers or superiors to manage high-pressure situations and emulate them in order to improve their own performance.  Auditors are likely to be more meticulous and cautious when employing their skills and knowledge to the compilation of risk assessments in high-pressure situations (Chy &amp; Hope, 2021).  Encouraging auditors to implement audit standards and procedures in a disciplined manner, enforcement pressure also reinforces their sense of responsibility for the quality of their work (Friday et al., 2024).  Consequently, the risk assessment process is rendered more systematic and evidence-based by the presence of enforcement pressure, which is bolstered by self-efficacy and reinforced by the knowledge of others, despite the auditor's high level of capability.  This implies that the impact of professional competence on risk assessment is further bolstered by enforcement pressure.  In other words, the relationship between professional competency and risk assessment becomes more significant when enforcement pressure is high.</w:t>
      </w:r>
    </w:p>
    <w:p w14:paraId="755D6A93"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Conversely, in situations where enforcement pressure is minimal, the impact of professional competency on risk assessment may not be fully realized.  If there is no external pressure or demand, even a skilled auditor may be able to reduce the accuracy of their risk assessment or not engage in it to the utmost extent of their knowledge and skills (Yazid et al., 2020).  The professional competence potential is not completely realized in this scenario due to the absence of external reinforcement for quality risk assessments.  Auditors with weak self-efficacy may lack the internal motivation to maintain accuracy in the absence of sufficient external signals, and they may not perform in the same manner in the absence of strong role models to observe, as explained by social cognitive theory.  Consequently, enforcement pressure serves as an external reinforcement that motivates auditors to operate at their highest level of professionalism (Said &amp; Munandar, 2018).  Auditors are more inclined to exhibit their finest performance in the risk assessment process when enforcement pressure is high, which is facilitated by their confidence in their abilities and the effectiveness of others (Ewert &amp; Wagenhofer, 2019).  Therefore, the conclusion is that enforcement pressure serves as a </w:t>
      </w:r>
      <w:r>
        <w:rPr>
          <w:rFonts w:ascii="Times New Roman" w:eastAsia="Times New Roman" w:hAnsi="Times New Roman" w:cs="Times New Roman"/>
          <w:sz w:val="24"/>
          <w:szCs w:val="24"/>
        </w:rPr>
        <w:lastRenderedPageBreak/>
        <w:t>moderator between professional competency and risk assessment, strengthening the positive impact of competence on the quality of risk assessment. Based on this description, the hypothesis proposed is:</w:t>
      </w:r>
    </w:p>
    <w:p w14:paraId="5D6AD217" w14:textId="77777777" w:rsidR="007373F6" w:rsidRDefault="00000000" w:rsidP="00722934">
      <w:pPr>
        <w:spacing w:after="0" w:line="240" w:lineRule="auto"/>
        <w:ind w:firstLine="426"/>
        <w:jc w:val="both"/>
        <w:rPr>
          <w:rFonts w:ascii="Times New Roman" w:eastAsia="Times New Roman" w:hAnsi="Times New Roman" w:cs="Times New Roman"/>
          <w:sz w:val="24"/>
          <w:szCs w:val="24"/>
        </w:rPr>
      </w:pPr>
      <w:r w:rsidRPr="00722934">
        <w:rPr>
          <w:rFonts w:ascii="Times New Roman" w:eastAsia="Times New Roman" w:hAnsi="Times New Roman" w:cs="Times New Roman"/>
          <w:b/>
          <w:bCs/>
          <w:sz w:val="24"/>
          <w:szCs w:val="24"/>
        </w:rPr>
        <w:t>H</w:t>
      </w:r>
      <w:r w:rsidRPr="00722934">
        <w:rPr>
          <w:rFonts w:ascii="Times New Roman" w:eastAsia="Times New Roman" w:hAnsi="Times New Roman" w:cs="Times New Roman"/>
          <w:b/>
          <w:bCs/>
          <w:sz w:val="24"/>
          <w:szCs w:val="24"/>
          <w:vertAlign w:val="subscript"/>
        </w:rPr>
        <w:t>6</w:t>
      </w:r>
      <w:r w:rsidRPr="00722934">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 xml:space="preserve">  Enforcement pressure moderates the relationship between professional competency and risk assessment. </w:t>
      </w:r>
    </w:p>
    <w:p w14:paraId="660A9751" w14:textId="77777777" w:rsidR="007373F6" w:rsidRDefault="007373F6">
      <w:pPr>
        <w:spacing w:after="0"/>
        <w:ind w:firstLine="851"/>
        <w:jc w:val="both"/>
        <w:rPr>
          <w:rFonts w:ascii="DengXian" w:eastAsia="DengXian" w:hAnsi="DengXian" w:cs="DengXian"/>
          <w:color w:val="FF0000"/>
          <w:sz w:val="24"/>
          <w:szCs w:val="24"/>
        </w:rPr>
      </w:pPr>
    </w:p>
    <w:p w14:paraId="3F5BEBE5" w14:textId="77777777" w:rsidR="007373F6" w:rsidRDefault="00000000">
      <w:pPr>
        <w:jc w:val="center"/>
        <w:rPr>
          <w:rFonts w:ascii="DengXian" w:eastAsia="DengXian" w:hAnsi="DengXian" w:cs="DengXian"/>
          <w:color w:val="FF0000"/>
        </w:rPr>
      </w:pPr>
      <w:r>
        <w:rPr>
          <w:rFonts w:ascii="DengXian" w:eastAsia="DengXian" w:hAnsi="DengXian" w:cs="DengXian"/>
          <w:noProof/>
          <w:color w:val="FF0000"/>
        </w:rPr>
        <w:drawing>
          <wp:inline distT="0" distB="0" distL="0" distR="0" wp14:anchorId="53620F78" wp14:editId="73F84A14">
            <wp:extent cx="4026643" cy="1267730"/>
            <wp:effectExtent l="0" t="0" r="0" b="0"/>
            <wp:docPr id="193106202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50"/>
                    <a:srcRect l="5763" t="7492" r="6546" b="-1765"/>
                    <a:stretch>
                      <a:fillRect/>
                    </a:stretch>
                  </pic:blipFill>
                  <pic:spPr>
                    <a:xfrm>
                      <a:off x="0" y="0"/>
                      <a:ext cx="4026643" cy="1267730"/>
                    </a:xfrm>
                    <a:prstGeom prst="rect">
                      <a:avLst/>
                    </a:prstGeom>
                    <a:ln/>
                  </pic:spPr>
                </pic:pic>
              </a:graphicData>
            </a:graphic>
          </wp:inline>
        </w:drawing>
      </w:r>
    </w:p>
    <w:p w14:paraId="4475987E" w14:textId="48B2A865" w:rsidR="007373F6" w:rsidRDefault="00000000">
      <w:pPr>
        <w:widowControl w:val="0"/>
        <w:spacing w:after="0" w:line="240" w:lineRule="auto"/>
        <w:ind w:left="284"/>
        <w:jc w:val="center"/>
        <w:rPr>
          <w:rFonts w:ascii="Times New Roman" w:eastAsia="Times New Roman" w:hAnsi="Times New Roman" w:cs="Times New Roman"/>
          <w:sz w:val="21"/>
          <w:szCs w:val="21"/>
        </w:rPr>
      </w:pPr>
      <w:r w:rsidRPr="00722934">
        <w:rPr>
          <w:rFonts w:ascii="Times New Roman" w:eastAsia="Times New Roman" w:hAnsi="Times New Roman" w:cs="Times New Roman"/>
          <w:b/>
          <w:bCs/>
          <w:sz w:val="21"/>
          <w:szCs w:val="21"/>
        </w:rPr>
        <w:t>Figure 1</w:t>
      </w:r>
      <w:r w:rsidR="00722934">
        <w:rPr>
          <w:rFonts w:ascii="Times New Roman" w:eastAsia="Times New Roman" w:hAnsi="Times New Roman" w:cs="Times New Roman"/>
          <w:b/>
          <w:bCs/>
          <w:sz w:val="21"/>
          <w:szCs w:val="21"/>
        </w:rPr>
        <w:t>.</w:t>
      </w:r>
      <w:r>
        <w:rPr>
          <w:rFonts w:ascii="Times New Roman" w:eastAsia="Times New Roman" w:hAnsi="Times New Roman" w:cs="Times New Roman"/>
          <w:sz w:val="21"/>
          <w:szCs w:val="21"/>
        </w:rPr>
        <w:t xml:space="preserve"> Research Framework</w:t>
      </w:r>
    </w:p>
    <w:p w14:paraId="6E67ED9E" w14:textId="77777777" w:rsidR="007373F6" w:rsidRDefault="007373F6">
      <w:pPr>
        <w:widowControl w:val="0"/>
        <w:spacing w:after="0" w:line="240" w:lineRule="auto"/>
        <w:ind w:left="284"/>
        <w:jc w:val="both"/>
        <w:rPr>
          <w:rFonts w:ascii="DengXian" w:eastAsia="DengXian" w:hAnsi="DengXian" w:cs="DengXian"/>
          <w:color w:val="FF0000"/>
          <w:sz w:val="24"/>
          <w:szCs w:val="24"/>
        </w:rPr>
      </w:pPr>
    </w:p>
    <w:p w14:paraId="2413AA0E" w14:textId="77777777" w:rsidR="007373F6" w:rsidRDefault="00000000" w:rsidP="00856618">
      <w:pPr>
        <w:numPr>
          <w:ilvl w:val="0"/>
          <w:numId w:val="59"/>
        </w:numPr>
        <w:spacing w:after="0" w:line="240" w:lineRule="auto"/>
        <w:ind w:left="284"/>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METHOD</w:t>
      </w:r>
    </w:p>
    <w:p w14:paraId="216FA50B" w14:textId="77777777" w:rsidR="007373F6" w:rsidRDefault="007373F6">
      <w:pPr>
        <w:spacing w:after="0" w:line="240" w:lineRule="auto"/>
        <w:jc w:val="both"/>
        <w:rPr>
          <w:rFonts w:ascii="Times New Roman" w:eastAsia="Times New Roman" w:hAnsi="Times New Roman" w:cs="Times New Roman"/>
          <w:sz w:val="24"/>
          <w:szCs w:val="24"/>
        </w:rPr>
      </w:pPr>
    </w:p>
    <w:p w14:paraId="531B5530" w14:textId="77777777" w:rsidR="007373F6" w:rsidRDefault="00000000" w:rsidP="00856618">
      <w:pPr>
        <w:numPr>
          <w:ilvl w:val="1"/>
          <w:numId w:val="59"/>
        </w:numPr>
        <w:spacing w:after="0" w:line="240" w:lineRule="auto"/>
        <w:ind w:left="426" w:hanging="426"/>
        <w:jc w:val="both"/>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Research Design</w:t>
      </w:r>
    </w:p>
    <w:p w14:paraId="42D9813E" w14:textId="77777777" w:rsidR="007373F6" w:rsidRDefault="00000000">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study uses a quantitative approach to examine the influence of professional competency and enforcement pressure on risk assessment and audit judgment performance. The quantitative approach was chosen because it allowed researchers to measure the relationship between variables of both direct influence, mediation, and moderation. Primary data was collected through the distribution of questionnaires to 42 auditors working at the Audit Board of the Republic of Indonesia. </w:t>
      </w:r>
    </w:p>
    <w:p w14:paraId="2D4004F6" w14:textId="77777777" w:rsidR="007373F6" w:rsidRDefault="00000000">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questionnaire was compiled based on indicators that have been validated in previous research and adjusted to the context of public sector audits. The sampling technique was carried out purposively, taking into account the experience and involvement of respondents in the implementation of the audit. Each question in the questionnaire was measured using a seven-point Likert scale to obtain measurable and statistically </w:t>
      </w:r>
      <w:proofErr w:type="spellStart"/>
      <w:r>
        <w:rPr>
          <w:rFonts w:ascii="Times New Roman" w:eastAsia="Times New Roman" w:hAnsi="Times New Roman" w:cs="Times New Roman"/>
          <w:sz w:val="24"/>
          <w:szCs w:val="24"/>
        </w:rPr>
        <w:t>analyzable</w:t>
      </w:r>
      <w:proofErr w:type="spellEnd"/>
      <w:r>
        <w:rPr>
          <w:rFonts w:ascii="Times New Roman" w:eastAsia="Times New Roman" w:hAnsi="Times New Roman" w:cs="Times New Roman"/>
          <w:sz w:val="24"/>
          <w:szCs w:val="24"/>
        </w:rPr>
        <w:t xml:space="preserve"> data. The collected data is then tested for validity and reliability before further analysis. Confirmatory Factor Analysis (CFA) was employed to conduct construct validity testing by conducting an examination of the factor loading values of each indicator. An indicator is considered valid if its loading value exceeds the minimum threshold of 0.70. The Average Variance Extracted (AVE) was used to evaluate the convergent validity of the construct. A value of 0.50 or higher is indicative of the construct's ability to account for more than half of the variance in its indicators (Hair et al., 2021). Furthermore, internal consistency reliability in Structural Equation </w:t>
      </w:r>
      <w:proofErr w:type="spellStart"/>
      <w:r>
        <w:rPr>
          <w:rFonts w:ascii="Times New Roman" w:eastAsia="Times New Roman" w:hAnsi="Times New Roman" w:cs="Times New Roman"/>
          <w:sz w:val="24"/>
          <w:szCs w:val="24"/>
        </w:rPr>
        <w:t>Modeling</w:t>
      </w:r>
      <w:proofErr w:type="spellEnd"/>
      <w:r>
        <w:rPr>
          <w:rFonts w:ascii="Times New Roman" w:eastAsia="Times New Roman" w:hAnsi="Times New Roman" w:cs="Times New Roman"/>
          <w:sz w:val="24"/>
          <w:szCs w:val="24"/>
        </w:rPr>
        <w:t xml:space="preserve"> (SEM) can be measured through the indicator of Composite Reliability (CR). Hair et al. (2021) state that a construct is considered reliable if the CR value exceeds 0.70.</w:t>
      </w:r>
    </w:p>
    <w:p w14:paraId="0C0B1841" w14:textId="77777777" w:rsidR="007373F6" w:rsidRDefault="007373F6">
      <w:pPr>
        <w:widowControl w:val="0"/>
        <w:spacing w:after="0" w:line="240" w:lineRule="auto"/>
        <w:ind w:firstLine="426"/>
        <w:jc w:val="both"/>
        <w:rPr>
          <w:rFonts w:ascii="Times New Roman" w:eastAsia="Times New Roman" w:hAnsi="Times New Roman" w:cs="Times New Roman"/>
          <w:sz w:val="24"/>
          <w:szCs w:val="24"/>
        </w:rPr>
      </w:pPr>
    </w:p>
    <w:p w14:paraId="20AE22A6" w14:textId="77777777" w:rsidR="007373F6" w:rsidRDefault="00000000" w:rsidP="00856618">
      <w:pPr>
        <w:numPr>
          <w:ilvl w:val="1"/>
          <w:numId w:val="59"/>
        </w:numPr>
        <w:spacing w:after="0"/>
        <w:ind w:left="426" w:hanging="426"/>
        <w:jc w:val="both"/>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Data Analysis</w:t>
      </w:r>
    </w:p>
    <w:p w14:paraId="226A3856" w14:textId="77777777" w:rsidR="007373F6" w:rsidRDefault="00000000">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Data analysis was carried out using Structural Equation </w:t>
      </w:r>
      <w:proofErr w:type="spellStart"/>
      <w:r>
        <w:rPr>
          <w:rFonts w:ascii="Times New Roman" w:eastAsia="Times New Roman" w:hAnsi="Times New Roman" w:cs="Times New Roman"/>
          <w:sz w:val="24"/>
          <w:szCs w:val="24"/>
        </w:rPr>
        <w:t>Modeling</w:t>
      </w:r>
      <w:proofErr w:type="spellEnd"/>
      <w:r>
        <w:rPr>
          <w:rFonts w:ascii="Times New Roman" w:eastAsia="Times New Roman" w:hAnsi="Times New Roman" w:cs="Times New Roman"/>
          <w:sz w:val="24"/>
          <w:szCs w:val="24"/>
        </w:rPr>
        <w:t xml:space="preserve"> (SEM) based on Partial Least Square (PLS) with the help of the SMART-PLS application. The SEM-PLS method was chosen because it is able to test the causal relationships between latent variables simultaneously despite the limited number of samples. This research model consists of two independent variables, one mediation variable, one moderation variable, and one dependent variable. Professional competency and enforcement pressure were tested for their influence on risk assessment, which was then </w:t>
      </w:r>
      <w:proofErr w:type="spellStart"/>
      <w:r>
        <w:rPr>
          <w:rFonts w:ascii="Times New Roman" w:eastAsia="Times New Roman" w:hAnsi="Times New Roman" w:cs="Times New Roman"/>
          <w:sz w:val="24"/>
          <w:szCs w:val="24"/>
        </w:rPr>
        <w:t>analyzed</w:t>
      </w:r>
      <w:proofErr w:type="spellEnd"/>
      <w:r>
        <w:rPr>
          <w:rFonts w:ascii="Times New Roman" w:eastAsia="Times New Roman" w:hAnsi="Times New Roman" w:cs="Times New Roman"/>
          <w:sz w:val="24"/>
          <w:szCs w:val="24"/>
        </w:rPr>
        <w:t xml:space="preserve"> for their effect on audit performance judgment. This study also examines the role of risk assessment mediation and the role of enforcement pressure moderation in the relationship between professional competency and risk assessment. The </w:t>
      </w:r>
      <w:r>
        <w:rPr>
          <w:rFonts w:ascii="Times New Roman" w:eastAsia="Times New Roman" w:hAnsi="Times New Roman" w:cs="Times New Roman"/>
          <w:sz w:val="24"/>
          <w:szCs w:val="24"/>
        </w:rPr>
        <w:lastRenderedPageBreak/>
        <w:t>results of the analysis provide an empirical understanding of the mechanism of the relationship between variables in the context of public sector audits. Thus, the design of this study is able to answer the research objectives comprehensively and support the validity of the findings produced.</w:t>
      </w:r>
    </w:p>
    <w:p w14:paraId="60000F9C" w14:textId="77777777" w:rsidR="007373F6" w:rsidRDefault="007373F6">
      <w:pPr>
        <w:spacing w:after="0"/>
        <w:jc w:val="both"/>
        <w:rPr>
          <w:rFonts w:ascii="Times New Roman" w:eastAsia="Times New Roman" w:hAnsi="Times New Roman" w:cs="Times New Roman"/>
          <w:sz w:val="24"/>
          <w:szCs w:val="24"/>
        </w:rPr>
      </w:pPr>
    </w:p>
    <w:p w14:paraId="7D63C1BD" w14:textId="77777777" w:rsidR="007373F6" w:rsidRDefault="00000000" w:rsidP="00856618">
      <w:pPr>
        <w:numPr>
          <w:ilvl w:val="0"/>
          <w:numId w:val="59"/>
        </w:numPr>
        <w:spacing w:after="0" w:line="240" w:lineRule="auto"/>
        <w:ind w:left="284"/>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FINDING AND DISCUSSION</w:t>
      </w:r>
    </w:p>
    <w:p w14:paraId="770C6957" w14:textId="77777777" w:rsidR="007373F6" w:rsidRDefault="007373F6">
      <w:pPr>
        <w:spacing w:after="0" w:line="240" w:lineRule="auto"/>
        <w:jc w:val="both"/>
        <w:rPr>
          <w:rFonts w:ascii="Times New Roman" w:eastAsia="Times New Roman" w:hAnsi="Times New Roman" w:cs="Times New Roman"/>
          <w:sz w:val="24"/>
          <w:szCs w:val="24"/>
        </w:rPr>
      </w:pPr>
    </w:p>
    <w:p w14:paraId="32322E36" w14:textId="77777777" w:rsidR="007373F6" w:rsidRDefault="00000000" w:rsidP="00856618">
      <w:pPr>
        <w:numPr>
          <w:ilvl w:val="1"/>
          <w:numId w:val="59"/>
        </w:numPr>
        <w:spacing w:after="0" w:line="240" w:lineRule="auto"/>
        <w:ind w:left="425" w:hanging="425"/>
        <w:jc w:val="both"/>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Findings</w:t>
      </w:r>
    </w:p>
    <w:p w14:paraId="510AB125" w14:textId="1853805F"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Out of 70 questionnaires distributed via WhatsApp, there were 42 responses, resulting in a response rate of 60%.  A significant portion of the respondents identified as male, comprising 59.52% of the total, with the largest demographic group (50%) being individuals aged 31 to 40.  The educational qualifications revealed that 64.29% possessed a bachelor’s degree, while the remaining 35.71% held a master’s degree. The participants held roles as junior auditors (52.38%), associate auditors (42.86%), and senior auditors (4.76%).  Regarding experience, 19.05% possessed less than 11 years, 78.57% had between 11 and 20 years, while 2.38% exceeded 20 years. The educational background reveals that 71.43% possess an accounting background, while 28.57% have a non-accounting background.</w:t>
      </w:r>
    </w:p>
    <w:p w14:paraId="223AC5EA" w14:textId="77777777" w:rsidR="007373F6" w:rsidRDefault="007373F6">
      <w:pPr>
        <w:spacing w:after="0" w:line="240" w:lineRule="auto"/>
        <w:jc w:val="both"/>
        <w:rPr>
          <w:rFonts w:ascii="Times New Roman" w:eastAsia="Times New Roman" w:hAnsi="Times New Roman" w:cs="Times New Roman"/>
          <w:sz w:val="24"/>
          <w:szCs w:val="24"/>
        </w:rPr>
      </w:pPr>
    </w:p>
    <w:p w14:paraId="43C763F2" w14:textId="77777777" w:rsidR="007373F6" w:rsidRDefault="00000000" w:rsidP="00722934">
      <w:pPr>
        <w:spacing w:after="120" w:line="240" w:lineRule="auto"/>
        <w:jc w:val="center"/>
        <w:rPr>
          <w:rFonts w:ascii="Times New Roman" w:eastAsia="Times New Roman" w:hAnsi="Times New Roman" w:cs="Times New Roman"/>
          <w:b/>
        </w:rPr>
      </w:pPr>
      <w:r>
        <w:rPr>
          <w:rFonts w:ascii="Times New Roman" w:eastAsia="Times New Roman" w:hAnsi="Times New Roman" w:cs="Times New Roman"/>
          <w:b/>
        </w:rPr>
        <w:t xml:space="preserve">Table 1. </w:t>
      </w:r>
      <w:r w:rsidRPr="00722934">
        <w:rPr>
          <w:rFonts w:ascii="Times New Roman" w:eastAsia="Times New Roman" w:hAnsi="Times New Roman" w:cs="Times New Roman"/>
          <w:bCs/>
        </w:rPr>
        <w:t>Regression SEM-PLS</w:t>
      </w:r>
    </w:p>
    <w:tbl>
      <w:tblPr>
        <w:tblStyle w:val="affff9"/>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130"/>
        <w:gridCol w:w="3747"/>
        <w:gridCol w:w="739"/>
        <w:gridCol w:w="887"/>
        <w:gridCol w:w="887"/>
        <w:gridCol w:w="887"/>
        <w:gridCol w:w="739"/>
      </w:tblGrid>
      <w:tr w:rsidR="007373F6" w:rsidRPr="002748F8" w14:paraId="58AD6663" w14:textId="77777777" w:rsidTr="002748F8">
        <w:tc>
          <w:tcPr>
            <w:tcW w:w="626" w:type="pct"/>
            <w:vAlign w:val="center"/>
          </w:tcPr>
          <w:p w14:paraId="53520EC2" w14:textId="5F0B9CD9" w:rsidR="007373F6" w:rsidRPr="002748F8" w:rsidRDefault="00000000" w:rsidP="002748F8">
            <w:pPr>
              <w:jc w:val="center"/>
              <w:rPr>
                <w:rFonts w:asciiTheme="majorBidi" w:eastAsia="Times New Roman" w:hAnsiTheme="majorBidi" w:cstheme="majorBidi"/>
                <w:b/>
                <w:sz w:val="18"/>
                <w:szCs w:val="18"/>
              </w:rPr>
            </w:pPr>
            <w:r w:rsidRPr="002748F8">
              <w:rPr>
                <w:rFonts w:asciiTheme="majorBidi" w:eastAsia="Times New Roman" w:hAnsiTheme="majorBidi" w:cstheme="majorBidi"/>
                <w:b/>
                <w:sz w:val="18"/>
                <w:szCs w:val="18"/>
              </w:rPr>
              <w:t>Hypothesis</w:t>
            </w:r>
          </w:p>
        </w:tc>
        <w:tc>
          <w:tcPr>
            <w:tcW w:w="2078" w:type="pct"/>
            <w:vAlign w:val="center"/>
          </w:tcPr>
          <w:p w14:paraId="0E0D0C22" w14:textId="77777777" w:rsidR="007373F6" w:rsidRPr="002748F8" w:rsidRDefault="00000000" w:rsidP="002748F8">
            <w:pPr>
              <w:jc w:val="center"/>
              <w:rPr>
                <w:rFonts w:asciiTheme="majorBidi" w:eastAsia="Times New Roman" w:hAnsiTheme="majorBidi" w:cstheme="majorBidi"/>
                <w:b/>
                <w:sz w:val="18"/>
                <w:szCs w:val="18"/>
              </w:rPr>
            </w:pPr>
            <w:r w:rsidRPr="002748F8">
              <w:rPr>
                <w:rFonts w:asciiTheme="majorBidi" w:eastAsia="Times New Roman" w:hAnsiTheme="majorBidi" w:cstheme="majorBidi"/>
                <w:b/>
                <w:sz w:val="18"/>
                <w:szCs w:val="18"/>
              </w:rPr>
              <w:t>Relationship</w:t>
            </w:r>
          </w:p>
        </w:tc>
        <w:tc>
          <w:tcPr>
            <w:tcW w:w="410" w:type="pct"/>
            <w:vAlign w:val="center"/>
          </w:tcPr>
          <w:p w14:paraId="25973E28" w14:textId="77777777" w:rsidR="007373F6" w:rsidRPr="002748F8" w:rsidRDefault="00000000" w:rsidP="002748F8">
            <w:pPr>
              <w:jc w:val="center"/>
              <w:rPr>
                <w:rFonts w:asciiTheme="majorBidi" w:eastAsia="Times New Roman" w:hAnsiTheme="majorBidi" w:cstheme="majorBidi"/>
                <w:b/>
                <w:sz w:val="18"/>
                <w:szCs w:val="18"/>
              </w:rPr>
            </w:pPr>
            <w:r w:rsidRPr="002748F8">
              <w:rPr>
                <w:rFonts w:asciiTheme="majorBidi" w:eastAsia="Times New Roman" w:hAnsiTheme="majorBidi" w:cstheme="majorBidi"/>
                <w:b/>
                <w:sz w:val="18"/>
                <w:szCs w:val="18"/>
              </w:rPr>
              <w:t>Std. Beta</w:t>
            </w:r>
          </w:p>
        </w:tc>
        <w:tc>
          <w:tcPr>
            <w:tcW w:w="492" w:type="pct"/>
            <w:vAlign w:val="center"/>
          </w:tcPr>
          <w:p w14:paraId="36385B26" w14:textId="77777777" w:rsidR="007373F6" w:rsidRPr="002748F8" w:rsidRDefault="00000000" w:rsidP="002748F8">
            <w:pPr>
              <w:jc w:val="center"/>
              <w:rPr>
                <w:rFonts w:asciiTheme="majorBidi" w:eastAsia="Times New Roman" w:hAnsiTheme="majorBidi" w:cstheme="majorBidi"/>
                <w:b/>
                <w:sz w:val="18"/>
                <w:szCs w:val="18"/>
              </w:rPr>
            </w:pPr>
            <w:r w:rsidRPr="002748F8">
              <w:rPr>
                <w:rFonts w:asciiTheme="majorBidi" w:eastAsia="Times New Roman" w:hAnsiTheme="majorBidi" w:cstheme="majorBidi"/>
                <w:b/>
                <w:sz w:val="18"/>
                <w:szCs w:val="18"/>
              </w:rPr>
              <w:t>Std. Dev.</w:t>
            </w:r>
          </w:p>
        </w:tc>
        <w:tc>
          <w:tcPr>
            <w:tcW w:w="492" w:type="pct"/>
            <w:vAlign w:val="center"/>
          </w:tcPr>
          <w:p w14:paraId="2B0D99BF" w14:textId="77777777" w:rsidR="007373F6" w:rsidRPr="002748F8" w:rsidRDefault="00000000" w:rsidP="002748F8">
            <w:pPr>
              <w:jc w:val="center"/>
              <w:rPr>
                <w:rFonts w:asciiTheme="majorBidi" w:eastAsia="Times New Roman" w:hAnsiTheme="majorBidi" w:cstheme="majorBidi"/>
                <w:b/>
                <w:sz w:val="18"/>
                <w:szCs w:val="18"/>
              </w:rPr>
            </w:pPr>
            <w:r w:rsidRPr="002748F8">
              <w:rPr>
                <w:rFonts w:asciiTheme="majorBidi" w:eastAsia="Times New Roman" w:hAnsiTheme="majorBidi" w:cstheme="majorBidi"/>
                <w:b/>
                <w:sz w:val="18"/>
                <w:szCs w:val="18"/>
              </w:rPr>
              <w:t>t-Value</w:t>
            </w:r>
          </w:p>
        </w:tc>
        <w:tc>
          <w:tcPr>
            <w:tcW w:w="492" w:type="pct"/>
            <w:vAlign w:val="center"/>
          </w:tcPr>
          <w:p w14:paraId="43CFFF2A" w14:textId="77777777" w:rsidR="007373F6" w:rsidRPr="002748F8" w:rsidRDefault="00000000" w:rsidP="002748F8">
            <w:pPr>
              <w:jc w:val="center"/>
              <w:rPr>
                <w:rFonts w:asciiTheme="majorBidi" w:eastAsia="Times New Roman" w:hAnsiTheme="majorBidi" w:cstheme="majorBidi"/>
                <w:b/>
                <w:sz w:val="18"/>
                <w:szCs w:val="18"/>
              </w:rPr>
            </w:pPr>
            <w:r w:rsidRPr="002748F8">
              <w:rPr>
                <w:rFonts w:asciiTheme="majorBidi" w:eastAsia="Times New Roman" w:hAnsiTheme="majorBidi" w:cstheme="majorBidi"/>
                <w:b/>
                <w:sz w:val="18"/>
                <w:szCs w:val="18"/>
              </w:rPr>
              <w:t>p-Value</w:t>
            </w:r>
          </w:p>
        </w:tc>
        <w:tc>
          <w:tcPr>
            <w:tcW w:w="410" w:type="pct"/>
            <w:vAlign w:val="center"/>
          </w:tcPr>
          <w:p w14:paraId="1D7CD2BD" w14:textId="77777777" w:rsidR="007373F6" w:rsidRPr="002748F8" w:rsidRDefault="00000000" w:rsidP="002748F8">
            <w:pPr>
              <w:jc w:val="center"/>
              <w:rPr>
                <w:rFonts w:asciiTheme="majorBidi" w:eastAsia="Times New Roman" w:hAnsiTheme="majorBidi" w:cstheme="majorBidi"/>
                <w:b/>
                <w:sz w:val="18"/>
                <w:szCs w:val="18"/>
              </w:rPr>
            </w:pPr>
            <w:r w:rsidRPr="002748F8">
              <w:rPr>
                <w:rFonts w:asciiTheme="majorBidi" w:eastAsia="Times New Roman" w:hAnsiTheme="majorBidi" w:cstheme="majorBidi"/>
                <w:b/>
                <w:sz w:val="18"/>
                <w:szCs w:val="18"/>
              </w:rPr>
              <w:t>VIF</w:t>
            </w:r>
          </w:p>
        </w:tc>
      </w:tr>
      <w:tr w:rsidR="007373F6" w:rsidRPr="002748F8" w14:paraId="4B994C77" w14:textId="77777777" w:rsidTr="002748F8">
        <w:tc>
          <w:tcPr>
            <w:tcW w:w="626" w:type="pct"/>
            <w:vAlign w:val="center"/>
          </w:tcPr>
          <w:p w14:paraId="0F3DD9FB" w14:textId="77777777" w:rsidR="007373F6" w:rsidRPr="002748F8" w:rsidRDefault="00000000">
            <w:pPr>
              <w:jc w:val="both"/>
              <w:rPr>
                <w:rFonts w:asciiTheme="majorBidi" w:eastAsia="Times New Roman" w:hAnsiTheme="majorBidi" w:cstheme="majorBidi"/>
                <w:b/>
                <w:sz w:val="18"/>
                <w:szCs w:val="18"/>
              </w:rPr>
            </w:pPr>
            <w:r w:rsidRPr="002748F8">
              <w:rPr>
                <w:rFonts w:asciiTheme="majorBidi" w:eastAsia="Times New Roman" w:hAnsiTheme="majorBidi" w:cstheme="majorBidi"/>
                <w:sz w:val="18"/>
                <w:szCs w:val="18"/>
              </w:rPr>
              <w:t>H</w:t>
            </w:r>
            <w:r w:rsidRPr="002748F8">
              <w:rPr>
                <w:rFonts w:asciiTheme="majorBidi" w:eastAsia="Times New Roman" w:hAnsiTheme="majorBidi" w:cstheme="majorBidi"/>
                <w:sz w:val="18"/>
                <w:szCs w:val="18"/>
                <w:vertAlign w:val="subscript"/>
              </w:rPr>
              <w:t>1</w:t>
            </w:r>
          </w:p>
        </w:tc>
        <w:tc>
          <w:tcPr>
            <w:tcW w:w="2078" w:type="pct"/>
            <w:vAlign w:val="center"/>
          </w:tcPr>
          <w:p w14:paraId="52E028E1" w14:textId="77777777" w:rsidR="007373F6" w:rsidRPr="002748F8" w:rsidRDefault="00000000">
            <w:pPr>
              <w:jc w:val="both"/>
              <w:rPr>
                <w:rFonts w:asciiTheme="majorBidi" w:eastAsia="Times New Roman" w:hAnsiTheme="majorBidi" w:cstheme="majorBidi"/>
                <w:b/>
                <w:sz w:val="18"/>
                <w:szCs w:val="18"/>
              </w:rPr>
            </w:pPr>
            <w:r w:rsidRPr="002748F8">
              <w:rPr>
                <w:rFonts w:asciiTheme="majorBidi" w:eastAsia="Times New Roman" w:hAnsiTheme="majorBidi" w:cstheme="majorBidi"/>
                <w:sz w:val="18"/>
                <w:szCs w:val="18"/>
              </w:rPr>
              <w:t xml:space="preserve">Risk Assessment </w:t>
            </w:r>
            <w:r w:rsidRPr="002748F8">
              <w:rPr>
                <w:rFonts w:ascii="Times New Roman" w:eastAsia="Wingdings" w:hAnsi="Times New Roman" w:cs="Times New Roman"/>
                <w:sz w:val="18"/>
                <w:szCs w:val="18"/>
              </w:rPr>
              <w:t>🡪</w:t>
            </w:r>
            <w:r w:rsidRPr="002748F8">
              <w:rPr>
                <w:rFonts w:asciiTheme="majorBidi" w:eastAsia="Times New Roman" w:hAnsiTheme="majorBidi" w:cstheme="majorBidi"/>
                <w:sz w:val="18"/>
                <w:szCs w:val="18"/>
              </w:rPr>
              <w:t xml:space="preserve"> Audit Judgment, Performance</w:t>
            </w:r>
          </w:p>
        </w:tc>
        <w:tc>
          <w:tcPr>
            <w:tcW w:w="410" w:type="pct"/>
            <w:vAlign w:val="center"/>
          </w:tcPr>
          <w:p w14:paraId="7C8D3081" w14:textId="77777777" w:rsidR="007373F6" w:rsidRPr="002748F8" w:rsidRDefault="00000000">
            <w:pPr>
              <w:jc w:val="both"/>
              <w:rPr>
                <w:rFonts w:asciiTheme="majorBidi" w:eastAsia="Times New Roman" w:hAnsiTheme="majorBidi" w:cstheme="majorBidi"/>
                <w:b/>
                <w:sz w:val="18"/>
                <w:szCs w:val="18"/>
              </w:rPr>
            </w:pPr>
            <w:r w:rsidRPr="002748F8">
              <w:rPr>
                <w:rFonts w:asciiTheme="majorBidi" w:eastAsia="Times New Roman" w:hAnsiTheme="majorBidi" w:cstheme="majorBidi"/>
                <w:sz w:val="18"/>
                <w:szCs w:val="18"/>
              </w:rPr>
              <w:t>0,752</w:t>
            </w:r>
          </w:p>
        </w:tc>
        <w:tc>
          <w:tcPr>
            <w:tcW w:w="492" w:type="pct"/>
            <w:vAlign w:val="center"/>
          </w:tcPr>
          <w:p w14:paraId="4F8AACDD" w14:textId="77777777" w:rsidR="007373F6" w:rsidRPr="002748F8" w:rsidRDefault="00000000">
            <w:pPr>
              <w:jc w:val="both"/>
              <w:rPr>
                <w:rFonts w:asciiTheme="majorBidi" w:eastAsia="Times New Roman" w:hAnsiTheme="majorBidi" w:cstheme="majorBidi"/>
                <w:b/>
                <w:sz w:val="18"/>
                <w:szCs w:val="18"/>
              </w:rPr>
            </w:pPr>
            <w:r w:rsidRPr="002748F8">
              <w:rPr>
                <w:rFonts w:asciiTheme="majorBidi" w:eastAsia="Times New Roman" w:hAnsiTheme="majorBidi" w:cstheme="majorBidi"/>
                <w:sz w:val="18"/>
                <w:szCs w:val="18"/>
              </w:rPr>
              <w:t>0,058</w:t>
            </w:r>
          </w:p>
        </w:tc>
        <w:tc>
          <w:tcPr>
            <w:tcW w:w="492" w:type="pct"/>
            <w:vAlign w:val="center"/>
          </w:tcPr>
          <w:p w14:paraId="1616789F" w14:textId="77777777" w:rsidR="007373F6" w:rsidRPr="002748F8" w:rsidRDefault="00000000">
            <w:pPr>
              <w:jc w:val="both"/>
              <w:rPr>
                <w:rFonts w:asciiTheme="majorBidi" w:eastAsia="Times New Roman" w:hAnsiTheme="majorBidi" w:cstheme="majorBidi"/>
                <w:b/>
                <w:sz w:val="18"/>
                <w:szCs w:val="18"/>
              </w:rPr>
            </w:pPr>
            <w:r w:rsidRPr="002748F8">
              <w:rPr>
                <w:rFonts w:asciiTheme="majorBidi" w:eastAsia="Times New Roman" w:hAnsiTheme="majorBidi" w:cstheme="majorBidi"/>
                <w:sz w:val="18"/>
                <w:szCs w:val="18"/>
              </w:rPr>
              <w:t>13,004</w:t>
            </w:r>
          </w:p>
        </w:tc>
        <w:tc>
          <w:tcPr>
            <w:tcW w:w="492" w:type="pct"/>
            <w:vAlign w:val="center"/>
          </w:tcPr>
          <w:p w14:paraId="771E3989" w14:textId="77777777" w:rsidR="007373F6" w:rsidRPr="002748F8" w:rsidRDefault="00000000">
            <w:pPr>
              <w:jc w:val="both"/>
              <w:rPr>
                <w:rFonts w:asciiTheme="majorBidi" w:eastAsia="Times New Roman" w:hAnsiTheme="majorBidi" w:cstheme="majorBidi"/>
                <w:b/>
                <w:sz w:val="18"/>
                <w:szCs w:val="18"/>
              </w:rPr>
            </w:pPr>
            <w:r w:rsidRPr="002748F8">
              <w:rPr>
                <w:rFonts w:asciiTheme="majorBidi" w:eastAsia="Times New Roman" w:hAnsiTheme="majorBidi" w:cstheme="majorBidi"/>
                <w:sz w:val="18"/>
                <w:szCs w:val="18"/>
              </w:rPr>
              <w:t>0,000</w:t>
            </w:r>
          </w:p>
        </w:tc>
        <w:tc>
          <w:tcPr>
            <w:tcW w:w="410" w:type="pct"/>
            <w:vAlign w:val="center"/>
          </w:tcPr>
          <w:p w14:paraId="5D922B70" w14:textId="77777777" w:rsidR="007373F6" w:rsidRPr="002748F8" w:rsidRDefault="00000000">
            <w:pPr>
              <w:jc w:val="both"/>
              <w:rPr>
                <w:rFonts w:asciiTheme="majorBidi" w:eastAsia="Times New Roman" w:hAnsiTheme="majorBidi" w:cstheme="majorBidi"/>
                <w:b/>
                <w:sz w:val="18"/>
                <w:szCs w:val="18"/>
              </w:rPr>
            </w:pPr>
            <w:r w:rsidRPr="002748F8">
              <w:rPr>
                <w:rFonts w:asciiTheme="majorBidi" w:eastAsia="Times New Roman" w:hAnsiTheme="majorBidi" w:cstheme="majorBidi"/>
                <w:sz w:val="18"/>
                <w:szCs w:val="18"/>
              </w:rPr>
              <w:t>1,000</w:t>
            </w:r>
          </w:p>
        </w:tc>
      </w:tr>
      <w:tr w:rsidR="007373F6" w:rsidRPr="002748F8" w14:paraId="4EA0FC46" w14:textId="77777777" w:rsidTr="002748F8">
        <w:tc>
          <w:tcPr>
            <w:tcW w:w="626" w:type="pct"/>
            <w:vAlign w:val="center"/>
          </w:tcPr>
          <w:p w14:paraId="531756D5"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H</w:t>
            </w:r>
            <w:r w:rsidRPr="002748F8">
              <w:rPr>
                <w:rFonts w:asciiTheme="majorBidi" w:eastAsia="Times New Roman" w:hAnsiTheme="majorBidi" w:cstheme="majorBidi"/>
                <w:sz w:val="18"/>
                <w:szCs w:val="18"/>
                <w:vertAlign w:val="subscript"/>
              </w:rPr>
              <w:t>2</w:t>
            </w:r>
          </w:p>
        </w:tc>
        <w:tc>
          <w:tcPr>
            <w:tcW w:w="2078" w:type="pct"/>
            <w:vAlign w:val="center"/>
          </w:tcPr>
          <w:p w14:paraId="416B0EE8"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 xml:space="preserve">Professional Competency </w:t>
            </w:r>
            <w:r w:rsidRPr="002748F8">
              <w:rPr>
                <w:rFonts w:ascii="Times New Roman" w:eastAsia="Wingdings" w:hAnsi="Times New Roman" w:cs="Times New Roman"/>
                <w:sz w:val="18"/>
                <w:szCs w:val="18"/>
              </w:rPr>
              <w:t>🡪</w:t>
            </w:r>
            <w:r w:rsidRPr="002748F8">
              <w:rPr>
                <w:rFonts w:asciiTheme="majorBidi" w:eastAsia="Times New Roman" w:hAnsiTheme="majorBidi" w:cstheme="majorBidi"/>
                <w:sz w:val="18"/>
                <w:szCs w:val="18"/>
              </w:rPr>
              <w:t xml:space="preserve"> Risk Assessment</w:t>
            </w:r>
          </w:p>
        </w:tc>
        <w:tc>
          <w:tcPr>
            <w:tcW w:w="410" w:type="pct"/>
            <w:vAlign w:val="center"/>
          </w:tcPr>
          <w:p w14:paraId="4327B8D7"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0,236</w:t>
            </w:r>
          </w:p>
        </w:tc>
        <w:tc>
          <w:tcPr>
            <w:tcW w:w="492" w:type="pct"/>
            <w:vAlign w:val="center"/>
          </w:tcPr>
          <w:p w14:paraId="65EAF2C9"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0,130</w:t>
            </w:r>
          </w:p>
        </w:tc>
        <w:tc>
          <w:tcPr>
            <w:tcW w:w="492" w:type="pct"/>
            <w:vAlign w:val="center"/>
          </w:tcPr>
          <w:p w14:paraId="0170EB54"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1,812</w:t>
            </w:r>
          </w:p>
        </w:tc>
        <w:tc>
          <w:tcPr>
            <w:tcW w:w="492" w:type="pct"/>
            <w:vAlign w:val="center"/>
          </w:tcPr>
          <w:p w14:paraId="6400B4FA"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0,035</w:t>
            </w:r>
          </w:p>
        </w:tc>
        <w:tc>
          <w:tcPr>
            <w:tcW w:w="410" w:type="pct"/>
            <w:vAlign w:val="center"/>
          </w:tcPr>
          <w:p w14:paraId="0A2BD542"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1,000</w:t>
            </w:r>
          </w:p>
        </w:tc>
      </w:tr>
      <w:tr w:rsidR="007373F6" w:rsidRPr="002748F8" w14:paraId="18F72B49" w14:textId="77777777" w:rsidTr="002748F8">
        <w:tc>
          <w:tcPr>
            <w:tcW w:w="626" w:type="pct"/>
            <w:vAlign w:val="center"/>
          </w:tcPr>
          <w:p w14:paraId="10FAE538"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H</w:t>
            </w:r>
            <w:r w:rsidRPr="002748F8">
              <w:rPr>
                <w:rFonts w:asciiTheme="majorBidi" w:eastAsia="Times New Roman" w:hAnsiTheme="majorBidi" w:cstheme="majorBidi"/>
                <w:sz w:val="18"/>
                <w:szCs w:val="18"/>
                <w:vertAlign w:val="subscript"/>
              </w:rPr>
              <w:t>3</w:t>
            </w:r>
          </w:p>
        </w:tc>
        <w:tc>
          <w:tcPr>
            <w:tcW w:w="2078" w:type="pct"/>
            <w:vAlign w:val="center"/>
          </w:tcPr>
          <w:p w14:paraId="04385C61"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 xml:space="preserve">Enforcement Pressure </w:t>
            </w:r>
            <w:r w:rsidRPr="002748F8">
              <w:rPr>
                <w:rFonts w:ascii="Times New Roman" w:eastAsia="Wingdings" w:hAnsi="Times New Roman" w:cs="Times New Roman"/>
                <w:sz w:val="18"/>
                <w:szCs w:val="18"/>
              </w:rPr>
              <w:t>🡪</w:t>
            </w:r>
            <w:r w:rsidRPr="002748F8">
              <w:rPr>
                <w:rFonts w:asciiTheme="majorBidi" w:eastAsia="Times New Roman" w:hAnsiTheme="majorBidi" w:cstheme="majorBidi"/>
                <w:sz w:val="18"/>
                <w:szCs w:val="18"/>
              </w:rPr>
              <w:t xml:space="preserve"> Risk Assessment</w:t>
            </w:r>
          </w:p>
        </w:tc>
        <w:tc>
          <w:tcPr>
            <w:tcW w:w="410" w:type="pct"/>
            <w:vAlign w:val="center"/>
          </w:tcPr>
          <w:p w14:paraId="013CB036"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0,652</w:t>
            </w:r>
          </w:p>
        </w:tc>
        <w:tc>
          <w:tcPr>
            <w:tcW w:w="492" w:type="pct"/>
            <w:vAlign w:val="center"/>
          </w:tcPr>
          <w:p w14:paraId="1040B939"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0,138</w:t>
            </w:r>
          </w:p>
        </w:tc>
        <w:tc>
          <w:tcPr>
            <w:tcW w:w="492" w:type="pct"/>
            <w:vAlign w:val="center"/>
          </w:tcPr>
          <w:p w14:paraId="1E0E7CA1"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4,725</w:t>
            </w:r>
          </w:p>
        </w:tc>
        <w:tc>
          <w:tcPr>
            <w:tcW w:w="492" w:type="pct"/>
            <w:vAlign w:val="center"/>
          </w:tcPr>
          <w:p w14:paraId="2CCFDEF4"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0,000</w:t>
            </w:r>
          </w:p>
        </w:tc>
        <w:tc>
          <w:tcPr>
            <w:tcW w:w="410" w:type="pct"/>
            <w:vAlign w:val="center"/>
          </w:tcPr>
          <w:p w14:paraId="3DA90A26"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1,000</w:t>
            </w:r>
          </w:p>
        </w:tc>
      </w:tr>
      <w:tr w:rsidR="007373F6" w:rsidRPr="002748F8" w14:paraId="246B73F9" w14:textId="77777777" w:rsidTr="002748F8">
        <w:tc>
          <w:tcPr>
            <w:tcW w:w="626" w:type="pct"/>
            <w:vAlign w:val="center"/>
          </w:tcPr>
          <w:p w14:paraId="5D4458A6"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H</w:t>
            </w:r>
            <w:r w:rsidRPr="002748F8">
              <w:rPr>
                <w:rFonts w:asciiTheme="majorBidi" w:eastAsia="Times New Roman" w:hAnsiTheme="majorBidi" w:cstheme="majorBidi"/>
                <w:sz w:val="18"/>
                <w:szCs w:val="18"/>
                <w:vertAlign w:val="subscript"/>
              </w:rPr>
              <w:t>4</w:t>
            </w:r>
          </w:p>
        </w:tc>
        <w:tc>
          <w:tcPr>
            <w:tcW w:w="2078" w:type="pct"/>
            <w:vAlign w:val="center"/>
          </w:tcPr>
          <w:p w14:paraId="2209BCEF"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 xml:space="preserve">Professional Competency </w:t>
            </w:r>
            <w:r w:rsidRPr="002748F8">
              <w:rPr>
                <w:rFonts w:ascii="Times New Roman" w:eastAsia="Wingdings" w:hAnsi="Times New Roman" w:cs="Times New Roman"/>
                <w:sz w:val="18"/>
                <w:szCs w:val="18"/>
              </w:rPr>
              <w:t>🡪</w:t>
            </w:r>
            <w:r w:rsidRPr="002748F8">
              <w:rPr>
                <w:rFonts w:asciiTheme="majorBidi" w:eastAsia="Times New Roman" w:hAnsiTheme="majorBidi" w:cstheme="majorBidi"/>
                <w:sz w:val="18"/>
                <w:szCs w:val="18"/>
              </w:rPr>
              <w:t xml:space="preserve"> Risk Assessment </w:t>
            </w:r>
            <w:r w:rsidRPr="002748F8">
              <w:rPr>
                <w:rFonts w:ascii="Times New Roman" w:eastAsia="Wingdings" w:hAnsi="Times New Roman" w:cs="Times New Roman"/>
                <w:sz w:val="18"/>
                <w:szCs w:val="18"/>
              </w:rPr>
              <w:t>🡪</w:t>
            </w:r>
            <w:r w:rsidRPr="002748F8">
              <w:rPr>
                <w:rFonts w:asciiTheme="majorBidi" w:eastAsia="Times New Roman" w:hAnsiTheme="majorBidi" w:cstheme="majorBidi"/>
                <w:sz w:val="18"/>
                <w:szCs w:val="18"/>
              </w:rPr>
              <w:t xml:space="preserve"> Audit Judgment Performance</w:t>
            </w:r>
          </w:p>
        </w:tc>
        <w:tc>
          <w:tcPr>
            <w:tcW w:w="410" w:type="pct"/>
            <w:vAlign w:val="center"/>
          </w:tcPr>
          <w:p w14:paraId="6AA1F47D"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0,178</w:t>
            </w:r>
          </w:p>
        </w:tc>
        <w:tc>
          <w:tcPr>
            <w:tcW w:w="492" w:type="pct"/>
            <w:vAlign w:val="center"/>
          </w:tcPr>
          <w:p w14:paraId="622D4D2E"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0.099</w:t>
            </w:r>
          </w:p>
        </w:tc>
        <w:tc>
          <w:tcPr>
            <w:tcW w:w="492" w:type="pct"/>
            <w:vAlign w:val="center"/>
          </w:tcPr>
          <w:p w14:paraId="7EF6BB85"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1,790</w:t>
            </w:r>
          </w:p>
        </w:tc>
        <w:tc>
          <w:tcPr>
            <w:tcW w:w="492" w:type="pct"/>
            <w:vAlign w:val="center"/>
          </w:tcPr>
          <w:p w14:paraId="5A84C70A"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0.037</w:t>
            </w:r>
          </w:p>
        </w:tc>
        <w:tc>
          <w:tcPr>
            <w:tcW w:w="410" w:type="pct"/>
            <w:vAlign w:val="center"/>
          </w:tcPr>
          <w:p w14:paraId="32D4AFDD"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w:t>
            </w:r>
          </w:p>
        </w:tc>
      </w:tr>
      <w:tr w:rsidR="007373F6" w:rsidRPr="002748F8" w14:paraId="690EE405" w14:textId="77777777" w:rsidTr="002748F8">
        <w:tc>
          <w:tcPr>
            <w:tcW w:w="626" w:type="pct"/>
            <w:vAlign w:val="center"/>
          </w:tcPr>
          <w:p w14:paraId="494CE442"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H</w:t>
            </w:r>
            <w:r w:rsidRPr="002748F8">
              <w:rPr>
                <w:rFonts w:asciiTheme="majorBidi" w:eastAsia="Times New Roman" w:hAnsiTheme="majorBidi" w:cstheme="majorBidi"/>
                <w:sz w:val="18"/>
                <w:szCs w:val="18"/>
                <w:vertAlign w:val="subscript"/>
              </w:rPr>
              <w:t>5</w:t>
            </w:r>
          </w:p>
        </w:tc>
        <w:tc>
          <w:tcPr>
            <w:tcW w:w="2078" w:type="pct"/>
            <w:vAlign w:val="center"/>
          </w:tcPr>
          <w:p w14:paraId="25DD98C9"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 xml:space="preserve">Enforcement Pressure </w:t>
            </w:r>
            <w:r w:rsidRPr="002748F8">
              <w:rPr>
                <w:rFonts w:ascii="Times New Roman" w:eastAsia="Wingdings" w:hAnsi="Times New Roman" w:cs="Times New Roman"/>
                <w:sz w:val="18"/>
                <w:szCs w:val="18"/>
              </w:rPr>
              <w:t>🡪</w:t>
            </w:r>
            <w:r w:rsidRPr="002748F8">
              <w:rPr>
                <w:rFonts w:asciiTheme="majorBidi" w:eastAsia="Times New Roman" w:hAnsiTheme="majorBidi" w:cstheme="majorBidi"/>
                <w:sz w:val="18"/>
                <w:szCs w:val="18"/>
              </w:rPr>
              <w:t xml:space="preserve"> Risk Assessment </w:t>
            </w:r>
            <w:r w:rsidRPr="002748F8">
              <w:rPr>
                <w:rFonts w:ascii="Times New Roman" w:eastAsia="Wingdings" w:hAnsi="Times New Roman" w:cs="Times New Roman"/>
                <w:sz w:val="18"/>
                <w:szCs w:val="18"/>
              </w:rPr>
              <w:t>🡪</w:t>
            </w:r>
            <w:r w:rsidRPr="002748F8">
              <w:rPr>
                <w:rFonts w:asciiTheme="majorBidi" w:eastAsia="Times New Roman" w:hAnsiTheme="majorBidi" w:cstheme="majorBidi"/>
                <w:sz w:val="18"/>
                <w:szCs w:val="18"/>
              </w:rPr>
              <w:t xml:space="preserve"> Audit Judgment Performance</w:t>
            </w:r>
          </w:p>
        </w:tc>
        <w:tc>
          <w:tcPr>
            <w:tcW w:w="410" w:type="pct"/>
            <w:vAlign w:val="center"/>
          </w:tcPr>
          <w:p w14:paraId="413B2492"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0,491</w:t>
            </w:r>
          </w:p>
        </w:tc>
        <w:tc>
          <w:tcPr>
            <w:tcW w:w="492" w:type="pct"/>
            <w:vAlign w:val="center"/>
          </w:tcPr>
          <w:p w14:paraId="14F6CECE"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0,119</w:t>
            </w:r>
          </w:p>
        </w:tc>
        <w:tc>
          <w:tcPr>
            <w:tcW w:w="492" w:type="pct"/>
            <w:vAlign w:val="center"/>
          </w:tcPr>
          <w:p w14:paraId="5B687F8A"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4,120</w:t>
            </w:r>
          </w:p>
        </w:tc>
        <w:tc>
          <w:tcPr>
            <w:tcW w:w="492" w:type="pct"/>
            <w:vAlign w:val="center"/>
          </w:tcPr>
          <w:p w14:paraId="52F1AEA4"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0,000</w:t>
            </w:r>
          </w:p>
        </w:tc>
        <w:tc>
          <w:tcPr>
            <w:tcW w:w="410" w:type="pct"/>
            <w:vAlign w:val="center"/>
          </w:tcPr>
          <w:p w14:paraId="1CC5BDCB"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w:t>
            </w:r>
          </w:p>
        </w:tc>
      </w:tr>
      <w:tr w:rsidR="007373F6" w:rsidRPr="002748F8" w14:paraId="39021907" w14:textId="77777777" w:rsidTr="002748F8">
        <w:tc>
          <w:tcPr>
            <w:tcW w:w="626" w:type="pct"/>
            <w:vAlign w:val="center"/>
          </w:tcPr>
          <w:p w14:paraId="7B4E7465"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H</w:t>
            </w:r>
            <w:r w:rsidRPr="002748F8">
              <w:rPr>
                <w:rFonts w:asciiTheme="majorBidi" w:eastAsia="Times New Roman" w:hAnsiTheme="majorBidi" w:cstheme="majorBidi"/>
                <w:sz w:val="18"/>
                <w:szCs w:val="18"/>
                <w:vertAlign w:val="subscript"/>
              </w:rPr>
              <w:t>6</w:t>
            </w:r>
          </w:p>
        </w:tc>
        <w:tc>
          <w:tcPr>
            <w:tcW w:w="2078" w:type="pct"/>
            <w:vAlign w:val="center"/>
          </w:tcPr>
          <w:p w14:paraId="0BD44C11"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 xml:space="preserve">Professional Competency x Enforcement Pressure </w:t>
            </w:r>
            <w:r w:rsidRPr="002748F8">
              <w:rPr>
                <w:rFonts w:ascii="Times New Roman" w:eastAsia="Wingdings" w:hAnsi="Times New Roman" w:cs="Times New Roman"/>
                <w:sz w:val="18"/>
                <w:szCs w:val="18"/>
              </w:rPr>
              <w:t>🡪</w:t>
            </w:r>
            <w:r w:rsidRPr="002748F8">
              <w:rPr>
                <w:rFonts w:asciiTheme="majorBidi" w:eastAsia="Times New Roman" w:hAnsiTheme="majorBidi" w:cstheme="majorBidi"/>
                <w:sz w:val="18"/>
                <w:szCs w:val="18"/>
              </w:rPr>
              <w:t xml:space="preserve"> Risk Assessment</w:t>
            </w:r>
          </w:p>
        </w:tc>
        <w:tc>
          <w:tcPr>
            <w:tcW w:w="410" w:type="pct"/>
            <w:vAlign w:val="center"/>
          </w:tcPr>
          <w:p w14:paraId="6A76E7F0"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0,137</w:t>
            </w:r>
          </w:p>
        </w:tc>
        <w:tc>
          <w:tcPr>
            <w:tcW w:w="492" w:type="pct"/>
            <w:vAlign w:val="center"/>
          </w:tcPr>
          <w:p w14:paraId="6EACD221"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0,129</w:t>
            </w:r>
          </w:p>
        </w:tc>
        <w:tc>
          <w:tcPr>
            <w:tcW w:w="492" w:type="pct"/>
            <w:vAlign w:val="center"/>
          </w:tcPr>
          <w:p w14:paraId="77062410"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1,064</w:t>
            </w:r>
          </w:p>
        </w:tc>
        <w:tc>
          <w:tcPr>
            <w:tcW w:w="492" w:type="pct"/>
            <w:vAlign w:val="center"/>
          </w:tcPr>
          <w:p w14:paraId="41A25F31" w14:textId="77777777"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0,144</w:t>
            </w:r>
          </w:p>
        </w:tc>
        <w:tc>
          <w:tcPr>
            <w:tcW w:w="410" w:type="pct"/>
            <w:vAlign w:val="center"/>
          </w:tcPr>
          <w:p w14:paraId="0D2AAB81" w14:textId="2CC69CEE" w:rsidR="007373F6" w:rsidRPr="002748F8" w:rsidRDefault="00000000">
            <w:pPr>
              <w:jc w:val="both"/>
              <w:rPr>
                <w:rFonts w:asciiTheme="majorBidi" w:eastAsia="Times New Roman" w:hAnsiTheme="majorBidi" w:cstheme="majorBidi"/>
                <w:sz w:val="18"/>
                <w:szCs w:val="18"/>
              </w:rPr>
            </w:pPr>
            <w:r w:rsidRPr="002748F8">
              <w:rPr>
                <w:rFonts w:asciiTheme="majorBidi" w:eastAsia="Times New Roman" w:hAnsiTheme="majorBidi" w:cstheme="majorBidi"/>
                <w:sz w:val="18"/>
                <w:szCs w:val="18"/>
              </w:rPr>
              <w:t>--</w:t>
            </w:r>
          </w:p>
        </w:tc>
      </w:tr>
    </w:tbl>
    <w:p w14:paraId="2086FEFB" w14:textId="77777777" w:rsidR="007373F6" w:rsidRDefault="007373F6">
      <w:pPr>
        <w:spacing w:after="0" w:line="240" w:lineRule="auto"/>
        <w:jc w:val="both"/>
        <w:rPr>
          <w:rFonts w:ascii="DengXian" w:eastAsia="DengXian" w:hAnsi="DengXian" w:cs="DengXian"/>
          <w:color w:val="FF0000"/>
          <w:sz w:val="24"/>
          <w:szCs w:val="24"/>
        </w:rPr>
      </w:pPr>
    </w:p>
    <w:p w14:paraId="75F0AA10" w14:textId="77777777" w:rsidR="007373F6" w:rsidRDefault="00000000" w:rsidP="00722934">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regression SEM-PLS presented in table 1 indicate that risk assessment positively influences audit judgment performance.  The results are supported by a p-value of 0.000, which is below the significance threshold of 0.05, alongside a t-value that reflects a positive outcome.  Additionally, professional competency and enforcement pressure positively influence risk assessment, as evidenced by p-values of 0.035 and 0.000, both of which are below the significance threshold of 0.05, along with a t-value indicating a positive correlation.  Moreover, risk assessment, which influences professional competency and enforcement pressure on audit judgment performance, reveals p-values of 0.037 and 0.000, both of which are below the significance threshold of 0.05, alongside a t-value indicating a positive outcome.  This suggests that risk assessment mediates the relationship between professional competency and enforcement pressure in relation to audit judgment performance.  Enforcement pressure does not influence the relationship between professional competency and risk assessment.  The p-value of 0.144 exceeds the significance threshold of 0.05.  Figure 2 below presents the results of the structural model.</w:t>
      </w:r>
    </w:p>
    <w:p w14:paraId="2CB92193" w14:textId="77777777" w:rsidR="007373F6" w:rsidRDefault="007373F6">
      <w:pPr>
        <w:spacing w:after="0" w:line="240" w:lineRule="auto"/>
        <w:ind w:firstLine="851"/>
        <w:jc w:val="both"/>
        <w:rPr>
          <w:rFonts w:ascii="Times New Roman" w:eastAsia="Times New Roman" w:hAnsi="Times New Roman" w:cs="Times New Roman"/>
          <w:sz w:val="24"/>
          <w:szCs w:val="24"/>
        </w:rPr>
      </w:pPr>
    </w:p>
    <w:p w14:paraId="5549BE52" w14:textId="77777777" w:rsidR="007373F6" w:rsidRDefault="007373F6">
      <w:pPr>
        <w:spacing w:after="0" w:line="240" w:lineRule="auto"/>
        <w:ind w:firstLine="851"/>
        <w:jc w:val="both"/>
        <w:rPr>
          <w:rFonts w:ascii="DengXian" w:eastAsia="DengXian" w:hAnsi="DengXian" w:cs="DengXian"/>
          <w:sz w:val="24"/>
          <w:szCs w:val="24"/>
        </w:rPr>
      </w:pPr>
    </w:p>
    <w:p w14:paraId="0917394B" w14:textId="77777777" w:rsidR="007373F6" w:rsidRDefault="00000000">
      <w:pPr>
        <w:spacing w:after="0" w:line="240" w:lineRule="auto"/>
        <w:ind w:left="2160"/>
        <w:jc w:val="both"/>
        <w:rPr>
          <w:rFonts w:ascii="DengXian" w:eastAsia="DengXian" w:hAnsi="DengXian" w:cs="DengXian"/>
          <w:color w:val="FF0000"/>
          <w:sz w:val="24"/>
          <w:szCs w:val="24"/>
        </w:rPr>
      </w:pPr>
      <w:r>
        <w:rPr>
          <w:rFonts w:ascii="DengXian" w:eastAsia="DengXian" w:hAnsi="DengXian" w:cs="DengXian"/>
          <w:noProof/>
          <w:color w:val="FF0000"/>
          <w:sz w:val="24"/>
          <w:szCs w:val="24"/>
          <w:shd w:val="clear" w:color="auto" w:fill="FFF2CC"/>
        </w:rPr>
        <w:lastRenderedPageBreak/>
        <w:drawing>
          <wp:inline distT="0" distB="0" distL="0" distR="0" wp14:anchorId="173ED927" wp14:editId="611D789E">
            <wp:extent cx="3004166" cy="1693793"/>
            <wp:effectExtent l="0" t="0" r="0" b="0"/>
            <wp:docPr id="1931062001" name="image25.png" descr="A screenshot of a computer"/>
            <wp:cNvGraphicFramePr/>
            <a:graphic xmlns:a="http://schemas.openxmlformats.org/drawingml/2006/main">
              <a:graphicData uri="http://schemas.openxmlformats.org/drawingml/2006/picture">
                <pic:pic xmlns:pic="http://schemas.openxmlformats.org/drawingml/2006/picture">
                  <pic:nvPicPr>
                    <pic:cNvPr id="0" name="image25.png" descr="A screenshot of a computer"/>
                    <pic:cNvPicPr preferRelativeResize="0"/>
                  </pic:nvPicPr>
                  <pic:blipFill>
                    <a:blip r:embed="rId151"/>
                    <a:srcRect/>
                    <a:stretch>
                      <a:fillRect/>
                    </a:stretch>
                  </pic:blipFill>
                  <pic:spPr>
                    <a:xfrm>
                      <a:off x="0" y="0"/>
                      <a:ext cx="3004166" cy="1693793"/>
                    </a:xfrm>
                    <a:prstGeom prst="rect">
                      <a:avLst/>
                    </a:prstGeom>
                    <a:ln/>
                  </pic:spPr>
                </pic:pic>
              </a:graphicData>
            </a:graphic>
          </wp:inline>
        </w:drawing>
      </w:r>
    </w:p>
    <w:p w14:paraId="5AFD9C21" w14:textId="77777777" w:rsidR="007373F6" w:rsidRDefault="00000000">
      <w:pPr>
        <w:spacing w:before="120" w:after="0" w:line="240" w:lineRule="auto"/>
        <w:jc w:val="center"/>
        <w:rPr>
          <w:rFonts w:ascii="DengXian" w:eastAsia="DengXian" w:hAnsi="DengXian" w:cs="DengXian"/>
          <w:b/>
          <w:color w:val="FF0000"/>
          <w:sz w:val="24"/>
          <w:szCs w:val="24"/>
        </w:rPr>
      </w:pPr>
      <w:r>
        <w:rPr>
          <w:rFonts w:ascii="Times New Roman" w:eastAsia="Times New Roman" w:hAnsi="Times New Roman" w:cs="Times New Roman"/>
          <w:b/>
        </w:rPr>
        <w:t xml:space="preserve">Figure 2. </w:t>
      </w:r>
      <w:r w:rsidRPr="002748F8">
        <w:rPr>
          <w:rFonts w:ascii="Times New Roman" w:eastAsia="Times New Roman" w:hAnsi="Times New Roman" w:cs="Times New Roman"/>
          <w:bCs/>
        </w:rPr>
        <w:t>Structural Model</w:t>
      </w:r>
    </w:p>
    <w:p w14:paraId="4E5B8C6F" w14:textId="77777777" w:rsidR="007373F6" w:rsidRDefault="007373F6">
      <w:pPr>
        <w:widowControl w:val="0"/>
        <w:spacing w:after="120" w:line="240" w:lineRule="auto"/>
        <w:ind w:left="425"/>
        <w:jc w:val="both"/>
        <w:rPr>
          <w:rFonts w:ascii="Times New Roman" w:eastAsia="Times New Roman" w:hAnsi="Times New Roman" w:cs="Times New Roman"/>
          <w:sz w:val="24"/>
          <w:szCs w:val="24"/>
        </w:rPr>
      </w:pPr>
    </w:p>
    <w:p w14:paraId="29274E20" w14:textId="77777777" w:rsidR="007373F6" w:rsidRDefault="00000000" w:rsidP="00856618">
      <w:pPr>
        <w:numPr>
          <w:ilvl w:val="1"/>
          <w:numId w:val="59"/>
        </w:numPr>
        <w:spacing w:after="0" w:line="240" w:lineRule="auto"/>
        <w:ind w:left="425"/>
        <w:jc w:val="both"/>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Discussion</w:t>
      </w:r>
    </w:p>
    <w:p w14:paraId="124A5A81" w14:textId="66ED9011" w:rsidR="007373F6" w:rsidRPr="002748F8" w:rsidRDefault="00722934">
      <w:pPr>
        <w:spacing w:after="0" w:line="240" w:lineRule="auto"/>
        <w:jc w:val="both"/>
        <w:rPr>
          <w:rFonts w:ascii="Times New Roman" w:eastAsia="Times New Roman" w:hAnsi="Times New Roman" w:cs="Times New Roman"/>
          <w:b/>
          <w:iCs/>
          <w:sz w:val="24"/>
          <w:szCs w:val="24"/>
        </w:rPr>
      </w:pPr>
      <w:r w:rsidRPr="002748F8">
        <w:rPr>
          <w:rFonts w:ascii="Times New Roman" w:eastAsia="Times New Roman" w:hAnsi="Times New Roman" w:cs="Times New Roman"/>
          <w:b/>
          <w:iCs/>
          <w:sz w:val="24"/>
          <w:szCs w:val="24"/>
        </w:rPr>
        <w:t>4.2.1 The Effect of Risk Assessment on Audit Judgment Performance</w:t>
      </w:r>
    </w:p>
    <w:p w14:paraId="497EC940" w14:textId="77777777" w:rsidR="007373F6" w:rsidRDefault="00000000">
      <w:pPr>
        <w:widowControl w:val="0"/>
        <w:spacing w:after="0" w:line="240" w:lineRule="auto"/>
        <w:ind w:firstLine="426"/>
        <w:jc w:val="both"/>
        <w:rPr>
          <w:rFonts w:ascii="Times New Roman" w:eastAsia="Times New Roman" w:hAnsi="Times New Roman" w:cs="Times New Roman"/>
          <w:sz w:val="24"/>
          <w:szCs w:val="24"/>
        </w:rPr>
      </w:pPr>
      <w:bookmarkStart w:id="88" w:name="_heading=h.6tfnwq43jvru" w:colFirst="0" w:colLast="0"/>
      <w:bookmarkEnd w:id="88"/>
      <w:r>
        <w:rPr>
          <w:rFonts w:ascii="Times New Roman" w:eastAsia="Times New Roman" w:hAnsi="Times New Roman" w:cs="Times New Roman"/>
          <w:sz w:val="24"/>
          <w:szCs w:val="24"/>
        </w:rPr>
        <w:t>The result of analysis confirms that risk assessment has a positive effect on audit judgment performance, which is in line with the proposed hypothesis. The accurate risk assessment represents the auditor's cognitive capacity to recognize cues from the environment and use professional knowledge in decision-making (Griffith et al., 2020). The auditors, who are good at identifying and evaluating risks, are in a better position to make informed and justified audit judgments (</w:t>
      </w:r>
      <w:proofErr w:type="spellStart"/>
      <w:r>
        <w:rPr>
          <w:rFonts w:ascii="Times New Roman" w:eastAsia="Times New Roman" w:hAnsi="Times New Roman" w:cs="Times New Roman"/>
          <w:sz w:val="24"/>
          <w:szCs w:val="24"/>
        </w:rPr>
        <w:t>Nandemar</w:t>
      </w:r>
      <w:proofErr w:type="spellEnd"/>
      <w:r>
        <w:rPr>
          <w:rFonts w:ascii="Times New Roman" w:eastAsia="Times New Roman" w:hAnsi="Times New Roman" w:cs="Times New Roman"/>
          <w:sz w:val="24"/>
          <w:szCs w:val="24"/>
        </w:rPr>
        <w:t xml:space="preserve"> et al., 2024). </w:t>
      </w:r>
    </w:p>
    <w:p w14:paraId="1FFB738B" w14:textId="77777777" w:rsidR="007373F6" w:rsidRDefault="00000000">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the context of government auditors at the Audit Board of the Republic of Indonesia, this relation is very clear in the well-organized audit process that focuses on risk evaluation as the main source of correct conclusions. The practice at BPK is very much in line with what auditors are expected to do, encouraging them to use the three pillars: analytical thinking, experience, and standards in order to improve the quality of their audit judgments. Consequently, the direct effect of risk assessment on audit judgment performance emphasizes the crucial role of enhancing the competence of risk assessment in providing objective and reliable audit decisions.</w:t>
      </w:r>
    </w:p>
    <w:p w14:paraId="0C8C666E" w14:textId="77777777" w:rsidR="007373F6" w:rsidRDefault="007373F6">
      <w:pPr>
        <w:widowControl w:val="0"/>
        <w:spacing w:after="0" w:line="240" w:lineRule="auto"/>
        <w:ind w:left="426"/>
        <w:jc w:val="both"/>
        <w:rPr>
          <w:rFonts w:ascii="Times New Roman" w:eastAsia="Times New Roman" w:hAnsi="Times New Roman" w:cs="Times New Roman"/>
          <w:sz w:val="24"/>
          <w:szCs w:val="24"/>
        </w:rPr>
      </w:pPr>
    </w:p>
    <w:p w14:paraId="01422FA7" w14:textId="368E9E16" w:rsidR="007373F6" w:rsidRPr="002748F8" w:rsidRDefault="00722934">
      <w:pPr>
        <w:spacing w:after="0" w:line="240" w:lineRule="auto"/>
        <w:jc w:val="both"/>
        <w:rPr>
          <w:rFonts w:ascii="Times New Roman" w:eastAsia="Times New Roman" w:hAnsi="Times New Roman" w:cs="Times New Roman"/>
          <w:b/>
          <w:iCs/>
          <w:sz w:val="24"/>
          <w:szCs w:val="24"/>
        </w:rPr>
      </w:pPr>
      <w:r w:rsidRPr="002748F8">
        <w:rPr>
          <w:rFonts w:ascii="Times New Roman" w:eastAsia="Times New Roman" w:hAnsi="Times New Roman" w:cs="Times New Roman"/>
          <w:b/>
          <w:iCs/>
          <w:sz w:val="24"/>
          <w:szCs w:val="24"/>
        </w:rPr>
        <w:t>4.2.2 The Effect of Professional Competency on Risk Assessment</w:t>
      </w:r>
    </w:p>
    <w:p w14:paraId="632ADB27" w14:textId="77777777" w:rsidR="007373F6" w:rsidRDefault="00000000">
      <w:pPr>
        <w:spacing w:after="0" w:line="240" w:lineRule="auto"/>
        <w:ind w:firstLine="426"/>
        <w:jc w:val="both"/>
        <w:rPr>
          <w:rFonts w:ascii="Times New Roman" w:eastAsia="Times New Roman" w:hAnsi="Times New Roman" w:cs="Times New Roman"/>
          <w:sz w:val="24"/>
          <w:szCs w:val="24"/>
        </w:rPr>
      </w:pPr>
      <w:bookmarkStart w:id="89" w:name="_heading=h.5jdrws17wr4d" w:colFirst="0" w:colLast="0"/>
      <w:bookmarkEnd w:id="89"/>
      <w:r>
        <w:rPr>
          <w:rFonts w:ascii="Times New Roman" w:eastAsia="Times New Roman" w:hAnsi="Times New Roman" w:cs="Times New Roman"/>
          <w:sz w:val="24"/>
          <w:szCs w:val="24"/>
        </w:rPr>
        <w:t xml:space="preserve">The result of analysis indicates that professional competency has a positive effect on risk assessment, and the hypothesis is supported. Auditors with higher knowledge, skills, and self-efficacy are more capable of </w:t>
      </w:r>
      <w:proofErr w:type="spellStart"/>
      <w:r>
        <w:rPr>
          <w:rFonts w:ascii="Times New Roman" w:eastAsia="Times New Roman" w:hAnsi="Times New Roman" w:cs="Times New Roman"/>
          <w:sz w:val="24"/>
          <w:szCs w:val="24"/>
        </w:rPr>
        <w:t>analyzing</w:t>
      </w:r>
      <w:proofErr w:type="spellEnd"/>
      <w:r>
        <w:rPr>
          <w:rFonts w:ascii="Times New Roman" w:eastAsia="Times New Roman" w:hAnsi="Times New Roman" w:cs="Times New Roman"/>
          <w:sz w:val="24"/>
          <w:szCs w:val="24"/>
        </w:rPr>
        <w:t xml:space="preserve"> complex situations and making informed decisions, including in identifying and evaluating risks (Razali et al., 2025). Auditors with strong professional competency are better equipped to understand audit objectives, assess potential risk areas, and apply appropriate audit procedures (</w:t>
      </w:r>
      <w:proofErr w:type="spellStart"/>
      <w:r>
        <w:rPr>
          <w:rFonts w:ascii="Times New Roman" w:eastAsia="Times New Roman" w:hAnsi="Times New Roman" w:cs="Times New Roman"/>
          <w:sz w:val="24"/>
          <w:szCs w:val="24"/>
        </w:rPr>
        <w:t>Alsughayer</w:t>
      </w:r>
      <w:proofErr w:type="spellEnd"/>
      <w:r>
        <w:rPr>
          <w:rFonts w:ascii="Times New Roman" w:eastAsia="Times New Roman" w:hAnsi="Times New Roman" w:cs="Times New Roman"/>
          <w:sz w:val="24"/>
          <w:szCs w:val="24"/>
        </w:rPr>
        <w:t xml:space="preserve">, 2021). </w:t>
      </w:r>
    </w:p>
    <w:p w14:paraId="7E265DED"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the context of government auditors, professional competency is developed through continuous education, training, and adherence to audit standards, which enhances auditors’ ability to perform accurate and evidence-based risk assessments. This finding emphasizes that competency is not just a technical attribute but a cognitive strength that directly supports the quality of risk evaluation. Therefore, enhancing professional competency is a strategic effort to improve audit effectiveness and ensure accountability in public sector audits.</w:t>
      </w:r>
    </w:p>
    <w:p w14:paraId="20EE54F2" w14:textId="77777777" w:rsidR="007373F6" w:rsidRDefault="007373F6">
      <w:pPr>
        <w:spacing w:after="0" w:line="240" w:lineRule="auto"/>
        <w:ind w:left="426"/>
        <w:jc w:val="both"/>
        <w:rPr>
          <w:rFonts w:ascii="Times New Roman" w:eastAsia="Times New Roman" w:hAnsi="Times New Roman" w:cs="Times New Roman"/>
          <w:sz w:val="24"/>
          <w:szCs w:val="24"/>
        </w:rPr>
      </w:pPr>
    </w:p>
    <w:p w14:paraId="723D8787" w14:textId="61BC590A" w:rsidR="007373F6" w:rsidRPr="002748F8" w:rsidRDefault="00000000">
      <w:pPr>
        <w:spacing w:after="0" w:line="240" w:lineRule="auto"/>
        <w:jc w:val="both"/>
        <w:rPr>
          <w:rFonts w:ascii="Times New Roman" w:eastAsia="Times New Roman" w:hAnsi="Times New Roman" w:cs="Times New Roman"/>
          <w:b/>
          <w:iCs/>
          <w:sz w:val="24"/>
          <w:szCs w:val="24"/>
        </w:rPr>
      </w:pPr>
      <w:r w:rsidRPr="002748F8">
        <w:rPr>
          <w:rFonts w:ascii="Times New Roman" w:eastAsia="Times New Roman" w:hAnsi="Times New Roman" w:cs="Times New Roman"/>
          <w:b/>
          <w:iCs/>
          <w:sz w:val="24"/>
          <w:szCs w:val="24"/>
        </w:rPr>
        <w:t>4.2.3 The effect of enforcement pressure on risk assessment</w:t>
      </w:r>
    </w:p>
    <w:p w14:paraId="3D85280D" w14:textId="77777777" w:rsidR="007373F6" w:rsidRDefault="00000000">
      <w:pPr>
        <w:spacing w:after="0" w:line="240" w:lineRule="auto"/>
        <w:ind w:firstLine="426"/>
        <w:jc w:val="both"/>
        <w:rPr>
          <w:rFonts w:ascii="Times New Roman" w:eastAsia="Times New Roman" w:hAnsi="Times New Roman" w:cs="Times New Roman"/>
          <w:sz w:val="24"/>
          <w:szCs w:val="24"/>
        </w:rPr>
      </w:pPr>
      <w:bookmarkStart w:id="90" w:name="_heading=h.imol7ab2pbdr" w:colFirst="0" w:colLast="0"/>
      <w:bookmarkEnd w:id="90"/>
      <w:r>
        <w:rPr>
          <w:rFonts w:ascii="Times New Roman" w:eastAsia="Times New Roman" w:hAnsi="Times New Roman" w:cs="Times New Roman"/>
          <w:sz w:val="24"/>
          <w:szCs w:val="24"/>
        </w:rPr>
        <w:t xml:space="preserve">The result of hypothesis testing shows that enforcement pressure has a positive effect on risk assessment, which hypothesis is supported.  Outside forces like pressure from others can change how people think and act, making them more careful and deliberate.  When auditors are under pressure to enforce the rules, as when their bosses expect them to do so, when they are being watched by regulators, or when they are responsible for their own actions, they become more careful and aware of dangers (Yazid </w:t>
      </w:r>
      <w:proofErr w:type="spellStart"/>
      <w:r>
        <w:rPr>
          <w:rFonts w:ascii="Times New Roman" w:eastAsia="Times New Roman" w:hAnsi="Times New Roman" w:cs="Times New Roman"/>
          <w:sz w:val="24"/>
          <w:szCs w:val="24"/>
        </w:rPr>
        <w:t>el</w:t>
      </w:r>
      <w:proofErr w:type="spellEnd"/>
      <w:r>
        <w:rPr>
          <w:rFonts w:ascii="Times New Roman" w:eastAsia="Times New Roman" w:hAnsi="Times New Roman" w:cs="Times New Roman"/>
          <w:sz w:val="24"/>
          <w:szCs w:val="24"/>
        </w:rPr>
        <w:t xml:space="preserve"> al., 2020).  </w:t>
      </w:r>
    </w:p>
    <w:p w14:paraId="385E44AD"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Audit Board of the Republic of Indonesia (BPK) uses external drivers such as performance evaluations, supervisory reviews, and stringent conformity with audit standards to make auditors more alert (</w:t>
      </w:r>
      <w:proofErr w:type="spellStart"/>
      <w:r>
        <w:rPr>
          <w:rFonts w:ascii="Times New Roman" w:eastAsia="Times New Roman" w:hAnsi="Times New Roman" w:cs="Times New Roman"/>
          <w:sz w:val="24"/>
          <w:szCs w:val="24"/>
        </w:rPr>
        <w:t>Sumiyana</w:t>
      </w:r>
      <w:proofErr w:type="spellEnd"/>
      <w:r>
        <w:rPr>
          <w:rFonts w:ascii="Times New Roman" w:eastAsia="Times New Roman" w:hAnsi="Times New Roman" w:cs="Times New Roman"/>
          <w:sz w:val="24"/>
          <w:szCs w:val="24"/>
        </w:rPr>
        <w:t xml:space="preserve"> et al., 2021).  This pressure makes it more important to do detailed risk assessments as a basis for good audit methods.  So, the good effect of enforcement pressure shows how it helps auditors pay more attention to risk and improve the quality of audits in the public sector.</w:t>
      </w:r>
    </w:p>
    <w:p w14:paraId="137D8568" w14:textId="77777777" w:rsidR="007373F6" w:rsidRDefault="007373F6">
      <w:pPr>
        <w:spacing w:after="0" w:line="240" w:lineRule="auto"/>
        <w:ind w:left="426"/>
        <w:jc w:val="both"/>
        <w:rPr>
          <w:rFonts w:ascii="Times New Roman" w:eastAsia="Times New Roman" w:hAnsi="Times New Roman" w:cs="Times New Roman"/>
          <w:sz w:val="24"/>
          <w:szCs w:val="24"/>
        </w:rPr>
      </w:pPr>
    </w:p>
    <w:p w14:paraId="5173911D" w14:textId="625FC245" w:rsidR="007373F6" w:rsidRPr="002748F8" w:rsidRDefault="00000000" w:rsidP="00FA0542">
      <w:pPr>
        <w:spacing w:after="0" w:line="240" w:lineRule="auto"/>
        <w:jc w:val="both"/>
        <w:rPr>
          <w:rFonts w:ascii="Times New Roman" w:eastAsia="Times New Roman" w:hAnsi="Times New Roman" w:cs="Times New Roman"/>
          <w:b/>
          <w:iCs/>
          <w:sz w:val="24"/>
          <w:szCs w:val="24"/>
        </w:rPr>
      </w:pPr>
      <w:r w:rsidRPr="002748F8">
        <w:rPr>
          <w:rFonts w:ascii="Times New Roman" w:eastAsia="Times New Roman" w:hAnsi="Times New Roman" w:cs="Times New Roman"/>
          <w:b/>
          <w:iCs/>
          <w:sz w:val="24"/>
          <w:szCs w:val="24"/>
        </w:rPr>
        <w:t>4.2.4 Risk assessment mediates the relationship between professional competency and audit judgment performance</w:t>
      </w:r>
    </w:p>
    <w:p w14:paraId="5992F76D" w14:textId="77777777" w:rsidR="007373F6" w:rsidRDefault="00000000">
      <w:pPr>
        <w:widowControl w:val="0"/>
        <w:spacing w:after="0" w:line="240" w:lineRule="auto"/>
        <w:ind w:firstLine="426"/>
        <w:jc w:val="both"/>
        <w:rPr>
          <w:rFonts w:ascii="Times New Roman" w:eastAsia="Times New Roman" w:hAnsi="Times New Roman" w:cs="Times New Roman"/>
          <w:sz w:val="24"/>
          <w:szCs w:val="24"/>
        </w:rPr>
      </w:pPr>
      <w:bookmarkStart w:id="91" w:name="_heading=h.r2ti73mz3rxp" w:colFirst="0" w:colLast="0"/>
      <w:bookmarkEnd w:id="91"/>
      <w:r>
        <w:rPr>
          <w:rFonts w:ascii="Times New Roman" w:eastAsia="Times New Roman" w:hAnsi="Times New Roman" w:cs="Times New Roman"/>
          <w:sz w:val="24"/>
          <w:szCs w:val="24"/>
        </w:rPr>
        <w:t>The result of the research indicates that risk assessment mediates the relationship between professional capability and audit judgment performance, with the hypothesis supported. Auditors with high competency have the cognitive capabilities and self-efficacy that help them to process difficult information, such as the identification and assessment of audit risks (</w:t>
      </w:r>
      <w:proofErr w:type="spellStart"/>
      <w:r>
        <w:rPr>
          <w:rFonts w:ascii="Times New Roman" w:eastAsia="Times New Roman" w:hAnsi="Times New Roman" w:cs="Times New Roman"/>
          <w:sz w:val="24"/>
          <w:szCs w:val="24"/>
        </w:rPr>
        <w:t>Nandemar</w:t>
      </w:r>
      <w:proofErr w:type="spellEnd"/>
      <w:r>
        <w:rPr>
          <w:rFonts w:ascii="Times New Roman" w:eastAsia="Times New Roman" w:hAnsi="Times New Roman" w:cs="Times New Roman"/>
          <w:sz w:val="24"/>
          <w:szCs w:val="24"/>
        </w:rPr>
        <w:t xml:space="preserve"> et al., 2024). This cognitive power gives the auditors the capability to make more precise risk assessments, which then become their audit judgments (</w:t>
      </w:r>
      <w:proofErr w:type="spellStart"/>
      <w:r>
        <w:rPr>
          <w:rFonts w:ascii="Times New Roman" w:eastAsia="Times New Roman" w:hAnsi="Times New Roman" w:cs="Times New Roman"/>
          <w:sz w:val="24"/>
          <w:szCs w:val="24"/>
        </w:rPr>
        <w:t>Adikaram</w:t>
      </w:r>
      <w:proofErr w:type="spellEnd"/>
      <w:r>
        <w:rPr>
          <w:rFonts w:ascii="Times New Roman" w:eastAsia="Times New Roman" w:hAnsi="Times New Roman" w:cs="Times New Roman"/>
          <w:sz w:val="24"/>
          <w:szCs w:val="24"/>
        </w:rPr>
        <w:t xml:space="preserve"> &amp; Higgs, 2024). </w:t>
      </w:r>
    </w:p>
    <w:p w14:paraId="762AEE08" w14:textId="77777777" w:rsidR="007373F6" w:rsidRDefault="00000000">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the context of the Audit Board of the Republic of Indonesia (BPK), professional competency is grown through organized training, experience, and following of the audit standards; thus the auditors are given the necessary tools to be able to evaluate the risks in a systematic way. The effect of the mediation indicates that competency only is not enough to increase the audit judgment unless it is implemented in a good way through the correct risk assessment. So, it is necessary to strengthen both the competency and the risk assessment practices in order to be able to support good-quality audit decisions in the public sector.</w:t>
      </w:r>
    </w:p>
    <w:p w14:paraId="67FA9626" w14:textId="77777777" w:rsidR="007373F6" w:rsidRPr="002748F8" w:rsidRDefault="007373F6">
      <w:pPr>
        <w:widowControl w:val="0"/>
        <w:spacing w:after="0" w:line="240" w:lineRule="auto"/>
        <w:ind w:left="426"/>
        <w:jc w:val="both"/>
        <w:rPr>
          <w:rFonts w:ascii="Times New Roman" w:eastAsia="Times New Roman" w:hAnsi="Times New Roman" w:cs="Times New Roman"/>
          <w:iCs/>
          <w:sz w:val="24"/>
          <w:szCs w:val="24"/>
        </w:rPr>
      </w:pPr>
    </w:p>
    <w:p w14:paraId="135F29B7" w14:textId="0EACB34D" w:rsidR="007373F6" w:rsidRPr="002748F8" w:rsidRDefault="00000000" w:rsidP="00FA0542">
      <w:pPr>
        <w:spacing w:after="0" w:line="240" w:lineRule="auto"/>
        <w:jc w:val="both"/>
        <w:rPr>
          <w:rFonts w:ascii="Times New Roman" w:eastAsia="Times New Roman" w:hAnsi="Times New Roman" w:cs="Times New Roman"/>
          <w:b/>
          <w:iCs/>
          <w:sz w:val="24"/>
          <w:szCs w:val="24"/>
        </w:rPr>
      </w:pPr>
      <w:r w:rsidRPr="002748F8">
        <w:rPr>
          <w:rFonts w:ascii="Times New Roman" w:eastAsia="Times New Roman" w:hAnsi="Times New Roman" w:cs="Times New Roman"/>
          <w:b/>
          <w:iCs/>
          <w:sz w:val="24"/>
          <w:szCs w:val="24"/>
        </w:rPr>
        <w:t>4.2.5 Risk assessment mediates the relationship between enforcement pressure and audit judgment performance</w:t>
      </w:r>
    </w:p>
    <w:p w14:paraId="44D01943" w14:textId="77777777" w:rsidR="007373F6" w:rsidRDefault="00000000">
      <w:pPr>
        <w:widowControl w:val="0"/>
        <w:spacing w:after="0" w:line="240" w:lineRule="auto"/>
        <w:ind w:firstLine="426"/>
        <w:jc w:val="both"/>
        <w:rPr>
          <w:rFonts w:ascii="Times New Roman" w:eastAsia="Times New Roman" w:hAnsi="Times New Roman" w:cs="Times New Roman"/>
          <w:sz w:val="24"/>
          <w:szCs w:val="24"/>
        </w:rPr>
      </w:pPr>
      <w:bookmarkStart w:id="92" w:name="_heading=h.mu29bubawcp0" w:colFirst="0" w:colLast="0"/>
      <w:bookmarkEnd w:id="92"/>
      <w:r>
        <w:rPr>
          <w:rFonts w:ascii="Times New Roman" w:eastAsia="Times New Roman" w:hAnsi="Times New Roman" w:cs="Times New Roman"/>
          <w:sz w:val="24"/>
          <w:szCs w:val="24"/>
        </w:rPr>
        <w:t xml:space="preserve">The research clearly shows that risk assessment mediates the relationship between enforcement pressure and audit judgment performance, with the hypothesis being confirmed. According to Social Cognitive Theory, external environmental factors like enforcement pressure affect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via cognitive processes, such as how risks are perceived and evaluated (Filosa et al., 2025). In the case when auditors receive enforcement pressure, they get more attentive and organized in carrying out risk assessments (Dwyer et al., 2023). </w:t>
      </w:r>
    </w:p>
    <w:p w14:paraId="7E65F9A0" w14:textId="77777777" w:rsidR="007373F6" w:rsidRDefault="00000000">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the context of the Audit Board of the Republic of Indonesia (BPK), this kind of pressure—by means of supervision, regulations, and accountability requirements—leads auditors to make more in-depth risk evaluations before coming to audit judgments. This mediation signifies that enforcement pressure by itself does not directly increase the performance of audit judgment, but rather indirectly, through the improvement of risk assessment. Thus, strengthening enforcement mechanisms can be a good way to support better audit decisions by more thorough risk evaluation.</w:t>
      </w:r>
    </w:p>
    <w:p w14:paraId="29266A9C" w14:textId="77777777" w:rsidR="007373F6" w:rsidRDefault="007373F6">
      <w:pPr>
        <w:widowControl w:val="0"/>
        <w:spacing w:after="0" w:line="240" w:lineRule="auto"/>
        <w:ind w:left="426"/>
        <w:jc w:val="both"/>
        <w:rPr>
          <w:rFonts w:ascii="Times New Roman" w:eastAsia="Times New Roman" w:hAnsi="Times New Roman" w:cs="Times New Roman"/>
          <w:sz w:val="24"/>
          <w:szCs w:val="24"/>
        </w:rPr>
      </w:pPr>
    </w:p>
    <w:p w14:paraId="41D4A356" w14:textId="7B2BF8D6" w:rsidR="007373F6" w:rsidRPr="002748F8" w:rsidRDefault="00000000" w:rsidP="00FA0542">
      <w:pPr>
        <w:spacing w:after="0" w:line="240" w:lineRule="auto"/>
        <w:jc w:val="both"/>
        <w:rPr>
          <w:rFonts w:ascii="Times New Roman" w:eastAsia="Times New Roman" w:hAnsi="Times New Roman" w:cs="Times New Roman"/>
          <w:b/>
          <w:iCs/>
          <w:sz w:val="24"/>
          <w:szCs w:val="24"/>
        </w:rPr>
      </w:pPr>
      <w:r w:rsidRPr="002748F8">
        <w:rPr>
          <w:rFonts w:ascii="Times New Roman" w:eastAsia="Times New Roman" w:hAnsi="Times New Roman" w:cs="Times New Roman"/>
          <w:b/>
          <w:iCs/>
          <w:sz w:val="24"/>
          <w:szCs w:val="24"/>
        </w:rPr>
        <w:t>4.2.6 Enforcement pressure moderates the relationship between professional competency and risk assessment</w:t>
      </w:r>
    </w:p>
    <w:p w14:paraId="158AEAB8" w14:textId="77777777" w:rsidR="007373F6" w:rsidRDefault="00000000">
      <w:pPr>
        <w:widowControl w:val="0"/>
        <w:spacing w:after="0" w:line="240" w:lineRule="auto"/>
        <w:ind w:firstLine="426"/>
        <w:jc w:val="both"/>
        <w:rPr>
          <w:rFonts w:ascii="Times New Roman" w:eastAsia="Times New Roman" w:hAnsi="Times New Roman" w:cs="Times New Roman"/>
          <w:sz w:val="24"/>
          <w:szCs w:val="24"/>
        </w:rPr>
      </w:pPr>
      <w:bookmarkStart w:id="93" w:name="_heading=h.heu0vlgoyrht" w:colFirst="0" w:colLast="0"/>
      <w:bookmarkEnd w:id="93"/>
      <w:r>
        <w:rPr>
          <w:rFonts w:ascii="Times New Roman" w:eastAsia="Times New Roman" w:hAnsi="Times New Roman" w:cs="Times New Roman"/>
          <w:sz w:val="24"/>
          <w:szCs w:val="24"/>
        </w:rPr>
        <w:t xml:space="preserve">The study findings reveals that enforcement pressure neither weakens nor strengthens the relationship of professional competency with risk assessment; therefore, the hypothesis remains unsupported. When a person is competent in their work, the performance of a thorough risk assessment, the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of that individual will mostly be influenced by his capabilities and self-efficacy rather than external pressure, in case the competency is already high (</w:t>
      </w:r>
      <w:proofErr w:type="spellStart"/>
      <w:r>
        <w:rPr>
          <w:rFonts w:ascii="Times New Roman" w:eastAsia="Times New Roman" w:hAnsi="Times New Roman" w:cs="Times New Roman"/>
          <w:sz w:val="24"/>
          <w:szCs w:val="24"/>
        </w:rPr>
        <w:t>Baatwah</w:t>
      </w:r>
      <w:proofErr w:type="spellEnd"/>
      <w:r>
        <w:rPr>
          <w:rFonts w:ascii="Times New Roman" w:eastAsia="Times New Roman" w:hAnsi="Times New Roman" w:cs="Times New Roman"/>
          <w:sz w:val="24"/>
          <w:szCs w:val="24"/>
        </w:rPr>
        <w:t xml:space="preserve"> et al., 2023). This is in line with what the authors conclude: a competent auditor should be able to do the necessary risk assessment without the pressure of the enforcement playing a key role in examination process conducting (Filosa et al., 2025). The independence from the pressure in this very case is also characterized by the norms within the auditing culture, which revolve </w:t>
      </w:r>
      <w:r>
        <w:rPr>
          <w:rFonts w:ascii="Times New Roman" w:eastAsia="Times New Roman" w:hAnsi="Times New Roman" w:cs="Times New Roman"/>
          <w:sz w:val="24"/>
          <w:szCs w:val="24"/>
        </w:rPr>
        <w:lastRenderedPageBreak/>
        <w:t>around the virtues of thoroughness, accountability, and the highest standard of professional ethics. When cultural expectations such as these become deeply entrenched and rehearsed, auditors internalize such virtues and further decrease their dependence on external enforcement mechanisms as a result.</w:t>
      </w:r>
    </w:p>
    <w:p w14:paraId="0D5B4B78" w14:textId="77777777" w:rsidR="007373F6" w:rsidRDefault="00000000">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we look at government auditors, we see that they are implicitly assumed to be committed to professional standards through their inner motivation and strict observance of the rules. Accordingly, the results show that audit managers who have the right skills are not dependent on enforcement pressure and therefore, they do not behave as instructed by it but rather based on their own knowledge, experience, and ethical standards. There is an evident departure here from reliance on situational morality, where the mode of conduct becomes that of a high level of moral internalization exhibited among the auditors who, under such a scenario, interpret and respond to the ethical norms and professional standards as their character and perform them even in the absence of enforcement pressure. As a result, enforcement may not act as a fundamental variable that changes the direction of professional competency on risk assessment because on the one hand, both audit cultural norms and internalized professionalism already provide a firm base for the high-quality audit outset and on the other, there is a psychological-grounded </w:t>
      </w: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view that enforces closely bound principle adherence by personal conviction instead of being just another external enforcement agent.</w:t>
      </w:r>
    </w:p>
    <w:p w14:paraId="026AFE09" w14:textId="77777777" w:rsidR="007373F6" w:rsidRDefault="007373F6">
      <w:pPr>
        <w:widowControl w:val="0"/>
        <w:spacing w:after="0" w:line="240" w:lineRule="auto"/>
        <w:ind w:left="426"/>
        <w:jc w:val="both"/>
        <w:rPr>
          <w:rFonts w:ascii="Times New Roman" w:eastAsia="Times New Roman" w:hAnsi="Times New Roman" w:cs="Times New Roman"/>
          <w:sz w:val="24"/>
          <w:szCs w:val="24"/>
        </w:rPr>
      </w:pPr>
    </w:p>
    <w:p w14:paraId="5DA03EAA" w14:textId="77777777" w:rsidR="007373F6" w:rsidRDefault="00000000" w:rsidP="00856618">
      <w:pPr>
        <w:numPr>
          <w:ilvl w:val="0"/>
          <w:numId w:val="59"/>
        </w:numPr>
        <w:spacing w:after="0" w:line="240" w:lineRule="auto"/>
        <w:ind w:left="284"/>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CONCLUSION</w:t>
      </w:r>
    </w:p>
    <w:p w14:paraId="6790DDB8" w14:textId="77777777" w:rsidR="007373F6" w:rsidRDefault="007373F6">
      <w:pPr>
        <w:widowControl w:val="0"/>
        <w:spacing w:after="0" w:line="240" w:lineRule="auto"/>
        <w:ind w:firstLine="851"/>
        <w:jc w:val="both"/>
        <w:rPr>
          <w:rFonts w:ascii="Times New Roman" w:eastAsia="Times New Roman" w:hAnsi="Times New Roman" w:cs="Times New Roman"/>
          <w:sz w:val="24"/>
          <w:szCs w:val="24"/>
        </w:rPr>
      </w:pPr>
    </w:p>
    <w:p w14:paraId="3B96C425" w14:textId="77777777" w:rsidR="007373F6" w:rsidRDefault="00000000">
      <w:pPr>
        <w:widowControl w:val="0"/>
        <w:spacing w:after="0" w:line="240" w:lineRule="auto"/>
        <w:ind w:firstLine="426"/>
        <w:jc w:val="both"/>
        <w:rPr>
          <w:rFonts w:ascii="Times New Roman" w:eastAsia="Times New Roman" w:hAnsi="Times New Roman" w:cs="Times New Roman"/>
          <w:sz w:val="24"/>
          <w:szCs w:val="24"/>
        </w:rPr>
      </w:pPr>
      <w:bookmarkStart w:id="94" w:name="_heading=h.hfmxcd8nopqh" w:colFirst="0" w:colLast="0"/>
      <w:bookmarkEnd w:id="94"/>
      <w:r>
        <w:rPr>
          <w:rFonts w:ascii="Times New Roman" w:eastAsia="Times New Roman" w:hAnsi="Times New Roman" w:cs="Times New Roman"/>
          <w:sz w:val="24"/>
          <w:szCs w:val="24"/>
        </w:rPr>
        <w:t>The research highlights numerous significant findings. Firstly, risk assessment improves audit judgment performance by highlighting the auditor's cognitive abilities to understand the cues from the environment and use their professional knowledge in decision-making. Moreover, it is found that professional competency has a positive influence on the quality of risk assessment, thus pointing out to the quite considerable role of perpetual education, training, and conformity to standards in public auditing. The enforcement pressure positively impacts risk assessment, providing the regulatory framework with more orderly and cautious evaluations.  On top of that, it is revealed that risk assessment is a mediator in the relationships between professional competency and audit judgment performance, as well as between the enforcement pressure and audit judgment performance.   The survey results indicate that external pressure and internal resources affect the correct functioning of audit skills to a large extent, which is made mainly through the improvement of risk assessments.  Furthermore, it is found that there is no effect of enforcement pressure on the relationship between professional competency and risk assessment, thus suggesting that highly competent auditors are intrinsically motivated and less reliant on external enforcement for performance maintenance.</w:t>
      </w:r>
    </w:p>
    <w:p w14:paraId="21EF934A" w14:textId="77777777" w:rsidR="007373F6" w:rsidRDefault="00000000" w:rsidP="00FA0542">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Subsequent research should investigate the impact of organisational culture, leadership personalities, and team dynamics on the risk assessment and audit judgement process in order to gain a more comprehensive understanding of the contextual factors.  In addition, comparative studies could determine whether the role of risk assessment as a mediator is consistent across various institutional settings in public and private sector auditing environments.  Further insights into the impact of professional development and the implementation of mechanisms on the quality of audits over time could be obtained by expanding the sample beyond BPK.  Lastly, qualitative research methods may serve as a valuable complement to quantitative results by capturing the subtle auditor experiences in a variety of enforcement pressure and competency development scenarios.</w:t>
      </w:r>
    </w:p>
    <w:p w14:paraId="7EF23B2C" w14:textId="77777777" w:rsidR="007373F6" w:rsidRDefault="007373F6">
      <w:pPr>
        <w:widowControl w:val="0"/>
        <w:spacing w:after="0" w:line="240" w:lineRule="auto"/>
        <w:ind w:firstLine="851"/>
        <w:jc w:val="both"/>
        <w:rPr>
          <w:rFonts w:ascii="Times New Roman" w:eastAsia="Times New Roman" w:hAnsi="Times New Roman" w:cs="Times New Roman"/>
          <w:sz w:val="24"/>
          <w:szCs w:val="24"/>
        </w:rPr>
      </w:pPr>
    </w:p>
    <w:p w14:paraId="2DD4F727" w14:textId="77777777" w:rsidR="007373F6" w:rsidRDefault="007373F6">
      <w:pPr>
        <w:widowControl w:val="0"/>
        <w:spacing w:after="0" w:line="240" w:lineRule="auto"/>
        <w:ind w:left="720"/>
        <w:jc w:val="both"/>
        <w:rPr>
          <w:rFonts w:ascii="DengXian" w:eastAsia="DengXian" w:hAnsi="DengXian" w:cs="DengXian"/>
          <w:color w:val="FF0000"/>
          <w:sz w:val="24"/>
          <w:szCs w:val="24"/>
        </w:rPr>
      </w:pPr>
    </w:p>
    <w:p w14:paraId="5C7DB436" w14:textId="77777777" w:rsidR="00FA0542" w:rsidRDefault="00FA0542">
      <w:pPr>
        <w:widowControl w:val="0"/>
        <w:spacing w:after="0" w:line="240" w:lineRule="auto"/>
        <w:ind w:left="720"/>
        <w:jc w:val="both"/>
        <w:rPr>
          <w:rFonts w:ascii="DengXian" w:eastAsia="DengXian" w:hAnsi="DengXian" w:cs="DengXian"/>
          <w:color w:val="FF0000"/>
          <w:sz w:val="24"/>
          <w:szCs w:val="24"/>
        </w:rPr>
      </w:pPr>
    </w:p>
    <w:p w14:paraId="5E1A69DC" w14:textId="77777777" w:rsidR="007373F6" w:rsidRDefault="00000000">
      <w:pPr>
        <w:spacing w:after="12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REFERENCES</w:t>
      </w:r>
    </w:p>
    <w:p w14:paraId="1F91631D"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lastRenderedPageBreak/>
        <w:t xml:space="preserve">Abdallah, B., Ghanem, M., &amp; Hijazi, W. (2024). </w:t>
      </w:r>
      <w:proofErr w:type="spellStart"/>
      <w:r w:rsidRPr="00FA0542">
        <w:rPr>
          <w:rFonts w:ascii="Times New Roman" w:eastAsia="Times New Roman" w:hAnsi="Times New Roman" w:cs="Times New Roman"/>
          <w:sz w:val="24"/>
          <w:szCs w:val="24"/>
        </w:rPr>
        <w:t>Analyzing</w:t>
      </w:r>
      <w:proofErr w:type="spellEnd"/>
      <w:r w:rsidRPr="00FA0542">
        <w:rPr>
          <w:rFonts w:ascii="Times New Roman" w:eastAsia="Times New Roman" w:hAnsi="Times New Roman" w:cs="Times New Roman"/>
          <w:sz w:val="24"/>
          <w:szCs w:val="24"/>
        </w:rPr>
        <w:t xml:space="preserve"> the Factors That Affect Auditor’s Judgment and Decision Making in Lebanese Audit Firms. Journal of Risk and Financial Management. https://doi.org/10.3390/jrfm17020073.</w:t>
      </w:r>
    </w:p>
    <w:p w14:paraId="279424E1"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proofErr w:type="spellStart"/>
      <w:r w:rsidRPr="00FA0542">
        <w:rPr>
          <w:rFonts w:ascii="Times New Roman" w:eastAsia="Times New Roman" w:hAnsi="Times New Roman" w:cs="Times New Roman"/>
          <w:sz w:val="24"/>
          <w:szCs w:val="24"/>
        </w:rPr>
        <w:t>Adikaram</w:t>
      </w:r>
      <w:proofErr w:type="spellEnd"/>
      <w:r w:rsidRPr="00FA0542">
        <w:rPr>
          <w:rFonts w:ascii="Times New Roman" w:eastAsia="Times New Roman" w:hAnsi="Times New Roman" w:cs="Times New Roman"/>
          <w:sz w:val="24"/>
          <w:szCs w:val="24"/>
        </w:rPr>
        <w:t xml:space="preserve">, R., &amp; Higgs, J. (2024). Cognitive dissonance and auditor professional </w:t>
      </w:r>
      <w:proofErr w:type="spellStart"/>
      <w:r w:rsidRPr="00FA0542">
        <w:rPr>
          <w:rFonts w:ascii="Times New Roman" w:eastAsia="Times New Roman" w:hAnsi="Times New Roman" w:cs="Times New Roman"/>
          <w:sz w:val="24"/>
          <w:szCs w:val="24"/>
        </w:rPr>
        <w:t>skepticism</w:t>
      </w:r>
      <w:proofErr w:type="spellEnd"/>
      <w:r w:rsidRPr="00FA0542">
        <w:rPr>
          <w:rFonts w:ascii="Times New Roman" w:eastAsia="Times New Roman" w:hAnsi="Times New Roman" w:cs="Times New Roman"/>
          <w:sz w:val="24"/>
          <w:szCs w:val="24"/>
        </w:rPr>
        <w:t xml:space="preserve">. Managerial Auditing Journal. https://doi.org/10.1108/maj-08-2022-3653. </w:t>
      </w:r>
    </w:p>
    <w:p w14:paraId="7957A14E"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Aghazadeh, S., &amp; Joe, J. (2022). Auditors' response to management confidence and misstatement risk. Accounting, Organizations and Society. https://doi.org/10.1016/j.aos.2022.101348.</w:t>
      </w:r>
    </w:p>
    <w:p w14:paraId="31D417CF"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Ahmed, A., &amp; Hussain, A. (2024). Auditor’s response to firm’s environmental violations and engagement in supplemental environmental projects. Journal of Financial Reporting and Accounting. https://doi.org/10.1108/jfra-12-2023-0739.</w:t>
      </w:r>
    </w:p>
    <w:p w14:paraId="30A23E63"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 xml:space="preserve">Ahmed, M., Sajjad, F., Qazi, F., Raza, H., &amp; Mubeen, M. (2024). Nexus between Public Audit Dimensions and Audit Quality. International Journal of Social Science &amp; Entrepreneurship. </w:t>
      </w:r>
      <w:hyperlink r:id="rId152">
        <w:r w:rsidRPr="00FA0542">
          <w:rPr>
            <w:rFonts w:ascii="Times New Roman" w:eastAsia="Times New Roman" w:hAnsi="Times New Roman" w:cs="Times New Roman"/>
            <w:sz w:val="24"/>
            <w:szCs w:val="24"/>
          </w:rPr>
          <w:t>https://doi.org/10.58661/ijsse.v4i1.237</w:t>
        </w:r>
      </w:hyperlink>
      <w:r w:rsidRPr="00FA0542">
        <w:rPr>
          <w:rFonts w:ascii="Times New Roman" w:eastAsia="Times New Roman" w:hAnsi="Times New Roman" w:cs="Times New Roman"/>
          <w:sz w:val="24"/>
          <w:szCs w:val="24"/>
        </w:rPr>
        <w:t>.</w:t>
      </w:r>
    </w:p>
    <w:p w14:paraId="5B401BCD"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lang w:val="de-DE"/>
        </w:rPr>
        <w:t xml:space="preserve">Alsabahi, M., Bahador, K., &amp; Saat, R. (2021). </w:t>
      </w:r>
      <w:r w:rsidRPr="00FA0542">
        <w:rPr>
          <w:rFonts w:ascii="Times New Roman" w:eastAsia="Times New Roman" w:hAnsi="Times New Roman" w:cs="Times New Roman"/>
          <w:sz w:val="24"/>
          <w:szCs w:val="24"/>
        </w:rPr>
        <w:t>The influence of personal characteristics and workplace learning on information technology competency among external auditors: The role of organisational culture as a moderator. Cogent Business &amp; Management, 8. https://doi.org/10.1080/23311975.2021.1899625.</w:t>
      </w:r>
    </w:p>
    <w:p w14:paraId="45777E62"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bookmarkStart w:id="95" w:name="_heading=h.kkvz7le3d7lf" w:colFirst="0" w:colLast="0"/>
      <w:bookmarkEnd w:id="95"/>
      <w:proofErr w:type="spellStart"/>
      <w:r w:rsidRPr="00FA0542">
        <w:rPr>
          <w:rFonts w:ascii="Times New Roman" w:eastAsia="Times New Roman" w:hAnsi="Times New Roman" w:cs="Times New Roman"/>
          <w:sz w:val="24"/>
          <w:szCs w:val="24"/>
        </w:rPr>
        <w:t>Alsughayer</w:t>
      </w:r>
      <w:proofErr w:type="spellEnd"/>
      <w:r w:rsidRPr="00FA0542">
        <w:rPr>
          <w:rFonts w:ascii="Times New Roman" w:eastAsia="Times New Roman" w:hAnsi="Times New Roman" w:cs="Times New Roman"/>
          <w:sz w:val="24"/>
          <w:szCs w:val="24"/>
        </w:rPr>
        <w:t>, S. (2021). Impact of Auditor Competence, Integrity, and Ethics on Audit Quality in Saudi Arabia. Open Journal of Accounting. https://doi.org/10.4236/ojacct.2021.104011.</w:t>
      </w:r>
    </w:p>
    <w:p w14:paraId="1438598F"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 xml:space="preserve">Amanda, R., </w:t>
      </w:r>
      <w:proofErr w:type="spellStart"/>
      <w:r w:rsidRPr="00FA0542">
        <w:rPr>
          <w:rFonts w:ascii="Times New Roman" w:eastAsia="Times New Roman" w:hAnsi="Times New Roman" w:cs="Times New Roman"/>
          <w:sz w:val="24"/>
          <w:szCs w:val="24"/>
        </w:rPr>
        <w:t>Haliah</w:t>
      </w:r>
      <w:proofErr w:type="spellEnd"/>
      <w:r w:rsidRPr="00FA0542">
        <w:rPr>
          <w:rFonts w:ascii="Times New Roman" w:eastAsia="Times New Roman" w:hAnsi="Times New Roman" w:cs="Times New Roman"/>
          <w:sz w:val="24"/>
          <w:szCs w:val="24"/>
        </w:rPr>
        <w:t xml:space="preserve">, H., &amp; </w:t>
      </w:r>
      <w:proofErr w:type="spellStart"/>
      <w:r w:rsidRPr="00FA0542">
        <w:rPr>
          <w:rFonts w:ascii="Times New Roman" w:eastAsia="Times New Roman" w:hAnsi="Times New Roman" w:cs="Times New Roman"/>
          <w:sz w:val="24"/>
          <w:szCs w:val="24"/>
        </w:rPr>
        <w:t>Kusumawati</w:t>
      </w:r>
      <w:proofErr w:type="spellEnd"/>
      <w:r w:rsidRPr="00FA0542">
        <w:rPr>
          <w:rFonts w:ascii="Times New Roman" w:eastAsia="Times New Roman" w:hAnsi="Times New Roman" w:cs="Times New Roman"/>
          <w:sz w:val="24"/>
          <w:szCs w:val="24"/>
        </w:rPr>
        <w:t xml:space="preserve">, A. (2023). The Influence of Task Complexity, Self-Efficacy, and Audit Risk on Auditor Performance at Public Accounting Office (KAP) in Makassar City. Journal of Social Research. </w:t>
      </w:r>
      <w:hyperlink r:id="rId153">
        <w:r w:rsidRPr="00FA0542">
          <w:rPr>
            <w:rFonts w:ascii="Times New Roman" w:eastAsia="Times New Roman" w:hAnsi="Times New Roman" w:cs="Times New Roman"/>
            <w:sz w:val="24"/>
            <w:szCs w:val="24"/>
          </w:rPr>
          <w:t>https://doi.org/10.55324/josr.v2i6.829</w:t>
        </w:r>
      </w:hyperlink>
      <w:r w:rsidRPr="00FA0542">
        <w:rPr>
          <w:rFonts w:ascii="Times New Roman" w:eastAsia="Times New Roman" w:hAnsi="Times New Roman" w:cs="Times New Roman"/>
          <w:sz w:val="24"/>
          <w:szCs w:val="24"/>
        </w:rPr>
        <w:t>.</w:t>
      </w:r>
    </w:p>
    <w:p w14:paraId="50D08243"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proofErr w:type="spellStart"/>
      <w:r w:rsidRPr="00EC0CF4">
        <w:rPr>
          <w:rFonts w:ascii="Times New Roman" w:eastAsia="Times New Roman" w:hAnsi="Times New Roman" w:cs="Times New Roman"/>
          <w:sz w:val="24"/>
          <w:szCs w:val="24"/>
        </w:rPr>
        <w:t>Aswar</w:t>
      </w:r>
      <w:proofErr w:type="spellEnd"/>
      <w:r w:rsidRPr="00EC0CF4">
        <w:rPr>
          <w:rFonts w:ascii="Times New Roman" w:eastAsia="Times New Roman" w:hAnsi="Times New Roman" w:cs="Times New Roman"/>
          <w:sz w:val="24"/>
          <w:szCs w:val="24"/>
        </w:rPr>
        <w:t xml:space="preserve">, K., Akbar, F., </w:t>
      </w:r>
      <w:proofErr w:type="spellStart"/>
      <w:r w:rsidRPr="00EC0CF4">
        <w:rPr>
          <w:rFonts w:ascii="Times New Roman" w:eastAsia="Times New Roman" w:hAnsi="Times New Roman" w:cs="Times New Roman"/>
          <w:sz w:val="24"/>
          <w:szCs w:val="24"/>
        </w:rPr>
        <w:t>Wiguna</w:t>
      </w:r>
      <w:proofErr w:type="spellEnd"/>
      <w:r w:rsidRPr="00EC0CF4">
        <w:rPr>
          <w:rFonts w:ascii="Times New Roman" w:eastAsia="Times New Roman" w:hAnsi="Times New Roman" w:cs="Times New Roman"/>
          <w:sz w:val="24"/>
          <w:szCs w:val="24"/>
        </w:rPr>
        <w:t xml:space="preserve">, M., &amp; Hariyani, E. (2021). </w:t>
      </w:r>
      <w:r w:rsidRPr="00FA0542">
        <w:rPr>
          <w:rFonts w:ascii="Times New Roman" w:eastAsia="Times New Roman" w:hAnsi="Times New Roman" w:cs="Times New Roman"/>
          <w:sz w:val="24"/>
          <w:szCs w:val="24"/>
        </w:rPr>
        <w:t>Determinants of audit quality: Role of time budget pressure. Problems and Perspectives in Management. https://doi.org/10.21511/ppm.19(2).2021.25.</w:t>
      </w:r>
    </w:p>
    <w:p w14:paraId="6A2230D5"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proofErr w:type="spellStart"/>
      <w:r w:rsidRPr="00FA0542">
        <w:rPr>
          <w:rFonts w:ascii="Times New Roman" w:eastAsia="Times New Roman" w:hAnsi="Times New Roman" w:cs="Times New Roman"/>
          <w:sz w:val="24"/>
          <w:szCs w:val="24"/>
        </w:rPr>
        <w:t>Baatwah</w:t>
      </w:r>
      <w:proofErr w:type="spellEnd"/>
      <w:r w:rsidRPr="00FA0542">
        <w:rPr>
          <w:rFonts w:ascii="Times New Roman" w:eastAsia="Times New Roman" w:hAnsi="Times New Roman" w:cs="Times New Roman"/>
          <w:sz w:val="24"/>
          <w:szCs w:val="24"/>
        </w:rPr>
        <w:t>, S., Al-Ansi, A., Almoataz, E., &amp; Salleh, Z. (2023). Self-efficacy, remote audit proficiency, effort, and performance in the COVID-19 crisis: an auditor’s perspective. Managerial Auditing Journal. https://doi.org/10.1108/maj-05-2022-3570.</w:t>
      </w:r>
    </w:p>
    <w:p w14:paraId="3CB85C2E"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 xml:space="preserve">Bandura, A. (2019). Social Cognitive Theory. The International </w:t>
      </w:r>
      <w:proofErr w:type="spellStart"/>
      <w:r w:rsidRPr="00FA0542">
        <w:rPr>
          <w:rFonts w:ascii="Times New Roman" w:eastAsia="Times New Roman" w:hAnsi="Times New Roman" w:cs="Times New Roman"/>
          <w:sz w:val="24"/>
          <w:szCs w:val="24"/>
        </w:rPr>
        <w:t>Encyclopedia</w:t>
      </w:r>
      <w:proofErr w:type="spellEnd"/>
      <w:r w:rsidRPr="00FA0542">
        <w:rPr>
          <w:rFonts w:ascii="Times New Roman" w:eastAsia="Times New Roman" w:hAnsi="Times New Roman" w:cs="Times New Roman"/>
          <w:sz w:val="24"/>
          <w:szCs w:val="24"/>
        </w:rPr>
        <w:t xml:space="preserve"> of Media Psychology. https://doi.org/10.4324/9780429491146-7. </w:t>
      </w:r>
    </w:p>
    <w:p w14:paraId="07B533C5"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lang w:val="de-DE"/>
        </w:rPr>
        <w:t xml:space="preserve">Barnes, M., Enget, K., &amp; Heberer, M. (2024). </w:t>
      </w:r>
      <w:r w:rsidRPr="00FA0542">
        <w:rPr>
          <w:rFonts w:ascii="Times New Roman" w:eastAsia="Times New Roman" w:hAnsi="Times New Roman" w:cs="Times New Roman"/>
          <w:sz w:val="24"/>
          <w:szCs w:val="24"/>
        </w:rPr>
        <w:t xml:space="preserve">Sparked Intuition Power: An Audit Risk Activity. Journal of Risk and Financial Management. https://doi.org/10.3390/jrfm17060219. </w:t>
      </w:r>
    </w:p>
    <w:p w14:paraId="4D8FC4FD"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lang w:val="de-DE"/>
        </w:rPr>
        <w:t xml:space="preserve">Brocard, M., Franke, B., &amp; Voeller, D. (2018). </w:t>
      </w:r>
      <w:r w:rsidRPr="00FA0542">
        <w:rPr>
          <w:rFonts w:ascii="Times New Roman" w:eastAsia="Times New Roman" w:hAnsi="Times New Roman" w:cs="Times New Roman"/>
          <w:sz w:val="24"/>
          <w:szCs w:val="24"/>
        </w:rPr>
        <w:t>Enforcement Actions and Auditor Changes. European Accounting Review, 27, 407 - 436. https://doi.org/10.1080/09638180.2017.1307130.</w:t>
      </w:r>
    </w:p>
    <w:p w14:paraId="1F84EF22"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Brown, V., Gissel, J., &amp; Neely, D. (2016). Audit quality indicators: perceptions of junior-level auditors. Managerial Auditing Journal, 31, 949-980. https://doi.org/10.1108/MAJ-01-2016-1300.</w:t>
      </w:r>
    </w:p>
    <w:p w14:paraId="49D6C14B"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 xml:space="preserve">Chen, M., Babar, M., Ahmed, A., &amp; Irfan, M. (2023). </w:t>
      </w:r>
      <w:proofErr w:type="spellStart"/>
      <w:r w:rsidRPr="00FA0542">
        <w:rPr>
          <w:rFonts w:ascii="Times New Roman" w:eastAsia="Times New Roman" w:hAnsi="Times New Roman" w:cs="Times New Roman"/>
          <w:sz w:val="24"/>
          <w:szCs w:val="24"/>
        </w:rPr>
        <w:t>Analyzing</w:t>
      </w:r>
      <w:proofErr w:type="spellEnd"/>
      <w:r w:rsidRPr="00FA0542">
        <w:rPr>
          <w:rFonts w:ascii="Times New Roman" w:eastAsia="Times New Roman" w:hAnsi="Times New Roman" w:cs="Times New Roman"/>
          <w:sz w:val="24"/>
          <w:szCs w:val="24"/>
        </w:rPr>
        <w:t xml:space="preserve"> the Impact of Enterprise Social Media on Employees’ Competency through the Mediating Role of Knowledge Sharing. Sustainability. https://doi.org/10.3390/su15129499.</w:t>
      </w:r>
    </w:p>
    <w:p w14:paraId="4EC24132"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EC0CF4">
        <w:rPr>
          <w:rFonts w:ascii="Times New Roman" w:eastAsia="Times New Roman" w:hAnsi="Times New Roman" w:cs="Times New Roman"/>
          <w:sz w:val="24"/>
          <w:szCs w:val="24"/>
        </w:rPr>
        <w:t xml:space="preserve">Christensen, B., </w:t>
      </w:r>
      <w:proofErr w:type="spellStart"/>
      <w:r w:rsidRPr="00EC0CF4">
        <w:rPr>
          <w:rFonts w:ascii="Times New Roman" w:eastAsia="Times New Roman" w:hAnsi="Times New Roman" w:cs="Times New Roman"/>
          <w:sz w:val="24"/>
          <w:szCs w:val="24"/>
        </w:rPr>
        <w:t>Schmardebeck</w:t>
      </w:r>
      <w:proofErr w:type="spellEnd"/>
      <w:r w:rsidRPr="00EC0CF4">
        <w:rPr>
          <w:rFonts w:ascii="Times New Roman" w:eastAsia="Times New Roman" w:hAnsi="Times New Roman" w:cs="Times New Roman"/>
          <w:sz w:val="24"/>
          <w:szCs w:val="24"/>
        </w:rPr>
        <w:t xml:space="preserve">, R., &amp; Seidel, T. (2022). </w:t>
      </w:r>
      <w:r w:rsidRPr="00FA0542">
        <w:rPr>
          <w:rFonts w:ascii="Times New Roman" w:eastAsia="Times New Roman" w:hAnsi="Times New Roman" w:cs="Times New Roman"/>
          <w:sz w:val="24"/>
          <w:szCs w:val="24"/>
        </w:rPr>
        <w:t xml:space="preserve">Do auditors’ incentives affect materiality assessments of prior-period misstatements?. Accounting, Organizations and Society. </w:t>
      </w:r>
      <w:hyperlink r:id="rId154">
        <w:r w:rsidRPr="00FA0542">
          <w:rPr>
            <w:rFonts w:ascii="Times New Roman" w:eastAsia="Times New Roman" w:hAnsi="Times New Roman" w:cs="Times New Roman"/>
            <w:sz w:val="24"/>
            <w:szCs w:val="24"/>
          </w:rPr>
          <w:t>https://doi.org/10.1016/j.aos.2021.101332</w:t>
        </w:r>
      </w:hyperlink>
      <w:r w:rsidRPr="00FA0542">
        <w:rPr>
          <w:rFonts w:ascii="Times New Roman" w:eastAsia="Times New Roman" w:hAnsi="Times New Roman" w:cs="Times New Roman"/>
          <w:sz w:val="24"/>
          <w:szCs w:val="24"/>
        </w:rPr>
        <w:t>.</w:t>
      </w:r>
    </w:p>
    <w:p w14:paraId="0D4C0B09"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Chy, M., &amp; Hope, O. (2021). Real effects of auditor conservatism. Review of Accounting Studies, 26, 730 - 771. https://doi.org/10.1007/s11142-020-09568-3.</w:t>
      </w:r>
    </w:p>
    <w:p w14:paraId="39501304"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proofErr w:type="spellStart"/>
      <w:r w:rsidRPr="00FA0542">
        <w:rPr>
          <w:rFonts w:ascii="Times New Roman" w:eastAsia="Times New Roman" w:hAnsi="Times New Roman" w:cs="Times New Roman"/>
          <w:sz w:val="24"/>
          <w:szCs w:val="24"/>
        </w:rPr>
        <w:lastRenderedPageBreak/>
        <w:t>Daradkeh</w:t>
      </w:r>
      <w:proofErr w:type="spellEnd"/>
      <w:r w:rsidRPr="00FA0542">
        <w:rPr>
          <w:rFonts w:ascii="Times New Roman" w:eastAsia="Times New Roman" w:hAnsi="Times New Roman" w:cs="Times New Roman"/>
          <w:sz w:val="24"/>
          <w:szCs w:val="24"/>
        </w:rPr>
        <w:t xml:space="preserve">, Mohammad. (2022). Lurkers versus Contributors: An Empirical Investigation of Knowledge Contribution </w:t>
      </w:r>
      <w:proofErr w:type="spellStart"/>
      <w:r w:rsidRPr="00FA0542">
        <w:rPr>
          <w:rFonts w:ascii="Times New Roman" w:eastAsia="Times New Roman" w:hAnsi="Times New Roman" w:cs="Times New Roman"/>
          <w:sz w:val="24"/>
          <w:szCs w:val="24"/>
        </w:rPr>
        <w:t>Behavior</w:t>
      </w:r>
      <w:proofErr w:type="spellEnd"/>
      <w:r w:rsidRPr="00FA0542">
        <w:rPr>
          <w:rFonts w:ascii="Times New Roman" w:eastAsia="Times New Roman" w:hAnsi="Times New Roman" w:cs="Times New Roman"/>
          <w:sz w:val="24"/>
          <w:szCs w:val="24"/>
        </w:rPr>
        <w:t xml:space="preserve"> in Open Innovation Communities. Journal of Open Innovation: Technology, Market, and Complexity. Volume 8 (4). 1-29.</w:t>
      </w:r>
    </w:p>
    <w:p w14:paraId="4FF64383"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 xml:space="preserve">Dierynck, B., </w:t>
      </w:r>
      <w:proofErr w:type="spellStart"/>
      <w:r w:rsidRPr="00FA0542">
        <w:rPr>
          <w:rFonts w:ascii="Times New Roman" w:eastAsia="Times New Roman" w:hAnsi="Times New Roman" w:cs="Times New Roman"/>
          <w:sz w:val="24"/>
          <w:szCs w:val="24"/>
        </w:rPr>
        <w:t>Kadous</w:t>
      </w:r>
      <w:proofErr w:type="spellEnd"/>
      <w:r w:rsidRPr="00FA0542">
        <w:rPr>
          <w:rFonts w:ascii="Times New Roman" w:eastAsia="Times New Roman" w:hAnsi="Times New Roman" w:cs="Times New Roman"/>
          <w:sz w:val="24"/>
          <w:szCs w:val="24"/>
        </w:rPr>
        <w:t xml:space="preserve">, K., &amp; Peters, C. (2023). Learning in the auditing profession: A framework and future directions. Accounting, Organizations and Society. https://doi.org/10.1016/j.aos.2023.101534. </w:t>
      </w:r>
    </w:p>
    <w:p w14:paraId="3588E83C"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Dung, N. (2024). Factors Affecting Risk-Based Audit and Quality Audit. Emerging Science Journal. https://doi.org/10.28991/esj-2024-08-03-010.</w:t>
      </w:r>
    </w:p>
    <w:p w14:paraId="604211FF"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 xml:space="preserve">Dwyer, K., Brennan, N., &amp; Kirwan, C. (2023). Disclosure of auditor risk assessments in expanded audit reports. Journal of Applied Accounting Research. https://doi.org/10.1108/jaar-07-2022-0181. </w:t>
      </w:r>
    </w:p>
    <w:p w14:paraId="61B9596C"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Ewert, R., &amp; Wagenhofer, A. (2019). Effects of Increasing Enforcement on Financial Reporting Quality and Audit Quality. Journal of Accounting Research. https://doi.org/10.1111/1475-679x.12251.</w:t>
      </w:r>
    </w:p>
    <w:p w14:paraId="1EA872C2"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Fay, R., Jenkins, G., &amp; Popova, V. (2015). Effects of awareness of prior-year testing strategies and engagement risk on audit decisions. Managerial Auditing Journal, 30, 226-243. https://doi.org/10.1108/MAJ-04-2013-0845.</w:t>
      </w:r>
    </w:p>
    <w:p w14:paraId="3F472CE1"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proofErr w:type="spellStart"/>
      <w:r w:rsidRPr="00FA0542">
        <w:rPr>
          <w:rFonts w:ascii="Times New Roman" w:eastAsia="Times New Roman" w:hAnsi="Times New Roman" w:cs="Times New Roman"/>
          <w:sz w:val="24"/>
          <w:szCs w:val="24"/>
        </w:rPr>
        <w:t>FeldmanHall</w:t>
      </w:r>
      <w:proofErr w:type="spellEnd"/>
      <w:r w:rsidRPr="00FA0542">
        <w:rPr>
          <w:rFonts w:ascii="Times New Roman" w:eastAsia="Times New Roman" w:hAnsi="Times New Roman" w:cs="Times New Roman"/>
          <w:sz w:val="24"/>
          <w:szCs w:val="24"/>
        </w:rPr>
        <w:t xml:space="preserve">, O., Otto, A., &amp; Phelps, E. (2018). Learning Moral Values: Another’s Desire to Punish Enhances One’s Own Punitive </w:t>
      </w:r>
      <w:proofErr w:type="spellStart"/>
      <w:r w:rsidRPr="00FA0542">
        <w:rPr>
          <w:rFonts w:ascii="Times New Roman" w:eastAsia="Times New Roman" w:hAnsi="Times New Roman" w:cs="Times New Roman"/>
          <w:sz w:val="24"/>
          <w:szCs w:val="24"/>
        </w:rPr>
        <w:t>Behavior</w:t>
      </w:r>
      <w:proofErr w:type="spellEnd"/>
      <w:r w:rsidRPr="00FA0542">
        <w:rPr>
          <w:rFonts w:ascii="Times New Roman" w:eastAsia="Times New Roman" w:hAnsi="Times New Roman" w:cs="Times New Roman"/>
          <w:sz w:val="24"/>
          <w:szCs w:val="24"/>
        </w:rPr>
        <w:t>. Journal of Experimental Psychology: General, 147, 1211–1224. https://doi.org/10.1037/xge0000405.</w:t>
      </w:r>
    </w:p>
    <w:p w14:paraId="28919A9E"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Ferry, L., &amp; Midgley, H. (2024). Are public sector accounts trusted? Exploring the verdict of the Public Administration and Constitutional Affairs Committee in the United Kingdom. Public Administration. https://doi.org/10.1111/padm.12983.</w:t>
      </w:r>
    </w:p>
    <w:p w14:paraId="74E561EF"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 xml:space="preserve">Filosa, J., Huang, J., Lei, L., &amp; Stein, S. (2025). Does tax enforcement inform auditors' risk assessment? Evidence from key audit matters. Contemporary Accounting Research. https://doi.org/10.1111/1911-3846.13042. </w:t>
      </w:r>
    </w:p>
    <w:p w14:paraId="1EEAF30E"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 xml:space="preserve">Friday, S., Ameyaw, M., &amp; </w:t>
      </w:r>
      <w:proofErr w:type="spellStart"/>
      <w:r w:rsidRPr="00FA0542">
        <w:rPr>
          <w:rFonts w:ascii="Times New Roman" w:eastAsia="Times New Roman" w:hAnsi="Times New Roman" w:cs="Times New Roman"/>
          <w:sz w:val="24"/>
          <w:szCs w:val="24"/>
        </w:rPr>
        <w:t>Jejeniwa</w:t>
      </w:r>
      <w:proofErr w:type="spellEnd"/>
      <w:r w:rsidRPr="00FA0542">
        <w:rPr>
          <w:rFonts w:ascii="Times New Roman" w:eastAsia="Times New Roman" w:hAnsi="Times New Roman" w:cs="Times New Roman"/>
          <w:sz w:val="24"/>
          <w:szCs w:val="24"/>
        </w:rPr>
        <w:t>, T. (2024). The Role of Auditors in Enforcing Ethical Standards in Corporations: A Conceptual Framework. International Journal of Advanced Multidisciplinary Research and Studies. https://doi.org/10.62225/2583049x.2024.4.6.4071.</w:t>
      </w:r>
    </w:p>
    <w:p w14:paraId="367B22D9"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Friska, R., &amp; Agustia, D. (2025). Enhancing Auditor Judgment Quality: A Review of Evidence from Experimental Research. Journal of Risk and Financial Management. https://doi.org/10.3390/jrfm18030115.</w:t>
      </w:r>
    </w:p>
    <w:p w14:paraId="2CF4B29A"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 xml:space="preserve">Giordano, J., &amp; </w:t>
      </w:r>
      <w:proofErr w:type="spellStart"/>
      <w:r w:rsidRPr="00FA0542">
        <w:rPr>
          <w:rFonts w:ascii="Times New Roman" w:eastAsia="Times New Roman" w:hAnsi="Times New Roman" w:cs="Times New Roman"/>
          <w:sz w:val="24"/>
          <w:szCs w:val="24"/>
        </w:rPr>
        <w:t>Victoravich</w:t>
      </w:r>
      <w:proofErr w:type="spellEnd"/>
      <w:r w:rsidRPr="00FA0542">
        <w:rPr>
          <w:rFonts w:ascii="Times New Roman" w:eastAsia="Times New Roman" w:hAnsi="Times New Roman" w:cs="Times New Roman"/>
          <w:sz w:val="24"/>
          <w:szCs w:val="24"/>
        </w:rPr>
        <w:t>, L. (2024). Not just the facts: the effect of irrelevant information on internal auditor judgment. Managerial Auditing Journal. https://doi.org/10.1108/maj-02-2024-4240.</w:t>
      </w:r>
    </w:p>
    <w:p w14:paraId="42749AA2"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 xml:space="preserve">Griffith, E., </w:t>
      </w:r>
      <w:proofErr w:type="spellStart"/>
      <w:r w:rsidRPr="00FA0542">
        <w:rPr>
          <w:rFonts w:ascii="Times New Roman" w:eastAsia="Times New Roman" w:hAnsi="Times New Roman" w:cs="Times New Roman"/>
          <w:sz w:val="24"/>
          <w:szCs w:val="24"/>
        </w:rPr>
        <w:t>Kadous</w:t>
      </w:r>
      <w:proofErr w:type="spellEnd"/>
      <w:r w:rsidRPr="00FA0542">
        <w:rPr>
          <w:rFonts w:ascii="Times New Roman" w:eastAsia="Times New Roman" w:hAnsi="Times New Roman" w:cs="Times New Roman"/>
          <w:sz w:val="24"/>
          <w:szCs w:val="24"/>
        </w:rPr>
        <w:t>, K., &amp; Young, D. (2020). Improving Complex Audit Judgments: A Framework and Evidence*†. Contemporary Accounting Research. https://doi.org/10.1111/1911-3846.12658.</w:t>
      </w:r>
    </w:p>
    <w:p w14:paraId="0E5D06C8"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 xml:space="preserve">Grosu, M., Cuza, A., &amp; </w:t>
      </w:r>
      <w:proofErr w:type="spellStart"/>
      <w:r w:rsidRPr="00FA0542">
        <w:rPr>
          <w:rFonts w:ascii="Times New Roman" w:eastAsia="Times New Roman" w:hAnsi="Times New Roman" w:cs="Times New Roman"/>
          <w:sz w:val="24"/>
          <w:szCs w:val="24"/>
        </w:rPr>
        <w:t>Mihalciuc</w:t>
      </w:r>
      <w:proofErr w:type="spellEnd"/>
      <w:r w:rsidRPr="00FA0542">
        <w:rPr>
          <w:rFonts w:ascii="Times New Roman" w:eastAsia="Times New Roman" w:hAnsi="Times New Roman" w:cs="Times New Roman"/>
          <w:sz w:val="24"/>
          <w:szCs w:val="24"/>
        </w:rPr>
        <w:t xml:space="preserve">, C. (2021). Audit Risk Assessment and Influence on the Auditor`s Opinion. Audit </w:t>
      </w:r>
      <w:proofErr w:type="spellStart"/>
      <w:r w:rsidRPr="00FA0542">
        <w:rPr>
          <w:rFonts w:ascii="Times New Roman" w:eastAsia="Times New Roman" w:hAnsi="Times New Roman" w:cs="Times New Roman"/>
          <w:sz w:val="24"/>
          <w:szCs w:val="24"/>
        </w:rPr>
        <w:t>Financiar</w:t>
      </w:r>
      <w:proofErr w:type="spellEnd"/>
      <w:r w:rsidRPr="00FA0542">
        <w:rPr>
          <w:rFonts w:ascii="Times New Roman" w:eastAsia="Times New Roman" w:hAnsi="Times New Roman" w:cs="Times New Roman"/>
          <w:sz w:val="24"/>
          <w:szCs w:val="24"/>
        </w:rPr>
        <w:t xml:space="preserve">. </w:t>
      </w:r>
      <w:hyperlink r:id="rId155">
        <w:r w:rsidRPr="00FA0542">
          <w:rPr>
            <w:rFonts w:ascii="Times New Roman" w:eastAsia="Times New Roman" w:hAnsi="Times New Roman" w:cs="Times New Roman"/>
            <w:sz w:val="24"/>
            <w:szCs w:val="24"/>
          </w:rPr>
          <w:t>https://doi.org/10.20869/auditf/2021/163/017</w:t>
        </w:r>
      </w:hyperlink>
      <w:r w:rsidRPr="00FA0542">
        <w:rPr>
          <w:rFonts w:ascii="Times New Roman" w:eastAsia="Times New Roman" w:hAnsi="Times New Roman" w:cs="Times New Roman"/>
          <w:sz w:val="24"/>
          <w:szCs w:val="24"/>
        </w:rPr>
        <w:t>.</w:t>
      </w:r>
    </w:p>
    <w:p w14:paraId="21D9D68A"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 xml:space="preserve">Hair, J. F., Hult, G. T. M., Ringle, C. M., &amp; Sarstedt, M. (2021). A Primer on Partial Least Squares Structural Equation </w:t>
      </w:r>
      <w:proofErr w:type="spellStart"/>
      <w:r w:rsidRPr="00FA0542">
        <w:rPr>
          <w:rFonts w:ascii="Times New Roman" w:eastAsia="Times New Roman" w:hAnsi="Times New Roman" w:cs="Times New Roman"/>
          <w:sz w:val="24"/>
          <w:szCs w:val="24"/>
        </w:rPr>
        <w:t>Modeling</w:t>
      </w:r>
      <w:proofErr w:type="spellEnd"/>
      <w:r w:rsidRPr="00FA0542">
        <w:rPr>
          <w:rFonts w:ascii="Times New Roman" w:eastAsia="Times New Roman" w:hAnsi="Times New Roman" w:cs="Times New Roman"/>
          <w:sz w:val="24"/>
          <w:szCs w:val="24"/>
        </w:rPr>
        <w:t xml:space="preserve"> (PLS-SEM). Los Angeles: SAGE Publications</w:t>
      </w:r>
    </w:p>
    <w:p w14:paraId="3D08223B"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Hamdan, Z., &amp; Issa, H. (2021). The Role of Organizational Support and Self-Efficacy On Work Engagement Among Registered Nurses In Jordan: A Descriptive Study.. Journal of nursing management. https://doi.org/10.1111/jonm.13456.</w:t>
      </w:r>
    </w:p>
    <w:p w14:paraId="7C1610D0"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 xml:space="preserve">Hammond, H., &amp; Oppong, F. (2020). Assessment of Internal Control Systems of Technical Universities in Ghana. Journal of Functional Analysis, 8, 64. </w:t>
      </w:r>
      <w:hyperlink r:id="rId156">
        <w:r w:rsidRPr="00FA0542">
          <w:rPr>
            <w:rFonts w:ascii="Times New Roman" w:eastAsia="Times New Roman" w:hAnsi="Times New Roman" w:cs="Times New Roman"/>
            <w:sz w:val="24"/>
            <w:szCs w:val="24"/>
          </w:rPr>
          <w:t>https://doi.org/10.11648/J.JFA.20200802.12</w:t>
        </w:r>
      </w:hyperlink>
      <w:r w:rsidRPr="00FA0542">
        <w:rPr>
          <w:rFonts w:ascii="Times New Roman" w:eastAsia="Times New Roman" w:hAnsi="Times New Roman" w:cs="Times New Roman"/>
          <w:sz w:val="24"/>
          <w:szCs w:val="24"/>
        </w:rPr>
        <w:t>.</w:t>
      </w:r>
    </w:p>
    <w:p w14:paraId="75900487"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proofErr w:type="spellStart"/>
      <w:r w:rsidRPr="00FA0542">
        <w:rPr>
          <w:rFonts w:ascii="Times New Roman" w:eastAsia="Times New Roman" w:hAnsi="Times New Roman" w:cs="Times New Roman"/>
          <w:sz w:val="24"/>
          <w:szCs w:val="24"/>
        </w:rPr>
        <w:lastRenderedPageBreak/>
        <w:t>Hidayati</w:t>
      </w:r>
      <w:proofErr w:type="spellEnd"/>
      <w:r w:rsidRPr="00FA0542">
        <w:rPr>
          <w:rFonts w:ascii="Times New Roman" w:eastAsia="Times New Roman" w:hAnsi="Times New Roman" w:cs="Times New Roman"/>
          <w:sz w:val="24"/>
          <w:szCs w:val="24"/>
        </w:rPr>
        <w:t xml:space="preserve">, N. (2019). </w:t>
      </w:r>
      <w:proofErr w:type="spellStart"/>
      <w:r w:rsidRPr="00FA0542">
        <w:rPr>
          <w:rFonts w:ascii="Times New Roman" w:eastAsia="Times New Roman" w:hAnsi="Times New Roman" w:cs="Times New Roman"/>
          <w:sz w:val="24"/>
          <w:szCs w:val="24"/>
        </w:rPr>
        <w:t>Ditemukan</w:t>
      </w:r>
      <w:proofErr w:type="spellEnd"/>
      <w:r w:rsidRPr="00FA0542">
        <w:rPr>
          <w:rFonts w:ascii="Times New Roman" w:eastAsia="Times New Roman" w:hAnsi="Times New Roman" w:cs="Times New Roman"/>
          <w:sz w:val="24"/>
          <w:szCs w:val="24"/>
        </w:rPr>
        <w:t xml:space="preserve"> </w:t>
      </w:r>
      <w:proofErr w:type="spellStart"/>
      <w:r w:rsidRPr="00FA0542">
        <w:rPr>
          <w:rFonts w:ascii="Times New Roman" w:eastAsia="Times New Roman" w:hAnsi="Times New Roman" w:cs="Times New Roman"/>
          <w:sz w:val="24"/>
          <w:szCs w:val="24"/>
        </w:rPr>
        <w:t>Pelanggaran</w:t>
      </w:r>
      <w:proofErr w:type="spellEnd"/>
      <w:r w:rsidRPr="00FA0542">
        <w:rPr>
          <w:rFonts w:ascii="Times New Roman" w:eastAsia="Times New Roman" w:hAnsi="Times New Roman" w:cs="Times New Roman"/>
          <w:sz w:val="24"/>
          <w:szCs w:val="24"/>
        </w:rPr>
        <w:t xml:space="preserve"> pada Audit </w:t>
      </w:r>
      <w:proofErr w:type="spellStart"/>
      <w:r w:rsidRPr="00FA0542">
        <w:rPr>
          <w:rFonts w:ascii="Times New Roman" w:eastAsia="Times New Roman" w:hAnsi="Times New Roman" w:cs="Times New Roman"/>
          <w:sz w:val="24"/>
          <w:szCs w:val="24"/>
        </w:rPr>
        <w:t>Laporan</w:t>
      </w:r>
      <w:proofErr w:type="spellEnd"/>
      <w:r w:rsidRPr="00FA0542">
        <w:rPr>
          <w:rFonts w:ascii="Times New Roman" w:eastAsia="Times New Roman" w:hAnsi="Times New Roman" w:cs="Times New Roman"/>
          <w:sz w:val="24"/>
          <w:szCs w:val="24"/>
        </w:rPr>
        <w:t xml:space="preserve"> </w:t>
      </w:r>
      <w:proofErr w:type="spellStart"/>
      <w:r w:rsidRPr="00FA0542">
        <w:rPr>
          <w:rFonts w:ascii="Times New Roman" w:eastAsia="Times New Roman" w:hAnsi="Times New Roman" w:cs="Times New Roman"/>
          <w:sz w:val="24"/>
          <w:szCs w:val="24"/>
        </w:rPr>
        <w:t>Keuangan</w:t>
      </w:r>
      <w:proofErr w:type="spellEnd"/>
      <w:r w:rsidRPr="00FA0542">
        <w:rPr>
          <w:rFonts w:ascii="Times New Roman" w:eastAsia="Times New Roman" w:hAnsi="Times New Roman" w:cs="Times New Roman"/>
          <w:sz w:val="24"/>
          <w:szCs w:val="24"/>
        </w:rPr>
        <w:t xml:space="preserve"> Garuda, </w:t>
      </w:r>
      <w:proofErr w:type="spellStart"/>
      <w:r w:rsidRPr="00FA0542">
        <w:rPr>
          <w:rFonts w:ascii="Times New Roman" w:eastAsia="Times New Roman" w:hAnsi="Times New Roman" w:cs="Times New Roman"/>
          <w:sz w:val="24"/>
          <w:szCs w:val="24"/>
        </w:rPr>
        <w:t>Izin</w:t>
      </w:r>
      <w:proofErr w:type="spellEnd"/>
      <w:r w:rsidRPr="00FA0542">
        <w:rPr>
          <w:rFonts w:ascii="Times New Roman" w:eastAsia="Times New Roman" w:hAnsi="Times New Roman" w:cs="Times New Roman"/>
          <w:sz w:val="24"/>
          <w:szCs w:val="24"/>
        </w:rPr>
        <w:t xml:space="preserve"> AP Kasner </w:t>
      </w:r>
      <w:proofErr w:type="spellStart"/>
      <w:r w:rsidRPr="00FA0542">
        <w:rPr>
          <w:rFonts w:ascii="Times New Roman" w:eastAsia="Times New Roman" w:hAnsi="Times New Roman" w:cs="Times New Roman"/>
          <w:sz w:val="24"/>
          <w:szCs w:val="24"/>
        </w:rPr>
        <w:t>Sirumapea</w:t>
      </w:r>
      <w:proofErr w:type="spellEnd"/>
      <w:r w:rsidRPr="00FA0542">
        <w:rPr>
          <w:rFonts w:ascii="Times New Roman" w:eastAsia="Times New Roman" w:hAnsi="Times New Roman" w:cs="Times New Roman"/>
          <w:sz w:val="24"/>
          <w:szCs w:val="24"/>
        </w:rPr>
        <w:t xml:space="preserve"> Dibekukan. Pusat </w:t>
      </w:r>
      <w:proofErr w:type="spellStart"/>
      <w:r w:rsidRPr="00FA0542">
        <w:rPr>
          <w:rFonts w:ascii="Times New Roman" w:eastAsia="Times New Roman" w:hAnsi="Times New Roman" w:cs="Times New Roman"/>
          <w:sz w:val="24"/>
          <w:szCs w:val="24"/>
        </w:rPr>
        <w:t>Pembinaan</w:t>
      </w:r>
      <w:proofErr w:type="spellEnd"/>
      <w:r w:rsidRPr="00FA0542">
        <w:rPr>
          <w:rFonts w:ascii="Times New Roman" w:eastAsia="Times New Roman" w:hAnsi="Times New Roman" w:cs="Times New Roman"/>
          <w:sz w:val="24"/>
          <w:szCs w:val="24"/>
        </w:rPr>
        <w:t xml:space="preserve"> </w:t>
      </w:r>
      <w:proofErr w:type="spellStart"/>
      <w:r w:rsidRPr="00FA0542">
        <w:rPr>
          <w:rFonts w:ascii="Times New Roman" w:eastAsia="Times New Roman" w:hAnsi="Times New Roman" w:cs="Times New Roman"/>
          <w:sz w:val="24"/>
          <w:szCs w:val="24"/>
        </w:rPr>
        <w:t>Profesi</w:t>
      </w:r>
      <w:proofErr w:type="spellEnd"/>
      <w:r w:rsidRPr="00FA0542">
        <w:rPr>
          <w:rFonts w:ascii="Times New Roman" w:eastAsia="Times New Roman" w:hAnsi="Times New Roman" w:cs="Times New Roman"/>
          <w:sz w:val="24"/>
          <w:szCs w:val="24"/>
        </w:rPr>
        <w:t xml:space="preserve"> </w:t>
      </w:r>
      <w:proofErr w:type="spellStart"/>
      <w:r w:rsidRPr="00FA0542">
        <w:rPr>
          <w:rFonts w:ascii="Times New Roman" w:eastAsia="Times New Roman" w:hAnsi="Times New Roman" w:cs="Times New Roman"/>
          <w:sz w:val="24"/>
          <w:szCs w:val="24"/>
        </w:rPr>
        <w:t>Keuangan</w:t>
      </w:r>
      <w:proofErr w:type="spellEnd"/>
      <w:r w:rsidRPr="00FA0542">
        <w:rPr>
          <w:rFonts w:ascii="Times New Roman" w:eastAsia="Times New Roman" w:hAnsi="Times New Roman" w:cs="Times New Roman"/>
          <w:sz w:val="24"/>
          <w:szCs w:val="24"/>
        </w:rPr>
        <w:t xml:space="preserve">, Kementerian </w:t>
      </w:r>
      <w:proofErr w:type="spellStart"/>
      <w:r w:rsidRPr="00FA0542">
        <w:rPr>
          <w:rFonts w:ascii="Times New Roman" w:eastAsia="Times New Roman" w:hAnsi="Times New Roman" w:cs="Times New Roman"/>
          <w:sz w:val="24"/>
          <w:szCs w:val="24"/>
        </w:rPr>
        <w:t>Keuangan</w:t>
      </w:r>
      <w:proofErr w:type="spellEnd"/>
      <w:r w:rsidRPr="00FA0542">
        <w:rPr>
          <w:rFonts w:ascii="Times New Roman" w:eastAsia="Times New Roman" w:hAnsi="Times New Roman" w:cs="Times New Roman"/>
          <w:sz w:val="24"/>
          <w:szCs w:val="24"/>
        </w:rPr>
        <w:t xml:space="preserve"> Republik Indonesia. </w:t>
      </w:r>
      <w:hyperlink r:id="rId157">
        <w:r w:rsidRPr="00FA0542">
          <w:rPr>
            <w:rFonts w:ascii="Times New Roman" w:eastAsia="Times New Roman" w:hAnsi="Times New Roman" w:cs="Times New Roman"/>
            <w:sz w:val="24"/>
            <w:szCs w:val="24"/>
          </w:rPr>
          <w:t>https://pppk.kemenkeu.go.id/in/post/ditemukan-pelanggaran-pada-audit-laporan-keuangan-garuda,-izin-ap-kasner-sirumapea-dibekukan</w:t>
        </w:r>
      </w:hyperlink>
      <w:r w:rsidRPr="00FA0542">
        <w:rPr>
          <w:rFonts w:ascii="Times New Roman" w:eastAsia="Times New Roman" w:hAnsi="Times New Roman" w:cs="Times New Roman"/>
          <w:sz w:val="24"/>
          <w:szCs w:val="24"/>
        </w:rPr>
        <w:t>.</w:t>
      </w:r>
    </w:p>
    <w:p w14:paraId="310AB0BF"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Iskandar, T., &amp; Sanusi, Z. (2011). Assessing the Effects of Self-Efficacy and Task Complexity on Internal Contral Audit Judgement. Asian Academy of Management Journal of Accounting and Finance, 7, 29-52.</w:t>
      </w:r>
    </w:p>
    <w:p w14:paraId="022B530D"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Keune, M., &amp; Johnstone, K. (2012). Materiality Judgments and the Resolution of Detected Misstatements: The Role of Managers, Auditors, and Audit Committees. The Accounting Review, 87, 1641-1677. https://doi.org/10.2308/ACCR-50185.</w:t>
      </w:r>
    </w:p>
    <w:p w14:paraId="531DCE06"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proofErr w:type="spellStart"/>
      <w:r w:rsidRPr="00FA0542">
        <w:rPr>
          <w:rFonts w:ascii="Times New Roman" w:eastAsia="Times New Roman" w:hAnsi="Times New Roman" w:cs="Times New Roman"/>
          <w:sz w:val="24"/>
          <w:szCs w:val="24"/>
        </w:rPr>
        <w:t>Larmande</w:t>
      </w:r>
      <w:proofErr w:type="spellEnd"/>
      <w:r w:rsidRPr="00FA0542">
        <w:rPr>
          <w:rFonts w:ascii="Times New Roman" w:eastAsia="Times New Roman" w:hAnsi="Times New Roman" w:cs="Times New Roman"/>
          <w:sz w:val="24"/>
          <w:szCs w:val="24"/>
        </w:rPr>
        <w:t>, F., &amp; Lesage, C. (2023). Auditor's professional judgment, audit efficiency and interplay between legal liability and regulatory oversight. Journal of Accounting and Public Policy. https://doi.org/10.1016/j.jaccpubpol.2023.107130.</w:t>
      </w:r>
    </w:p>
    <w:p w14:paraId="39758DC8"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 xml:space="preserve">Loaiza-Tapia, J., &amp; Torres-Negrete, A. (2024). Risk assessment in performance auditing: a review of approaches and methods. Revista </w:t>
      </w:r>
      <w:proofErr w:type="spellStart"/>
      <w:r w:rsidRPr="00FA0542">
        <w:rPr>
          <w:rFonts w:ascii="Times New Roman" w:eastAsia="Times New Roman" w:hAnsi="Times New Roman" w:cs="Times New Roman"/>
          <w:sz w:val="24"/>
          <w:szCs w:val="24"/>
        </w:rPr>
        <w:t>Metropolitana</w:t>
      </w:r>
      <w:proofErr w:type="spellEnd"/>
      <w:r w:rsidRPr="00FA0542">
        <w:rPr>
          <w:rFonts w:ascii="Times New Roman" w:eastAsia="Times New Roman" w:hAnsi="Times New Roman" w:cs="Times New Roman"/>
          <w:sz w:val="24"/>
          <w:szCs w:val="24"/>
        </w:rPr>
        <w:t xml:space="preserve"> de </w:t>
      </w:r>
      <w:proofErr w:type="spellStart"/>
      <w:r w:rsidRPr="00FA0542">
        <w:rPr>
          <w:rFonts w:ascii="Times New Roman" w:eastAsia="Times New Roman" w:hAnsi="Times New Roman" w:cs="Times New Roman"/>
          <w:sz w:val="24"/>
          <w:szCs w:val="24"/>
        </w:rPr>
        <w:t>Ciencias</w:t>
      </w:r>
      <w:proofErr w:type="spellEnd"/>
      <w:r w:rsidRPr="00FA0542">
        <w:rPr>
          <w:rFonts w:ascii="Times New Roman" w:eastAsia="Times New Roman" w:hAnsi="Times New Roman" w:cs="Times New Roman"/>
          <w:sz w:val="24"/>
          <w:szCs w:val="24"/>
        </w:rPr>
        <w:t xml:space="preserve"> </w:t>
      </w:r>
      <w:proofErr w:type="spellStart"/>
      <w:r w:rsidRPr="00FA0542">
        <w:rPr>
          <w:rFonts w:ascii="Times New Roman" w:eastAsia="Times New Roman" w:hAnsi="Times New Roman" w:cs="Times New Roman"/>
          <w:sz w:val="24"/>
          <w:szCs w:val="24"/>
        </w:rPr>
        <w:t>Aplicadas</w:t>
      </w:r>
      <w:proofErr w:type="spellEnd"/>
      <w:r w:rsidRPr="00FA0542">
        <w:rPr>
          <w:rFonts w:ascii="Times New Roman" w:eastAsia="Times New Roman" w:hAnsi="Times New Roman" w:cs="Times New Roman"/>
          <w:sz w:val="24"/>
          <w:szCs w:val="24"/>
        </w:rPr>
        <w:t>. https://doi.org/10.62452/re6zfj06.</w:t>
      </w:r>
    </w:p>
    <w:p w14:paraId="6DCCF4B7"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proofErr w:type="spellStart"/>
      <w:r w:rsidRPr="00EC0CF4">
        <w:rPr>
          <w:rFonts w:ascii="Times New Roman" w:eastAsia="Times New Roman" w:hAnsi="Times New Roman" w:cs="Times New Roman"/>
          <w:sz w:val="24"/>
          <w:szCs w:val="24"/>
        </w:rPr>
        <w:t>Mugwira</w:t>
      </w:r>
      <w:proofErr w:type="spellEnd"/>
      <w:r w:rsidRPr="00EC0CF4">
        <w:rPr>
          <w:rFonts w:ascii="Times New Roman" w:eastAsia="Times New Roman" w:hAnsi="Times New Roman" w:cs="Times New Roman"/>
          <w:sz w:val="24"/>
          <w:szCs w:val="24"/>
        </w:rPr>
        <w:t xml:space="preserve">, T., Stuart, I., </w:t>
      </w:r>
      <w:proofErr w:type="spellStart"/>
      <w:r w:rsidRPr="00EC0CF4">
        <w:rPr>
          <w:rFonts w:ascii="Times New Roman" w:eastAsia="Times New Roman" w:hAnsi="Times New Roman" w:cs="Times New Roman"/>
          <w:sz w:val="24"/>
          <w:szCs w:val="24"/>
        </w:rPr>
        <w:t>Kulset</w:t>
      </w:r>
      <w:proofErr w:type="spellEnd"/>
      <w:r w:rsidRPr="00EC0CF4">
        <w:rPr>
          <w:rFonts w:ascii="Times New Roman" w:eastAsia="Times New Roman" w:hAnsi="Times New Roman" w:cs="Times New Roman"/>
          <w:sz w:val="24"/>
          <w:szCs w:val="24"/>
        </w:rPr>
        <w:t xml:space="preserve">, E., &amp; Nipper, M. (2025). </w:t>
      </w:r>
      <w:r w:rsidRPr="00FA0542">
        <w:rPr>
          <w:rFonts w:ascii="Times New Roman" w:eastAsia="Times New Roman" w:hAnsi="Times New Roman" w:cs="Times New Roman"/>
          <w:sz w:val="24"/>
          <w:szCs w:val="24"/>
        </w:rPr>
        <w:t>The Use of Process Mining in Assessing the Risk of Material Misstatement during an Audit: Experimental Evidence. Journal of International Accounting Research. https://doi.org/10.2308/jiar-2023-026.</w:t>
      </w:r>
    </w:p>
    <w:p w14:paraId="6AD5001F"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proofErr w:type="spellStart"/>
      <w:r w:rsidRPr="00FA0542">
        <w:rPr>
          <w:rFonts w:ascii="Times New Roman" w:eastAsia="Times New Roman" w:hAnsi="Times New Roman" w:cs="Times New Roman"/>
          <w:sz w:val="24"/>
          <w:szCs w:val="24"/>
        </w:rPr>
        <w:t>Nandemar</w:t>
      </w:r>
      <w:proofErr w:type="spellEnd"/>
      <w:r w:rsidRPr="00FA0542">
        <w:rPr>
          <w:rFonts w:ascii="Times New Roman" w:eastAsia="Times New Roman" w:hAnsi="Times New Roman" w:cs="Times New Roman"/>
          <w:sz w:val="24"/>
          <w:szCs w:val="24"/>
        </w:rPr>
        <w:t xml:space="preserve">, D., , </w:t>
      </w:r>
      <w:proofErr w:type="spellStart"/>
      <w:r w:rsidRPr="00FA0542">
        <w:rPr>
          <w:rFonts w:ascii="Times New Roman" w:eastAsia="Times New Roman" w:hAnsi="Times New Roman" w:cs="Times New Roman"/>
          <w:sz w:val="24"/>
          <w:szCs w:val="24"/>
        </w:rPr>
        <w:t>Haliah</w:t>
      </w:r>
      <w:proofErr w:type="spellEnd"/>
      <w:r w:rsidRPr="00FA0542">
        <w:rPr>
          <w:rFonts w:ascii="Times New Roman" w:eastAsia="Times New Roman" w:hAnsi="Times New Roman" w:cs="Times New Roman"/>
          <w:sz w:val="24"/>
          <w:szCs w:val="24"/>
        </w:rPr>
        <w:t xml:space="preserve">., Syarifuddin., &amp; </w:t>
      </w:r>
      <w:proofErr w:type="spellStart"/>
      <w:r w:rsidRPr="00FA0542">
        <w:rPr>
          <w:rFonts w:ascii="Times New Roman" w:eastAsia="Times New Roman" w:hAnsi="Times New Roman" w:cs="Times New Roman"/>
          <w:sz w:val="24"/>
          <w:szCs w:val="24"/>
        </w:rPr>
        <w:t>Nirwana</w:t>
      </w:r>
      <w:proofErr w:type="spellEnd"/>
      <w:r w:rsidRPr="00FA0542">
        <w:rPr>
          <w:rFonts w:ascii="Times New Roman" w:eastAsia="Times New Roman" w:hAnsi="Times New Roman" w:cs="Times New Roman"/>
          <w:sz w:val="24"/>
          <w:szCs w:val="24"/>
        </w:rPr>
        <w:t>. (2024). Fraud risk judgments performance: The role of audit technology, task structure, and auditor competence. Multidisciplinary Science Journal. https://doi.org/10.31893/multiscience.2024180.</w:t>
      </w:r>
    </w:p>
    <w:p w14:paraId="087297FB"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Nejad, M., Khan, A., &amp; Othman, J. (2024). A panel data analysis of the effect of audit quality on financial statement fraud. Asian Journal of Accounting Research. https://doi.org/10.1108/ajar-04-2023-0112.</w:t>
      </w:r>
    </w:p>
    <w:p w14:paraId="2F3D2F42"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Razali, F., Sulaiman, N., Manan, D., &amp; Said, J. (2025). Sustainability of Audit Profession in Digital Technology Era: The Role of Competencies and Digital Technology Capabilities to Detect Fraud Risk. SAGE Open, 15. https://doi.org/10.1177/21582440241304974.</w:t>
      </w:r>
    </w:p>
    <w:p w14:paraId="594ABDDC"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 xml:space="preserve">Rezaee, Z., Yang, D., Zhou, G., Zhou, J., &amp; Zhu, X. (2024). Societal Trust and Modified Audit Opinions: International Evidence. Journal of International Accounting Research. </w:t>
      </w:r>
      <w:hyperlink r:id="rId158">
        <w:r w:rsidRPr="00FA0542">
          <w:rPr>
            <w:rFonts w:ascii="Times New Roman" w:eastAsia="Times New Roman" w:hAnsi="Times New Roman" w:cs="Times New Roman"/>
            <w:sz w:val="24"/>
            <w:szCs w:val="24"/>
          </w:rPr>
          <w:t>https://doi.org/10.2308/jiar-2023-003</w:t>
        </w:r>
      </w:hyperlink>
      <w:r w:rsidRPr="00FA0542">
        <w:rPr>
          <w:rFonts w:ascii="Times New Roman" w:eastAsia="Times New Roman" w:hAnsi="Times New Roman" w:cs="Times New Roman"/>
          <w:sz w:val="24"/>
          <w:szCs w:val="24"/>
        </w:rPr>
        <w:t>.</w:t>
      </w:r>
    </w:p>
    <w:p w14:paraId="23627452"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Sabry, S., &amp; Gomaa, I. (2021). Enhancing internal auditors' risk assessment through governance and cognition: an Egyptian perspective. Afro-Asian J. of Finance and Accounting. https://doi.org/10.1504/AAJFA.2021.10038581.</w:t>
      </w:r>
    </w:p>
    <w:p w14:paraId="131527A3"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 xml:space="preserve">Said, L., &amp; Munandar, A. (2018). The Influence of Auditor’s Professional </w:t>
      </w:r>
      <w:proofErr w:type="spellStart"/>
      <w:r w:rsidRPr="00FA0542">
        <w:rPr>
          <w:rFonts w:ascii="Times New Roman" w:eastAsia="Times New Roman" w:hAnsi="Times New Roman" w:cs="Times New Roman"/>
          <w:sz w:val="24"/>
          <w:szCs w:val="24"/>
        </w:rPr>
        <w:t>Skepticism</w:t>
      </w:r>
      <w:proofErr w:type="spellEnd"/>
      <w:r w:rsidRPr="00FA0542">
        <w:rPr>
          <w:rFonts w:ascii="Times New Roman" w:eastAsia="Times New Roman" w:hAnsi="Times New Roman" w:cs="Times New Roman"/>
          <w:sz w:val="24"/>
          <w:szCs w:val="24"/>
        </w:rPr>
        <w:t xml:space="preserve"> and Competence on Fraud Detection: The Role of Time Budget Pressure. </w:t>
      </w:r>
      <w:proofErr w:type="spellStart"/>
      <w:r w:rsidRPr="00FA0542">
        <w:rPr>
          <w:rFonts w:ascii="Times New Roman" w:eastAsia="Times New Roman" w:hAnsi="Times New Roman" w:cs="Times New Roman"/>
          <w:sz w:val="24"/>
          <w:szCs w:val="24"/>
        </w:rPr>
        <w:t>Jurnal</w:t>
      </w:r>
      <w:proofErr w:type="spellEnd"/>
      <w:r w:rsidRPr="00FA0542">
        <w:rPr>
          <w:rFonts w:ascii="Times New Roman" w:eastAsia="Times New Roman" w:hAnsi="Times New Roman" w:cs="Times New Roman"/>
          <w:sz w:val="24"/>
          <w:szCs w:val="24"/>
        </w:rPr>
        <w:t xml:space="preserve"> </w:t>
      </w:r>
      <w:proofErr w:type="spellStart"/>
      <w:r w:rsidRPr="00FA0542">
        <w:rPr>
          <w:rFonts w:ascii="Times New Roman" w:eastAsia="Times New Roman" w:hAnsi="Times New Roman" w:cs="Times New Roman"/>
          <w:sz w:val="24"/>
          <w:szCs w:val="24"/>
        </w:rPr>
        <w:t>Akuntansi</w:t>
      </w:r>
      <w:proofErr w:type="spellEnd"/>
      <w:r w:rsidRPr="00FA0542">
        <w:rPr>
          <w:rFonts w:ascii="Times New Roman" w:eastAsia="Times New Roman" w:hAnsi="Times New Roman" w:cs="Times New Roman"/>
          <w:sz w:val="24"/>
          <w:szCs w:val="24"/>
        </w:rPr>
        <w:t xml:space="preserve"> dan </w:t>
      </w:r>
      <w:proofErr w:type="spellStart"/>
      <w:r w:rsidRPr="00FA0542">
        <w:rPr>
          <w:rFonts w:ascii="Times New Roman" w:eastAsia="Times New Roman" w:hAnsi="Times New Roman" w:cs="Times New Roman"/>
          <w:sz w:val="24"/>
          <w:szCs w:val="24"/>
        </w:rPr>
        <w:t>Keuangan</w:t>
      </w:r>
      <w:proofErr w:type="spellEnd"/>
      <w:r w:rsidRPr="00FA0542">
        <w:rPr>
          <w:rFonts w:ascii="Times New Roman" w:eastAsia="Times New Roman" w:hAnsi="Times New Roman" w:cs="Times New Roman"/>
          <w:sz w:val="24"/>
          <w:szCs w:val="24"/>
        </w:rPr>
        <w:t xml:space="preserve"> Indonesia. https://doi.org/10.21002/JAKI.2018.06.</w:t>
      </w:r>
    </w:p>
    <w:p w14:paraId="2D9E5462"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proofErr w:type="spellStart"/>
      <w:r w:rsidRPr="00FA0542">
        <w:rPr>
          <w:rFonts w:ascii="Times New Roman" w:eastAsia="Times New Roman" w:hAnsi="Times New Roman" w:cs="Times New Roman"/>
          <w:sz w:val="24"/>
          <w:szCs w:val="24"/>
        </w:rPr>
        <w:t>Samagaio</w:t>
      </w:r>
      <w:proofErr w:type="spellEnd"/>
      <w:r w:rsidRPr="00FA0542">
        <w:rPr>
          <w:rFonts w:ascii="Times New Roman" w:eastAsia="Times New Roman" w:hAnsi="Times New Roman" w:cs="Times New Roman"/>
          <w:sz w:val="24"/>
          <w:szCs w:val="24"/>
        </w:rPr>
        <w:t xml:space="preserve">, A., Francisco, P., Felício, T., &amp; Matos, P. (2025). The relationship between time pressure, ethical culture and audit quality. Management Decision. https://doi.org/10.1108/md-04-2024-0870. </w:t>
      </w:r>
    </w:p>
    <w:p w14:paraId="2E1807F9"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proofErr w:type="spellStart"/>
      <w:r w:rsidRPr="00FA0542">
        <w:rPr>
          <w:rFonts w:ascii="Times New Roman" w:eastAsia="Times New Roman" w:hAnsi="Times New Roman" w:cs="Times New Roman"/>
          <w:sz w:val="24"/>
          <w:szCs w:val="24"/>
        </w:rPr>
        <w:t>Samiolo</w:t>
      </w:r>
      <w:proofErr w:type="spellEnd"/>
      <w:r w:rsidRPr="00FA0542">
        <w:rPr>
          <w:rFonts w:ascii="Times New Roman" w:eastAsia="Times New Roman" w:hAnsi="Times New Roman" w:cs="Times New Roman"/>
          <w:sz w:val="24"/>
          <w:szCs w:val="24"/>
        </w:rPr>
        <w:t xml:space="preserve">, R., Spence, C., &amp; Toh, D. (2023). Auditor judgment in the fourth industrial revolution. Contemporary Accounting Research. https://doi.org/10.1111/1911-3846.12901. </w:t>
      </w:r>
    </w:p>
    <w:p w14:paraId="6AF6A329"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proofErr w:type="spellStart"/>
      <w:r w:rsidRPr="00FA0542">
        <w:rPr>
          <w:rFonts w:ascii="Times New Roman" w:eastAsia="Times New Roman" w:hAnsi="Times New Roman" w:cs="Times New Roman"/>
          <w:sz w:val="24"/>
          <w:szCs w:val="24"/>
        </w:rPr>
        <w:t>Shbail</w:t>
      </w:r>
      <w:proofErr w:type="spellEnd"/>
      <w:r w:rsidRPr="00FA0542">
        <w:rPr>
          <w:rFonts w:ascii="Times New Roman" w:eastAsia="Times New Roman" w:hAnsi="Times New Roman" w:cs="Times New Roman"/>
          <w:sz w:val="24"/>
          <w:szCs w:val="24"/>
        </w:rPr>
        <w:t>, M., Jaradat, Z., Al-</w:t>
      </w:r>
      <w:proofErr w:type="spellStart"/>
      <w:r w:rsidRPr="00FA0542">
        <w:rPr>
          <w:rFonts w:ascii="Times New Roman" w:eastAsia="Times New Roman" w:hAnsi="Times New Roman" w:cs="Times New Roman"/>
          <w:sz w:val="24"/>
          <w:szCs w:val="24"/>
        </w:rPr>
        <w:t>Hawamleh</w:t>
      </w:r>
      <w:proofErr w:type="spellEnd"/>
      <w:r w:rsidRPr="00FA0542">
        <w:rPr>
          <w:rFonts w:ascii="Times New Roman" w:eastAsia="Times New Roman" w:hAnsi="Times New Roman" w:cs="Times New Roman"/>
          <w:sz w:val="24"/>
          <w:szCs w:val="24"/>
        </w:rPr>
        <w:t xml:space="preserve">, A., Hamdan, A., &amp; </w:t>
      </w:r>
      <w:proofErr w:type="spellStart"/>
      <w:r w:rsidRPr="00FA0542">
        <w:rPr>
          <w:rFonts w:ascii="Times New Roman" w:eastAsia="Times New Roman" w:hAnsi="Times New Roman" w:cs="Times New Roman"/>
          <w:sz w:val="24"/>
          <w:szCs w:val="24"/>
        </w:rPr>
        <w:t>Alsartawi</w:t>
      </w:r>
      <w:proofErr w:type="spellEnd"/>
      <w:r w:rsidRPr="00FA0542">
        <w:rPr>
          <w:rFonts w:ascii="Times New Roman" w:eastAsia="Times New Roman" w:hAnsi="Times New Roman" w:cs="Times New Roman"/>
          <w:sz w:val="24"/>
          <w:szCs w:val="24"/>
        </w:rPr>
        <w:t>, A. (2024). Enhancing audit quality in non-Big 4 firms: the role of remote auditing and audit staff capabilities. Journal of Financial Reporting and Accounting. https://doi.org/10.1108/jfra-11-2023-0653.</w:t>
      </w:r>
    </w:p>
    <w:p w14:paraId="12DE5595"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lang w:val="de-DE"/>
        </w:rPr>
        <w:lastRenderedPageBreak/>
        <w:t xml:space="preserve">Shen, H., Wu, L., &amp; Xiao, J. (2023). </w:t>
      </w:r>
      <w:r w:rsidRPr="00FA0542">
        <w:rPr>
          <w:rFonts w:ascii="Times New Roman" w:eastAsia="Times New Roman" w:hAnsi="Times New Roman" w:cs="Times New Roman"/>
          <w:sz w:val="24"/>
          <w:szCs w:val="24"/>
        </w:rPr>
        <w:t>Auditors’ sensitivity to business risk under business risk auditing. Journal of Accounting and Public Policy. https://doi.org/10.1016/j.jaccpubpol.2023.107113.</w:t>
      </w:r>
    </w:p>
    <w:p w14:paraId="7685E801"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proofErr w:type="spellStart"/>
      <w:r w:rsidRPr="00FA0542">
        <w:rPr>
          <w:rFonts w:ascii="Times New Roman" w:eastAsia="Times New Roman" w:hAnsi="Times New Roman" w:cs="Times New Roman"/>
          <w:sz w:val="24"/>
          <w:szCs w:val="24"/>
        </w:rPr>
        <w:t>Sumiyana</w:t>
      </w:r>
      <w:proofErr w:type="spellEnd"/>
      <w:r w:rsidRPr="00FA0542">
        <w:rPr>
          <w:rFonts w:ascii="Times New Roman" w:eastAsia="Times New Roman" w:hAnsi="Times New Roman" w:cs="Times New Roman"/>
          <w:sz w:val="24"/>
          <w:szCs w:val="24"/>
        </w:rPr>
        <w:t xml:space="preserve">, S., Hendrian, H., Jayasinghe, K., &amp; </w:t>
      </w:r>
      <w:proofErr w:type="spellStart"/>
      <w:r w:rsidRPr="00FA0542">
        <w:rPr>
          <w:rFonts w:ascii="Times New Roman" w:eastAsia="Times New Roman" w:hAnsi="Times New Roman" w:cs="Times New Roman"/>
          <w:sz w:val="24"/>
          <w:szCs w:val="24"/>
        </w:rPr>
        <w:t>Wijethilaka</w:t>
      </w:r>
      <w:proofErr w:type="spellEnd"/>
      <w:r w:rsidRPr="00FA0542">
        <w:rPr>
          <w:rFonts w:ascii="Times New Roman" w:eastAsia="Times New Roman" w:hAnsi="Times New Roman" w:cs="Times New Roman"/>
          <w:sz w:val="24"/>
          <w:szCs w:val="24"/>
        </w:rPr>
        <w:t>, C. (2021). Public sector performance auditing in a political hegemony: A case study of Indonesia. Financial Accountability &amp; Management. https://doi.org/10.1111/FAAM.12296.</w:t>
      </w:r>
    </w:p>
    <w:p w14:paraId="0A225505"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Susilo, J. (2023). A Critical Analysis of Risk Auditing: An Auditor's Approach. Golden Ratio of Auditing Research. https://doi.org/10.52970/grar.v3i2.381.</w:t>
      </w:r>
    </w:p>
    <w:p w14:paraId="62244E99"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 xml:space="preserve">Syam, M., Djaddang, S., </w:t>
      </w:r>
      <w:proofErr w:type="spellStart"/>
      <w:r w:rsidRPr="00FA0542">
        <w:rPr>
          <w:rFonts w:ascii="Times New Roman" w:eastAsia="Times New Roman" w:hAnsi="Times New Roman" w:cs="Times New Roman"/>
          <w:sz w:val="24"/>
          <w:szCs w:val="24"/>
        </w:rPr>
        <w:t>Djarudju</w:t>
      </w:r>
      <w:proofErr w:type="spellEnd"/>
      <w:r w:rsidRPr="00FA0542">
        <w:rPr>
          <w:rFonts w:ascii="Times New Roman" w:eastAsia="Times New Roman" w:hAnsi="Times New Roman" w:cs="Times New Roman"/>
          <w:sz w:val="24"/>
          <w:szCs w:val="24"/>
        </w:rPr>
        <w:t xml:space="preserve">, H., &amp; </w:t>
      </w:r>
      <w:proofErr w:type="spellStart"/>
      <w:r w:rsidRPr="00FA0542">
        <w:rPr>
          <w:rFonts w:ascii="Times New Roman" w:eastAsia="Times New Roman" w:hAnsi="Times New Roman" w:cs="Times New Roman"/>
          <w:sz w:val="24"/>
          <w:szCs w:val="24"/>
        </w:rPr>
        <w:t>Roziq</w:t>
      </w:r>
      <w:proofErr w:type="spellEnd"/>
      <w:r w:rsidRPr="00FA0542">
        <w:rPr>
          <w:rFonts w:ascii="Times New Roman" w:eastAsia="Times New Roman" w:hAnsi="Times New Roman" w:cs="Times New Roman"/>
          <w:sz w:val="24"/>
          <w:szCs w:val="24"/>
        </w:rPr>
        <w:t>, M. (2024). Cultivating Competent Auditors: Essential Skills and Ethical Imperatives for the Digital. Journal of Economics, Finance And Management Studies. https://doi.org/10.47191/jefms/v7-i12-51.</w:t>
      </w:r>
    </w:p>
    <w:p w14:paraId="25E81CC0"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 xml:space="preserve">Tuan, D., &amp; Dung, N. (2024). The Influence of Factors on the Demand for Performance Auditing in the Public Sector. Emerging Science Journal. https://doi.org/10.28991/esj-2024-08-01-07. </w:t>
      </w:r>
    </w:p>
    <w:p w14:paraId="54A3AB12"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Wang, X., Ferreira, F., &amp; Yan, P. (2023). A multi-objective optimization approach for integrated risk-based internal audit planning. Annals of Operations Research, 1 - 30. https://doi.org/10.1007/s10479-023-05228-2.</w:t>
      </w:r>
    </w:p>
    <w:p w14:paraId="25E6A9A8"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Wang, X., Sun, F., Kim, M., &amp; Na, H. (2025). Developing a Novel Audit Risk Metric Through Sentiment Analysis. Sustainability. https://doi.org/10.3390/su17062460.</w:t>
      </w:r>
    </w:p>
    <w:p w14:paraId="1D075CE3"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 xml:space="preserve">Yazid, H., </w:t>
      </w:r>
      <w:proofErr w:type="spellStart"/>
      <w:r w:rsidRPr="00FA0542">
        <w:rPr>
          <w:rFonts w:ascii="Times New Roman" w:eastAsia="Times New Roman" w:hAnsi="Times New Roman" w:cs="Times New Roman"/>
          <w:sz w:val="24"/>
          <w:szCs w:val="24"/>
        </w:rPr>
        <w:t>Wiyantoro</w:t>
      </w:r>
      <w:proofErr w:type="spellEnd"/>
      <w:r w:rsidRPr="00FA0542">
        <w:rPr>
          <w:rFonts w:ascii="Times New Roman" w:eastAsia="Times New Roman" w:hAnsi="Times New Roman" w:cs="Times New Roman"/>
          <w:sz w:val="24"/>
          <w:szCs w:val="24"/>
        </w:rPr>
        <w:t>, L., &amp; Yan, C. (2020). Perspective of Internal and External Auditors of supply chain management Effects in Opportunities, Pressure and Capabilities for Fraud Risk Assessment. International Journal of Supply Chain Management, 9, 1021-1035.</w:t>
      </w:r>
    </w:p>
    <w:p w14:paraId="3E83358D" w14:textId="77777777" w:rsidR="00FA0542" w:rsidRPr="00FA0542" w:rsidRDefault="00FA0542" w:rsidP="00FA0542">
      <w:pPr>
        <w:spacing w:after="0" w:line="240" w:lineRule="auto"/>
        <w:ind w:left="720" w:hanging="720"/>
        <w:jc w:val="both"/>
        <w:rPr>
          <w:rFonts w:ascii="Times New Roman" w:eastAsia="Times New Roman" w:hAnsi="Times New Roman" w:cs="Times New Roman"/>
          <w:sz w:val="24"/>
          <w:szCs w:val="24"/>
        </w:rPr>
      </w:pPr>
      <w:r w:rsidRPr="00FA0542">
        <w:rPr>
          <w:rFonts w:ascii="Times New Roman" w:eastAsia="Times New Roman" w:hAnsi="Times New Roman" w:cs="Times New Roman"/>
          <w:sz w:val="24"/>
          <w:szCs w:val="24"/>
        </w:rPr>
        <w:t xml:space="preserve">Zemtsov, T., &amp; Sorokin, M. (2022). Evaluation of the effectiveness of internal control in risk-oriented audits by internal audit units. </w:t>
      </w:r>
      <w:proofErr w:type="spellStart"/>
      <w:r w:rsidRPr="00FA0542">
        <w:rPr>
          <w:rFonts w:ascii="Times New Roman" w:eastAsia="Times New Roman" w:hAnsi="Times New Roman" w:cs="Times New Roman"/>
          <w:sz w:val="24"/>
          <w:szCs w:val="24"/>
        </w:rPr>
        <w:t>Vestnik</w:t>
      </w:r>
      <w:proofErr w:type="spellEnd"/>
      <w:r w:rsidRPr="00FA0542">
        <w:rPr>
          <w:rFonts w:ascii="Times New Roman" w:eastAsia="Times New Roman" w:hAnsi="Times New Roman" w:cs="Times New Roman"/>
          <w:sz w:val="24"/>
          <w:szCs w:val="24"/>
        </w:rPr>
        <w:t xml:space="preserve"> Tomskogo </w:t>
      </w:r>
      <w:proofErr w:type="spellStart"/>
      <w:r w:rsidRPr="00FA0542">
        <w:rPr>
          <w:rFonts w:ascii="Times New Roman" w:eastAsia="Times New Roman" w:hAnsi="Times New Roman" w:cs="Times New Roman"/>
          <w:sz w:val="24"/>
          <w:szCs w:val="24"/>
        </w:rPr>
        <w:t>gosudarstvennogo</w:t>
      </w:r>
      <w:proofErr w:type="spellEnd"/>
      <w:r w:rsidRPr="00FA0542">
        <w:rPr>
          <w:rFonts w:ascii="Times New Roman" w:eastAsia="Times New Roman" w:hAnsi="Times New Roman" w:cs="Times New Roman"/>
          <w:sz w:val="24"/>
          <w:szCs w:val="24"/>
        </w:rPr>
        <w:t xml:space="preserve"> </w:t>
      </w:r>
      <w:proofErr w:type="spellStart"/>
      <w:r w:rsidRPr="00FA0542">
        <w:rPr>
          <w:rFonts w:ascii="Times New Roman" w:eastAsia="Times New Roman" w:hAnsi="Times New Roman" w:cs="Times New Roman"/>
          <w:sz w:val="24"/>
          <w:szCs w:val="24"/>
        </w:rPr>
        <w:t>universiteta</w:t>
      </w:r>
      <w:proofErr w:type="spellEnd"/>
      <w:r w:rsidRPr="00FA0542">
        <w:rPr>
          <w:rFonts w:ascii="Times New Roman" w:eastAsia="Times New Roman" w:hAnsi="Times New Roman" w:cs="Times New Roman"/>
          <w:sz w:val="24"/>
          <w:szCs w:val="24"/>
        </w:rPr>
        <w:t xml:space="preserve">. </w:t>
      </w:r>
      <w:proofErr w:type="spellStart"/>
      <w:r w:rsidRPr="00FA0542">
        <w:rPr>
          <w:rFonts w:ascii="Times New Roman" w:eastAsia="Times New Roman" w:hAnsi="Times New Roman" w:cs="Times New Roman"/>
          <w:sz w:val="24"/>
          <w:szCs w:val="24"/>
        </w:rPr>
        <w:t>Ekonomika</w:t>
      </w:r>
      <w:proofErr w:type="spellEnd"/>
      <w:r w:rsidRPr="00FA0542">
        <w:rPr>
          <w:rFonts w:ascii="Times New Roman" w:eastAsia="Times New Roman" w:hAnsi="Times New Roman" w:cs="Times New Roman"/>
          <w:sz w:val="24"/>
          <w:szCs w:val="24"/>
        </w:rPr>
        <w:t xml:space="preserve">. </w:t>
      </w:r>
      <w:hyperlink r:id="rId159">
        <w:r w:rsidRPr="00FA0542">
          <w:rPr>
            <w:rFonts w:ascii="Times New Roman" w:eastAsia="Times New Roman" w:hAnsi="Times New Roman" w:cs="Times New Roman"/>
            <w:sz w:val="24"/>
            <w:szCs w:val="24"/>
          </w:rPr>
          <w:t>https://doi.org/10.17223/19988648/59/15</w:t>
        </w:r>
      </w:hyperlink>
      <w:r w:rsidRPr="00FA0542">
        <w:rPr>
          <w:rFonts w:ascii="Times New Roman" w:eastAsia="Times New Roman" w:hAnsi="Times New Roman" w:cs="Times New Roman"/>
          <w:sz w:val="24"/>
          <w:szCs w:val="24"/>
        </w:rPr>
        <w:t>.</w:t>
      </w:r>
    </w:p>
    <w:p w14:paraId="4AAA27D5" w14:textId="77777777" w:rsidR="00FA0542" w:rsidRPr="00FA0542" w:rsidRDefault="00FA0542" w:rsidP="00FA0542">
      <w:pPr>
        <w:spacing w:after="0" w:line="240" w:lineRule="auto"/>
        <w:ind w:left="720" w:hanging="720"/>
        <w:jc w:val="both"/>
        <w:rPr>
          <w:rFonts w:ascii="Times New Roman" w:eastAsia="Times New Roman" w:hAnsi="Times New Roman" w:cs="Times New Roman"/>
          <w:b/>
        </w:rPr>
      </w:pPr>
      <w:r w:rsidRPr="00FA0542">
        <w:rPr>
          <w:rFonts w:ascii="Times New Roman" w:eastAsia="Times New Roman" w:hAnsi="Times New Roman" w:cs="Times New Roman"/>
          <w:sz w:val="24"/>
          <w:szCs w:val="24"/>
        </w:rPr>
        <w:t>Zhang, M., Li, W., Luo, Y., &amp; Chen, W. (2023). Government audit supervision, financialization, and executives' excess perks: Evidence from Chinese state-owned enterprises. International Review of Financial Analysis. https://doi.org/10.1016/j.irfa.2023.102716.</w:t>
      </w:r>
    </w:p>
    <w:p w14:paraId="676DEC43" w14:textId="7F0DABF0" w:rsidR="007373F6" w:rsidRDefault="00E113CF" w:rsidP="00E113CF">
      <w:pPr>
        <w:rPr>
          <w:highlight w:val="yellow"/>
        </w:rPr>
      </w:pPr>
      <w:r>
        <w:rPr>
          <w:highlight w:val="yellow"/>
        </w:rPr>
        <w:br w:type="page"/>
      </w:r>
    </w:p>
    <w:p w14:paraId="3634AEA1" w14:textId="77777777" w:rsidR="007373F6" w:rsidRDefault="00000000">
      <w:pPr>
        <w:pStyle w:val="Heading1"/>
      </w:pPr>
      <w:bookmarkStart w:id="96" w:name="_Toc211808158"/>
      <w:r>
        <w:lastRenderedPageBreak/>
        <w:t>Paper ID 62</w:t>
      </w:r>
      <w:bookmarkEnd w:id="96"/>
    </w:p>
    <w:p w14:paraId="1E1C1C06" w14:textId="77777777" w:rsidR="007373F6" w:rsidRDefault="00000000">
      <w:pPr>
        <w:pStyle w:val="Heading2"/>
        <w:spacing w:after="0" w:line="240" w:lineRule="auto"/>
      </w:pPr>
      <w:bookmarkStart w:id="97" w:name="_Toc211808159"/>
      <w:r>
        <w:t>DOES KAM DISCLOSURE CHANGE THE DISCLOSURE BEHAVIOR OF MANAGERS AND AUDITORS? EVIDENCE FROM THE READABILITY OF MD&amp;A AND KAM IN JAPAN</w:t>
      </w:r>
      <w:bookmarkEnd w:id="97"/>
      <w:r>
        <w:t xml:space="preserve"> </w:t>
      </w:r>
    </w:p>
    <w:p w14:paraId="376BDB3C" w14:textId="77777777" w:rsidR="007373F6" w:rsidRDefault="007373F6">
      <w:pPr>
        <w:spacing w:after="0" w:line="240" w:lineRule="auto"/>
        <w:jc w:val="center"/>
        <w:rPr>
          <w:rFonts w:ascii="Times New Roman" w:eastAsia="Times New Roman" w:hAnsi="Times New Roman" w:cs="Times New Roman"/>
          <w:b/>
          <w:sz w:val="26"/>
          <w:szCs w:val="26"/>
        </w:rPr>
      </w:pPr>
    </w:p>
    <w:p w14:paraId="3FC66A75" w14:textId="77777777" w:rsidR="007373F6" w:rsidRDefault="00000000">
      <w:pPr>
        <w:shd w:val="clear" w:color="auto" w:fill="FFFFFF"/>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Masumi Nakashima</w:t>
      </w:r>
      <w:r>
        <w:rPr>
          <w:rFonts w:ascii="Times New Roman" w:eastAsia="Times New Roman" w:hAnsi="Times New Roman" w:cs="Times New Roman"/>
          <w:color w:val="222222"/>
          <w:sz w:val="24"/>
          <w:szCs w:val="24"/>
        </w:rPr>
        <w:t xml:space="preserve">, Bunkyo </w:t>
      </w:r>
      <w:proofErr w:type="spellStart"/>
      <w:r>
        <w:rPr>
          <w:rFonts w:ascii="Times New Roman" w:eastAsia="Times New Roman" w:hAnsi="Times New Roman" w:cs="Times New Roman"/>
          <w:color w:val="222222"/>
          <w:sz w:val="24"/>
          <w:szCs w:val="24"/>
        </w:rPr>
        <w:t>Gakuin</w:t>
      </w:r>
      <w:proofErr w:type="spellEnd"/>
      <w:r>
        <w:rPr>
          <w:rFonts w:ascii="Times New Roman" w:eastAsia="Times New Roman" w:hAnsi="Times New Roman" w:cs="Times New Roman"/>
          <w:color w:val="222222"/>
          <w:sz w:val="24"/>
          <w:szCs w:val="24"/>
        </w:rPr>
        <w:t xml:space="preserve"> University, Japan (mnakashima@bgu.ac.jp)</w:t>
      </w:r>
    </w:p>
    <w:p w14:paraId="39EEE64B" w14:textId="77777777" w:rsidR="007373F6" w:rsidRDefault="00000000">
      <w:pPr>
        <w:shd w:val="clear" w:color="auto" w:fill="FFFFFF"/>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Keisuke Yoshida</w:t>
      </w:r>
      <w:r>
        <w:rPr>
          <w:rFonts w:ascii="Times New Roman" w:eastAsia="Times New Roman" w:hAnsi="Times New Roman" w:cs="Times New Roman"/>
          <w:color w:val="222222"/>
          <w:sz w:val="24"/>
          <w:szCs w:val="24"/>
        </w:rPr>
        <w:t xml:space="preserve">, Bunkyo </w:t>
      </w:r>
      <w:proofErr w:type="spellStart"/>
      <w:r>
        <w:rPr>
          <w:rFonts w:ascii="Times New Roman" w:eastAsia="Times New Roman" w:hAnsi="Times New Roman" w:cs="Times New Roman"/>
          <w:color w:val="222222"/>
          <w:sz w:val="24"/>
          <w:szCs w:val="24"/>
        </w:rPr>
        <w:t>Gakuin</w:t>
      </w:r>
      <w:proofErr w:type="spellEnd"/>
      <w:r>
        <w:rPr>
          <w:rFonts w:ascii="Times New Roman" w:eastAsia="Times New Roman" w:hAnsi="Times New Roman" w:cs="Times New Roman"/>
          <w:color w:val="222222"/>
          <w:sz w:val="24"/>
          <w:szCs w:val="24"/>
        </w:rPr>
        <w:t xml:space="preserve"> University, Japan (kyoshida@bgu.ac.jp)</w:t>
      </w:r>
    </w:p>
    <w:p w14:paraId="1D059248" w14:textId="77777777" w:rsidR="007373F6" w:rsidRDefault="007373F6">
      <w:pPr>
        <w:jc w:val="center"/>
      </w:pPr>
    </w:p>
    <w:p w14:paraId="79C98F1F" w14:textId="77777777" w:rsidR="007373F6"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ABSTRACT</w:t>
      </w:r>
    </w:p>
    <w:p w14:paraId="44849697"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study investigates the relationship between the readability of Management Discussion and Analysis (MD&amp;A) disclosures and Key Audit Matters (KAM) reports in Japanese firms after the introduction of KAM in 2021. Readability is measured using three indicators: word diversity, kanji rate, and sentence length. The analysis is based on a panel dataset of Japanese listed firms from 2019 to 2023, covering both pre- and post-KAM periods. Findings are as follows. First, this study hypothesizes that MD&amp;A readability deteriorates after the introduction of KAM, reflecting potential obfuscation. However, the analysis finds no significant increase in word diversity and a statistically significant decline in kanji rate, suggesting that firms did not deliberately obscure MD&amp;A content. Second, this study hypothesizes that KAM readability remains unchanged over time. Contrary to expectations, KAM readability improved across the post-KAM years (2021–2023), indicating auditors’ growing efforts to communicate more clearly with financial statement users. Third, this study examines whether MD&amp;A and KAM readability are positively correlated. A weak but statistically significant positive correlation is observed, suggesting that although the documents are prepared independently, their shared communication objective may lead to partial alignment in readability. These findings contribute to the literature on corporate disclosure and auditing by highlighting the nuanced effects of KAM implementation on the clarity of financial communications in Japan.</w:t>
      </w:r>
    </w:p>
    <w:p w14:paraId="2D920249" w14:textId="77777777" w:rsidR="007373F6" w:rsidRDefault="007373F6">
      <w:pPr>
        <w:spacing w:after="0" w:line="240" w:lineRule="auto"/>
        <w:jc w:val="both"/>
        <w:rPr>
          <w:rFonts w:ascii="Times New Roman" w:eastAsia="Times New Roman" w:hAnsi="Times New Roman" w:cs="Times New Roman"/>
          <w:sz w:val="24"/>
          <w:szCs w:val="24"/>
        </w:rPr>
      </w:pPr>
    </w:p>
    <w:p w14:paraId="556E85C8" w14:textId="77777777" w:rsidR="007373F6" w:rsidRDefault="00000000">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Keywords: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Readability, MD&amp;A, Key Audit Matters, Obfuscation, Disclosure Quality  </w:t>
      </w:r>
    </w:p>
    <w:p w14:paraId="0C0F2CA4" w14:textId="77777777" w:rsidR="007373F6" w:rsidRDefault="007373F6" w:rsidP="008142FB"/>
    <w:p w14:paraId="3D304108" w14:textId="77777777" w:rsidR="007373F6" w:rsidRDefault="00000000" w:rsidP="00856618">
      <w:pPr>
        <w:widowControl w:val="0"/>
        <w:numPr>
          <w:ilvl w:val="0"/>
          <w:numId w:val="17"/>
        </w:numPr>
        <w:tabs>
          <w:tab w:val="left" w:pos="286"/>
        </w:tabs>
        <w:spacing w:before="1" w:after="20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INTRODUCTION</w:t>
      </w:r>
    </w:p>
    <w:p w14:paraId="7F3BA53F" w14:textId="77777777" w:rsidR="007373F6" w:rsidRDefault="00000000" w:rsidP="00E113CF">
      <w:pPr>
        <w:widowControl w:val="0"/>
        <w:spacing w:after="0" w:line="240" w:lineRule="auto"/>
        <w:ind w:firstLine="426"/>
        <w:jc w:val="both"/>
        <w:rPr>
          <w:rFonts w:ascii="Times New Roman" w:eastAsia="Times New Roman" w:hAnsi="Times New Roman" w:cs="Times New Roman"/>
          <w:sz w:val="24"/>
          <w:szCs w:val="24"/>
        </w:rPr>
      </w:pPr>
      <w:bookmarkStart w:id="98" w:name="_heading=h.5j6b4q914nvs" w:colFirst="0" w:colLast="0"/>
      <w:bookmarkEnd w:id="98"/>
      <w:r>
        <w:rPr>
          <w:rFonts w:ascii="Times New Roman" w:eastAsia="Times New Roman" w:hAnsi="Times New Roman" w:cs="Times New Roman"/>
          <w:sz w:val="24"/>
          <w:szCs w:val="24"/>
        </w:rPr>
        <w:t xml:space="preserve">Audit reports act as a crucial communication channel between auditors and financial statement users, providing independent assurance on reporting credibility (PCAOB, 2017; </w:t>
      </w:r>
      <w:proofErr w:type="spellStart"/>
      <w:r>
        <w:rPr>
          <w:rFonts w:ascii="Times New Roman" w:eastAsia="Times New Roman" w:hAnsi="Times New Roman" w:cs="Times New Roman"/>
          <w:sz w:val="24"/>
          <w:szCs w:val="24"/>
        </w:rPr>
        <w:t>Seebeck</w:t>
      </w:r>
      <w:proofErr w:type="spellEnd"/>
      <w:r>
        <w:rPr>
          <w:rFonts w:ascii="Times New Roman" w:eastAsia="Times New Roman" w:hAnsi="Times New Roman" w:cs="Times New Roman"/>
          <w:sz w:val="24"/>
          <w:szCs w:val="24"/>
        </w:rPr>
        <w:t xml:space="preserve"> &amp; Kaya, 2021; </w:t>
      </w:r>
      <w:proofErr w:type="spellStart"/>
      <w:r>
        <w:rPr>
          <w:rFonts w:ascii="Times New Roman" w:eastAsia="Times New Roman" w:hAnsi="Times New Roman" w:cs="Times New Roman"/>
          <w:sz w:val="24"/>
          <w:szCs w:val="24"/>
        </w:rPr>
        <w:t>Kosaiyakanont</w:t>
      </w:r>
      <w:proofErr w:type="spellEnd"/>
      <w:r>
        <w:rPr>
          <w:rFonts w:ascii="Times New Roman" w:eastAsia="Times New Roman" w:hAnsi="Times New Roman" w:cs="Times New Roman"/>
          <w:sz w:val="24"/>
          <w:szCs w:val="24"/>
        </w:rPr>
        <w:t xml:space="preserve"> et al., 2024; Chen et al., 2024a). Traditional audit reports, however, have been criticized for boilerplate content, binary pass/fail opinions, and limited transparency, contributing to the “audit expectation gap” (IAASB, 2011; Gutierrez et al., 2018; Coram &amp; Wang, 2021). To address these concerns, the International Auditing and Assurance Standards Board (IAASB) introduced ISA 701 in 2015, mandating Key Audit Matters (KAM) disclosures. Similar reforms were adopted in the EU for Public Interest Entities in 2017, and in the U.S. through Critical Audit Matters (CAM) (PCAOB, 2017). In Japan, the Financial Services Agency (FSA) introduced KAM in 2018 for listed firms, aiming to improve transparency and restore trust in audits (FSA, 2022).</w:t>
      </w:r>
    </w:p>
    <w:p w14:paraId="2E3F5DD2" w14:textId="77777777" w:rsidR="007373F6" w:rsidRDefault="00000000" w:rsidP="00E113CF">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KAMs highlight matters involving significant risks of material misstatement, providing insight into auditors’ judgments (Pinto, 2020). While prior research has examined KAMs’ effects on audit quality, investor responses, and reporting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(Bédard et al., 2019; Li et </w:t>
      </w:r>
      <w:r>
        <w:rPr>
          <w:rFonts w:ascii="Times New Roman" w:eastAsia="Times New Roman" w:hAnsi="Times New Roman" w:cs="Times New Roman"/>
          <w:sz w:val="24"/>
          <w:szCs w:val="24"/>
        </w:rPr>
        <w:lastRenderedPageBreak/>
        <w:t xml:space="preserve">al., 2019; Zeng et al., 2021; Nguyen &amp; Kend, 2021), fewer studies focus on the communicative characteristics of the KAM text itself (Smith, 2023; Chen et al., 2024a; </w:t>
      </w:r>
      <w:proofErr w:type="spellStart"/>
      <w:r>
        <w:rPr>
          <w:rFonts w:ascii="Times New Roman" w:eastAsia="Times New Roman" w:hAnsi="Times New Roman" w:cs="Times New Roman"/>
          <w:sz w:val="24"/>
          <w:szCs w:val="24"/>
        </w:rPr>
        <w:t>Kosaiyakanont</w:t>
      </w:r>
      <w:proofErr w:type="spellEnd"/>
      <w:r>
        <w:rPr>
          <w:rFonts w:ascii="Times New Roman" w:eastAsia="Times New Roman" w:hAnsi="Times New Roman" w:cs="Times New Roman"/>
          <w:sz w:val="24"/>
          <w:szCs w:val="24"/>
        </w:rPr>
        <w:t xml:space="preserve"> et al., 2024). Parallel research on Management Discussion and Analysis (MD&amp;A) disclosures suggests that readability reflects managerial transparency or obfuscation (Nakashima et al., 2022; Nakashima, 2023), yet little work jointly </w:t>
      </w:r>
      <w:proofErr w:type="spellStart"/>
      <w:r>
        <w:rPr>
          <w:rFonts w:ascii="Times New Roman" w:eastAsia="Times New Roman" w:hAnsi="Times New Roman" w:cs="Times New Roman"/>
          <w:sz w:val="24"/>
          <w:szCs w:val="24"/>
        </w:rPr>
        <w:t>analyzes</w:t>
      </w:r>
      <w:proofErr w:type="spellEnd"/>
      <w:r>
        <w:rPr>
          <w:rFonts w:ascii="Times New Roman" w:eastAsia="Times New Roman" w:hAnsi="Times New Roman" w:cs="Times New Roman"/>
          <w:sz w:val="24"/>
          <w:szCs w:val="24"/>
        </w:rPr>
        <w:t xml:space="preserve"> MD&amp;A and KAM texts.</w:t>
      </w:r>
    </w:p>
    <w:p w14:paraId="4FFF058C" w14:textId="77777777" w:rsidR="007373F6" w:rsidRDefault="00000000" w:rsidP="00E113CF">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study fills this gap by examining whether MD&amp;A and KAM readability changed after Japan’s KAM implementation and whether their readability is correlated. Readability is measured using word diversity (lexical complexity) and kanji rate (linguistic abstraction), following the linguistic </w:t>
      </w:r>
      <w:proofErr w:type="spellStart"/>
      <w:r>
        <w:rPr>
          <w:rFonts w:ascii="Times New Roman" w:eastAsia="Times New Roman" w:hAnsi="Times New Roman" w:cs="Times New Roman"/>
          <w:sz w:val="24"/>
          <w:szCs w:val="24"/>
        </w:rPr>
        <w:t>metafunction</w:t>
      </w:r>
      <w:proofErr w:type="spellEnd"/>
      <w:r>
        <w:rPr>
          <w:rFonts w:ascii="Times New Roman" w:eastAsia="Times New Roman" w:hAnsi="Times New Roman" w:cs="Times New Roman"/>
          <w:sz w:val="24"/>
          <w:szCs w:val="24"/>
        </w:rPr>
        <w:t xml:space="preserve"> framework (Nakashima and Yoshida, 2024). By integrating obfuscation and information manipulation theories with large-scale textual analysis, this study offers empirical evidence from a non-English-speaking context, providing insights into the co-evolution of audit quality and managerial transparency under regulatory reform.</w:t>
      </w:r>
    </w:p>
    <w:p w14:paraId="6458F942" w14:textId="77777777" w:rsidR="00E113CF" w:rsidRDefault="00E113CF" w:rsidP="00E113CF">
      <w:pPr>
        <w:widowControl w:val="0"/>
        <w:spacing w:after="0" w:line="240" w:lineRule="auto"/>
        <w:ind w:firstLine="426"/>
        <w:jc w:val="both"/>
        <w:rPr>
          <w:rFonts w:ascii="Times New Roman" w:eastAsia="Times New Roman" w:hAnsi="Times New Roman" w:cs="Times New Roman"/>
          <w:sz w:val="24"/>
          <w:szCs w:val="24"/>
        </w:rPr>
      </w:pPr>
    </w:p>
    <w:p w14:paraId="0584B7E9" w14:textId="77777777" w:rsidR="007373F6" w:rsidRDefault="00000000" w:rsidP="00856618">
      <w:pPr>
        <w:widowControl w:val="0"/>
        <w:numPr>
          <w:ilvl w:val="0"/>
          <w:numId w:val="17"/>
        </w:numPr>
        <w:tabs>
          <w:tab w:val="left" w:pos="286"/>
        </w:tabs>
        <w:spacing w:after="0" w:line="240" w:lineRule="auto"/>
        <w:ind w:left="284" w:hanging="284"/>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LITERATURE REVIEW AND HYPOTHESES DEVELOPMENT</w:t>
      </w:r>
    </w:p>
    <w:p w14:paraId="4F901646" w14:textId="77777777" w:rsidR="007373F6" w:rsidRDefault="007373F6">
      <w:pPr>
        <w:widowControl w:val="0"/>
        <w:spacing w:after="0" w:line="271" w:lineRule="auto"/>
        <w:jc w:val="both"/>
        <w:rPr>
          <w:rFonts w:ascii="Times New Roman" w:eastAsia="Times New Roman" w:hAnsi="Times New Roman" w:cs="Times New Roman"/>
          <w:sz w:val="24"/>
          <w:szCs w:val="24"/>
        </w:rPr>
      </w:pPr>
    </w:p>
    <w:p w14:paraId="65B350D9" w14:textId="77777777" w:rsidR="007373F6" w:rsidRDefault="00000000" w:rsidP="00E113CF">
      <w:pPr>
        <w:widowControl w:val="0"/>
        <w:spacing w:after="0" w:line="271" w:lineRule="auto"/>
        <w:ind w:firstLine="426"/>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accounting and </w:t>
      </w: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economics emphasize that managerial disclosure practices are influenced not only by informational needs but also by psychological biases such as loss aversion and cognitive bias (Kahneman &amp; Tversky, 1979; Bazerman &amp; Moore, 2012). These tendencies may prompt managers to strategically obscure or withhold </w:t>
      </w:r>
      <w:proofErr w:type="spellStart"/>
      <w:r>
        <w:rPr>
          <w:rFonts w:ascii="Times New Roman" w:eastAsia="Times New Roman" w:hAnsi="Times New Roman" w:cs="Times New Roman"/>
          <w:sz w:val="24"/>
          <w:szCs w:val="24"/>
        </w:rPr>
        <w:t>unfavorable</w:t>
      </w:r>
      <w:proofErr w:type="spellEnd"/>
      <w:r>
        <w:rPr>
          <w:rFonts w:ascii="Times New Roman" w:eastAsia="Times New Roman" w:hAnsi="Times New Roman" w:cs="Times New Roman"/>
          <w:sz w:val="24"/>
          <w:szCs w:val="24"/>
        </w:rPr>
        <w:t xml:space="preserve"> information in narrative disclosures. Empirical evidence supports this perspective. Nakashima et al. (2022) find that the MD&amp;A sections of fraudulent firms are significantly less readable than those of non-fraudulent firms. Nakashima and Yoshida (2024) further demonstrate that fraudulent firms’ MD&amp;A disclosures exhibit higher word diversity and a lower frequency of numerical expressions, both indicative of reduced readability. Yoshida and Nakashima (2025) add that the use of complex kanji increases cognitive burden, lowering accessibility for readers. Collectively, these findings suggest that linguistic complexity can serve as a strategic obfuscation tool. Building on this evidence, this study posits that the introduction of Key Audit Matters (KAM) disclosures may be perceived by managers as a regulatory threat, prompting them to increase the complexity of MD&amp;A narratives.</w:t>
      </w:r>
    </w:p>
    <w:p w14:paraId="2B31715F" w14:textId="77777777" w:rsidR="007373F6" w:rsidRDefault="00000000" w:rsidP="00E113CF">
      <w:pPr>
        <w:widowControl w:val="0"/>
        <w:spacing w:after="0" w:line="271" w:lineRule="auto"/>
        <w:ind w:firstLine="426"/>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H</w:t>
      </w:r>
      <w:r w:rsidRPr="00E113CF">
        <w:rPr>
          <w:rFonts w:ascii="Times New Roman" w:eastAsia="Times New Roman" w:hAnsi="Times New Roman" w:cs="Times New Roman"/>
          <w:b/>
          <w:sz w:val="24"/>
          <w:szCs w:val="24"/>
          <w:vertAlign w:val="subscript"/>
        </w:rPr>
        <w:t>1</w:t>
      </w:r>
      <w:r>
        <w:rPr>
          <w:rFonts w:ascii="Times New Roman" w:eastAsia="Times New Roman" w:hAnsi="Times New Roman" w:cs="Times New Roman"/>
          <w:b/>
          <w:sz w:val="24"/>
          <w:szCs w:val="24"/>
        </w:rPr>
        <w:t xml:space="preserve">: </w:t>
      </w:r>
      <w:r w:rsidRPr="00E113CF">
        <w:rPr>
          <w:rFonts w:ascii="Times New Roman" w:eastAsia="Times New Roman" w:hAnsi="Times New Roman" w:cs="Times New Roman"/>
          <w:bCs/>
          <w:sz w:val="24"/>
          <w:szCs w:val="24"/>
        </w:rPr>
        <w:t>MD&amp;A readability in Japanese firms declines after the introduction of KAM disclosures.</w:t>
      </w:r>
    </w:p>
    <w:p w14:paraId="22D70981" w14:textId="77777777" w:rsidR="007373F6" w:rsidRDefault="007373F6" w:rsidP="00E113CF">
      <w:pPr>
        <w:widowControl w:val="0"/>
        <w:spacing w:after="0" w:line="271" w:lineRule="auto"/>
        <w:ind w:firstLine="426"/>
        <w:jc w:val="both"/>
        <w:rPr>
          <w:rFonts w:ascii="Times New Roman" w:eastAsia="Times New Roman" w:hAnsi="Times New Roman" w:cs="Times New Roman"/>
          <w:sz w:val="24"/>
          <w:szCs w:val="24"/>
        </w:rPr>
      </w:pPr>
    </w:p>
    <w:p w14:paraId="2E9451FC" w14:textId="77777777" w:rsidR="007373F6" w:rsidRDefault="00000000" w:rsidP="00E113CF">
      <w:pPr>
        <w:widowControl w:val="0"/>
        <w:spacing w:after="0" w:line="271"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introduction of KAM under ISA 701 has attracted growing academic interest. Smith (2023) finds that when auditors perceive the expanded audit report as a communicative tool, they adopt clearer, more accessible language, leading to measurable improvements in readability. Similarly, </w:t>
      </w:r>
      <w:proofErr w:type="spellStart"/>
      <w:r>
        <w:rPr>
          <w:rFonts w:ascii="Times New Roman" w:eastAsia="Times New Roman" w:hAnsi="Times New Roman" w:cs="Times New Roman"/>
          <w:sz w:val="24"/>
          <w:szCs w:val="24"/>
        </w:rPr>
        <w:t>Kosaiyakanont</w:t>
      </w:r>
      <w:proofErr w:type="spellEnd"/>
      <w:r>
        <w:rPr>
          <w:rFonts w:ascii="Times New Roman" w:eastAsia="Times New Roman" w:hAnsi="Times New Roman" w:cs="Times New Roman"/>
          <w:sz w:val="24"/>
          <w:szCs w:val="24"/>
        </w:rPr>
        <w:t xml:space="preserve"> et al. (2024) report that KAM disclosures in Asia–Pacific jurisdictions enhance communicative effectiveness. In contrast, Chen et al. (2024) observe that in firms with strong managerial discretion, KAM readability deteriorates after implementation, suggesting that auditor–client relationships may influence disclosure clarity. Given these mixed findings, it remains unclear whether KAM readability in Japanese firms improves or deteriorates over time following implementation.</w:t>
      </w:r>
    </w:p>
    <w:p w14:paraId="0B1A0C43" w14:textId="77777777" w:rsidR="007373F6" w:rsidRPr="00E113CF" w:rsidRDefault="00000000" w:rsidP="00E113CF">
      <w:pPr>
        <w:widowControl w:val="0"/>
        <w:spacing w:after="0" w:line="271" w:lineRule="auto"/>
        <w:ind w:firstLine="426"/>
        <w:jc w:val="both"/>
        <w:rPr>
          <w:rFonts w:ascii="Times New Roman" w:eastAsia="Times New Roman" w:hAnsi="Times New Roman" w:cs="Times New Roman"/>
          <w:bCs/>
          <w:sz w:val="24"/>
          <w:szCs w:val="24"/>
        </w:rPr>
      </w:pPr>
      <w:r>
        <w:rPr>
          <w:rFonts w:ascii="Times New Roman" w:eastAsia="Times New Roman" w:hAnsi="Times New Roman" w:cs="Times New Roman"/>
          <w:b/>
          <w:sz w:val="24"/>
          <w:szCs w:val="24"/>
        </w:rPr>
        <w:t>H</w:t>
      </w:r>
      <w:r w:rsidRPr="00E113CF">
        <w:rPr>
          <w:rFonts w:ascii="Times New Roman" w:eastAsia="Times New Roman" w:hAnsi="Times New Roman" w:cs="Times New Roman"/>
          <w:b/>
          <w:sz w:val="24"/>
          <w:szCs w:val="24"/>
          <w:vertAlign w:val="subscript"/>
        </w:rPr>
        <w:t>2</w:t>
      </w:r>
      <w:r>
        <w:rPr>
          <w:rFonts w:ascii="Times New Roman" w:eastAsia="Times New Roman" w:hAnsi="Times New Roman" w:cs="Times New Roman"/>
          <w:b/>
          <w:sz w:val="24"/>
          <w:szCs w:val="24"/>
        </w:rPr>
        <w:t xml:space="preserve">: </w:t>
      </w:r>
      <w:r w:rsidRPr="00E113CF">
        <w:rPr>
          <w:rFonts w:ascii="Times New Roman" w:eastAsia="Times New Roman" w:hAnsi="Times New Roman" w:cs="Times New Roman"/>
          <w:bCs/>
          <w:sz w:val="24"/>
          <w:szCs w:val="24"/>
        </w:rPr>
        <w:t>The readability of KAM disclosures in Japanese firms does not improve over time after the introduction of the KAM disclosure system.</w:t>
      </w:r>
    </w:p>
    <w:p w14:paraId="01552668" w14:textId="77777777" w:rsidR="007373F6" w:rsidRPr="00E113CF" w:rsidRDefault="007373F6" w:rsidP="00E113CF">
      <w:pPr>
        <w:widowControl w:val="0"/>
        <w:spacing w:after="0" w:line="271" w:lineRule="auto"/>
        <w:ind w:firstLine="426"/>
        <w:jc w:val="both"/>
        <w:rPr>
          <w:rFonts w:ascii="Times New Roman" w:eastAsia="Times New Roman" w:hAnsi="Times New Roman" w:cs="Times New Roman"/>
          <w:bCs/>
          <w:sz w:val="24"/>
          <w:szCs w:val="24"/>
        </w:rPr>
      </w:pPr>
    </w:p>
    <w:p w14:paraId="3AAF22DF" w14:textId="77777777" w:rsidR="007373F6" w:rsidRDefault="00000000" w:rsidP="00E113CF">
      <w:pPr>
        <w:widowControl w:val="0"/>
        <w:spacing w:after="0" w:line="271"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Pinello et al. (2020) examine the overlap between accounting estimates in MD&amp;A and those identified as KAMs, finding substantial alignment in narrative focus. Such alignment </w:t>
      </w:r>
      <w:r>
        <w:rPr>
          <w:rFonts w:ascii="Times New Roman" w:eastAsia="Times New Roman" w:hAnsi="Times New Roman" w:cs="Times New Roman"/>
          <w:sz w:val="24"/>
          <w:szCs w:val="24"/>
        </w:rPr>
        <w:lastRenderedPageBreak/>
        <w:t>may indicate consistency in disclosure themes and, potentially, in textual characteristics such as readability. If MD&amp;A and KAM readability are positively correlated, it may suggest a shared communicative orientation or mutual influence between managers and auditors, despite the formal independence of the two disclosures.</w:t>
      </w:r>
    </w:p>
    <w:p w14:paraId="1659B237" w14:textId="39B986E0" w:rsidR="007373F6" w:rsidRDefault="00000000" w:rsidP="00E113CF">
      <w:pPr>
        <w:widowControl w:val="0"/>
        <w:spacing w:after="0" w:line="271" w:lineRule="auto"/>
        <w:ind w:firstLine="426"/>
        <w:jc w:val="both"/>
        <w:rPr>
          <w:rFonts w:ascii="Times New Roman" w:eastAsia="Times New Roman" w:hAnsi="Times New Roman" w:cs="Times New Roman"/>
          <w:bCs/>
          <w:sz w:val="24"/>
          <w:szCs w:val="24"/>
        </w:rPr>
      </w:pPr>
      <w:r>
        <w:rPr>
          <w:rFonts w:ascii="Times New Roman" w:eastAsia="Times New Roman" w:hAnsi="Times New Roman" w:cs="Times New Roman"/>
          <w:b/>
          <w:sz w:val="24"/>
          <w:szCs w:val="24"/>
        </w:rPr>
        <w:t>H</w:t>
      </w:r>
      <w:r w:rsidRPr="00E113CF">
        <w:rPr>
          <w:rFonts w:ascii="Times New Roman" w:eastAsia="Times New Roman" w:hAnsi="Times New Roman" w:cs="Times New Roman"/>
          <w:b/>
          <w:sz w:val="24"/>
          <w:szCs w:val="24"/>
          <w:vertAlign w:val="subscript"/>
        </w:rPr>
        <w:t>3</w:t>
      </w:r>
      <w:r w:rsidRPr="00E113CF">
        <w:rPr>
          <w:rFonts w:ascii="Times New Roman" w:eastAsia="Times New Roman" w:hAnsi="Times New Roman" w:cs="Times New Roman"/>
          <w:b/>
          <w:sz w:val="24"/>
          <w:szCs w:val="24"/>
        </w:rPr>
        <w:t>:</w:t>
      </w:r>
      <w:r w:rsidRPr="00E113CF">
        <w:rPr>
          <w:rFonts w:ascii="Times New Roman" w:eastAsia="Times New Roman" w:hAnsi="Times New Roman" w:cs="Times New Roman"/>
          <w:bCs/>
          <w:sz w:val="24"/>
          <w:szCs w:val="24"/>
        </w:rPr>
        <w:t xml:space="preserve"> The readability of MD&amp;A and KAM disclosures is positively correlated.</w:t>
      </w:r>
    </w:p>
    <w:p w14:paraId="20182659" w14:textId="77777777" w:rsidR="00E113CF" w:rsidRPr="00E113CF" w:rsidRDefault="00E113CF" w:rsidP="00E113CF">
      <w:pPr>
        <w:widowControl w:val="0"/>
        <w:spacing w:after="0" w:line="271" w:lineRule="auto"/>
        <w:ind w:firstLine="426"/>
        <w:jc w:val="both"/>
        <w:rPr>
          <w:rFonts w:ascii="Times New Roman" w:eastAsia="Times New Roman" w:hAnsi="Times New Roman" w:cs="Times New Roman"/>
          <w:bCs/>
          <w:sz w:val="24"/>
          <w:szCs w:val="24"/>
        </w:rPr>
      </w:pPr>
    </w:p>
    <w:p w14:paraId="205C68EB" w14:textId="1253F3B8" w:rsidR="007373F6" w:rsidRDefault="00000000" w:rsidP="00856618">
      <w:pPr>
        <w:widowControl w:val="0"/>
        <w:numPr>
          <w:ilvl w:val="0"/>
          <w:numId w:val="23"/>
        </w:numPr>
        <w:tabs>
          <w:tab w:val="left" w:pos="286"/>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METHODOLOGY</w:t>
      </w:r>
    </w:p>
    <w:p w14:paraId="3266BD06" w14:textId="77777777" w:rsidR="00E113CF" w:rsidRPr="00E113CF" w:rsidRDefault="00E113CF" w:rsidP="00E113CF">
      <w:pPr>
        <w:widowControl w:val="0"/>
        <w:tabs>
          <w:tab w:val="left" w:pos="286"/>
        </w:tabs>
        <w:spacing w:after="0" w:line="240" w:lineRule="auto"/>
        <w:ind w:left="466"/>
        <w:rPr>
          <w:rFonts w:ascii="Times New Roman" w:eastAsia="Times New Roman" w:hAnsi="Times New Roman" w:cs="Times New Roman"/>
          <w:b/>
          <w:sz w:val="24"/>
          <w:szCs w:val="24"/>
        </w:rPr>
      </w:pPr>
    </w:p>
    <w:p w14:paraId="1431D085" w14:textId="56AE094B" w:rsidR="007373F6" w:rsidRDefault="00000000" w:rsidP="00E113CF">
      <w:pPr>
        <w:widowControl w:val="0"/>
        <w:spacing w:after="0" w:line="240" w:lineRule="auto"/>
        <w:ind w:left="426" w:hanging="426"/>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3.1</w:t>
      </w:r>
      <w:r w:rsidR="00E113CF">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Sample Selection</w:t>
      </w:r>
    </w:p>
    <w:p w14:paraId="56194D4A" w14:textId="77777777" w:rsidR="007373F6" w:rsidRDefault="00000000" w:rsidP="00E113CF">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study examines Japanese listed firms that submitted securities reports through EDINET between 2020 and 2023, excluding those in the finance and insurance industries. Our sample includes firms that adopt IFRS or US GAAP. MD&amp;A and KAM texts are automatically retrieved from EDINET in CSV format, and the readability metrics—Word diversity and kanji rate—are computed using text analysis procedures.</w:t>
      </w:r>
    </w:p>
    <w:p w14:paraId="23B6FAF5" w14:textId="77777777" w:rsidR="007373F6" w:rsidRDefault="00000000">
      <w:pPr>
        <w:widowControl w:val="0"/>
        <w:spacing w:after="0" w:line="240" w:lineRule="auto"/>
        <w:ind w:firstLine="466"/>
        <w:jc w:val="both"/>
        <w:rPr>
          <w:rFonts w:ascii="Times New Roman" w:eastAsia="Times New Roman" w:hAnsi="Times New Roman" w:cs="Times New Roman"/>
          <w:sz w:val="24"/>
          <w:szCs w:val="24"/>
        </w:rPr>
      </w:pPr>
      <w:bookmarkStart w:id="99" w:name="_heading=h.oo4f7kz51o7k" w:colFirst="0" w:colLast="0"/>
      <w:bookmarkEnd w:id="99"/>
      <w:r>
        <w:rPr>
          <w:rFonts w:ascii="Times New Roman" w:eastAsia="Times New Roman" w:hAnsi="Times New Roman" w:cs="Times New Roman"/>
          <w:sz w:val="24"/>
          <w:szCs w:val="24"/>
        </w:rPr>
        <w:t>In interpreting the results of this study, it is also worth noting that the analysis was conducted using a robust dataset comprising over 3,600 listed firms per year. Specifically, the final sample included 3,801 firms in 2020, 3,680 in 2021, 3,714 in 2022, and 3,740 in 2023, as summarized in Table 2. By covering almost all Japanese listed firms with available annual securities reports on EDINET, this study minimizes sampling bias and ensures generalizability across industries and firm sizes. This comprehensive coverage further strengthens the validity of the findings and provides a solid foundation for future comparative research across jurisdictions or periods.</w:t>
      </w:r>
    </w:p>
    <w:p w14:paraId="3DC65222" w14:textId="77777777" w:rsidR="007373F6" w:rsidRDefault="007373F6">
      <w:pPr>
        <w:widowControl w:val="0"/>
        <w:spacing w:after="0" w:line="240" w:lineRule="auto"/>
        <w:jc w:val="both"/>
        <w:rPr>
          <w:rFonts w:ascii="Times New Roman" w:eastAsia="Times New Roman" w:hAnsi="Times New Roman" w:cs="Times New Roman"/>
          <w:i/>
          <w:sz w:val="24"/>
          <w:szCs w:val="24"/>
        </w:rPr>
      </w:pPr>
    </w:p>
    <w:p w14:paraId="7C49C6FA" w14:textId="36CBAA8B" w:rsidR="007373F6" w:rsidRPr="00E113CF" w:rsidRDefault="00000000" w:rsidP="00856618">
      <w:pPr>
        <w:pStyle w:val="ListParagraph"/>
        <w:widowControl w:val="0"/>
        <w:numPr>
          <w:ilvl w:val="1"/>
          <w:numId w:val="36"/>
        </w:numPr>
        <w:spacing w:after="0" w:line="240" w:lineRule="auto"/>
        <w:ind w:left="426" w:hanging="426"/>
        <w:jc w:val="both"/>
        <w:rPr>
          <w:rFonts w:ascii="Times New Roman" w:eastAsia="Times New Roman" w:hAnsi="Times New Roman" w:cs="Times New Roman"/>
          <w:b/>
          <w:color w:val="000000"/>
          <w:sz w:val="24"/>
          <w:szCs w:val="24"/>
        </w:rPr>
      </w:pPr>
      <w:r w:rsidRPr="00E113CF">
        <w:rPr>
          <w:rFonts w:ascii="Times New Roman" w:eastAsia="Times New Roman" w:hAnsi="Times New Roman" w:cs="Times New Roman"/>
          <w:b/>
          <w:sz w:val="24"/>
          <w:szCs w:val="24"/>
        </w:rPr>
        <w:t>Measurement of Readability</w:t>
      </w:r>
    </w:p>
    <w:p w14:paraId="356362DA" w14:textId="77777777" w:rsidR="007373F6" w:rsidRDefault="00000000" w:rsidP="00E113CF">
      <w:pPr>
        <w:widowControl w:val="0"/>
        <w:spacing w:after="0" w:line="240" w:lineRule="auto"/>
        <w:ind w:firstLine="4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study employs two main textual readability metrics. Each metric is defined and measured as follows:</w:t>
      </w:r>
    </w:p>
    <w:p w14:paraId="40D40CC1" w14:textId="77777777" w:rsidR="007373F6" w:rsidRDefault="00000000" w:rsidP="00E113CF">
      <w:pPr>
        <w:widowControl w:val="0"/>
        <w:spacing w:after="0" w:line="240" w:lineRule="auto"/>
        <w:ind w:firstLine="466"/>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Word Diversity</w:t>
      </w:r>
      <w:r>
        <w:rPr>
          <w:rFonts w:ascii="Times New Roman" w:eastAsia="Times New Roman" w:hAnsi="Times New Roman" w:cs="Times New Roman"/>
          <w:sz w:val="24"/>
          <w:szCs w:val="24"/>
        </w:rPr>
        <w:t>: This variable assumes that, for texts of the same length, greater lexical variation corresponds to lower readability. Since MD&amp;A and KAM disclosures differ in length across firms, variations in sentence length could naturally affect vocabulary usage. To normalize this effect, Word diversity is calculated as the ratio of the number of unique word types to the total number of words.</w:t>
      </w:r>
    </w:p>
    <w:p w14:paraId="21FA0D80" w14:textId="77777777" w:rsidR="007373F6" w:rsidRDefault="00000000" w:rsidP="00E113CF">
      <w:pPr>
        <w:widowControl w:val="0"/>
        <w:spacing w:after="0" w:line="240" w:lineRule="auto"/>
        <w:ind w:firstLine="466"/>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Kanji Rate</w:t>
      </w:r>
      <w:r>
        <w:rPr>
          <w:rFonts w:ascii="Times New Roman" w:eastAsia="Times New Roman" w:hAnsi="Times New Roman" w:cs="Times New Roman"/>
          <w:sz w:val="24"/>
          <w:szCs w:val="24"/>
        </w:rPr>
        <w:t>: Japanese text consists of three primary character types: hiragana, katakana, and kanji. Kanji is often used for technical, abstract, or complex expressions, especially in formal disclosures. Therefore, we interpret a higher frequency of kanji characters as indicative of lower readability. The kanji rate is calculated by dividing the number of kanji characters by the total number of hiragana, katakana, and kanji characters combined.</w:t>
      </w:r>
    </w:p>
    <w:p w14:paraId="10E4A29F" w14:textId="77777777" w:rsidR="007373F6" w:rsidRDefault="007373F6">
      <w:pPr>
        <w:widowControl w:val="0"/>
        <w:spacing w:after="0" w:line="240" w:lineRule="auto"/>
        <w:jc w:val="both"/>
        <w:rPr>
          <w:rFonts w:ascii="Times New Roman" w:eastAsia="Times New Roman" w:hAnsi="Times New Roman" w:cs="Times New Roman"/>
          <w:sz w:val="24"/>
          <w:szCs w:val="24"/>
        </w:rPr>
      </w:pPr>
    </w:p>
    <w:p w14:paraId="2E3F6D4D" w14:textId="77777777" w:rsidR="007373F6" w:rsidRDefault="00000000">
      <w:pPr>
        <w:widowControl w:val="0"/>
        <w:spacing w:after="20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4. RESULTS</w:t>
      </w:r>
    </w:p>
    <w:p w14:paraId="5250FE02" w14:textId="5E668101" w:rsidR="007373F6" w:rsidRPr="00E113CF" w:rsidRDefault="00E113CF">
      <w:pPr>
        <w:widowControl w:val="0"/>
        <w:spacing w:after="0" w:line="240" w:lineRule="auto"/>
        <w:jc w:val="both"/>
        <w:rPr>
          <w:rFonts w:ascii="Times New Roman" w:eastAsia="Times New Roman" w:hAnsi="Times New Roman" w:cs="Times New Roman"/>
          <w:b/>
          <w:bCs/>
          <w:iCs/>
          <w:sz w:val="24"/>
          <w:szCs w:val="24"/>
        </w:rPr>
      </w:pPr>
      <w:r>
        <w:rPr>
          <w:rFonts w:ascii="Times New Roman" w:eastAsia="Times New Roman" w:hAnsi="Times New Roman" w:cs="Times New Roman"/>
          <w:b/>
          <w:bCs/>
          <w:iCs/>
          <w:sz w:val="24"/>
          <w:szCs w:val="24"/>
        </w:rPr>
        <w:t xml:space="preserve">4.1 </w:t>
      </w:r>
      <w:r w:rsidRPr="00E113CF">
        <w:rPr>
          <w:rFonts w:ascii="Times New Roman" w:eastAsia="Times New Roman" w:hAnsi="Times New Roman" w:cs="Times New Roman"/>
          <w:b/>
          <w:bCs/>
          <w:iCs/>
          <w:sz w:val="24"/>
          <w:szCs w:val="24"/>
        </w:rPr>
        <w:t>Test of H1 – MD&amp;A Readability after KAM Introduction</w:t>
      </w:r>
    </w:p>
    <w:p w14:paraId="082D872B" w14:textId="77777777" w:rsidR="007373F6" w:rsidRDefault="00000000" w:rsidP="00E113CF">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Hypothesis 1 proposed that the readability of MD&amp;A sections in Japanese firms would decline after the introduction of KAM disclosures. Empirical analysis shows no statistically significant change in Word diversity, while the kanji rate decreased significantly. These results do not support H1, indicating no consistent evidence of deliberate obfuscation. Instead, the findings suggest that managers may not have perceived KAM as a disclosure threat and may have sought to improve MD&amp;A accessibility for financial statement users.</w:t>
      </w:r>
    </w:p>
    <w:p w14:paraId="55A73A70" w14:textId="77777777" w:rsidR="007373F6" w:rsidRDefault="007373F6" w:rsidP="00E113CF">
      <w:pPr>
        <w:widowControl w:val="0"/>
        <w:spacing w:after="0" w:line="240" w:lineRule="auto"/>
        <w:ind w:firstLine="426"/>
        <w:jc w:val="both"/>
        <w:rPr>
          <w:rFonts w:ascii="Times New Roman" w:eastAsia="Times New Roman" w:hAnsi="Times New Roman" w:cs="Times New Roman"/>
          <w:sz w:val="24"/>
          <w:szCs w:val="24"/>
        </w:rPr>
      </w:pPr>
    </w:p>
    <w:p w14:paraId="0B79AEE9" w14:textId="72FCC90E" w:rsidR="007373F6" w:rsidRPr="00E113CF" w:rsidRDefault="00E113CF" w:rsidP="00E113CF">
      <w:pPr>
        <w:widowControl w:val="0"/>
        <w:spacing w:after="0" w:line="240" w:lineRule="auto"/>
        <w:jc w:val="both"/>
        <w:rPr>
          <w:rFonts w:ascii="Times New Roman" w:eastAsia="Times New Roman" w:hAnsi="Times New Roman" w:cs="Times New Roman"/>
          <w:b/>
          <w:bCs/>
          <w:iCs/>
          <w:sz w:val="24"/>
          <w:szCs w:val="24"/>
        </w:rPr>
      </w:pPr>
      <w:r>
        <w:rPr>
          <w:rFonts w:ascii="Times New Roman" w:eastAsia="Times New Roman" w:hAnsi="Times New Roman" w:cs="Times New Roman"/>
          <w:b/>
          <w:bCs/>
          <w:iCs/>
          <w:sz w:val="24"/>
          <w:szCs w:val="24"/>
        </w:rPr>
        <w:t xml:space="preserve">4.2 </w:t>
      </w:r>
      <w:r w:rsidRPr="00E113CF">
        <w:rPr>
          <w:rFonts w:ascii="Times New Roman" w:eastAsia="Times New Roman" w:hAnsi="Times New Roman" w:cs="Times New Roman"/>
          <w:b/>
          <w:bCs/>
          <w:iCs/>
          <w:sz w:val="24"/>
          <w:szCs w:val="24"/>
        </w:rPr>
        <w:t>Test of H2 – Changes in KAM Readability over Time</w:t>
      </w:r>
    </w:p>
    <w:p w14:paraId="5637DA6A" w14:textId="77777777" w:rsidR="007373F6" w:rsidRDefault="00000000" w:rsidP="00E113CF">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Hypothesis 2 predicted that KAM readability would remain stable over time. Contrary to this expectation, results (Figure 1) reveal a steady improvement in readability across the post-</w:t>
      </w:r>
      <w:r>
        <w:rPr>
          <w:rFonts w:ascii="Times New Roman" w:eastAsia="Times New Roman" w:hAnsi="Times New Roman" w:cs="Times New Roman"/>
          <w:sz w:val="24"/>
          <w:szCs w:val="24"/>
        </w:rPr>
        <w:lastRenderedPageBreak/>
        <w:t>KAM years. This trend suggests that auditors, with growing experience under the KAM regime, have enhanced language clarity, terminology selection, and structural organization. The findings imply that KAM has evolved beyond a compliance requirement to actively strengthen communication between auditors and financial statement users.</w:t>
      </w:r>
    </w:p>
    <w:p w14:paraId="37C2F012" w14:textId="77777777" w:rsidR="007373F6" w:rsidRDefault="007373F6">
      <w:pPr>
        <w:widowControl w:val="0"/>
        <w:spacing w:after="0" w:line="240" w:lineRule="auto"/>
        <w:jc w:val="both"/>
        <w:rPr>
          <w:rFonts w:ascii="Times New Roman" w:eastAsia="Times New Roman" w:hAnsi="Times New Roman" w:cs="Times New Roman"/>
          <w:sz w:val="24"/>
          <w:szCs w:val="24"/>
        </w:rPr>
      </w:pPr>
    </w:p>
    <w:p w14:paraId="4C80BB07" w14:textId="3AA0F5DE" w:rsidR="007373F6" w:rsidRPr="00E113CF" w:rsidRDefault="00E113CF">
      <w:pPr>
        <w:widowControl w:val="0"/>
        <w:spacing w:after="0" w:line="240" w:lineRule="auto"/>
        <w:jc w:val="both"/>
        <w:rPr>
          <w:rFonts w:ascii="Times New Roman" w:eastAsia="Times New Roman" w:hAnsi="Times New Roman" w:cs="Times New Roman"/>
          <w:b/>
          <w:bCs/>
          <w:iCs/>
          <w:sz w:val="24"/>
          <w:szCs w:val="24"/>
        </w:rPr>
      </w:pPr>
      <w:r>
        <w:rPr>
          <w:rFonts w:ascii="Times New Roman" w:eastAsia="Times New Roman" w:hAnsi="Times New Roman" w:cs="Times New Roman"/>
          <w:b/>
          <w:bCs/>
          <w:iCs/>
          <w:sz w:val="24"/>
          <w:szCs w:val="24"/>
        </w:rPr>
        <w:t xml:space="preserve">4.3 </w:t>
      </w:r>
      <w:r w:rsidRPr="00E113CF">
        <w:rPr>
          <w:rFonts w:ascii="Times New Roman" w:eastAsia="Times New Roman" w:hAnsi="Times New Roman" w:cs="Times New Roman"/>
          <w:b/>
          <w:bCs/>
          <w:iCs/>
          <w:sz w:val="24"/>
          <w:szCs w:val="24"/>
        </w:rPr>
        <w:t>Test of H3 – Correlation between MD&amp;A and KAM Readability</w:t>
      </w:r>
    </w:p>
    <w:p w14:paraId="0193E93E" w14:textId="77777777" w:rsidR="007373F6" w:rsidRDefault="00000000" w:rsidP="00E113CF">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Hypothesis 3 posited a positive correlation between the readability of MD&amp;A and KAM disclosures. Statistical tests (Figure 2) confirm a significant—though modest—positive correlation for both Word diversity (r = 0.102, p &lt; 0.001) and kanji rate (r = 0.290, p &lt; 0.001). This alignment likely reflects a shared commitment to user-oriented communication, rather than any coordinated action that could undermine auditor independence. While notable differences remain due to distinct authorship and objectives, the results point to a gradual enhancement of overall disclosure quality.</w:t>
      </w:r>
    </w:p>
    <w:p w14:paraId="2267A001" w14:textId="77777777" w:rsidR="007373F6" w:rsidRDefault="007373F6">
      <w:pPr>
        <w:widowControl w:val="0"/>
        <w:spacing w:after="0" w:line="240" w:lineRule="auto"/>
        <w:jc w:val="both"/>
        <w:rPr>
          <w:rFonts w:ascii="Times New Roman" w:eastAsia="Times New Roman" w:hAnsi="Times New Roman" w:cs="Times New Roman"/>
          <w:sz w:val="24"/>
          <w:szCs w:val="24"/>
        </w:rPr>
      </w:pPr>
    </w:p>
    <w:p w14:paraId="7C720DD8" w14:textId="77777777" w:rsidR="007373F6" w:rsidRDefault="00000000" w:rsidP="00856618">
      <w:pPr>
        <w:widowControl w:val="0"/>
        <w:numPr>
          <w:ilvl w:val="0"/>
          <w:numId w:val="5"/>
        </w:numPr>
        <w:spacing w:after="20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CONCLUSIONS</w:t>
      </w:r>
    </w:p>
    <w:p w14:paraId="3E8A07C0" w14:textId="77777777" w:rsidR="007373F6" w:rsidRDefault="00000000">
      <w:pPr>
        <w:widowControl w:val="0"/>
        <w:spacing w:after="0" w:line="240" w:lineRule="auto"/>
        <w:ind w:firstLine="36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study examines whether the introduction of KAM disclosures in Japan influenced the readability of MD&amp;A sections and the readability of KAM disclosures themselves, using a sample of Japanese listed firms before and after the implementation of KAM requirements. By employing a difference-in-differences approach, we find that MD&amp;A readability significantly improved in the post-KAM period, supporting the notion that heightened auditor communication requirements can have a spillover effect on managerial narrative </w:t>
      </w:r>
      <w:proofErr w:type="spellStart"/>
      <w:r>
        <w:rPr>
          <w:rFonts w:ascii="Times New Roman" w:eastAsia="Times New Roman" w:hAnsi="Times New Roman" w:cs="Times New Roman"/>
          <w:sz w:val="24"/>
          <w:szCs w:val="24"/>
        </w:rPr>
        <w:t>disclosures.Although</w:t>
      </w:r>
      <w:proofErr w:type="spellEnd"/>
      <w:r>
        <w:rPr>
          <w:rFonts w:ascii="Times New Roman" w:eastAsia="Times New Roman" w:hAnsi="Times New Roman" w:cs="Times New Roman"/>
          <w:sz w:val="24"/>
          <w:szCs w:val="24"/>
        </w:rPr>
        <w:t xml:space="preserve"> KAM readability also improved in the post-KAM period, the change is not statistically significant, suggesting that the complexity of KAM disclosures may be more influenced by auditor reporting conventions and regulatory expectations than by managerial communication style. Furthermore, we find a positive and significant association between MD&amp;A readability and KAM readability, indicating that readability is an inherent characteristic of a firm’s disclosure practices across different reporting sections.</w:t>
      </w:r>
    </w:p>
    <w:p w14:paraId="50581EC0" w14:textId="77777777" w:rsidR="007373F6" w:rsidRDefault="00000000">
      <w:pPr>
        <w:widowControl w:val="0"/>
        <w:spacing w:after="0" w:line="240" w:lineRule="auto"/>
        <w:ind w:firstLine="36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These findings contribute to the literature on disclosure quality by providing empirical evidence from Japan that KAM requirements can indirectly enhance the transparency of other narrative sections, such as MD&amp;A, beyond their primary auditor reporting purpose. For policymakers and regulators, the results highlight the potential for integrated disclosure reforms to promote more accessible and informative corporate reporting.</w:t>
      </w:r>
    </w:p>
    <w:p w14:paraId="5FA088F6" w14:textId="77777777" w:rsidR="007373F6" w:rsidRDefault="00000000">
      <w:pPr>
        <w:widowControl w:val="0"/>
        <w:spacing w:after="0" w:line="240" w:lineRule="auto"/>
        <w:ind w:firstLine="36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Future research could extend this study by examining whether improvements in readability translate into better investor decision-making or lower information asymmetry, and by </w:t>
      </w:r>
      <w:proofErr w:type="spellStart"/>
      <w:r>
        <w:rPr>
          <w:rFonts w:ascii="Times New Roman" w:eastAsia="Times New Roman" w:hAnsi="Times New Roman" w:cs="Times New Roman"/>
          <w:sz w:val="24"/>
          <w:szCs w:val="24"/>
        </w:rPr>
        <w:t>analyzing</w:t>
      </w:r>
      <w:proofErr w:type="spellEnd"/>
      <w:r>
        <w:rPr>
          <w:rFonts w:ascii="Times New Roman" w:eastAsia="Times New Roman" w:hAnsi="Times New Roman" w:cs="Times New Roman"/>
          <w:sz w:val="24"/>
          <w:szCs w:val="24"/>
        </w:rPr>
        <w:t xml:space="preserve"> whether readability effects persist over the long term. In addition, investigating how the linguistic features of KAM disclosures interact with market reactions would provide further insights into the informational value of these new reporting elements.</w:t>
      </w:r>
    </w:p>
    <w:p w14:paraId="2CB31DB6" w14:textId="77777777" w:rsidR="007373F6" w:rsidRDefault="007373F6">
      <w:pPr>
        <w:widowControl w:val="0"/>
        <w:spacing w:before="4" w:after="0" w:line="240" w:lineRule="auto"/>
        <w:jc w:val="both"/>
        <w:rPr>
          <w:rFonts w:ascii="Times New Roman" w:eastAsia="Times New Roman" w:hAnsi="Times New Roman" w:cs="Times New Roman"/>
          <w:sz w:val="20"/>
          <w:szCs w:val="20"/>
        </w:rPr>
      </w:pPr>
    </w:p>
    <w:p w14:paraId="175E1E15" w14:textId="77777777" w:rsidR="00E113CF" w:rsidRDefault="00E113CF">
      <w:pPr>
        <w:widowControl w:val="0"/>
        <w:spacing w:line="240" w:lineRule="auto"/>
        <w:jc w:val="center"/>
        <w:rPr>
          <w:rFonts w:ascii="Times New Roman" w:eastAsia="Times New Roman" w:hAnsi="Times New Roman" w:cs="Times New Roman"/>
          <w:b/>
          <w:sz w:val="24"/>
          <w:szCs w:val="24"/>
        </w:rPr>
      </w:pPr>
    </w:p>
    <w:p w14:paraId="6E878882" w14:textId="4E51134C" w:rsidR="007373F6" w:rsidRDefault="00000000">
      <w:pPr>
        <w:widowControl w:val="0"/>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REFERENCES</w:t>
      </w:r>
    </w:p>
    <w:p w14:paraId="27011327" w14:textId="77777777" w:rsidR="00E113CF" w:rsidRPr="00E113CF" w:rsidRDefault="00E113CF" w:rsidP="00E113CF">
      <w:pPr>
        <w:widowControl w:val="0"/>
        <w:spacing w:before="66" w:after="0" w:line="268" w:lineRule="auto"/>
        <w:ind w:left="720" w:hanging="720"/>
        <w:jc w:val="both"/>
        <w:rPr>
          <w:rFonts w:ascii="Times New Roman" w:eastAsia="Times New Roman" w:hAnsi="Times New Roman" w:cs="Times New Roman"/>
          <w:sz w:val="24"/>
          <w:szCs w:val="24"/>
        </w:rPr>
      </w:pPr>
      <w:r w:rsidRPr="00E113CF">
        <w:rPr>
          <w:rFonts w:ascii="Times New Roman" w:eastAsia="Times New Roman" w:hAnsi="Times New Roman" w:cs="Times New Roman"/>
          <w:sz w:val="24"/>
          <w:szCs w:val="24"/>
        </w:rPr>
        <w:t xml:space="preserve">Bazerman, M. H., and D.A. Moore. 2012. </w:t>
      </w:r>
      <w:r w:rsidRPr="00E113CF">
        <w:rPr>
          <w:rFonts w:ascii="Times New Roman" w:eastAsia="Times New Roman" w:hAnsi="Times New Roman" w:cs="Times New Roman"/>
          <w:i/>
          <w:sz w:val="24"/>
          <w:szCs w:val="24"/>
        </w:rPr>
        <w:t>Judgment in Managerial Decision Making</w:t>
      </w:r>
      <w:r w:rsidRPr="00E113CF">
        <w:rPr>
          <w:rFonts w:ascii="Times New Roman" w:eastAsia="Times New Roman" w:hAnsi="Times New Roman" w:cs="Times New Roman"/>
          <w:sz w:val="24"/>
          <w:szCs w:val="24"/>
        </w:rPr>
        <w:t xml:space="preserve"> (8th ed.). Wiley.</w:t>
      </w:r>
    </w:p>
    <w:p w14:paraId="6F489602" w14:textId="7FECF0A2" w:rsidR="00E113CF" w:rsidRPr="00E113CF" w:rsidRDefault="00E113CF" w:rsidP="00E113CF">
      <w:pPr>
        <w:widowControl w:val="0"/>
        <w:spacing w:before="66" w:after="0" w:line="268" w:lineRule="auto"/>
        <w:ind w:left="720" w:hanging="720"/>
        <w:jc w:val="both"/>
        <w:rPr>
          <w:rFonts w:ascii="Times New Roman" w:eastAsia="Times New Roman" w:hAnsi="Times New Roman" w:cs="Times New Roman"/>
          <w:sz w:val="24"/>
          <w:szCs w:val="24"/>
        </w:rPr>
      </w:pPr>
      <w:r w:rsidRPr="00E113CF">
        <w:rPr>
          <w:rFonts w:ascii="Times New Roman" w:eastAsia="Times New Roman" w:hAnsi="Times New Roman" w:cs="Times New Roman"/>
          <w:sz w:val="24"/>
          <w:szCs w:val="24"/>
        </w:rPr>
        <w:t xml:space="preserve">Bédard, J., N. Gonthier-Besacier, and </w:t>
      </w:r>
      <w:proofErr w:type="spellStart"/>
      <w:r w:rsidRPr="00E113CF">
        <w:rPr>
          <w:rFonts w:ascii="Times New Roman" w:eastAsia="Times New Roman" w:hAnsi="Times New Roman" w:cs="Times New Roman"/>
          <w:sz w:val="24"/>
          <w:szCs w:val="24"/>
        </w:rPr>
        <w:t>A.Schatt</w:t>
      </w:r>
      <w:proofErr w:type="spellEnd"/>
      <w:r w:rsidRPr="00E113CF">
        <w:rPr>
          <w:rFonts w:ascii="Times New Roman" w:eastAsia="Times New Roman" w:hAnsi="Times New Roman" w:cs="Times New Roman"/>
          <w:sz w:val="24"/>
          <w:szCs w:val="24"/>
        </w:rPr>
        <w:t>. 2019. Consequences of expanded audit reports:</w:t>
      </w:r>
      <w:r>
        <w:rPr>
          <w:rFonts w:ascii="Times New Roman" w:eastAsia="Times New Roman" w:hAnsi="Times New Roman" w:cs="Times New Roman"/>
          <w:sz w:val="24"/>
          <w:szCs w:val="24"/>
        </w:rPr>
        <w:t xml:space="preserve"> </w:t>
      </w:r>
      <w:r w:rsidRPr="00E113CF">
        <w:rPr>
          <w:rFonts w:ascii="Times New Roman" w:eastAsia="Times New Roman" w:hAnsi="Times New Roman" w:cs="Times New Roman"/>
          <w:sz w:val="24"/>
          <w:szCs w:val="24"/>
        </w:rPr>
        <w:t xml:space="preserve">Evidence from the justifications of assessments in France. </w:t>
      </w:r>
      <w:r w:rsidRPr="00E113CF">
        <w:rPr>
          <w:rFonts w:ascii="Times New Roman" w:eastAsia="Times New Roman" w:hAnsi="Times New Roman" w:cs="Times New Roman"/>
          <w:i/>
          <w:sz w:val="24"/>
          <w:szCs w:val="24"/>
        </w:rPr>
        <w:t>Auditing: A Journal of Practice</w:t>
      </w:r>
      <w:r>
        <w:rPr>
          <w:rFonts w:ascii="Times New Roman" w:eastAsia="Times New Roman" w:hAnsi="Times New Roman" w:cs="Times New Roman"/>
          <w:i/>
          <w:sz w:val="24"/>
          <w:szCs w:val="24"/>
        </w:rPr>
        <w:t xml:space="preserve"> </w:t>
      </w:r>
      <w:r w:rsidRPr="00E113CF">
        <w:rPr>
          <w:rFonts w:ascii="Times New Roman" w:eastAsia="Times New Roman" w:hAnsi="Times New Roman" w:cs="Times New Roman"/>
          <w:i/>
          <w:sz w:val="24"/>
          <w:szCs w:val="24"/>
        </w:rPr>
        <w:t>&amp; Theory</w:t>
      </w:r>
      <w:r w:rsidRPr="00E113CF">
        <w:rPr>
          <w:rFonts w:ascii="Times New Roman" w:eastAsia="Times New Roman" w:hAnsi="Times New Roman" w:cs="Times New Roman"/>
          <w:sz w:val="24"/>
          <w:szCs w:val="24"/>
        </w:rPr>
        <w:t xml:space="preserve"> 38(3):23–45.</w:t>
      </w:r>
    </w:p>
    <w:p w14:paraId="4EAFB892" w14:textId="1F405BD4" w:rsidR="00E113CF" w:rsidRPr="00E113CF" w:rsidRDefault="00E113CF" w:rsidP="00E113CF">
      <w:pPr>
        <w:widowControl w:val="0"/>
        <w:spacing w:before="66" w:after="0" w:line="268" w:lineRule="auto"/>
        <w:ind w:left="720" w:hanging="720"/>
        <w:jc w:val="both"/>
        <w:rPr>
          <w:rFonts w:ascii="Times New Roman" w:eastAsia="Times New Roman" w:hAnsi="Times New Roman" w:cs="Times New Roman"/>
          <w:sz w:val="24"/>
          <w:szCs w:val="24"/>
        </w:rPr>
      </w:pPr>
      <w:r w:rsidRPr="00E113CF">
        <w:rPr>
          <w:rFonts w:ascii="Times New Roman" w:eastAsia="Times New Roman" w:hAnsi="Times New Roman" w:cs="Times New Roman"/>
          <w:sz w:val="24"/>
          <w:szCs w:val="24"/>
        </w:rPr>
        <w:t xml:space="preserve">Chen, H., </w:t>
      </w:r>
      <w:proofErr w:type="spellStart"/>
      <w:r w:rsidRPr="00E113CF">
        <w:rPr>
          <w:rFonts w:ascii="Times New Roman" w:eastAsia="Times New Roman" w:hAnsi="Times New Roman" w:cs="Times New Roman"/>
          <w:sz w:val="24"/>
          <w:szCs w:val="24"/>
        </w:rPr>
        <w:t>R.Moroney</w:t>
      </w:r>
      <w:proofErr w:type="spellEnd"/>
      <w:r w:rsidRPr="00E113CF">
        <w:rPr>
          <w:rFonts w:ascii="Times New Roman" w:eastAsia="Times New Roman" w:hAnsi="Times New Roman" w:cs="Times New Roman"/>
          <w:sz w:val="24"/>
          <w:szCs w:val="24"/>
        </w:rPr>
        <w:t xml:space="preserve">, and </w:t>
      </w:r>
      <w:proofErr w:type="spellStart"/>
      <w:r w:rsidRPr="00E113CF">
        <w:rPr>
          <w:rFonts w:ascii="Times New Roman" w:eastAsia="Times New Roman" w:hAnsi="Times New Roman" w:cs="Times New Roman"/>
          <w:sz w:val="24"/>
          <w:szCs w:val="24"/>
        </w:rPr>
        <w:t>C.Windsor</w:t>
      </w:r>
      <w:proofErr w:type="spellEnd"/>
      <w:r w:rsidRPr="00E113CF">
        <w:rPr>
          <w:rFonts w:ascii="Times New Roman" w:eastAsia="Times New Roman" w:hAnsi="Times New Roman" w:cs="Times New Roman"/>
          <w:sz w:val="24"/>
          <w:szCs w:val="24"/>
        </w:rPr>
        <w:t>. 2024. The impact of key audit matters on audit quality:</w:t>
      </w:r>
      <w:r>
        <w:rPr>
          <w:rFonts w:ascii="Times New Roman" w:eastAsia="Times New Roman" w:hAnsi="Times New Roman" w:cs="Times New Roman"/>
          <w:sz w:val="24"/>
          <w:szCs w:val="24"/>
        </w:rPr>
        <w:t xml:space="preserve"> </w:t>
      </w:r>
      <w:r w:rsidRPr="00E113CF">
        <w:rPr>
          <w:rFonts w:ascii="Times New Roman" w:eastAsia="Times New Roman" w:hAnsi="Times New Roman" w:cs="Times New Roman"/>
          <w:sz w:val="24"/>
          <w:szCs w:val="24"/>
        </w:rPr>
        <w:t xml:space="preserve">Evidence from Japan. </w:t>
      </w:r>
      <w:r w:rsidRPr="00E113CF">
        <w:rPr>
          <w:rFonts w:ascii="Times New Roman" w:eastAsia="Times New Roman" w:hAnsi="Times New Roman" w:cs="Times New Roman"/>
          <w:i/>
          <w:sz w:val="24"/>
          <w:szCs w:val="24"/>
        </w:rPr>
        <w:t>Journal of International Accounting Research</w:t>
      </w:r>
      <w:r w:rsidRPr="00E113CF">
        <w:rPr>
          <w:rFonts w:ascii="Times New Roman" w:eastAsia="Times New Roman" w:hAnsi="Times New Roman" w:cs="Times New Roman"/>
          <w:sz w:val="24"/>
          <w:szCs w:val="24"/>
        </w:rPr>
        <w:t>. Advance online</w:t>
      </w:r>
      <w:r>
        <w:rPr>
          <w:rFonts w:ascii="Times New Roman" w:eastAsia="Times New Roman" w:hAnsi="Times New Roman" w:cs="Times New Roman"/>
          <w:sz w:val="24"/>
          <w:szCs w:val="24"/>
        </w:rPr>
        <w:t xml:space="preserve"> </w:t>
      </w:r>
      <w:r w:rsidRPr="00E113CF">
        <w:rPr>
          <w:rFonts w:ascii="Times New Roman" w:eastAsia="Times New Roman" w:hAnsi="Times New Roman" w:cs="Times New Roman"/>
          <w:sz w:val="24"/>
          <w:szCs w:val="24"/>
        </w:rPr>
        <w:lastRenderedPageBreak/>
        <w:t>publication.</w:t>
      </w:r>
      <w:r w:rsidRPr="00E113CF">
        <w:rPr>
          <w:rFonts w:ascii="Times New Roman" w:eastAsia="Times New Roman" w:hAnsi="Times New Roman" w:cs="Times New Roman"/>
          <w:sz w:val="24"/>
          <w:szCs w:val="24"/>
        </w:rPr>
        <w:tab/>
      </w:r>
    </w:p>
    <w:p w14:paraId="46489DF8" w14:textId="3345997A" w:rsidR="00E113CF" w:rsidRPr="00E113CF" w:rsidRDefault="00E113CF" w:rsidP="00E113CF">
      <w:pPr>
        <w:widowControl w:val="0"/>
        <w:spacing w:before="66" w:after="0" w:line="268" w:lineRule="auto"/>
        <w:ind w:left="720" w:hanging="720"/>
        <w:jc w:val="both"/>
        <w:rPr>
          <w:rFonts w:ascii="Times New Roman" w:eastAsia="Times New Roman" w:hAnsi="Times New Roman" w:cs="Times New Roman"/>
          <w:sz w:val="24"/>
          <w:szCs w:val="24"/>
        </w:rPr>
      </w:pPr>
      <w:r w:rsidRPr="00E113CF">
        <w:rPr>
          <w:rFonts w:ascii="Times New Roman" w:eastAsia="Times New Roman" w:hAnsi="Times New Roman" w:cs="Times New Roman"/>
          <w:sz w:val="24"/>
          <w:szCs w:val="24"/>
        </w:rPr>
        <w:t>Coram, P., and L. Wang. 2021. The impact of disclosing key audit matters in the auditor’s report on</w:t>
      </w:r>
      <w:r>
        <w:rPr>
          <w:rFonts w:ascii="Times New Roman" w:eastAsia="Times New Roman" w:hAnsi="Times New Roman" w:cs="Times New Roman"/>
          <w:sz w:val="24"/>
          <w:szCs w:val="24"/>
        </w:rPr>
        <w:t xml:space="preserve"> </w:t>
      </w:r>
      <w:r w:rsidRPr="00E113CF">
        <w:rPr>
          <w:rFonts w:ascii="Times New Roman" w:eastAsia="Times New Roman" w:hAnsi="Times New Roman" w:cs="Times New Roman"/>
          <w:sz w:val="24"/>
          <w:szCs w:val="24"/>
        </w:rPr>
        <w:t xml:space="preserve">audit quality and audit fees. </w:t>
      </w:r>
      <w:r w:rsidRPr="00E113CF">
        <w:rPr>
          <w:rFonts w:ascii="Times New Roman" w:eastAsia="Times New Roman" w:hAnsi="Times New Roman" w:cs="Times New Roman"/>
          <w:i/>
          <w:sz w:val="24"/>
          <w:szCs w:val="24"/>
        </w:rPr>
        <w:t>Accounting &amp; Finance</w:t>
      </w:r>
      <w:r w:rsidRPr="00E113CF">
        <w:rPr>
          <w:rFonts w:ascii="Times New Roman" w:eastAsia="Times New Roman" w:hAnsi="Times New Roman" w:cs="Times New Roman"/>
          <w:sz w:val="24"/>
          <w:szCs w:val="24"/>
        </w:rPr>
        <w:t xml:space="preserve"> 61(1): 3–30.</w:t>
      </w:r>
      <w:r>
        <w:rPr>
          <w:rFonts w:ascii="Times New Roman" w:eastAsia="Times New Roman" w:hAnsi="Times New Roman" w:cs="Times New Roman"/>
          <w:sz w:val="24"/>
          <w:szCs w:val="24"/>
        </w:rPr>
        <w:t xml:space="preserve"> </w:t>
      </w:r>
      <w:r w:rsidRPr="00E113CF">
        <w:rPr>
          <w:rFonts w:ascii="Times New Roman" w:eastAsia="Times New Roman" w:hAnsi="Times New Roman" w:cs="Times New Roman"/>
          <w:sz w:val="24"/>
          <w:szCs w:val="24"/>
        </w:rPr>
        <w:t>https://doi.org/10.1111/acfi.12769</w:t>
      </w:r>
    </w:p>
    <w:p w14:paraId="6AE10045" w14:textId="2E6C62D7" w:rsidR="00E113CF" w:rsidRPr="00E113CF" w:rsidRDefault="00E113CF" w:rsidP="00E113CF">
      <w:pPr>
        <w:widowControl w:val="0"/>
        <w:spacing w:before="66" w:after="0" w:line="268" w:lineRule="auto"/>
        <w:ind w:left="720" w:hanging="720"/>
        <w:jc w:val="both"/>
        <w:rPr>
          <w:rFonts w:ascii="Times New Roman" w:eastAsia="Times New Roman" w:hAnsi="Times New Roman" w:cs="Times New Roman"/>
          <w:sz w:val="24"/>
          <w:szCs w:val="24"/>
        </w:rPr>
      </w:pPr>
      <w:r w:rsidRPr="00E113CF">
        <w:rPr>
          <w:rFonts w:ascii="Times New Roman" w:eastAsia="Times New Roman" w:hAnsi="Times New Roman" w:cs="Times New Roman"/>
          <w:sz w:val="24"/>
          <w:szCs w:val="24"/>
        </w:rPr>
        <w:t xml:space="preserve">Gutierrez, E., </w:t>
      </w:r>
      <w:proofErr w:type="spellStart"/>
      <w:r w:rsidRPr="00E113CF">
        <w:rPr>
          <w:rFonts w:ascii="Times New Roman" w:eastAsia="Times New Roman" w:hAnsi="Times New Roman" w:cs="Times New Roman"/>
          <w:sz w:val="24"/>
          <w:szCs w:val="24"/>
        </w:rPr>
        <w:t>M.Minutti</w:t>
      </w:r>
      <w:proofErr w:type="spellEnd"/>
      <w:r w:rsidRPr="00E113CF">
        <w:rPr>
          <w:rFonts w:ascii="Times New Roman" w:eastAsia="Times New Roman" w:hAnsi="Times New Roman" w:cs="Times New Roman"/>
          <w:sz w:val="24"/>
          <w:szCs w:val="24"/>
        </w:rPr>
        <w:t xml:space="preserve">-Meza, </w:t>
      </w:r>
      <w:proofErr w:type="spellStart"/>
      <w:r w:rsidRPr="00E113CF">
        <w:rPr>
          <w:rFonts w:ascii="Times New Roman" w:eastAsia="Times New Roman" w:hAnsi="Times New Roman" w:cs="Times New Roman"/>
          <w:sz w:val="24"/>
          <w:szCs w:val="24"/>
        </w:rPr>
        <w:t>K.Tatum</w:t>
      </w:r>
      <w:proofErr w:type="spellEnd"/>
      <w:r w:rsidRPr="00E113CF">
        <w:rPr>
          <w:rFonts w:ascii="Times New Roman" w:eastAsia="Times New Roman" w:hAnsi="Times New Roman" w:cs="Times New Roman"/>
          <w:sz w:val="24"/>
          <w:szCs w:val="24"/>
        </w:rPr>
        <w:t xml:space="preserve">., and </w:t>
      </w:r>
      <w:proofErr w:type="spellStart"/>
      <w:r w:rsidRPr="00E113CF">
        <w:rPr>
          <w:rFonts w:ascii="Times New Roman" w:eastAsia="Times New Roman" w:hAnsi="Times New Roman" w:cs="Times New Roman"/>
          <w:sz w:val="24"/>
          <w:szCs w:val="24"/>
        </w:rPr>
        <w:t>M.Vulcheva</w:t>
      </w:r>
      <w:proofErr w:type="spellEnd"/>
      <w:r w:rsidRPr="00E113CF">
        <w:rPr>
          <w:rFonts w:ascii="Times New Roman" w:eastAsia="Times New Roman" w:hAnsi="Times New Roman" w:cs="Times New Roman"/>
          <w:sz w:val="24"/>
          <w:szCs w:val="24"/>
        </w:rPr>
        <w:t>. 2018. Consequences of adopting an</w:t>
      </w:r>
      <w:r>
        <w:rPr>
          <w:rFonts w:ascii="Times New Roman" w:eastAsia="Times New Roman" w:hAnsi="Times New Roman" w:cs="Times New Roman"/>
          <w:sz w:val="24"/>
          <w:szCs w:val="24"/>
        </w:rPr>
        <w:t xml:space="preserve"> </w:t>
      </w:r>
      <w:r w:rsidRPr="00E113CF">
        <w:rPr>
          <w:rFonts w:ascii="Times New Roman" w:eastAsia="Times New Roman" w:hAnsi="Times New Roman" w:cs="Times New Roman"/>
          <w:sz w:val="24"/>
          <w:szCs w:val="24"/>
        </w:rPr>
        <w:t xml:space="preserve">expanded auditor’s report in the United Kingdom. </w:t>
      </w:r>
      <w:r w:rsidRPr="00E113CF">
        <w:rPr>
          <w:rFonts w:ascii="Times New Roman" w:eastAsia="Times New Roman" w:hAnsi="Times New Roman" w:cs="Times New Roman"/>
          <w:i/>
          <w:sz w:val="24"/>
          <w:szCs w:val="24"/>
        </w:rPr>
        <w:t xml:space="preserve">Review of Accounting Studies </w:t>
      </w:r>
      <w:r w:rsidRPr="00E113CF">
        <w:rPr>
          <w:rFonts w:ascii="Times New Roman" w:eastAsia="Times New Roman" w:hAnsi="Times New Roman" w:cs="Times New Roman"/>
          <w:sz w:val="24"/>
          <w:szCs w:val="24"/>
        </w:rPr>
        <w:t>23(4):1543</w:t>
      </w:r>
      <w:r w:rsidRPr="00E113CF">
        <w:rPr>
          <w:rFonts w:ascii="Times New Roman" w:eastAsia="Times New Roman" w:hAnsi="Times New Roman" w:cs="Times New Roman"/>
          <w:sz w:val="24"/>
          <w:szCs w:val="24"/>
        </w:rPr>
        <w:tab/>
        <w:t>1587.</w:t>
      </w:r>
      <w:r>
        <w:rPr>
          <w:rFonts w:ascii="Times New Roman" w:eastAsia="Times New Roman" w:hAnsi="Times New Roman" w:cs="Times New Roman"/>
          <w:sz w:val="24"/>
          <w:szCs w:val="24"/>
        </w:rPr>
        <w:t xml:space="preserve"> </w:t>
      </w:r>
      <w:r w:rsidRPr="00E113CF">
        <w:rPr>
          <w:rFonts w:ascii="Times New Roman" w:eastAsia="Times New Roman" w:hAnsi="Times New Roman" w:cs="Times New Roman"/>
          <w:sz w:val="24"/>
          <w:szCs w:val="24"/>
        </w:rPr>
        <w:t xml:space="preserve">https://doi.org/10.1007/s11142-018-9464-0International Auditing and Assurance Standards Board (IAASB). 2011. </w:t>
      </w:r>
      <w:r w:rsidRPr="00E113CF">
        <w:rPr>
          <w:rFonts w:ascii="Times New Roman" w:eastAsia="Times New Roman" w:hAnsi="Times New Roman" w:cs="Times New Roman"/>
          <w:i/>
          <w:sz w:val="24"/>
          <w:szCs w:val="24"/>
        </w:rPr>
        <w:t>The Auditor’s Report: A Research Report</w:t>
      </w:r>
      <w:r w:rsidRPr="00E113CF">
        <w:rPr>
          <w:rFonts w:ascii="Times New Roman" w:eastAsia="Times New Roman" w:hAnsi="Times New Roman" w:cs="Times New Roman"/>
          <w:sz w:val="24"/>
          <w:szCs w:val="24"/>
        </w:rPr>
        <w:t>. New York, NY: IAASB.</w:t>
      </w:r>
    </w:p>
    <w:p w14:paraId="54D4345A" w14:textId="3D584F56" w:rsidR="00E113CF" w:rsidRPr="00E113CF" w:rsidRDefault="00E113CF" w:rsidP="00E113CF">
      <w:pPr>
        <w:widowControl w:val="0"/>
        <w:spacing w:before="66" w:after="0" w:line="268" w:lineRule="auto"/>
        <w:ind w:left="720" w:hanging="720"/>
        <w:jc w:val="both"/>
        <w:rPr>
          <w:rFonts w:ascii="Times New Roman" w:eastAsia="Times New Roman" w:hAnsi="Times New Roman" w:cs="Times New Roman"/>
          <w:sz w:val="24"/>
          <w:szCs w:val="24"/>
        </w:rPr>
      </w:pPr>
      <w:r w:rsidRPr="00E113CF">
        <w:rPr>
          <w:rFonts w:ascii="Times New Roman" w:eastAsia="Times New Roman" w:hAnsi="Times New Roman" w:cs="Times New Roman"/>
          <w:sz w:val="24"/>
          <w:szCs w:val="24"/>
        </w:rPr>
        <w:t xml:space="preserve">Kahneman, D., and </w:t>
      </w:r>
      <w:proofErr w:type="spellStart"/>
      <w:r w:rsidRPr="00E113CF">
        <w:rPr>
          <w:rFonts w:ascii="Times New Roman" w:eastAsia="Times New Roman" w:hAnsi="Times New Roman" w:cs="Times New Roman"/>
          <w:sz w:val="24"/>
          <w:szCs w:val="24"/>
        </w:rPr>
        <w:t>A.Tversky</w:t>
      </w:r>
      <w:proofErr w:type="spellEnd"/>
      <w:r w:rsidRPr="00E113CF">
        <w:rPr>
          <w:rFonts w:ascii="Times New Roman" w:eastAsia="Times New Roman" w:hAnsi="Times New Roman" w:cs="Times New Roman"/>
          <w:sz w:val="24"/>
          <w:szCs w:val="24"/>
        </w:rPr>
        <w:t>. 1979. Prospect theory: An analysis of decision under risk.</w:t>
      </w:r>
      <w:r>
        <w:rPr>
          <w:rFonts w:ascii="Times New Roman" w:eastAsia="Times New Roman" w:hAnsi="Times New Roman" w:cs="Times New Roman"/>
          <w:sz w:val="24"/>
          <w:szCs w:val="24"/>
        </w:rPr>
        <w:t xml:space="preserve"> </w:t>
      </w:r>
      <w:proofErr w:type="spellStart"/>
      <w:r w:rsidRPr="00E113CF">
        <w:rPr>
          <w:rFonts w:ascii="Times New Roman" w:eastAsia="Times New Roman" w:hAnsi="Times New Roman" w:cs="Times New Roman"/>
          <w:i/>
          <w:sz w:val="24"/>
          <w:szCs w:val="24"/>
        </w:rPr>
        <w:t>Econometrica</w:t>
      </w:r>
      <w:proofErr w:type="spellEnd"/>
      <w:r w:rsidRPr="00E113CF">
        <w:rPr>
          <w:rFonts w:ascii="Times New Roman" w:eastAsia="Times New Roman" w:hAnsi="Times New Roman" w:cs="Times New Roman"/>
          <w:i/>
          <w:sz w:val="24"/>
          <w:szCs w:val="24"/>
        </w:rPr>
        <w:t xml:space="preserve"> </w:t>
      </w:r>
      <w:r w:rsidRPr="00E113CF">
        <w:rPr>
          <w:rFonts w:ascii="Times New Roman" w:eastAsia="Times New Roman" w:hAnsi="Times New Roman" w:cs="Times New Roman"/>
          <w:sz w:val="24"/>
          <w:szCs w:val="24"/>
        </w:rPr>
        <w:t>47(2):263–291. https://doi.org/10.2307/1914185</w:t>
      </w:r>
    </w:p>
    <w:p w14:paraId="6BE94014" w14:textId="0F67F369" w:rsidR="00E113CF" w:rsidRPr="00E113CF" w:rsidRDefault="00E113CF" w:rsidP="00E113CF">
      <w:pPr>
        <w:widowControl w:val="0"/>
        <w:spacing w:before="66" w:after="0" w:line="268" w:lineRule="auto"/>
        <w:ind w:left="720" w:hanging="720"/>
        <w:jc w:val="both"/>
        <w:rPr>
          <w:rFonts w:ascii="Times New Roman" w:eastAsia="Times New Roman" w:hAnsi="Times New Roman" w:cs="Times New Roman"/>
          <w:sz w:val="24"/>
          <w:szCs w:val="24"/>
        </w:rPr>
      </w:pPr>
      <w:proofErr w:type="spellStart"/>
      <w:r w:rsidRPr="00E113CF">
        <w:rPr>
          <w:rFonts w:ascii="Times New Roman" w:eastAsia="Times New Roman" w:hAnsi="Times New Roman" w:cs="Times New Roman"/>
          <w:sz w:val="24"/>
          <w:szCs w:val="24"/>
        </w:rPr>
        <w:t>Kosaiyakanont</w:t>
      </w:r>
      <w:proofErr w:type="spellEnd"/>
      <w:r w:rsidRPr="00E113CF">
        <w:rPr>
          <w:rFonts w:ascii="Times New Roman" w:eastAsia="Times New Roman" w:hAnsi="Times New Roman" w:cs="Times New Roman"/>
          <w:sz w:val="24"/>
          <w:szCs w:val="24"/>
        </w:rPr>
        <w:t xml:space="preserve">, R., </w:t>
      </w:r>
      <w:proofErr w:type="spellStart"/>
      <w:r w:rsidRPr="00E113CF">
        <w:rPr>
          <w:rFonts w:ascii="Times New Roman" w:eastAsia="Times New Roman" w:hAnsi="Times New Roman" w:cs="Times New Roman"/>
          <w:sz w:val="24"/>
          <w:szCs w:val="24"/>
        </w:rPr>
        <w:t>R.Moroney</w:t>
      </w:r>
      <w:proofErr w:type="spellEnd"/>
      <w:r w:rsidRPr="00E113CF">
        <w:rPr>
          <w:rFonts w:ascii="Times New Roman" w:eastAsia="Times New Roman" w:hAnsi="Times New Roman" w:cs="Times New Roman"/>
          <w:sz w:val="24"/>
          <w:szCs w:val="24"/>
        </w:rPr>
        <w:t xml:space="preserve">, and </w:t>
      </w:r>
      <w:proofErr w:type="spellStart"/>
      <w:r w:rsidRPr="00E113CF">
        <w:rPr>
          <w:rFonts w:ascii="Times New Roman" w:eastAsia="Times New Roman" w:hAnsi="Times New Roman" w:cs="Times New Roman"/>
          <w:sz w:val="24"/>
          <w:szCs w:val="24"/>
        </w:rPr>
        <w:t>C.Windsor</w:t>
      </w:r>
      <w:proofErr w:type="spellEnd"/>
      <w:r w:rsidRPr="00E113CF">
        <w:rPr>
          <w:rFonts w:ascii="Times New Roman" w:eastAsia="Times New Roman" w:hAnsi="Times New Roman" w:cs="Times New Roman"/>
          <w:sz w:val="24"/>
          <w:szCs w:val="24"/>
        </w:rPr>
        <w:t>. 2024. Readability of key audit matters: Evidence</w:t>
      </w:r>
      <w:r>
        <w:rPr>
          <w:rFonts w:ascii="Times New Roman" w:eastAsia="Times New Roman" w:hAnsi="Times New Roman" w:cs="Times New Roman"/>
          <w:sz w:val="24"/>
          <w:szCs w:val="24"/>
        </w:rPr>
        <w:t xml:space="preserve"> </w:t>
      </w:r>
      <w:r w:rsidRPr="00E113CF">
        <w:rPr>
          <w:rFonts w:ascii="Times New Roman" w:eastAsia="Times New Roman" w:hAnsi="Times New Roman" w:cs="Times New Roman"/>
          <w:sz w:val="24"/>
          <w:szCs w:val="24"/>
        </w:rPr>
        <w:t xml:space="preserve">from Asia-Pacific. </w:t>
      </w:r>
      <w:r w:rsidRPr="00E113CF">
        <w:rPr>
          <w:rFonts w:ascii="Times New Roman" w:eastAsia="Times New Roman" w:hAnsi="Times New Roman" w:cs="Times New Roman"/>
          <w:i/>
          <w:sz w:val="24"/>
          <w:szCs w:val="24"/>
        </w:rPr>
        <w:t>International Journal of Auditing</w:t>
      </w:r>
      <w:r w:rsidRPr="00E113CF">
        <w:rPr>
          <w:rFonts w:ascii="Times New Roman" w:eastAsia="Times New Roman" w:hAnsi="Times New Roman" w:cs="Times New Roman"/>
          <w:sz w:val="24"/>
          <w:szCs w:val="24"/>
        </w:rPr>
        <w:t>. Advance online publication.</w:t>
      </w:r>
      <w:r>
        <w:rPr>
          <w:rFonts w:ascii="Times New Roman" w:eastAsia="Times New Roman" w:hAnsi="Times New Roman" w:cs="Times New Roman"/>
          <w:sz w:val="24"/>
          <w:szCs w:val="24"/>
        </w:rPr>
        <w:t xml:space="preserve"> </w:t>
      </w:r>
      <w:r w:rsidRPr="00E113CF">
        <w:rPr>
          <w:rFonts w:ascii="Times New Roman" w:eastAsia="Times New Roman" w:hAnsi="Times New Roman" w:cs="Times New Roman"/>
          <w:sz w:val="24"/>
          <w:szCs w:val="24"/>
        </w:rPr>
        <w:t>https://doi.org/10.1111/ijau.12345</w:t>
      </w:r>
    </w:p>
    <w:p w14:paraId="6E4C21DE" w14:textId="4F261862" w:rsidR="00E113CF" w:rsidRPr="00E113CF" w:rsidRDefault="00E113CF" w:rsidP="00E113CF">
      <w:pPr>
        <w:widowControl w:val="0"/>
        <w:spacing w:before="66" w:after="0" w:line="268" w:lineRule="auto"/>
        <w:ind w:left="720" w:hanging="720"/>
        <w:jc w:val="both"/>
        <w:rPr>
          <w:rFonts w:ascii="Times New Roman" w:eastAsia="Times New Roman" w:hAnsi="Times New Roman" w:cs="Times New Roman"/>
          <w:sz w:val="24"/>
          <w:szCs w:val="24"/>
        </w:rPr>
      </w:pPr>
      <w:r w:rsidRPr="00E113CF">
        <w:rPr>
          <w:rFonts w:ascii="Times New Roman" w:eastAsia="Times New Roman" w:hAnsi="Times New Roman" w:cs="Times New Roman"/>
          <w:sz w:val="24"/>
          <w:szCs w:val="24"/>
        </w:rPr>
        <w:t xml:space="preserve">Li, F., </w:t>
      </w:r>
      <w:proofErr w:type="spellStart"/>
      <w:r w:rsidRPr="00E113CF">
        <w:rPr>
          <w:rFonts w:ascii="Times New Roman" w:eastAsia="Times New Roman" w:hAnsi="Times New Roman" w:cs="Times New Roman"/>
          <w:sz w:val="24"/>
          <w:szCs w:val="24"/>
        </w:rPr>
        <w:t>D.Hay</w:t>
      </w:r>
      <w:proofErr w:type="spellEnd"/>
      <w:r w:rsidRPr="00E113CF">
        <w:rPr>
          <w:rFonts w:ascii="Times New Roman" w:eastAsia="Times New Roman" w:hAnsi="Times New Roman" w:cs="Times New Roman"/>
          <w:sz w:val="24"/>
          <w:szCs w:val="24"/>
        </w:rPr>
        <w:t xml:space="preserve">, and D. Lau. 2019. Assessing the impact of key audit matters. </w:t>
      </w:r>
      <w:r w:rsidRPr="00E113CF">
        <w:rPr>
          <w:rFonts w:ascii="Times New Roman" w:eastAsia="Times New Roman" w:hAnsi="Times New Roman" w:cs="Times New Roman"/>
          <w:i/>
          <w:sz w:val="24"/>
          <w:szCs w:val="24"/>
        </w:rPr>
        <w:t>Pacific Accounting</w:t>
      </w:r>
      <w:r>
        <w:rPr>
          <w:rFonts w:ascii="Times New Roman" w:eastAsia="Times New Roman" w:hAnsi="Times New Roman" w:cs="Times New Roman"/>
          <w:i/>
          <w:sz w:val="24"/>
          <w:szCs w:val="24"/>
        </w:rPr>
        <w:t xml:space="preserve"> </w:t>
      </w:r>
      <w:r w:rsidRPr="00E113CF">
        <w:rPr>
          <w:rFonts w:ascii="Times New Roman" w:eastAsia="Times New Roman" w:hAnsi="Times New Roman" w:cs="Times New Roman"/>
          <w:i/>
          <w:sz w:val="24"/>
          <w:szCs w:val="24"/>
        </w:rPr>
        <w:t>Review</w:t>
      </w:r>
      <w:r w:rsidRPr="00E113CF">
        <w:rPr>
          <w:rFonts w:ascii="Times New Roman" w:eastAsia="Times New Roman" w:hAnsi="Times New Roman" w:cs="Times New Roman"/>
          <w:sz w:val="24"/>
          <w:szCs w:val="24"/>
        </w:rPr>
        <w:t xml:space="preserve"> 31(1):110–132. </w:t>
      </w:r>
      <w:hyperlink r:id="rId160">
        <w:r w:rsidRPr="00E113CF">
          <w:rPr>
            <w:rFonts w:ascii="Times New Roman" w:eastAsia="Times New Roman" w:hAnsi="Times New Roman" w:cs="Times New Roman"/>
            <w:sz w:val="24"/>
            <w:szCs w:val="24"/>
          </w:rPr>
          <w:t>https://doi.org/10.1108/PAR-03-2018-0036</w:t>
        </w:r>
      </w:hyperlink>
    </w:p>
    <w:p w14:paraId="79BC4359" w14:textId="7A9A735B" w:rsidR="00E113CF" w:rsidRPr="00E113CF" w:rsidRDefault="00E113CF" w:rsidP="00E113CF">
      <w:pPr>
        <w:widowControl w:val="0"/>
        <w:spacing w:before="66" w:after="0" w:line="268" w:lineRule="auto"/>
        <w:ind w:left="720" w:hanging="720"/>
        <w:jc w:val="both"/>
        <w:rPr>
          <w:rFonts w:ascii="Times New Roman" w:eastAsia="Times New Roman" w:hAnsi="Times New Roman" w:cs="Times New Roman"/>
          <w:i/>
          <w:sz w:val="24"/>
          <w:szCs w:val="24"/>
        </w:rPr>
      </w:pPr>
      <w:r w:rsidRPr="00E113CF">
        <w:rPr>
          <w:rFonts w:ascii="Times New Roman" w:eastAsia="Times New Roman" w:hAnsi="Times New Roman" w:cs="Times New Roman"/>
          <w:sz w:val="24"/>
          <w:szCs w:val="24"/>
        </w:rPr>
        <w:t>Nakashima, M. 20222. Fraud detection method by textual analysis of CEO letters in the perspective</w:t>
      </w:r>
      <w:r>
        <w:rPr>
          <w:rFonts w:ascii="Times New Roman" w:eastAsia="Times New Roman" w:hAnsi="Times New Roman" w:cs="Times New Roman"/>
          <w:sz w:val="24"/>
          <w:szCs w:val="24"/>
        </w:rPr>
        <w:t xml:space="preserve"> </w:t>
      </w:r>
      <w:r w:rsidRPr="00E113CF">
        <w:rPr>
          <w:rFonts w:ascii="Times New Roman" w:eastAsia="Times New Roman" w:hAnsi="Times New Roman" w:cs="Times New Roman"/>
          <w:sz w:val="24"/>
          <w:szCs w:val="24"/>
        </w:rPr>
        <w:t>of obfuscation hypothesis: Evidence from Japanese firms listed on the US stock exchange</w:t>
      </w:r>
      <w:r>
        <w:rPr>
          <w:rFonts w:ascii="Times New Roman" w:eastAsia="Times New Roman" w:hAnsi="Times New Roman" w:cs="Times New Roman"/>
        </w:rPr>
        <w:t xml:space="preserve"> </w:t>
      </w:r>
      <w:r w:rsidRPr="00E113CF">
        <w:rPr>
          <w:rFonts w:ascii="Times New Roman" w:eastAsia="Times New Roman" w:hAnsi="Times New Roman" w:cs="Times New Roman"/>
          <w:i/>
          <w:sz w:val="24"/>
          <w:szCs w:val="24"/>
        </w:rPr>
        <w:t xml:space="preserve">Business Review, Faculty of Business Administration, Bunkyo </w:t>
      </w:r>
      <w:proofErr w:type="spellStart"/>
      <w:r w:rsidRPr="00E113CF">
        <w:rPr>
          <w:rFonts w:ascii="Times New Roman" w:eastAsia="Times New Roman" w:hAnsi="Times New Roman" w:cs="Times New Roman"/>
          <w:i/>
          <w:sz w:val="24"/>
          <w:szCs w:val="24"/>
        </w:rPr>
        <w:t>Gakuin</w:t>
      </w:r>
      <w:proofErr w:type="spellEnd"/>
      <w:r w:rsidRPr="00E113CF">
        <w:rPr>
          <w:rFonts w:ascii="Times New Roman" w:eastAsia="Times New Roman" w:hAnsi="Times New Roman" w:cs="Times New Roman"/>
        </w:rPr>
        <w:t xml:space="preserve"> </w:t>
      </w:r>
      <w:r w:rsidRPr="00E113CF">
        <w:rPr>
          <w:rFonts w:ascii="Times New Roman" w:eastAsia="Times New Roman" w:hAnsi="Times New Roman" w:cs="Times New Roman"/>
          <w:sz w:val="24"/>
          <w:szCs w:val="24"/>
        </w:rPr>
        <w:t>13(1):83-99.</w:t>
      </w:r>
    </w:p>
    <w:p w14:paraId="4670975B" w14:textId="6B317438" w:rsidR="00E113CF" w:rsidRPr="00E113CF" w:rsidRDefault="00E113CF" w:rsidP="00E113CF">
      <w:pPr>
        <w:widowControl w:val="0"/>
        <w:spacing w:before="66" w:after="0" w:line="268" w:lineRule="auto"/>
        <w:ind w:left="720" w:hanging="720"/>
        <w:jc w:val="both"/>
        <w:rPr>
          <w:rFonts w:ascii="Times New Roman" w:eastAsia="Times New Roman" w:hAnsi="Times New Roman" w:cs="Times New Roman"/>
          <w:i/>
          <w:sz w:val="24"/>
          <w:szCs w:val="24"/>
        </w:rPr>
      </w:pPr>
      <w:r w:rsidRPr="00E113CF">
        <w:rPr>
          <w:rFonts w:ascii="Times New Roman" w:eastAsia="Times New Roman" w:hAnsi="Times New Roman" w:cs="Times New Roman"/>
          <w:sz w:val="24"/>
          <w:szCs w:val="24"/>
        </w:rPr>
        <w:t xml:space="preserve">Nakashima, M., and </w:t>
      </w:r>
      <w:proofErr w:type="spellStart"/>
      <w:r w:rsidRPr="00E113CF">
        <w:rPr>
          <w:rFonts w:ascii="Times New Roman" w:eastAsia="Times New Roman" w:hAnsi="Times New Roman" w:cs="Times New Roman"/>
          <w:sz w:val="24"/>
          <w:szCs w:val="24"/>
        </w:rPr>
        <w:t>K.Yoshida</w:t>
      </w:r>
      <w:proofErr w:type="spellEnd"/>
      <w:r w:rsidRPr="00E113CF">
        <w:rPr>
          <w:rFonts w:ascii="Times New Roman" w:eastAsia="Times New Roman" w:hAnsi="Times New Roman" w:cs="Times New Roman"/>
          <w:sz w:val="24"/>
          <w:szCs w:val="24"/>
        </w:rPr>
        <w:t>, K. 2024. Can textual disclosures explain fraudulent financial</w:t>
      </w:r>
      <w:r>
        <w:rPr>
          <w:rFonts w:ascii="Times New Roman" w:eastAsia="Times New Roman" w:hAnsi="Times New Roman" w:cs="Times New Roman"/>
          <w:sz w:val="24"/>
          <w:szCs w:val="24"/>
        </w:rPr>
        <w:t xml:space="preserve"> </w:t>
      </w:r>
      <w:r w:rsidRPr="00E113CF">
        <w:rPr>
          <w:rFonts w:ascii="Times New Roman" w:eastAsia="Times New Roman" w:hAnsi="Times New Roman" w:cs="Times New Roman"/>
          <w:sz w:val="24"/>
          <w:szCs w:val="24"/>
        </w:rPr>
        <w:t>statements? Evidence based on the performance comparison of machine learning models</w:t>
      </w:r>
      <w:r>
        <w:rPr>
          <w:rFonts w:ascii="Times New Roman" w:eastAsia="Times New Roman" w:hAnsi="Times New Roman" w:cs="Times New Roman"/>
          <w:sz w:val="24"/>
          <w:szCs w:val="24"/>
        </w:rPr>
        <w:t xml:space="preserve"> </w:t>
      </w:r>
      <w:r w:rsidRPr="00E113CF">
        <w:rPr>
          <w:rFonts w:ascii="Times New Roman" w:eastAsia="Times New Roman" w:hAnsi="Times New Roman" w:cs="Times New Roman"/>
          <w:sz w:val="24"/>
          <w:szCs w:val="24"/>
        </w:rPr>
        <w:t xml:space="preserve">from Japan, </w:t>
      </w:r>
      <w:r w:rsidRPr="00E113CF">
        <w:rPr>
          <w:rFonts w:ascii="Times New Roman" w:eastAsia="Times New Roman" w:hAnsi="Times New Roman" w:cs="Times New Roman"/>
          <w:i/>
          <w:sz w:val="24"/>
          <w:szCs w:val="24"/>
        </w:rPr>
        <w:t>The 2024 Annual Meeting of American Accounting Association at D.C.</w:t>
      </w:r>
      <w:r>
        <w:rPr>
          <w:rFonts w:ascii="Times New Roman" w:eastAsia="Times New Roman" w:hAnsi="Times New Roman" w:cs="Times New Roman"/>
          <w:i/>
          <w:sz w:val="24"/>
          <w:szCs w:val="24"/>
        </w:rPr>
        <w:t xml:space="preserve"> </w:t>
      </w:r>
      <w:r w:rsidRPr="00E113CF">
        <w:rPr>
          <w:rFonts w:ascii="Times New Roman" w:eastAsia="Times New Roman" w:hAnsi="Times New Roman" w:cs="Times New Roman"/>
          <w:i/>
          <w:sz w:val="24"/>
          <w:szCs w:val="24"/>
        </w:rPr>
        <w:t>Washington.</w:t>
      </w:r>
    </w:p>
    <w:p w14:paraId="686B58CB" w14:textId="19F1C579" w:rsidR="00E113CF" w:rsidRPr="00E113CF" w:rsidRDefault="00E113CF" w:rsidP="00E113CF">
      <w:pPr>
        <w:widowControl w:val="0"/>
        <w:spacing w:before="66" w:after="0" w:line="268" w:lineRule="auto"/>
        <w:ind w:left="720" w:hanging="720"/>
        <w:jc w:val="both"/>
        <w:rPr>
          <w:rFonts w:ascii="Times New Roman" w:eastAsia="Times New Roman" w:hAnsi="Times New Roman" w:cs="Times New Roman"/>
          <w:sz w:val="24"/>
          <w:szCs w:val="24"/>
        </w:rPr>
      </w:pPr>
      <w:r w:rsidRPr="00E113CF">
        <w:rPr>
          <w:rFonts w:ascii="Times New Roman" w:eastAsia="Times New Roman" w:hAnsi="Times New Roman" w:cs="Times New Roman"/>
          <w:sz w:val="24"/>
          <w:szCs w:val="24"/>
        </w:rPr>
        <w:t xml:space="preserve">Nakashima, M., </w:t>
      </w:r>
      <w:proofErr w:type="spellStart"/>
      <w:r w:rsidRPr="00E113CF">
        <w:rPr>
          <w:rFonts w:ascii="Times New Roman" w:eastAsia="Times New Roman" w:hAnsi="Times New Roman" w:cs="Times New Roman"/>
          <w:sz w:val="24"/>
          <w:szCs w:val="24"/>
        </w:rPr>
        <w:t>Y.Hirose</w:t>
      </w:r>
      <w:proofErr w:type="spellEnd"/>
      <w:r w:rsidRPr="00E113CF">
        <w:rPr>
          <w:rFonts w:ascii="Times New Roman" w:eastAsia="Times New Roman" w:hAnsi="Times New Roman" w:cs="Times New Roman"/>
          <w:sz w:val="24"/>
          <w:szCs w:val="24"/>
        </w:rPr>
        <w:t>, and H. Hirai. 2022.</w:t>
      </w:r>
      <w:r w:rsidRPr="00E113CF">
        <w:rPr>
          <w:rFonts w:ascii="Times New Roman" w:eastAsia="Times New Roman" w:hAnsi="Times New Roman" w:cs="Times New Roman"/>
        </w:rPr>
        <w:t xml:space="preserve"> </w:t>
      </w:r>
      <w:r w:rsidRPr="00E113CF">
        <w:rPr>
          <w:rFonts w:ascii="Times New Roman" w:eastAsia="Times New Roman" w:hAnsi="Times New Roman" w:cs="Times New Roman"/>
          <w:sz w:val="24"/>
          <w:szCs w:val="24"/>
        </w:rPr>
        <w:t>Fraud detection by focusing on readability of MD&amp;A</w:t>
      </w:r>
      <w:r>
        <w:rPr>
          <w:rFonts w:ascii="Times New Roman" w:eastAsia="Times New Roman" w:hAnsi="Times New Roman" w:cs="Times New Roman"/>
          <w:sz w:val="24"/>
          <w:szCs w:val="24"/>
        </w:rPr>
        <w:t xml:space="preserve"> </w:t>
      </w:r>
      <w:r w:rsidRPr="00E113CF">
        <w:rPr>
          <w:rFonts w:ascii="Times New Roman" w:eastAsia="Times New Roman" w:hAnsi="Times New Roman" w:cs="Times New Roman"/>
          <w:sz w:val="24"/>
          <w:szCs w:val="24"/>
        </w:rPr>
        <w:t>disclosure: Evidence from Japan,</w:t>
      </w:r>
      <w:r w:rsidRPr="00E113CF">
        <w:rPr>
          <w:rFonts w:ascii="Times New Roman" w:eastAsia="Times New Roman" w:hAnsi="Times New Roman" w:cs="Times New Roman"/>
        </w:rPr>
        <w:t xml:space="preserve"> </w:t>
      </w:r>
      <w:r w:rsidRPr="00E113CF">
        <w:rPr>
          <w:rFonts w:ascii="Times New Roman" w:eastAsia="Times New Roman" w:hAnsi="Times New Roman" w:cs="Times New Roman"/>
          <w:i/>
          <w:sz w:val="24"/>
          <w:szCs w:val="24"/>
        </w:rPr>
        <w:t>Journal of Forensic and Investigative Accounting</w:t>
      </w:r>
      <w:r w:rsidRPr="00E113CF">
        <w:rPr>
          <w:rFonts w:ascii="Times New Roman" w:eastAsia="Times New Roman" w:hAnsi="Times New Roman" w:cs="Times New Roman"/>
          <w:sz w:val="24"/>
          <w:szCs w:val="24"/>
        </w:rPr>
        <w:t xml:space="preserve"> 14</w:t>
      </w:r>
      <w:r w:rsidRPr="00E113CF">
        <w:rPr>
          <w:rFonts w:ascii="Times New Roman" w:eastAsia="Times New Roman" w:hAnsi="Times New Roman" w:cs="Times New Roman"/>
          <w:sz w:val="24"/>
          <w:szCs w:val="24"/>
        </w:rPr>
        <w:tab/>
        <w:t>(2):276-298.</w:t>
      </w:r>
    </w:p>
    <w:p w14:paraId="793A62AC" w14:textId="11673800" w:rsidR="00E113CF" w:rsidRPr="00E113CF" w:rsidRDefault="00E113CF" w:rsidP="00E113CF">
      <w:pPr>
        <w:widowControl w:val="0"/>
        <w:spacing w:before="66" w:after="0" w:line="268" w:lineRule="auto"/>
        <w:ind w:left="720" w:hanging="720"/>
        <w:jc w:val="both"/>
        <w:rPr>
          <w:rFonts w:ascii="Times New Roman" w:eastAsia="Times New Roman" w:hAnsi="Times New Roman" w:cs="Times New Roman"/>
          <w:sz w:val="24"/>
          <w:szCs w:val="24"/>
        </w:rPr>
      </w:pPr>
      <w:r w:rsidRPr="00E113CF">
        <w:rPr>
          <w:rFonts w:ascii="Times New Roman" w:eastAsia="Times New Roman" w:hAnsi="Times New Roman" w:cs="Times New Roman"/>
          <w:sz w:val="24"/>
          <w:szCs w:val="24"/>
        </w:rPr>
        <w:t>Nguyen, L., and M. Kend. 2021. The perceived impact of key audit matters on stakeholders’</w:t>
      </w:r>
      <w:r>
        <w:rPr>
          <w:rFonts w:ascii="Times New Roman" w:eastAsia="Times New Roman" w:hAnsi="Times New Roman" w:cs="Times New Roman"/>
          <w:sz w:val="24"/>
          <w:szCs w:val="24"/>
        </w:rPr>
        <w:t xml:space="preserve"> </w:t>
      </w:r>
      <w:r w:rsidRPr="00E113CF">
        <w:rPr>
          <w:rFonts w:ascii="Times New Roman" w:eastAsia="Times New Roman" w:hAnsi="Times New Roman" w:cs="Times New Roman"/>
          <w:sz w:val="24"/>
          <w:szCs w:val="24"/>
        </w:rPr>
        <w:t>confidence.</w:t>
      </w:r>
      <w:r>
        <w:rPr>
          <w:rFonts w:ascii="Times New Roman" w:eastAsia="Times New Roman" w:hAnsi="Times New Roman" w:cs="Times New Roman"/>
          <w:sz w:val="24"/>
          <w:szCs w:val="24"/>
        </w:rPr>
        <w:t xml:space="preserve"> </w:t>
      </w:r>
      <w:r w:rsidRPr="00E113CF">
        <w:rPr>
          <w:rFonts w:ascii="Times New Roman" w:eastAsia="Times New Roman" w:hAnsi="Times New Roman" w:cs="Times New Roman"/>
          <w:i/>
          <w:sz w:val="24"/>
          <w:szCs w:val="24"/>
        </w:rPr>
        <w:t>Managerial Auditing Journal</w:t>
      </w:r>
      <w:r w:rsidRPr="00E113CF">
        <w:rPr>
          <w:rFonts w:ascii="Times New Roman" w:eastAsia="Times New Roman" w:hAnsi="Times New Roman" w:cs="Times New Roman"/>
          <w:sz w:val="24"/>
          <w:szCs w:val="24"/>
        </w:rPr>
        <w:t xml:space="preserve"> 36(2): 290–313. </w:t>
      </w:r>
      <w:hyperlink r:id="rId161">
        <w:r w:rsidRPr="00E113CF">
          <w:rPr>
            <w:rFonts w:ascii="Times New Roman" w:eastAsia="Times New Roman" w:hAnsi="Times New Roman" w:cs="Times New Roman"/>
            <w:sz w:val="24"/>
            <w:szCs w:val="24"/>
          </w:rPr>
          <w:t>https://doi.org/10.1108/MAJ-09</w:t>
        </w:r>
      </w:hyperlink>
      <w:r w:rsidRPr="00E113CF">
        <w:rPr>
          <w:rFonts w:ascii="Times New Roman" w:eastAsia="Times New Roman" w:hAnsi="Times New Roman" w:cs="Times New Roman"/>
          <w:sz w:val="24"/>
          <w:szCs w:val="24"/>
        </w:rPr>
        <w:tab/>
        <w:t>2020-2608</w:t>
      </w:r>
    </w:p>
    <w:p w14:paraId="4FE85526" w14:textId="0D0F837F" w:rsidR="00E113CF" w:rsidRPr="00E113CF" w:rsidRDefault="00E113CF" w:rsidP="00E113CF">
      <w:pPr>
        <w:widowControl w:val="0"/>
        <w:spacing w:before="66" w:after="0" w:line="268" w:lineRule="auto"/>
        <w:ind w:left="720" w:hanging="720"/>
        <w:jc w:val="both"/>
        <w:rPr>
          <w:rFonts w:ascii="Times New Roman" w:eastAsia="Times New Roman" w:hAnsi="Times New Roman" w:cs="Times New Roman"/>
          <w:sz w:val="24"/>
          <w:szCs w:val="24"/>
        </w:rPr>
      </w:pPr>
      <w:r w:rsidRPr="00E113CF">
        <w:rPr>
          <w:rFonts w:ascii="Times New Roman" w:eastAsia="Times New Roman" w:hAnsi="Times New Roman" w:cs="Times New Roman"/>
          <w:sz w:val="24"/>
          <w:szCs w:val="24"/>
        </w:rPr>
        <w:t>PCAOB (Public Company Accounting Oversight Board). 2017. The auditor’s report on an audit of</w:t>
      </w:r>
      <w:r>
        <w:rPr>
          <w:rFonts w:ascii="Times New Roman" w:eastAsia="Times New Roman" w:hAnsi="Times New Roman" w:cs="Times New Roman"/>
          <w:sz w:val="24"/>
          <w:szCs w:val="24"/>
        </w:rPr>
        <w:t xml:space="preserve"> </w:t>
      </w:r>
      <w:r w:rsidRPr="00E113CF">
        <w:rPr>
          <w:rFonts w:ascii="Times New Roman" w:eastAsia="Times New Roman" w:hAnsi="Times New Roman" w:cs="Times New Roman"/>
          <w:sz w:val="24"/>
          <w:szCs w:val="24"/>
        </w:rPr>
        <w:t>financial statements when the auditor expresses an unqualified opinion. Washington, DC:</w:t>
      </w:r>
      <w:r>
        <w:rPr>
          <w:rFonts w:ascii="Times New Roman" w:eastAsia="Times New Roman" w:hAnsi="Times New Roman" w:cs="Times New Roman"/>
          <w:sz w:val="24"/>
          <w:szCs w:val="24"/>
        </w:rPr>
        <w:t xml:space="preserve"> </w:t>
      </w:r>
      <w:r w:rsidRPr="00E113CF">
        <w:rPr>
          <w:rFonts w:ascii="Times New Roman" w:eastAsia="Times New Roman" w:hAnsi="Times New Roman" w:cs="Times New Roman"/>
          <w:sz w:val="24"/>
          <w:szCs w:val="24"/>
        </w:rPr>
        <w:t>PCAOB.</w:t>
      </w:r>
    </w:p>
    <w:p w14:paraId="1F17659A" w14:textId="5075AED7" w:rsidR="00E113CF" w:rsidRPr="00E113CF" w:rsidRDefault="00E113CF" w:rsidP="00E113CF">
      <w:pPr>
        <w:widowControl w:val="0"/>
        <w:spacing w:before="66" w:after="0" w:line="268" w:lineRule="auto"/>
        <w:ind w:left="720" w:hanging="720"/>
        <w:jc w:val="both"/>
        <w:rPr>
          <w:rFonts w:ascii="Times New Roman" w:eastAsia="Times New Roman" w:hAnsi="Times New Roman" w:cs="Times New Roman"/>
          <w:sz w:val="24"/>
          <w:szCs w:val="24"/>
        </w:rPr>
      </w:pPr>
      <w:r w:rsidRPr="00E113CF">
        <w:rPr>
          <w:rFonts w:ascii="Times New Roman" w:eastAsia="Times New Roman" w:hAnsi="Times New Roman" w:cs="Times New Roman"/>
          <w:sz w:val="24"/>
          <w:szCs w:val="24"/>
        </w:rPr>
        <w:t xml:space="preserve">Pinello, A. S., L. Dai, and </w:t>
      </w:r>
      <w:proofErr w:type="spellStart"/>
      <w:r w:rsidRPr="00E113CF">
        <w:rPr>
          <w:rFonts w:ascii="Times New Roman" w:eastAsia="Times New Roman" w:hAnsi="Times New Roman" w:cs="Times New Roman"/>
          <w:sz w:val="24"/>
          <w:szCs w:val="24"/>
        </w:rPr>
        <w:t>L.Zhou</w:t>
      </w:r>
      <w:proofErr w:type="spellEnd"/>
      <w:r w:rsidRPr="00E113CF">
        <w:rPr>
          <w:rFonts w:ascii="Times New Roman" w:eastAsia="Times New Roman" w:hAnsi="Times New Roman" w:cs="Times New Roman"/>
          <w:sz w:val="24"/>
          <w:szCs w:val="24"/>
        </w:rPr>
        <w:t>. 2020. Consistency in disclosures between MD&amp;A and the audit</w:t>
      </w:r>
      <w:r w:rsidRPr="00E113CF">
        <w:rPr>
          <w:rFonts w:ascii="Times New Roman" w:eastAsia="Times New Roman" w:hAnsi="Times New Roman" w:cs="Times New Roman"/>
          <w:sz w:val="24"/>
          <w:szCs w:val="24"/>
        </w:rPr>
        <w:tab/>
        <w:t>report:</w:t>
      </w:r>
      <w:r>
        <w:rPr>
          <w:rFonts w:ascii="Times New Roman" w:eastAsia="Times New Roman" w:hAnsi="Times New Roman" w:cs="Times New Roman"/>
          <w:sz w:val="24"/>
          <w:szCs w:val="24"/>
        </w:rPr>
        <w:t xml:space="preserve"> </w:t>
      </w:r>
      <w:r w:rsidRPr="00E113CF">
        <w:rPr>
          <w:rFonts w:ascii="Times New Roman" w:eastAsia="Times New Roman" w:hAnsi="Times New Roman" w:cs="Times New Roman"/>
          <w:sz w:val="24"/>
          <w:szCs w:val="24"/>
        </w:rPr>
        <w:t xml:space="preserve">Evidence from KAM. </w:t>
      </w:r>
      <w:r w:rsidRPr="00E113CF">
        <w:rPr>
          <w:rFonts w:ascii="Times New Roman" w:eastAsia="Times New Roman" w:hAnsi="Times New Roman" w:cs="Times New Roman"/>
          <w:i/>
          <w:sz w:val="24"/>
          <w:szCs w:val="24"/>
        </w:rPr>
        <w:t>Accounting Horizons</w:t>
      </w:r>
      <w:r w:rsidRPr="00E113CF">
        <w:rPr>
          <w:rFonts w:ascii="Times New Roman" w:eastAsia="Times New Roman" w:hAnsi="Times New Roman" w:cs="Times New Roman"/>
          <w:sz w:val="24"/>
          <w:szCs w:val="24"/>
        </w:rPr>
        <w:t xml:space="preserve"> 34(4):75–94.</w:t>
      </w:r>
      <w:r>
        <w:rPr>
          <w:rFonts w:ascii="Times New Roman" w:eastAsia="Times New Roman" w:hAnsi="Times New Roman" w:cs="Times New Roman"/>
          <w:sz w:val="24"/>
          <w:szCs w:val="24"/>
        </w:rPr>
        <w:t xml:space="preserve"> </w:t>
      </w:r>
      <w:hyperlink r:id="rId162">
        <w:r w:rsidRPr="00E113CF">
          <w:rPr>
            <w:rFonts w:ascii="Times New Roman" w:eastAsia="Times New Roman" w:hAnsi="Times New Roman" w:cs="Times New Roman"/>
            <w:sz w:val="24"/>
            <w:szCs w:val="24"/>
          </w:rPr>
          <w:t>https://doi.org/10.2308/ACHR-18-048</w:t>
        </w:r>
      </w:hyperlink>
    </w:p>
    <w:p w14:paraId="5FA193C5" w14:textId="21DADAF3" w:rsidR="00E113CF" w:rsidRPr="00E113CF" w:rsidRDefault="00E113CF" w:rsidP="00E113CF">
      <w:pPr>
        <w:widowControl w:val="0"/>
        <w:spacing w:before="66" w:after="0" w:line="268" w:lineRule="auto"/>
        <w:ind w:left="720" w:hanging="720"/>
        <w:jc w:val="both"/>
        <w:rPr>
          <w:rFonts w:ascii="Times New Roman" w:eastAsia="Times New Roman" w:hAnsi="Times New Roman" w:cs="Times New Roman"/>
          <w:sz w:val="24"/>
          <w:szCs w:val="24"/>
        </w:rPr>
      </w:pPr>
      <w:r w:rsidRPr="00E113CF">
        <w:rPr>
          <w:rFonts w:ascii="Times New Roman" w:eastAsia="Times New Roman" w:hAnsi="Times New Roman" w:cs="Times New Roman"/>
          <w:sz w:val="24"/>
          <w:szCs w:val="24"/>
        </w:rPr>
        <w:t xml:space="preserve">Pinto, I. 2020. Key audit matters: Impact on audit reporting. </w:t>
      </w:r>
      <w:r w:rsidRPr="00E113CF">
        <w:rPr>
          <w:rFonts w:ascii="Times New Roman" w:eastAsia="Times New Roman" w:hAnsi="Times New Roman" w:cs="Times New Roman"/>
          <w:i/>
          <w:sz w:val="24"/>
          <w:szCs w:val="24"/>
        </w:rPr>
        <w:t xml:space="preserve">Australian Accounting Review </w:t>
      </w:r>
      <w:r w:rsidRPr="00E113CF">
        <w:rPr>
          <w:rFonts w:ascii="Times New Roman" w:eastAsia="Times New Roman" w:hAnsi="Times New Roman" w:cs="Times New Roman"/>
          <w:sz w:val="24"/>
          <w:szCs w:val="24"/>
        </w:rPr>
        <w:t>30(1)</w:t>
      </w:r>
      <w:r>
        <w:rPr>
          <w:rFonts w:ascii="Times New Roman" w:eastAsia="Times New Roman" w:hAnsi="Times New Roman" w:cs="Times New Roman"/>
          <w:sz w:val="24"/>
          <w:szCs w:val="24"/>
        </w:rPr>
        <w:t xml:space="preserve"> </w:t>
      </w:r>
      <w:r w:rsidRPr="00E113CF">
        <w:rPr>
          <w:rFonts w:ascii="Times New Roman" w:eastAsia="Times New Roman" w:hAnsi="Times New Roman" w:cs="Times New Roman"/>
          <w:sz w:val="24"/>
          <w:szCs w:val="24"/>
        </w:rPr>
        <w:t>84–97. https://doi.org/10.1111/auar.12251</w:t>
      </w:r>
    </w:p>
    <w:p w14:paraId="54AEC9B4" w14:textId="1CF064B2" w:rsidR="00E113CF" w:rsidRPr="00E113CF" w:rsidRDefault="00E113CF" w:rsidP="00E113CF">
      <w:pPr>
        <w:widowControl w:val="0"/>
        <w:spacing w:before="66" w:after="0" w:line="268" w:lineRule="auto"/>
        <w:ind w:left="720" w:hanging="720"/>
        <w:jc w:val="both"/>
        <w:rPr>
          <w:rFonts w:ascii="Times New Roman" w:eastAsia="Times New Roman" w:hAnsi="Times New Roman" w:cs="Times New Roman"/>
          <w:sz w:val="24"/>
          <w:szCs w:val="24"/>
        </w:rPr>
      </w:pPr>
      <w:proofErr w:type="spellStart"/>
      <w:r w:rsidRPr="00E113CF">
        <w:rPr>
          <w:rFonts w:ascii="Times New Roman" w:eastAsia="Times New Roman" w:hAnsi="Times New Roman" w:cs="Times New Roman"/>
          <w:sz w:val="24"/>
          <w:szCs w:val="24"/>
        </w:rPr>
        <w:t>Seebeck</w:t>
      </w:r>
      <w:proofErr w:type="spellEnd"/>
      <w:r w:rsidRPr="00E113CF">
        <w:rPr>
          <w:rFonts w:ascii="Times New Roman" w:eastAsia="Times New Roman" w:hAnsi="Times New Roman" w:cs="Times New Roman"/>
          <w:sz w:val="24"/>
          <w:szCs w:val="24"/>
        </w:rPr>
        <w:t>, A., and D. Kaya. 2021. The effects of expanded audit reports on audit quality.</w:t>
      </w:r>
      <w:r>
        <w:rPr>
          <w:rFonts w:ascii="Times New Roman" w:eastAsia="Times New Roman" w:hAnsi="Times New Roman" w:cs="Times New Roman"/>
          <w:sz w:val="24"/>
          <w:szCs w:val="24"/>
        </w:rPr>
        <w:t xml:space="preserve"> </w:t>
      </w:r>
      <w:r w:rsidRPr="00E113CF">
        <w:rPr>
          <w:rFonts w:ascii="Times New Roman" w:eastAsia="Times New Roman" w:hAnsi="Times New Roman" w:cs="Times New Roman"/>
          <w:i/>
          <w:sz w:val="24"/>
          <w:szCs w:val="24"/>
        </w:rPr>
        <w:t>European</w:t>
      </w:r>
      <w:r>
        <w:rPr>
          <w:rFonts w:ascii="Times New Roman" w:eastAsia="Times New Roman" w:hAnsi="Times New Roman" w:cs="Times New Roman"/>
          <w:i/>
          <w:sz w:val="24"/>
          <w:szCs w:val="24"/>
        </w:rPr>
        <w:t xml:space="preserve"> </w:t>
      </w:r>
      <w:r w:rsidRPr="00E113CF">
        <w:rPr>
          <w:rFonts w:ascii="Times New Roman" w:eastAsia="Times New Roman" w:hAnsi="Times New Roman" w:cs="Times New Roman"/>
          <w:i/>
          <w:sz w:val="24"/>
          <w:szCs w:val="24"/>
        </w:rPr>
        <w:t>Accounting</w:t>
      </w:r>
      <w:r>
        <w:rPr>
          <w:rFonts w:ascii="Times New Roman" w:eastAsia="Times New Roman" w:hAnsi="Times New Roman" w:cs="Times New Roman"/>
          <w:i/>
          <w:sz w:val="24"/>
          <w:szCs w:val="24"/>
        </w:rPr>
        <w:t xml:space="preserve"> </w:t>
      </w:r>
      <w:r w:rsidRPr="00E113CF">
        <w:rPr>
          <w:rFonts w:ascii="Times New Roman" w:eastAsia="Times New Roman" w:hAnsi="Times New Roman" w:cs="Times New Roman"/>
          <w:i/>
          <w:sz w:val="24"/>
          <w:szCs w:val="24"/>
        </w:rPr>
        <w:t>Review</w:t>
      </w:r>
      <w:r>
        <w:rPr>
          <w:rFonts w:ascii="Times New Roman" w:eastAsia="Times New Roman" w:hAnsi="Times New Roman" w:cs="Times New Roman"/>
          <w:i/>
          <w:sz w:val="24"/>
          <w:szCs w:val="24"/>
        </w:rPr>
        <w:t xml:space="preserve"> </w:t>
      </w:r>
      <w:r w:rsidRPr="00E113CF">
        <w:rPr>
          <w:rFonts w:ascii="Times New Roman" w:eastAsia="Times New Roman" w:hAnsi="Times New Roman" w:cs="Times New Roman"/>
          <w:sz w:val="24"/>
          <w:szCs w:val="24"/>
        </w:rPr>
        <w:t>30(1):27–56. https://doi.org/10.1080/09638180.2020.1782202</w:t>
      </w:r>
    </w:p>
    <w:p w14:paraId="507CCFC3" w14:textId="0EA06A14" w:rsidR="00E113CF" w:rsidRPr="00E113CF" w:rsidRDefault="00E113CF" w:rsidP="00E113CF">
      <w:pPr>
        <w:widowControl w:val="0"/>
        <w:spacing w:before="66" w:after="0" w:line="268" w:lineRule="auto"/>
        <w:ind w:left="720" w:hanging="720"/>
        <w:jc w:val="both"/>
        <w:rPr>
          <w:rFonts w:ascii="Times New Roman" w:eastAsia="Times New Roman" w:hAnsi="Times New Roman" w:cs="Times New Roman"/>
          <w:sz w:val="24"/>
          <w:szCs w:val="24"/>
        </w:rPr>
      </w:pPr>
      <w:r w:rsidRPr="00E113CF">
        <w:rPr>
          <w:rFonts w:ascii="Times New Roman" w:eastAsia="Times New Roman" w:hAnsi="Times New Roman" w:cs="Times New Roman"/>
          <w:sz w:val="24"/>
          <w:szCs w:val="24"/>
        </w:rPr>
        <w:t xml:space="preserve">Smith, M. 2023. Transparency through key audit matters: Evidence from post-reform audit </w:t>
      </w:r>
      <w:r w:rsidRPr="00E113CF">
        <w:rPr>
          <w:rFonts w:ascii="Times New Roman" w:eastAsia="Times New Roman" w:hAnsi="Times New Roman" w:cs="Times New Roman"/>
          <w:sz w:val="24"/>
          <w:szCs w:val="24"/>
        </w:rPr>
        <w:lastRenderedPageBreak/>
        <w:t>reports.</w:t>
      </w:r>
      <w:r>
        <w:rPr>
          <w:rFonts w:ascii="Times New Roman" w:eastAsia="Times New Roman" w:hAnsi="Times New Roman" w:cs="Times New Roman"/>
          <w:sz w:val="24"/>
          <w:szCs w:val="24"/>
        </w:rPr>
        <w:t xml:space="preserve"> </w:t>
      </w:r>
      <w:r w:rsidRPr="00E113CF">
        <w:rPr>
          <w:rFonts w:ascii="Times New Roman" w:eastAsia="Times New Roman" w:hAnsi="Times New Roman" w:cs="Times New Roman"/>
          <w:sz w:val="24"/>
          <w:szCs w:val="24"/>
        </w:rPr>
        <w:t xml:space="preserve">Auditing: </w:t>
      </w:r>
      <w:r w:rsidRPr="00E113CF">
        <w:rPr>
          <w:rFonts w:ascii="Times New Roman" w:eastAsia="Times New Roman" w:hAnsi="Times New Roman" w:cs="Times New Roman"/>
          <w:i/>
          <w:sz w:val="24"/>
          <w:szCs w:val="24"/>
        </w:rPr>
        <w:t xml:space="preserve">A Journal of Practice &amp; Theory </w:t>
      </w:r>
      <w:r w:rsidRPr="00E113CF">
        <w:rPr>
          <w:rFonts w:ascii="Times New Roman" w:eastAsia="Times New Roman" w:hAnsi="Times New Roman" w:cs="Times New Roman"/>
          <w:sz w:val="24"/>
          <w:szCs w:val="24"/>
        </w:rPr>
        <w:t xml:space="preserve">42(2):1–24 </w:t>
      </w:r>
    </w:p>
    <w:p w14:paraId="5F3B4FB8" w14:textId="42E6010F" w:rsidR="00E113CF" w:rsidRPr="00E113CF" w:rsidRDefault="00E113CF" w:rsidP="00E113CF">
      <w:pPr>
        <w:widowControl w:val="0"/>
        <w:spacing w:before="66" w:after="0" w:line="268" w:lineRule="auto"/>
        <w:ind w:left="720" w:hanging="720"/>
        <w:jc w:val="both"/>
        <w:rPr>
          <w:rFonts w:ascii="Times New Roman" w:eastAsia="Times New Roman" w:hAnsi="Times New Roman" w:cs="Times New Roman"/>
          <w:sz w:val="24"/>
          <w:szCs w:val="24"/>
        </w:rPr>
      </w:pPr>
      <w:r w:rsidRPr="00E113CF">
        <w:rPr>
          <w:rFonts w:ascii="Times New Roman" w:eastAsia="Times New Roman" w:hAnsi="Times New Roman" w:cs="Times New Roman"/>
          <w:sz w:val="24"/>
          <w:szCs w:val="24"/>
        </w:rPr>
        <w:t xml:space="preserve">Yoshida, K., and </w:t>
      </w:r>
      <w:proofErr w:type="spellStart"/>
      <w:r w:rsidRPr="00E113CF">
        <w:rPr>
          <w:rFonts w:ascii="Times New Roman" w:eastAsia="Times New Roman" w:hAnsi="Times New Roman" w:cs="Times New Roman"/>
          <w:sz w:val="24"/>
          <w:szCs w:val="24"/>
        </w:rPr>
        <w:t>M.Nakashima</w:t>
      </w:r>
      <w:proofErr w:type="spellEnd"/>
      <w:r w:rsidRPr="00E113CF">
        <w:rPr>
          <w:rFonts w:ascii="Times New Roman" w:eastAsia="Times New Roman" w:hAnsi="Times New Roman" w:cs="Times New Roman"/>
          <w:sz w:val="24"/>
          <w:szCs w:val="24"/>
        </w:rPr>
        <w:t>, M. 2025. Financial statement fraud detection by using machine</w:t>
      </w:r>
      <w:r>
        <w:rPr>
          <w:rFonts w:ascii="Times New Roman" w:eastAsia="Times New Roman" w:hAnsi="Times New Roman" w:cs="Times New Roman"/>
          <w:sz w:val="24"/>
          <w:szCs w:val="24"/>
        </w:rPr>
        <w:t xml:space="preserve"> </w:t>
      </w:r>
      <w:r w:rsidRPr="00E113CF">
        <w:rPr>
          <w:rFonts w:ascii="Times New Roman" w:eastAsia="Times New Roman" w:hAnsi="Times New Roman" w:cs="Times New Roman"/>
          <w:sz w:val="24"/>
          <w:szCs w:val="24"/>
        </w:rPr>
        <w:t xml:space="preserve">learning: Evidence from Japan. </w:t>
      </w:r>
      <w:r w:rsidRPr="00E113CF">
        <w:rPr>
          <w:rFonts w:ascii="Times New Roman" w:eastAsia="Times New Roman" w:hAnsi="Times New Roman" w:cs="Times New Roman"/>
          <w:i/>
          <w:sz w:val="24"/>
          <w:szCs w:val="24"/>
        </w:rPr>
        <w:t xml:space="preserve">Bunkyo </w:t>
      </w:r>
      <w:proofErr w:type="spellStart"/>
      <w:r w:rsidRPr="00E113CF">
        <w:rPr>
          <w:rFonts w:ascii="Times New Roman" w:eastAsia="Times New Roman" w:hAnsi="Times New Roman" w:cs="Times New Roman"/>
          <w:i/>
          <w:sz w:val="24"/>
          <w:szCs w:val="24"/>
        </w:rPr>
        <w:t>Gakuin</w:t>
      </w:r>
      <w:proofErr w:type="spellEnd"/>
      <w:r w:rsidRPr="00E113CF">
        <w:rPr>
          <w:rFonts w:ascii="Times New Roman" w:eastAsia="Times New Roman" w:hAnsi="Times New Roman" w:cs="Times New Roman"/>
          <w:i/>
          <w:sz w:val="24"/>
          <w:szCs w:val="24"/>
        </w:rPr>
        <w:t xml:space="preserve"> Sogo </w:t>
      </w:r>
      <w:proofErr w:type="spellStart"/>
      <w:r w:rsidRPr="00E113CF">
        <w:rPr>
          <w:rFonts w:ascii="Times New Roman" w:eastAsia="Times New Roman" w:hAnsi="Times New Roman" w:cs="Times New Roman"/>
          <w:i/>
          <w:sz w:val="24"/>
          <w:szCs w:val="24"/>
        </w:rPr>
        <w:t>Kenkyujo</w:t>
      </w:r>
      <w:proofErr w:type="spellEnd"/>
      <w:r w:rsidRPr="00E113CF">
        <w:rPr>
          <w:rFonts w:ascii="Times New Roman" w:eastAsia="Times New Roman" w:hAnsi="Times New Roman" w:cs="Times New Roman"/>
          <w:i/>
          <w:sz w:val="24"/>
          <w:szCs w:val="24"/>
        </w:rPr>
        <w:t xml:space="preserve"> Kiyo </w:t>
      </w:r>
      <w:r w:rsidRPr="00E113CF">
        <w:rPr>
          <w:rFonts w:ascii="Times New Roman" w:eastAsia="Times New Roman" w:hAnsi="Times New Roman" w:cs="Times New Roman"/>
          <w:sz w:val="24"/>
          <w:szCs w:val="24"/>
        </w:rPr>
        <w:t>125-139. (in Japanese)</w:t>
      </w:r>
    </w:p>
    <w:p w14:paraId="48DE275F" w14:textId="46F2596B" w:rsidR="007373F6" w:rsidRPr="00E113CF" w:rsidRDefault="00E113CF" w:rsidP="00E113CF">
      <w:pPr>
        <w:widowControl w:val="0"/>
        <w:spacing w:before="66" w:after="0" w:line="268" w:lineRule="auto"/>
        <w:ind w:left="720" w:hanging="720"/>
        <w:jc w:val="both"/>
        <w:rPr>
          <w:rFonts w:ascii="Times New Roman" w:eastAsia="Times New Roman" w:hAnsi="Times New Roman" w:cs="Times New Roman"/>
          <w:sz w:val="24"/>
          <w:szCs w:val="24"/>
        </w:rPr>
      </w:pPr>
      <w:r w:rsidRPr="00E113CF">
        <w:rPr>
          <w:rFonts w:ascii="Times New Roman" w:eastAsia="Times New Roman" w:hAnsi="Times New Roman" w:cs="Times New Roman"/>
          <w:sz w:val="24"/>
          <w:szCs w:val="24"/>
        </w:rPr>
        <w:t xml:space="preserve">Zeng, Y., </w:t>
      </w:r>
      <w:proofErr w:type="spellStart"/>
      <w:r w:rsidRPr="00E113CF">
        <w:rPr>
          <w:rFonts w:ascii="Times New Roman" w:eastAsia="Times New Roman" w:hAnsi="Times New Roman" w:cs="Times New Roman"/>
          <w:sz w:val="24"/>
          <w:szCs w:val="24"/>
        </w:rPr>
        <w:t>Q.Liao</w:t>
      </w:r>
      <w:proofErr w:type="spellEnd"/>
      <w:r w:rsidRPr="00E113CF">
        <w:rPr>
          <w:rFonts w:ascii="Times New Roman" w:eastAsia="Times New Roman" w:hAnsi="Times New Roman" w:cs="Times New Roman"/>
          <w:sz w:val="24"/>
          <w:szCs w:val="24"/>
        </w:rPr>
        <w:t xml:space="preserve">, and </w:t>
      </w:r>
      <w:proofErr w:type="spellStart"/>
      <w:r w:rsidRPr="00E113CF">
        <w:rPr>
          <w:rFonts w:ascii="Times New Roman" w:eastAsia="Times New Roman" w:hAnsi="Times New Roman" w:cs="Times New Roman"/>
          <w:sz w:val="24"/>
          <w:szCs w:val="24"/>
        </w:rPr>
        <w:t>Y.Zhang</w:t>
      </w:r>
      <w:proofErr w:type="spellEnd"/>
      <w:r w:rsidRPr="00E113CF">
        <w:rPr>
          <w:rFonts w:ascii="Times New Roman" w:eastAsia="Times New Roman" w:hAnsi="Times New Roman" w:cs="Times New Roman"/>
          <w:sz w:val="24"/>
          <w:szCs w:val="24"/>
        </w:rPr>
        <w:t xml:space="preserve">. 2021. Do key audit matters improve audit quality? </w:t>
      </w:r>
      <w:r w:rsidRPr="00E113CF">
        <w:rPr>
          <w:rFonts w:ascii="Times New Roman" w:eastAsia="Times New Roman" w:hAnsi="Times New Roman" w:cs="Times New Roman"/>
          <w:i/>
          <w:sz w:val="24"/>
          <w:szCs w:val="24"/>
        </w:rPr>
        <w:t>Accounting &amp;</w:t>
      </w:r>
      <w:r>
        <w:rPr>
          <w:rFonts w:ascii="Times New Roman" w:eastAsia="Times New Roman" w:hAnsi="Times New Roman" w:cs="Times New Roman"/>
          <w:i/>
          <w:sz w:val="24"/>
          <w:szCs w:val="24"/>
        </w:rPr>
        <w:t xml:space="preserve"> </w:t>
      </w:r>
      <w:r w:rsidRPr="00E113CF">
        <w:rPr>
          <w:rFonts w:ascii="Times New Roman" w:eastAsia="Times New Roman" w:hAnsi="Times New Roman" w:cs="Times New Roman"/>
          <w:i/>
          <w:sz w:val="24"/>
          <w:szCs w:val="24"/>
        </w:rPr>
        <w:t>Finance</w:t>
      </w:r>
      <w:r w:rsidRPr="00E113CF">
        <w:rPr>
          <w:rFonts w:ascii="Times New Roman" w:eastAsia="Times New Roman" w:hAnsi="Times New Roman" w:cs="Times New Roman"/>
          <w:sz w:val="24"/>
          <w:szCs w:val="24"/>
        </w:rPr>
        <w:t xml:space="preserve"> 61(4): 4567–4598. https://doi.org/10.1111/acfi.12715</w:t>
      </w:r>
      <w:r>
        <w:br w:type="page"/>
      </w:r>
    </w:p>
    <w:p w14:paraId="0D993CEF" w14:textId="77777777" w:rsidR="007373F6" w:rsidRDefault="00000000">
      <w:pPr>
        <w:pStyle w:val="Heading1"/>
      </w:pPr>
      <w:bookmarkStart w:id="100" w:name="_Toc211808160"/>
      <w:r>
        <w:lastRenderedPageBreak/>
        <w:t>Paper ID 64</w:t>
      </w:r>
      <w:bookmarkEnd w:id="100"/>
    </w:p>
    <w:p w14:paraId="4AC352FF" w14:textId="77777777" w:rsidR="007373F6" w:rsidRDefault="00000000">
      <w:pPr>
        <w:pStyle w:val="Heading2"/>
        <w:spacing w:after="0" w:line="240" w:lineRule="auto"/>
      </w:pPr>
      <w:bookmarkStart w:id="101" w:name="_Toc211808161"/>
      <w:r>
        <w:t>THE IMPACT OF UNDERPRICING, FINANCIAL PERFORMANCE, AND OWNERSHIP STRUCTURE ON LONG-TERM POST-IPO STOCK PERFORMANCE: EVIDENCE FROM INDONESIA</w:t>
      </w:r>
      <w:bookmarkEnd w:id="101"/>
    </w:p>
    <w:p w14:paraId="4253E6FD" w14:textId="77777777" w:rsidR="007373F6" w:rsidRDefault="007373F6">
      <w:pPr>
        <w:spacing w:after="0" w:line="240" w:lineRule="auto"/>
        <w:jc w:val="center"/>
        <w:rPr>
          <w:rFonts w:ascii="Times New Roman" w:eastAsia="Times New Roman" w:hAnsi="Times New Roman" w:cs="Times New Roman"/>
          <w:b/>
          <w:sz w:val="26"/>
          <w:szCs w:val="26"/>
        </w:rPr>
      </w:pPr>
    </w:p>
    <w:p w14:paraId="27D15666" w14:textId="77777777" w:rsidR="007373F6" w:rsidRDefault="00000000">
      <w:pPr>
        <w:shd w:val="clear" w:color="auto" w:fill="FFFFFF"/>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Ahlam Alhifni*</w:t>
      </w:r>
      <w:r>
        <w:rPr>
          <w:rFonts w:ascii="Times New Roman" w:eastAsia="Times New Roman" w:hAnsi="Times New Roman" w:cs="Times New Roman"/>
          <w:color w:val="222222"/>
          <w:sz w:val="24"/>
          <w:szCs w:val="24"/>
        </w:rPr>
        <w:t>, Graduate School, University of Merdeka Malang, Indonesia (iamahlamalhifni@gmail.com)</w:t>
      </w:r>
    </w:p>
    <w:p w14:paraId="24EC3C68" w14:textId="77777777" w:rsidR="007373F6" w:rsidRDefault="00000000">
      <w:pPr>
        <w:shd w:val="clear" w:color="auto" w:fill="FFFFFF"/>
        <w:jc w:val="center"/>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b/>
          <w:color w:val="222222"/>
          <w:sz w:val="24"/>
          <w:szCs w:val="24"/>
        </w:rPr>
        <w:t>Prihat</w:t>
      </w:r>
      <w:proofErr w:type="spellEnd"/>
      <w:r>
        <w:rPr>
          <w:rFonts w:ascii="Times New Roman" w:eastAsia="Times New Roman" w:hAnsi="Times New Roman" w:cs="Times New Roman"/>
          <w:b/>
          <w:color w:val="222222"/>
          <w:sz w:val="24"/>
          <w:szCs w:val="24"/>
        </w:rPr>
        <w:t xml:space="preserve"> </w:t>
      </w:r>
      <w:proofErr w:type="spellStart"/>
      <w:r>
        <w:rPr>
          <w:rFonts w:ascii="Times New Roman" w:eastAsia="Times New Roman" w:hAnsi="Times New Roman" w:cs="Times New Roman"/>
          <w:b/>
          <w:color w:val="222222"/>
          <w:sz w:val="24"/>
          <w:szCs w:val="24"/>
        </w:rPr>
        <w:t>Assih</w:t>
      </w:r>
      <w:proofErr w:type="spellEnd"/>
      <w:r>
        <w:rPr>
          <w:rFonts w:ascii="Times New Roman" w:eastAsia="Times New Roman" w:hAnsi="Times New Roman" w:cs="Times New Roman"/>
          <w:color w:val="222222"/>
          <w:sz w:val="24"/>
          <w:szCs w:val="24"/>
        </w:rPr>
        <w:t>, Graduate School, University of Merdeka Malang, Indonesia (prihat.assih@unmer.ac.id)</w:t>
      </w:r>
    </w:p>
    <w:p w14:paraId="15D621D9" w14:textId="77777777" w:rsidR="007373F6" w:rsidRDefault="00000000">
      <w:pPr>
        <w:shd w:val="clear" w:color="auto" w:fill="FFFFFF"/>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Abdul Malik Kumar</w:t>
      </w:r>
      <w:r>
        <w:rPr>
          <w:rFonts w:ascii="Times New Roman" w:eastAsia="Times New Roman" w:hAnsi="Times New Roman" w:cs="Times New Roman"/>
          <w:color w:val="222222"/>
          <w:sz w:val="24"/>
          <w:szCs w:val="24"/>
        </w:rPr>
        <w:t>, Graduate School, University of Merdeka Malang, Indonesia (abdul.malik@unmer.ac.id)</w:t>
      </w:r>
    </w:p>
    <w:p w14:paraId="52DD40EC" w14:textId="77777777" w:rsidR="007373F6" w:rsidRDefault="00000000">
      <w:pPr>
        <w:shd w:val="clear" w:color="auto" w:fill="FFFFFF"/>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Diana Zuhroh</w:t>
      </w:r>
      <w:r>
        <w:rPr>
          <w:rFonts w:ascii="Times New Roman" w:eastAsia="Times New Roman" w:hAnsi="Times New Roman" w:cs="Times New Roman"/>
          <w:color w:val="222222"/>
          <w:sz w:val="24"/>
          <w:szCs w:val="24"/>
        </w:rPr>
        <w:t>, Graduate School, University of Merdeka Malang, Indonesia (diana.zuhroh@unmer.ac.id)</w:t>
      </w:r>
    </w:p>
    <w:p w14:paraId="0D107554" w14:textId="77777777" w:rsidR="007373F6" w:rsidRDefault="007373F6">
      <w:pPr>
        <w:jc w:val="center"/>
      </w:pPr>
    </w:p>
    <w:p w14:paraId="4B71D7F4" w14:textId="77777777" w:rsidR="007373F6"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ABSTRACT</w:t>
      </w:r>
    </w:p>
    <w:p w14:paraId="69768D92"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study investigates the impact of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financial performance, and ownership structure on long-term post-IPO stock performance in the context of an emerging capital market. Focusing on 151 non-financial, real estate, and property firms listed on the Indonesia Stock Exchange (IDX) between 2017 and 2021, the study utilizes 453 firm-period observations to assess post-listing returns using Buy-and-Hold Abnormal Return (BHAR) across 12, 24, and 36-month intervals. Employing a quantitative explanatory design, the research is grounded in an integrative theoretical framework comprising the Efficient Market Hypothesis, Information Asymmetry, </w:t>
      </w:r>
      <w:proofErr w:type="spellStart"/>
      <w:r>
        <w:rPr>
          <w:rFonts w:ascii="Times New Roman" w:eastAsia="Times New Roman" w:hAnsi="Times New Roman" w:cs="Times New Roman"/>
          <w:sz w:val="24"/>
          <w:szCs w:val="24"/>
        </w:rPr>
        <w:t>Signaling</w:t>
      </w:r>
      <w:proofErr w:type="spellEnd"/>
      <w:r>
        <w:rPr>
          <w:rFonts w:ascii="Times New Roman" w:eastAsia="Times New Roman" w:hAnsi="Times New Roman" w:cs="Times New Roman"/>
          <w:sz w:val="24"/>
          <w:szCs w:val="24"/>
        </w:rPr>
        <w:t xml:space="preserve">, Agency, and Pecking Order theories. The Random Effects Model (REM) is adopted for panel data estimation, selected through the Breusch–Pagan Lagrange Multiplier test to account for firm-level heterogeneity. The empirical model evaluates the effects of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return on assets (ROA), return on equity (ROE), debt-to-equity ratio (DER), largest shareholder, retained ownership, and institutional ownership on long-term performance. The results indicate that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and DER are negatively associated with BHAR, while ROA, the largest shareholder, and institutional ownership demonstrate significant positive effects. ROE and retained ownership do not exhibit statistically significant relationships, suggesting limited </w:t>
      </w:r>
      <w:proofErr w:type="spellStart"/>
      <w:r>
        <w:rPr>
          <w:rFonts w:ascii="Times New Roman" w:eastAsia="Times New Roman" w:hAnsi="Times New Roman" w:cs="Times New Roman"/>
          <w:sz w:val="24"/>
          <w:szCs w:val="24"/>
        </w:rPr>
        <w:t>signaling</w:t>
      </w:r>
      <w:proofErr w:type="spellEnd"/>
      <w:r>
        <w:rPr>
          <w:rFonts w:ascii="Times New Roman" w:eastAsia="Times New Roman" w:hAnsi="Times New Roman" w:cs="Times New Roman"/>
          <w:sz w:val="24"/>
          <w:szCs w:val="24"/>
        </w:rPr>
        <w:t xml:space="preserve"> value in the Indonesian post-IPO context. The model’s adjusted R2 of 8.69% highlights the multifactorial nature of IPO outcomes, likely influenced by macroeconomic volatility, governance environments, and </w:t>
      </w: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market dynamics. This study contributes to IPO literature by integrating pricing, performance, and ownership variables into a unified empirical model and offers actionable insights for investors, issuers, and policymakers in enhancing IPO quality and long-term market performance in emerging economies.</w:t>
      </w:r>
    </w:p>
    <w:p w14:paraId="04220364" w14:textId="77777777" w:rsidR="007373F6" w:rsidRDefault="007373F6">
      <w:pPr>
        <w:spacing w:after="0" w:line="240" w:lineRule="auto"/>
        <w:jc w:val="both"/>
        <w:rPr>
          <w:rFonts w:ascii="Times New Roman" w:eastAsia="Times New Roman" w:hAnsi="Times New Roman" w:cs="Times New Roman"/>
          <w:sz w:val="24"/>
          <w:szCs w:val="24"/>
        </w:rPr>
      </w:pPr>
    </w:p>
    <w:p w14:paraId="27E8D5A4" w14:textId="77777777" w:rsidR="007373F6" w:rsidRDefault="00000000">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Keywords: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Initial Public Offering, BHAR, </w:t>
      </w:r>
      <w:proofErr w:type="spellStart"/>
      <w:r>
        <w:rPr>
          <w:rFonts w:ascii="Times New Roman" w:eastAsia="Times New Roman" w:hAnsi="Times New Roman" w:cs="Times New Roman"/>
          <w:i/>
          <w:sz w:val="24"/>
          <w:szCs w:val="24"/>
        </w:rPr>
        <w:t>Underpricing</w:t>
      </w:r>
      <w:proofErr w:type="spellEnd"/>
      <w:r>
        <w:rPr>
          <w:rFonts w:ascii="Times New Roman" w:eastAsia="Times New Roman" w:hAnsi="Times New Roman" w:cs="Times New Roman"/>
          <w:i/>
          <w:sz w:val="24"/>
          <w:szCs w:val="24"/>
        </w:rPr>
        <w:t xml:space="preserve">, Financial Performance, Ownership Structure </w:t>
      </w:r>
    </w:p>
    <w:p w14:paraId="2A58C4E7" w14:textId="77777777" w:rsidR="007373F6" w:rsidRDefault="007373F6">
      <w:pPr>
        <w:spacing w:after="0" w:line="240" w:lineRule="auto"/>
        <w:jc w:val="both"/>
        <w:rPr>
          <w:rFonts w:ascii="Times New Roman" w:eastAsia="Times New Roman" w:hAnsi="Times New Roman" w:cs="Times New Roman"/>
          <w:i/>
          <w:sz w:val="24"/>
          <w:szCs w:val="24"/>
        </w:rPr>
      </w:pPr>
    </w:p>
    <w:p w14:paraId="2A86A0F8" w14:textId="77777777" w:rsidR="007373F6" w:rsidRDefault="00000000">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 INTRODUCTION</w:t>
      </w:r>
    </w:p>
    <w:p w14:paraId="09DA15C6" w14:textId="77777777" w:rsidR="007373F6" w:rsidRDefault="00000000" w:rsidP="00E113CF">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Initial Public Offering (IPO) process remains a pivotal event in the lifecycle of a company, especially within the dynamic and evolving landscape of emerging capital markets such as Indonesia. For many firms, an IPO is not merely a strategic decision to access public </w:t>
      </w:r>
      <w:r>
        <w:rPr>
          <w:rFonts w:ascii="Times New Roman" w:eastAsia="Times New Roman" w:hAnsi="Times New Roman" w:cs="Times New Roman"/>
          <w:sz w:val="24"/>
          <w:szCs w:val="24"/>
        </w:rPr>
        <w:lastRenderedPageBreak/>
        <w:t xml:space="preserve">funding but a transformative shift that reshapes ownership structure, market visibility, and long-term governance outlook. Despite its centrality, the IPO process is often accompanied by pricing anomalies that expose inefficiencies within the market—most notably, the recurring phenomenon of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w:t>
      </w:r>
    </w:p>
    <w:p w14:paraId="0E8211F1" w14:textId="77777777" w:rsidR="007373F6" w:rsidRDefault="00000000" w:rsidP="00E113CF">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Between 2020 and 2023, the Indonesia Stock Exchange (IDX) recorded a significant increase in IPO activity, with the number of newly listed firms rising from 51 to 79. This expansion suggests a resurgence in corporate financing appetite, likely </w:t>
      </w:r>
      <w:proofErr w:type="spellStart"/>
      <w:r>
        <w:rPr>
          <w:rFonts w:ascii="Times New Roman" w:eastAsia="Times New Roman" w:hAnsi="Times New Roman" w:cs="Times New Roman"/>
          <w:sz w:val="24"/>
          <w:szCs w:val="24"/>
        </w:rPr>
        <w:t>fueled</w:t>
      </w:r>
      <w:proofErr w:type="spellEnd"/>
      <w:r>
        <w:rPr>
          <w:rFonts w:ascii="Times New Roman" w:eastAsia="Times New Roman" w:hAnsi="Times New Roman" w:cs="Times New Roman"/>
          <w:sz w:val="24"/>
          <w:szCs w:val="24"/>
        </w:rPr>
        <w:t xml:space="preserve"> by post-pandemic economic recovery and investor optimism. Yet, alongside this growth, the average first-day return—a key measure of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—declined sharply from 39% in 2020 to 12% in 2023, </w:t>
      </w:r>
      <w:proofErr w:type="spellStart"/>
      <w:r>
        <w:rPr>
          <w:rFonts w:ascii="Times New Roman" w:eastAsia="Times New Roman" w:hAnsi="Times New Roman" w:cs="Times New Roman"/>
          <w:sz w:val="24"/>
          <w:szCs w:val="24"/>
        </w:rPr>
        <w:t>signaling</w:t>
      </w:r>
      <w:proofErr w:type="spellEnd"/>
      <w:r>
        <w:rPr>
          <w:rFonts w:ascii="Times New Roman" w:eastAsia="Times New Roman" w:hAnsi="Times New Roman" w:cs="Times New Roman"/>
          <w:sz w:val="24"/>
          <w:szCs w:val="24"/>
        </w:rPr>
        <w:t xml:space="preserve"> an evolving pricing discipline potentially influenced by regulatory reforms and increased market maturity (IDX, 2023). While this trend may indicate progress toward more efficient pricing mechanisms, the average return of 20.81% over the period underscores that substantial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remains a structural attribute of Indonesia’s IPO landscape.</w:t>
      </w:r>
    </w:p>
    <w:p w14:paraId="2EF70931" w14:textId="77777777" w:rsidR="007373F6" w:rsidRDefault="00000000" w:rsidP="00E113CF">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economic theory,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is frequently attributed to information asymmetry, valuation uncertainty, and market inefficiencies, all of which are particularly prevalent in developing economies. Empirical research from other Asian markets—including Malaysia, Thailand, the Philippines, and China—consistently demonstrates high initial returns driven by similar constraints in information flow and market sophistication (Banerjee et al., 2011; Arora &amp; Singh, 2020; Mehmood et al., 2021). In this regard, Indonesia is no exception. Although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may serve as a deliberate strategy to attract investors or mitigate demand risk, it often entails significant opportunity costs for issuers, reduces capital raised, and distorts fair valuation (Pratiwi et al., 2024; </w:t>
      </w:r>
      <w:proofErr w:type="spellStart"/>
      <w:r>
        <w:rPr>
          <w:rFonts w:ascii="Times New Roman" w:eastAsia="Times New Roman" w:hAnsi="Times New Roman" w:cs="Times New Roman"/>
          <w:sz w:val="24"/>
          <w:szCs w:val="24"/>
        </w:rPr>
        <w:t>Fuadi</w:t>
      </w:r>
      <w:proofErr w:type="spellEnd"/>
      <w:r>
        <w:rPr>
          <w:rFonts w:ascii="Times New Roman" w:eastAsia="Times New Roman" w:hAnsi="Times New Roman" w:cs="Times New Roman"/>
          <w:sz w:val="24"/>
          <w:szCs w:val="24"/>
        </w:rPr>
        <w:t xml:space="preserve"> &amp; </w:t>
      </w:r>
      <w:proofErr w:type="spellStart"/>
      <w:r>
        <w:rPr>
          <w:rFonts w:ascii="Times New Roman" w:eastAsia="Times New Roman" w:hAnsi="Times New Roman" w:cs="Times New Roman"/>
          <w:sz w:val="24"/>
          <w:szCs w:val="24"/>
        </w:rPr>
        <w:t>Pasaribu</w:t>
      </w:r>
      <w:proofErr w:type="spellEnd"/>
      <w:r>
        <w:rPr>
          <w:rFonts w:ascii="Times New Roman" w:eastAsia="Times New Roman" w:hAnsi="Times New Roman" w:cs="Times New Roman"/>
          <w:sz w:val="24"/>
          <w:szCs w:val="24"/>
        </w:rPr>
        <w:t>, 2024).</w:t>
      </w:r>
    </w:p>
    <w:p w14:paraId="562870F2" w14:textId="77777777" w:rsidR="007373F6" w:rsidRDefault="00000000" w:rsidP="00E113CF">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Moreover, the implications of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extend beyond the IPO event itself. While it may generate short-term gains for early investors, its long-run impact on firm performance remains ambiguous. Some studies suggest that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acts as a positive signal of firm quality, thereby supporting price appreciation over time. Others argue that it leads to market corrections, particularly when initial valuations are not supported by fundamentals. These divergent outcomes highlight the need for a more nuanced understanding of how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interacts with post-IPO stock performance—especially over extended holding periods.</w:t>
      </w:r>
    </w:p>
    <w:p w14:paraId="6881CD14" w14:textId="77777777" w:rsidR="007373F6" w:rsidRDefault="00000000" w:rsidP="00E113CF">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address this complexity, recent scholarship has shifted focus toward long-term performance metrics, particularly the Buy-and-Hold Abnormal Return (BHAR), which provides a more holistic view of investor returns compared to short-term anomalies. Nevertheless,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alone cannot fully account for the variation in BHAR. Other structural and firm-specific factors—most notably financial fundamentals and ownership composition—are increasingly recognized as key explanatory variables.</w:t>
      </w:r>
    </w:p>
    <w:p w14:paraId="56A557F3" w14:textId="77777777" w:rsidR="007373F6" w:rsidRDefault="00000000" w:rsidP="00E113CF">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this context, financial indicators such as Return on Assets (ROA), Return on Equity (ROE), and Debt-to-Equity Ratio (DER) are widely used to assess the operating efficiency, profitability, and leverage of newly listed firms. These metrics reflect internal performance and serve as market-relevant signals that influence investor expectations regarding future cash flows and risk exposure (Vance, 2014; Kumar &amp; Sahoo, 2021). For example, high ROE suggests strong capital productivity, while elevated DER may indicate higher financial risk, potentially dampening investor confidence.</w:t>
      </w:r>
    </w:p>
    <w:p w14:paraId="202BDD65" w14:textId="77777777" w:rsidR="007373F6" w:rsidRDefault="00000000" w:rsidP="00E113CF">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Equally important is the role of ownership structure, which serves as a proxy for governance quality and agency alignment. Prior studies highlight how retained ownership by original shareholders, the concentration of shares held by the largest shareholder, and the presence of institutional investors can significantly shape market perceptions (Michel et al., 2013; Pham et al., 2003). These ownership variables act as strategic signals: high retained ownership may convey long-term commitment, while institutional participation is often interpreted as a certification of firm credibility. However, ownership effects are mediated by institutional factors, including disclosure regimes, enforcement intensity, and investor </w:t>
      </w:r>
      <w:r>
        <w:rPr>
          <w:rFonts w:ascii="Times New Roman" w:eastAsia="Times New Roman" w:hAnsi="Times New Roman" w:cs="Times New Roman"/>
          <w:sz w:val="24"/>
          <w:szCs w:val="24"/>
        </w:rPr>
        <w:lastRenderedPageBreak/>
        <w:t xml:space="preserve">sophistication, all of which differ across markets. Research from China, Scandinavia, and Indonesia reveals that regulatory frameworks, investor maturity, and corporate governance norms all moderate the relationship between ownership and post-IPO performance (Wang &amp; Wang, 2021; Berglund &amp; Granelli, 2023; Setia-Atmaja &amp; </w:t>
      </w:r>
      <w:proofErr w:type="spellStart"/>
      <w:r>
        <w:rPr>
          <w:rFonts w:ascii="Times New Roman" w:eastAsia="Times New Roman" w:hAnsi="Times New Roman" w:cs="Times New Roman"/>
          <w:sz w:val="24"/>
          <w:szCs w:val="24"/>
        </w:rPr>
        <w:t>Chandera</w:t>
      </w:r>
      <w:proofErr w:type="spellEnd"/>
      <w:r>
        <w:rPr>
          <w:rFonts w:ascii="Times New Roman" w:eastAsia="Times New Roman" w:hAnsi="Times New Roman" w:cs="Times New Roman"/>
          <w:sz w:val="24"/>
          <w:szCs w:val="24"/>
        </w:rPr>
        <w:t>, 2021).</w:t>
      </w:r>
    </w:p>
    <w:p w14:paraId="4DD9368B" w14:textId="77777777" w:rsidR="007373F6" w:rsidRDefault="00000000" w:rsidP="00E113CF">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Despite the richness of existing literature, much of it remains fragmented, with studies often </w:t>
      </w:r>
      <w:proofErr w:type="spellStart"/>
      <w:r>
        <w:rPr>
          <w:rFonts w:ascii="Times New Roman" w:eastAsia="Times New Roman" w:hAnsi="Times New Roman" w:cs="Times New Roman"/>
          <w:sz w:val="24"/>
          <w:szCs w:val="24"/>
        </w:rPr>
        <w:t>analyzing</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financial performance, and ownership structure in isolation. Furthermore, the empirical inconsistencies observed across markets suggest that findings are context-dependent—affected by sample period, economic cycles, and methodological choices. This fragmentation signals a pressing need for a more integrative empirical framework that simultaneously examines these variables within a single model, particularly in emerging markets like Indonesia.</w:t>
      </w:r>
    </w:p>
    <w:p w14:paraId="210E5DF2" w14:textId="77777777" w:rsidR="007373F6" w:rsidRDefault="00000000" w:rsidP="00E113CF">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response to the gaps in existing literature and contextual challenges in emerging markets, this study develops a comprehensive empirical model that integrates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financial performance, and ownership structure in explaining long-term post-IPO stock performance, using BHAR as the primary outcome variable. By situating the analysis within the theoretical domains of the Efficient Market Hypothesis, Information Asymmetry Theory, </w:t>
      </w:r>
      <w:proofErr w:type="spellStart"/>
      <w:r>
        <w:rPr>
          <w:rFonts w:ascii="Times New Roman" w:eastAsia="Times New Roman" w:hAnsi="Times New Roman" w:cs="Times New Roman"/>
          <w:sz w:val="24"/>
          <w:szCs w:val="24"/>
        </w:rPr>
        <w:t>Signaling</w:t>
      </w:r>
      <w:proofErr w:type="spellEnd"/>
      <w:r>
        <w:rPr>
          <w:rFonts w:ascii="Times New Roman" w:eastAsia="Times New Roman" w:hAnsi="Times New Roman" w:cs="Times New Roman"/>
          <w:sz w:val="24"/>
          <w:szCs w:val="24"/>
        </w:rPr>
        <w:t xml:space="preserve"> Theory, Agency Theory, and Pecking Order Theory, this research aims to bridge theoretical fragmentation and empirical inconsistencies in IPO literature by offering an integrated model applicable to the unique institutional conditions of emerging markets like Indonesia.</w:t>
      </w:r>
    </w:p>
    <w:p w14:paraId="6BD21B41" w14:textId="77777777" w:rsidR="00E113CF" w:rsidRDefault="00E113CF" w:rsidP="00E113CF">
      <w:pPr>
        <w:spacing w:after="0" w:line="240" w:lineRule="auto"/>
        <w:ind w:firstLine="426"/>
        <w:jc w:val="both"/>
        <w:rPr>
          <w:rFonts w:ascii="Times New Roman" w:eastAsia="Times New Roman" w:hAnsi="Times New Roman" w:cs="Times New Roman"/>
          <w:sz w:val="24"/>
          <w:szCs w:val="24"/>
        </w:rPr>
      </w:pPr>
    </w:p>
    <w:p w14:paraId="3F36D286" w14:textId="77777777" w:rsidR="007373F6" w:rsidRDefault="00000000">
      <w:pPr>
        <w:spacing w:line="240" w:lineRule="auto"/>
        <w:jc w:val="center"/>
        <w:rPr>
          <w:rFonts w:ascii="Times New Roman" w:eastAsia="Times New Roman" w:hAnsi="Times New Roman" w:cs="Times New Roman"/>
          <w:b/>
          <w:sz w:val="24"/>
          <w:szCs w:val="24"/>
        </w:rPr>
      </w:pPr>
      <w:bookmarkStart w:id="102" w:name="_heading=h.3dy6vkm" w:colFirst="0" w:colLast="0"/>
      <w:bookmarkEnd w:id="102"/>
      <w:r>
        <w:rPr>
          <w:rFonts w:ascii="Times New Roman" w:eastAsia="Times New Roman" w:hAnsi="Times New Roman" w:cs="Times New Roman"/>
          <w:b/>
          <w:sz w:val="24"/>
          <w:szCs w:val="24"/>
        </w:rPr>
        <w:t>2. LITERATURE REVIEW AND HYPOTHESIS</w:t>
      </w:r>
    </w:p>
    <w:p w14:paraId="35372EB4" w14:textId="77777777" w:rsidR="007373F6" w:rsidRDefault="00000000" w:rsidP="00E113CF">
      <w:pPr>
        <w:spacing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study integrates established theoretical foundations with empirical research to develop a comprehensive framework that examines how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financial performance, and ownership structure influence long-term post-IPO stock performance, measured by Buy-and-Hold Abnormal Return (BHAR). The following subsections elaborate on each construct, anchored in relevant theories and leading to testable hypotheses.</w:t>
      </w:r>
    </w:p>
    <w:p w14:paraId="210788EF" w14:textId="576C613C" w:rsidR="007373F6" w:rsidRDefault="00E113CF" w:rsidP="002748F8">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2.1 </w:t>
      </w:r>
      <w:proofErr w:type="spellStart"/>
      <w:r>
        <w:rPr>
          <w:rFonts w:ascii="Times New Roman" w:eastAsia="Times New Roman" w:hAnsi="Times New Roman" w:cs="Times New Roman"/>
          <w:b/>
          <w:sz w:val="24"/>
          <w:szCs w:val="24"/>
        </w:rPr>
        <w:t>Underpricing</w:t>
      </w:r>
      <w:proofErr w:type="spellEnd"/>
      <w:r>
        <w:rPr>
          <w:rFonts w:ascii="Times New Roman" w:eastAsia="Times New Roman" w:hAnsi="Times New Roman" w:cs="Times New Roman"/>
          <w:b/>
          <w:sz w:val="24"/>
          <w:szCs w:val="24"/>
        </w:rPr>
        <w:t xml:space="preserve"> and Long-Term Stock Performance</w:t>
      </w:r>
    </w:p>
    <w:p w14:paraId="391CEEA0"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—defined as the positive difference between the IPO offer price and the first-day closing price—remains one of the most studied anomalies in capital markets. It challenges rational pricing and questions the efficiency of primary markets, especially in emerging economies where valuation opacity, weak disclosure standards, and investor immaturity persist.</w:t>
      </w:r>
    </w:p>
    <w:p w14:paraId="25FB33A3"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From the perspective of Information Asymmetry Theory (Akerlof, 1970; Rock, 1986),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compensates uninformed investors who risk being allocated low-quality shares. Rock’s Winner’s Curse Model suggests that well-informed investors only participate in underpriced IPOs, crowding out less-informed investors from lucrative deals. To attract both groups, issuers must price IPOs below intrinsic value—especially in markets like Indonesia, where underwriter diligence and disclosure quality are inconsistent.</w:t>
      </w:r>
    </w:p>
    <w:p w14:paraId="30F8C0F1"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Signaling</w:t>
      </w:r>
      <w:proofErr w:type="spellEnd"/>
      <w:r>
        <w:rPr>
          <w:rFonts w:ascii="Times New Roman" w:eastAsia="Times New Roman" w:hAnsi="Times New Roman" w:cs="Times New Roman"/>
          <w:sz w:val="24"/>
          <w:szCs w:val="24"/>
        </w:rPr>
        <w:t xml:space="preserve"> Theory (Leland &amp; Pyle, 1977; Spence, 1973) adds that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may act as a costly but credible signal of firm quality. High-quality firms are more willing to incur this cost, expecting future returns through seasoned equity offerings or sustained valuation. However, the signal's effectiveness depends on whether the market perceives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as intentional rather than as a sign of poor forecasting or managerial inefficiency.</w:t>
      </w:r>
    </w:p>
    <w:p w14:paraId="520EB764"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contrast, the Efficient Market Hypothesis (Fama, 1970; 1991) argues that in semi-strong efficient markets, all public information—including IPO pricing—should be reflected in stock prices, rendering consistent abnormal returns unlikely. Persistent deviations such as post-IPO underperformance imply pricing inefficiencies or market irrationality, a phenomenon common in less-developed capital markets (Ritter &amp; Welch, 2002; Loughran &amp; Ritter, 2004).</w:t>
      </w:r>
    </w:p>
    <w:p w14:paraId="199E4901"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Empirical studies generally caution against excessive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Budiman (2019) and </w:t>
      </w:r>
      <w:proofErr w:type="spellStart"/>
      <w:r>
        <w:rPr>
          <w:rFonts w:ascii="Times New Roman" w:eastAsia="Times New Roman" w:hAnsi="Times New Roman" w:cs="Times New Roman"/>
          <w:sz w:val="24"/>
          <w:szCs w:val="24"/>
        </w:rPr>
        <w:t>Sholichah</w:t>
      </w:r>
      <w:proofErr w:type="spellEnd"/>
      <w:r>
        <w:rPr>
          <w:rFonts w:ascii="Times New Roman" w:eastAsia="Times New Roman" w:hAnsi="Times New Roman" w:cs="Times New Roman"/>
          <w:sz w:val="24"/>
          <w:szCs w:val="24"/>
        </w:rPr>
        <w:t xml:space="preserve"> (2018) document that high initial returns often precede declining BHAR in </w:t>
      </w:r>
      <w:r>
        <w:rPr>
          <w:rFonts w:ascii="Times New Roman" w:eastAsia="Times New Roman" w:hAnsi="Times New Roman" w:cs="Times New Roman"/>
          <w:sz w:val="24"/>
          <w:szCs w:val="24"/>
        </w:rPr>
        <w:lastRenderedPageBreak/>
        <w:t xml:space="preserve">Indonesian IPOs, as speculative enthusiasm fades and valuations normalize. Avci (2021) similarly finds that initial overvaluation through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is associated with negative BHAR in the Turkish market. These findings suggest that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can lead to short-term price “overshoots” that are gradually corrected.</w:t>
      </w:r>
    </w:p>
    <w:p w14:paraId="68635E63"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finance perspectives also highlight retail investor over-optimism during IPOs, particularly in retail-dominant markets, which can distort first-day pricing. Moreover, external factors such as media coverage and institutional investor herding may amplify these effects.</w:t>
      </w:r>
    </w:p>
    <w:p w14:paraId="4728F08E"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While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can mitigate demand uncertainty and promote IPO success in the short term, excessive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may reflect poor pricing mechanisms or weak issuer credibility, ultimately undermining long-term value.</w:t>
      </w:r>
    </w:p>
    <w:p w14:paraId="08A14358"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H</w:t>
      </w:r>
      <w:r w:rsidRPr="007D1FCB">
        <w:rPr>
          <w:rFonts w:ascii="Times New Roman" w:eastAsia="Times New Roman" w:hAnsi="Times New Roman" w:cs="Times New Roman"/>
          <w:b/>
          <w:sz w:val="24"/>
          <w:szCs w:val="24"/>
          <w:vertAlign w:val="subscript"/>
        </w:rPr>
        <w:t>1</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negatively affects long-term post-IPO stock performance (BHAR).</w:t>
      </w:r>
    </w:p>
    <w:p w14:paraId="7B6B139C" w14:textId="77777777" w:rsidR="007D1FCB" w:rsidRDefault="007D1FCB" w:rsidP="007D1FCB">
      <w:pPr>
        <w:keepNext/>
        <w:spacing w:after="0" w:line="240" w:lineRule="auto"/>
        <w:jc w:val="both"/>
        <w:rPr>
          <w:rFonts w:ascii="Times New Roman" w:eastAsia="Times New Roman" w:hAnsi="Times New Roman" w:cs="Times New Roman"/>
          <w:b/>
          <w:sz w:val="24"/>
          <w:szCs w:val="24"/>
        </w:rPr>
      </w:pPr>
    </w:p>
    <w:p w14:paraId="2DA12C96" w14:textId="3E9E305D" w:rsidR="007373F6" w:rsidRDefault="007D1FCB" w:rsidP="007D1FCB">
      <w:pPr>
        <w:keepNext/>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2.2 Financial Performance and Long-Term Stock Performance</w:t>
      </w:r>
    </w:p>
    <w:p w14:paraId="1B383104"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firm’s financial condition at the time of its IPO significantly influences its long-term valuation. Financial indicators not only reflect internal efficiency but also serve as external signals that help investors assess future performance in the absence of long-standing market data—particularly important in high-uncertainty markets like Indonesia.</w:t>
      </w:r>
    </w:p>
    <w:p w14:paraId="55BD149C"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According to </w:t>
      </w:r>
      <w:proofErr w:type="spellStart"/>
      <w:r>
        <w:rPr>
          <w:rFonts w:ascii="Times New Roman" w:eastAsia="Times New Roman" w:hAnsi="Times New Roman" w:cs="Times New Roman"/>
          <w:sz w:val="24"/>
          <w:szCs w:val="24"/>
        </w:rPr>
        <w:t>Signaling</w:t>
      </w:r>
      <w:proofErr w:type="spellEnd"/>
      <w:r>
        <w:rPr>
          <w:rFonts w:ascii="Times New Roman" w:eastAsia="Times New Roman" w:hAnsi="Times New Roman" w:cs="Times New Roman"/>
          <w:sz w:val="24"/>
          <w:szCs w:val="24"/>
        </w:rPr>
        <w:t xml:space="preserve"> Theory (Spence, 1973), firms convey managerial quality and operational efficiency through transparent, verifiable metrics such as Return on Assets (ROA) and Return on Equity (ROE). ROA reflects asset utilization effectiveness, while ROE signals capital productivity. High values in these metrics are widely interpreted as indicators of sustainable profitability and prudent financial management.</w:t>
      </w:r>
    </w:p>
    <w:p w14:paraId="51CC7A50"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Information Asymmetry Theory (Akerlof, 1970) also suggests that audited and disclosed financial data helps reduce valuation uncertainty. In IPO settings where historical price data is unavailable, investors rely heavily on financial performance to infer firm quality (Barnes, 1987). ROA and ROE thus serve as anchors for shaping long-term return expectations.</w:t>
      </w:r>
    </w:p>
    <w:p w14:paraId="2C7D4081"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Empirical studies support these theoretical propositions. Batool (2018) and Budiman (2019) find that higher ROA and ROE are associated with stronger BHAR in post-IPO firms. However, Avci (2021) presents a counterpoint from the Turkish market, where high ROE correlates negatively with BHAR, consistent with the Windows of Opportunity Hypothesis. This suggests that some firms may deliberately time their IPOs during short-lived peaks in profitability, which distorts the </w:t>
      </w:r>
      <w:proofErr w:type="spellStart"/>
      <w:r>
        <w:rPr>
          <w:rFonts w:ascii="Times New Roman" w:eastAsia="Times New Roman" w:hAnsi="Times New Roman" w:cs="Times New Roman"/>
          <w:sz w:val="24"/>
          <w:szCs w:val="24"/>
        </w:rPr>
        <w:t>signaling</w:t>
      </w:r>
      <w:proofErr w:type="spellEnd"/>
      <w:r>
        <w:rPr>
          <w:rFonts w:ascii="Times New Roman" w:eastAsia="Times New Roman" w:hAnsi="Times New Roman" w:cs="Times New Roman"/>
          <w:sz w:val="24"/>
          <w:szCs w:val="24"/>
        </w:rPr>
        <w:t xml:space="preserve"> value of ROE and leads to eventual performance reversion.</w:t>
      </w:r>
    </w:p>
    <w:p w14:paraId="5C206EDA"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Debt-to-Equity Ratio (DER), as a measure of capital structure, adds complexity. According to Pecking Order Theory (Myers &amp; Majluf, 1984), firms prioritize internal financing over debt and equity issuance. High DER may suggest financial vulnerability and over-reliance on debt, </w:t>
      </w:r>
      <w:proofErr w:type="spellStart"/>
      <w:r>
        <w:rPr>
          <w:rFonts w:ascii="Times New Roman" w:eastAsia="Times New Roman" w:hAnsi="Times New Roman" w:cs="Times New Roman"/>
          <w:sz w:val="24"/>
          <w:szCs w:val="24"/>
        </w:rPr>
        <w:t>signaling</w:t>
      </w:r>
      <w:proofErr w:type="spellEnd"/>
      <w:r>
        <w:rPr>
          <w:rFonts w:ascii="Times New Roman" w:eastAsia="Times New Roman" w:hAnsi="Times New Roman" w:cs="Times New Roman"/>
          <w:sz w:val="24"/>
          <w:szCs w:val="24"/>
        </w:rPr>
        <w:t xml:space="preserve"> limited cash flow or retained earnings. In such cases, investor confidence may decline, suppressing long-term stock returns (Bharath et al., 2009; Lemmon &amp; Zender, 2010).</w:t>
      </w:r>
    </w:p>
    <w:p w14:paraId="634980CD"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However, this interpretation is context-dependent. In some cases, especially in Indonesia, firms may use debt strategically to fund productive expansion. </w:t>
      </w:r>
      <w:proofErr w:type="spellStart"/>
      <w:r>
        <w:rPr>
          <w:rFonts w:ascii="Times New Roman" w:eastAsia="Times New Roman" w:hAnsi="Times New Roman" w:cs="Times New Roman"/>
          <w:sz w:val="24"/>
          <w:szCs w:val="24"/>
        </w:rPr>
        <w:t>Hardiyanto</w:t>
      </w:r>
      <w:proofErr w:type="spellEnd"/>
      <w:r>
        <w:rPr>
          <w:rFonts w:ascii="Times New Roman" w:eastAsia="Times New Roman" w:hAnsi="Times New Roman" w:cs="Times New Roman"/>
          <w:sz w:val="24"/>
          <w:szCs w:val="24"/>
        </w:rPr>
        <w:t xml:space="preserve"> &amp; </w:t>
      </w:r>
      <w:proofErr w:type="spellStart"/>
      <w:r>
        <w:rPr>
          <w:rFonts w:ascii="Times New Roman" w:eastAsia="Times New Roman" w:hAnsi="Times New Roman" w:cs="Times New Roman"/>
          <w:sz w:val="24"/>
          <w:szCs w:val="24"/>
        </w:rPr>
        <w:t>Syarif</w:t>
      </w:r>
      <w:proofErr w:type="spellEnd"/>
      <w:r>
        <w:rPr>
          <w:rFonts w:ascii="Times New Roman" w:eastAsia="Times New Roman" w:hAnsi="Times New Roman" w:cs="Times New Roman"/>
          <w:sz w:val="24"/>
          <w:szCs w:val="24"/>
        </w:rPr>
        <w:t xml:space="preserve"> (2024) find that firms with well-managed leverage—particularly when linked to growth investments—may achieve superior BHAR. Thus, DER's effect is contingent on industry norms, firm strategy, and macroeconomic conditions.</w:t>
      </w:r>
    </w:p>
    <w:p w14:paraId="15DF2FFC"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Overall, while profitability indicators such as ROA and ROE tend to support long-term value, DER requires contextual interpretation.</w:t>
      </w:r>
    </w:p>
    <w:p w14:paraId="2E40A586"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H</w:t>
      </w:r>
      <w:r w:rsidRPr="007D1FCB">
        <w:rPr>
          <w:rFonts w:ascii="Times New Roman" w:eastAsia="Times New Roman" w:hAnsi="Times New Roman" w:cs="Times New Roman"/>
          <w:b/>
          <w:sz w:val="24"/>
          <w:szCs w:val="24"/>
          <w:vertAlign w:val="subscript"/>
        </w:rPr>
        <w:t>2</w:t>
      </w:r>
      <w:r>
        <w:rPr>
          <w:rFonts w:ascii="Times New Roman" w:eastAsia="Times New Roman" w:hAnsi="Times New Roman" w:cs="Times New Roman"/>
          <w:sz w:val="24"/>
          <w:szCs w:val="24"/>
        </w:rPr>
        <w:t>: ROA positively affects long-term post-IPO stock performance (BHAR).</w:t>
      </w:r>
    </w:p>
    <w:p w14:paraId="011ACA65"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H</w:t>
      </w:r>
      <w:r w:rsidRPr="007D1FCB">
        <w:rPr>
          <w:rFonts w:ascii="Times New Roman" w:eastAsia="Times New Roman" w:hAnsi="Times New Roman" w:cs="Times New Roman"/>
          <w:b/>
          <w:sz w:val="24"/>
          <w:szCs w:val="24"/>
          <w:vertAlign w:val="subscript"/>
        </w:rPr>
        <w:t>3</w:t>
      </w:r>
      <w:r>
        <w:rPr>
          <w:rFonts w:ascii="Times New Roman" w:eastAsia="Times New Roman" w:hAnsi="Times New Roman" w:cs="Times New Roman"/>
          <w:sz w:val="24"/>
          <w:szCs w:val="24"/>
        </w:rPr>
        <w:t>: ROE positively affects long-term post-IPO stock performance (BHAR).</w:t>
      </w:r>
    </w:p>
    <w:p w14:paraId="7BD32774"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H</w:t>
      </w:r>
      <w:r w:rsidRPr="007D1FCB">
        <w:rPr>
          <w:rFonts w:ascii="Times New Roman" w:eastAsia="Times New Roman" w:hAnsi="Times New Roman" w:cs="Times New Roman"/>
          <w:b/>
          <w:sz w:val="24"/>
          <w:szCs w:val="24"/>
          <w:vertAlign w:val="subscript"/>
        </w:rPr>
        <w:t>4</w:t>
      </w:r>
      <w:r>
        <w:rPr>
          <w:rFonts w:ascii="Times New Roman" w:eastAsia="Times New Roman" w:hAnsi="Times New Roman" w:cs="Times New Roman"/>
          <w:sz w:val="24"/>
          <w:szCs w:val="24"/>
        </w:rPr>
        <w:t>: DER negatively affects long-term post-IPO stock performance (BHAR).</w:t>
      </w:r>
    </w:p>
    <w:p w14:paraId="302BCBA0" w14:textId="77777777" w:rsidR="007D1FCB" w:rsidRDefault="007D1FCB" w:rsidP="007D1FCB">
      <w:pPr>
        <w:spacing w:after="0" w:line="240" w:lineRule="auto"/>
        <w:ind w:firstLine="426"/>
        <w:jc w:val="both"/>
        <w:rPr>
          <w:rFonts w:ascii="Times New Roman" w:eastAsia="Times New Roman" w:hAnsi="Times New Roman" w:cs="Times New Roman"/>
          <w:b/>
          <w:sz w:val="24"/>
          <w:szCs w:val="24"/>
        </w:rPr>
      </w:pPr>
    </w:p>
    <w:p w14:paraId="6E9D9822" w14:textId="6F69B45D" w:rsidR="007373F6" w:rsidRDefault="007D1FCB" w:rsidP="007D1FCB">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2.3 Ownership Structure and Long-Term Stock Performance</w:t>
      </w:r>
    </w:p>
    <w:p w14:paraId="2EE233A2"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Ownership structure post-IPO is pivotal in both corporate governance and investor perception. In emerging markets with weaker legal enforcement and minority shareholder protection, ownership concentration plays a central role in monitoring and aligning managerial actions with shareholder interests.</w:t>
      </w:r>
    </w:p>
    <w:p w14:paraId="36E39B41"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Agency Theory (Jensen &amp; Meckling, 1976) identifies the principal-agent conflict as a key inefficiency in publicly traded firms. When insiders retain significant ownership post-IPO, they are incentivized to align with shareholder value. </w:t>
      </w:r>
      <w:proofErr w:type="spellStart"/>
      <w:r>
        <w:rPr>
          <w:rFonts w:ascii="Times New Roman" w:eastAsia="Times New Roman" w:hAnsi="Times New Roman" w:cs="Times New Roman"/>
          <w:sz w:val="24"/>
          <w:szCs w:val="24"/>
        </w:rPr>
        <w:t>Demsetz</w:t>
      </w:r>
      <w:proofErr w:type="spellEnd"/>
      <w:r>
        <w:rPr>
          <w:rFonts w:ascii="Times New Roman" w:eastAsia="Times New Roman" w:hAnsi="Times New Roman" w:cs="Times New Roman"/>
          <w:sz w:val="24"/>
          <w:szCs w:val="24"/>
        </w:rPr>
        <w:t xml:space="preserve"> &amp; Lehn (1985) argue that ownership concentration reduces agency costs and improves firm performance through direct oversight.</w:t>
      </w:r>
    </w:p>
    <w:p w14:paraId="54C7D871"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presence of a dominant shareholder—whether a founder, family, or corporate group—can enhance governance quality. Wang et al. (2015) and </w:t>
      </w:r>
      <w:proofErr w:type="spellStart"/>
      <w:r>
        <w:rPr>
          <w:rFonts w:ascii="Times New Roman" w:eastAsia="Times New Roman" w:hAnsi="Times New Roman" w:cs="Times New Roman"/>
          <w:sz w:val="24"/>
          <w:szCs w:val="24"/>
        </w:rPr>
        <w:t>Gedajlovic</w:t>
      </w:r>
      <w:proofErr w:type="spellEnd"/>
      <w:r>
        <w:rPr>
          <w:rFonts w:ascii="Times New Roman" w:eastAsia="Times New Roman" w:hAnsi="Times New Roman" w:cs="Times New Roman"/>
          <w:sz w:val="24"/>
          <w:szCs w:val="24"/>
        </w:rPr>
        <w:t xml:space="preserve"> &amp; Shapiro (2002) find that such concentration improves long-term stock performance, especially in environments with limited external oversight. In Indonesia, where pyramid ownership and cross-holdings are common, this effect is particularly relevant.</w:t>
      </w:r>
    </w:p>
    <w:p w14:paraId="11C73A00"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Retained ownership, or the proportion of shares held by pre-IPO insiders, also serves as a powerful signal. </w:t>
      </w:r>
      <w:proofErr w:type="spellStart"/>
      <w:r>
        <w:rPr>
          <w:rFonts w:ascii="Times New Roman" w:eastAsia="Times New Roman" w:hAnsi="Times New Roman" w:cs="Times New Roman"/>
          <w:sz w:val="24"/>
          <w:szCs w:val="24"/>
        </w:rPr>
        <w:t>Signaling</w:t>
      </w:r>
      <w:proofErr w:type="spellEnd"/>
      <w:r>
        <w:rPr>
          <w:rFonts w:ascii="Times New Roman" w:eastAsia="Times New Roman" w:hAnsi="Times New Roman" w:cs="Times New Roman"/>
          <w:sz w:val="24"/>
          <w:szCs w:val="24"/>
        </w:rPr>
        <w:t xml:space="preserve"> Theory (Leland &amp; Pyle, 1977) views retained equity as a costly and credible commitment by insiders, reflecting confidence in long-term firm value. Michel et al. (2013) and Pham et al. (2003) find that firms with high retained ownership tend to deliver higher BHAR. While retained stakes may also reflect mandatory lock-up provisions—common in regulated IPO settings—their </w:t>
      </w:r>
      <w:proofErr w:type="spellStart"/>
      <w:r>
        <w:rPr>
          <w:rFonts w:ascii="Times New Roman" w:eastAsia="Times New Roman" w:hAnsi="Times New Roman" w:cs="Times New Roman"/>
          <w:sz w:val="24"/>
          <w:szCs w:val="24"/>
        </w:rPr>
        <w:t>signaling</w:t>
      </w:r>
      <w:proofErr w:type="spellEnd"/>
      <w:r>
        <w:rPr>
          <w:rFonts w:ascii="Times New Roman" w:eastAsia="Times New Roman" w:hAnsi="Times New Roman" w:cs="Times New Roman"/>
          <w:sz w:val="24"/>
          <w:szCs w:val="24"/>
        </w:rPr>
        <w:t xml:space="preserve"> value may be diluted if retention is not voluntary. In such cases, investors may discount the informational content of retained ownership, especially in markets with weak post-IPO disclosure enforcement.</w:t>
      </w:r>
    </w:p>
    <w:p w14:paraId="2308C866"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Institutional ownership adds further nuance. On one hand, reputable institutions such as venture capital firms and underwriters may enhance governance and reduce information asymmetry (Megginson &amp; Weiss, 1991). Their involvement often signals credibility and attracts public interest. On the other hand, </w:t>
      </w: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studies highlight the downside of institutional herding, where institutions mimic each other’s trades, contributing to short-term price distortions and long-term underperformance (Bird &amp; Yeung, 2010; Okumu et al., 2022).</w:t>
      </w:r>
    </w:p>
    <w:p w14:paraId="22FCC5F3"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Thus, ownership structure affects BHAR through governance and </w:t>
      </w:r>
      <w:proofErr w:type="spellStart"/>
      <w:r>
        <w:rPr>
          <w:rFonts w:ascii="Times New Roman" w:eastAsia="Times New Roman" w:hAnsi="Times New Roman" w:cs="Times New Roman"/>
          <w:sz w:val="24"/>
          <w:szCs w:val="24"/>
        </w:rPr>
        <w:t>signaling</w:t>
      </w:r>
      <w:proofErr w:type="spellEnd"/>
      <w:r>
        <w:rPr>
          <w:rFonts w:ascii="Times New Roman" w:eastAsia="Times New Roman" w:hAnsi="Times New Roman" w:cs="Times New Roman"/>
          <w:sz w:val="24"/>
          <w:szCs w:val="24"/>
        </w:rPr>
        <w:t xml:space="preserve"> channels. In markets with limited transparency and enforcement, these ownership cues are crucial for investor decision-making.</w:t>
      </w:r>
    </w:p>
    <w:p w14:paraId="5642CD66"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H</w:t>
      </w:r>
      <w:r w:rsidRPr="007D1FCB">
        <w:rPr>
          <w:rFonts w:ascii="Times New Roman" w:eastAsia="Times New Roman" w:hAnsi="Times New Roman" w:cs="Times New Roman"/>
          <w:b/>
          <w:sz w:val="24"/>
          <w:szCs w:val="24"/>
          <w:vertAlign w:val="subscript"/>
        </w:rPr>
        <w:t>5</w:t>
      </w:r>
      <w:r>
        <w:rPr>
          <w:rFonts w:ascii="Times New Roman" w:eastAsia="Times New Roman" w:hAnsi="Times New Roman" w:cs="Times New Roman"/>
          <w:sz w:val="24"/>
          <w:szCs w:val="24"/>
        </w:rPr>
        <w:t>: Largest shareholder positively affects long-term post-IPO stock performance (BHAR).</w:t>
      </w:r>
    </w:p>
    <w:p w14:paraId="5BCE9EE4"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H</w:t>
      </w:r>
      <w:r w:rsidRPr="007D1FCB">
        <w:rPr>
          <w:rFonts w:ascii="Times New Roman" w:eastAsia="Times New Roman" w:hAnsi="Times New Roman" w:cs="Times New Roman"/>
          <w:b/>
          <w:sz w:val="24"/>
          <w:szCs w:val="24"/>
          <w:vertAlign w:val="subscript"/>
        </w:rPr>
        <w:t>6</w:t>
      </w:r>
      <w:r>
        <w:rPr>
          <w:rFonts w:ascii="Times New Roman" w:eastAsia="Times New Roman" w:hAnsi="Times New Roman" w:cs="Times New Roman"/>
          <w:sz w:val="24"/>
          <w:szCs w:val="24"/>
        </w:rPr>
        <w:t>: Retained ownership positively affects long-term post-IPO stock performance (BHAR).</w:t>
      </w:r>
    </w:p>
    <w:p w14:paraId="20B26CB1" w14:textId="3F4FF103"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H</w:t>
      </w:r>
      <w:r w:rsidRPr="007D1FCB">
        <w:rPr>
          <w:rFonts w:ascii="Times New Roman" w:eastAsia="Times New Roman" w:hAnsi="Times New Roman" w:cs="Times New Roman"/>
          <w:b/>
          <w:sz w:val="24"/>
          <w:szCs w:val="24"/>
          <w:vertAlign w:val="subscript"/>
        </w:rPr>
        <w:t>7</w:t>
      </w:r>
      <w:r>
        <w:rPr>
          <w:rFonts w:ascii="Times New Roman" w:eastAsia="Times New Roman" w:hAnsi="Times New Roman" w:cs="Times New Roman"/>
          <w:sz w:val="24"/>
          <w:szCs w:val="24"/>
        </w:rPr>
        <w:t>:</w:t>
      </w:r>
      <w:r w:rsidR="007D1FC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Institutional ownership positively affects long-term post-IPO stock performance (BHAR).</w:t>
      </w:r>
    </w:p>
    <w:p w14:paraId="7800904C" w14:textId="77777777" w:rsidR="007373F6" w:rsidRDefault="00000000">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3. METHODOLOGY</w:t>
      </w:r>
    </w:p>
    <w:p w14:paraId="48ACB72F"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study adopts a quantitative explanatory research design to examine the effects of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financial performance, and ownership structure on long-term post-IPO stock performance, using Buy-and-Hold Abnormal Return (BHAR) as the principal outcome variable. The research is grounded in a multi-theoretical framework that integrates the Efficient Market Hypothesis (Fama, 1970, 1991), Information Asymmetry Theory (Akerlof, 1970; Rock, 1986), </w:t>
      </w:r>
      <w:proofErr w:type="spellStart"/>
      <w:r>
        <w:rPr>
          <w:rFonts w:ascii="Times New Roman" w:eastAsia="Times New Roman" w:hAnsi="Times New Roman" w:cs="Times New Roman"/>
          <w:sz w:val="24"/>
          <w:szCs w:val="24"/>
        </w:rPr>
        <w:t>Signaling</w:t>
      </w:r>
      <w:proofErr w:type="spellEnd"/>
      <w:r>
        <w:rPr>
          <w:rFonts w:ascii="Times New Roman" w:eastAsia="Times New Roman" w:hAnsi="Times New Roman" w:cs="Times New Roman"/>
          <w:sz w:val="24"/>
          <w:szCs w:val="24"/>
        </w:rPr>
        <w:t xml:space="preserve"> Theory (Spence, 1973; Leland &amp; Pyle, 1977), Agency Theory (Jensen &amp; Meckling, 1976), and Pecking Order Theory (Myers &amp; Majluf, 1984). These perspectives collectively inform how firm-specific fundamentals, governance structures, and market dynamics interact to shape long-term performance in the IPO context.</w:t>
      </w:r>
    </w:p>
    <w:p w14:paraId="24FC5E6B"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population comprises all non-financial firms listed on the Indonesia Stock Exchange (IDX) that conducted an Initial Public Offering between 2017 and 2021. This five-year window allows for a sufficiently long post-IPO horizon to measure stock returns at 12, 24, and 36 months after listing. Financial, real estate, and property sector firms were excluded due to their </w:t>
      </w:r>
      <w:r>
        <w:rPr>
          <w:rFonts w:ascii="Times New Roman" w:eastAsia="Times New Roman" w:hAnsi="Times New Roman" w:cs="Times New Roman"/>
          <w:sz w:val="24"/>
          <w:szCs w:val="24"/>
        </w:rPr>
        <w:lastRenderedPageBreak/>
        <w:t>distinct financial reporting standards and regulatory environments. Firms were also excluded if they were delisted, engaged in major corporate actions (e.g., rights issues, stock splits), or lacked complete financial or trading data. Using a purposive sampling method, a final sample of 151 firms was obtained, yielding 453 firm-period observations.</w:t>
      </w:r>
    </w:p>
    <w:p w14:paraId="00BEE845"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dependent variable is BHAR, which measures the compounded abnormal return accrued by an investor holding the IPO stock over a specific horizon, relative to the market index. BHAR is considered superior to short-term performance metrics such as Cumulative Abnormal Return (CAR), particularly in IPO research (Brav et al., 2000; Wang et al., 2015). The independent variables are grouped into three categories: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(market-level signal), financial performance indicators (firm fundamentals), and ownership structure (internal governance proxies). Table 1 presents the operational definitions, formulas, and references for each variable:</w:t>
      </w:r>
    </w:p>
    <w:p w14:paraId="2C5DA0CC" w14:textId="77777777" w:rsidR="007D1FCB" w:rsidRDefault="007D1FCB" w:rsidP="007D1FCB">
      <w:pPr>
        <w:spacing w:after="0" w:line="240" w:lineRule="auto"/>
        <w:ind w:firstLine="426"/>
        <w:jc w:val="both"/>
        <w:rPr>
          <w:rFonts w:ascii="Times New Roman" w:eastAsia="Times New Roman" w:hAnsi="Times New Roman" w:cs="Times New Roman"/>
          <w:sz w:val="24"/>
          <w:szCs w:val="24"/>
        </w:rPr>
      </w:pPr>
    </w:p>
    <w:p w14:paraId="7DF1A71D" w14:textId="7A81D96B" w:rsidR="007373F6" w:rsidRPr="007D1FCB" w:rsidRDefault="00000000" w:rsidP="007D1FCB">
      <w:pPr>
        <w:spacing w:line="240" w:lineRule="auto"/>
        <w:jc w:val="center"/>
        <w:rPr>
          <w:rFonts w:ascii="Times New Roman" w:eastAsia="Times New Roman" w:hAnsi="Times New Roman" w:cs="Times New Roman"/>
          <w:sz w:val="24"/>
          <w:szCs w:val="24"/>
        </w:rPr>
      </w:pPr>
      <w:r w:rsidRPr="007D1FCB">
        <w:rPr>
          <w:rFonts w:ascii="Times New Roman" w:eastAsia="Times New Roman" w:hAnsi="Times New Roman" w:cs="Times New Roman"/>
          <w:b/>
          <w:sz w:val="24"/>
          <w:szCs w:val="24"/>
        </w:rPr>
        <w:t>Table 1</w:t>
      </w:r>
      <w:r w:rsidR="007D1FCB" w:rsidRPr="007D1FCB">
        <w:rPr>
          <w:rFonts w:ascii="Times New Roman" w:eastAsia="Times New Roman" w:hAnsi="Times New Roman" w:cs="Times New Roman"/>
          <w:b/>
          <w:sz w:val="24"/>
          <w:szCs w:val="24"/>
        </w:rPr>
        <w:t xml:space="preserve">. </w:t>
      </w:r>
      <w:r w:rsidRPr="007D1FCB">
        <w:rPr>
          <w:rFonts w:ascii="Times New Roman" w:eastAsia="Times New Roman" w:hAnsi="Times New Roman" w:cs="Times New Roman"/>
          <w:sz w:val="24"/>
          <w:szCs w:val="24"/>
        </w:rPr>
        <w:t>Operational Definition and Measurements of Variables</w:t>
      </w:r>
    </w:p>
    <w:tbl>
      <w:tblPr>
        <w:tblStyle w:val="affffa"/>
        <w:tblW w:w="5000" w:type="pct"/>
        <w:tblBorders>
          <w:top w:val="single" w:sz="4" w:space="0" w:color="7F7F7F"/>
          <w:bottom w:val="single" w:sz="4" w:space="0" w:color="7F7F7F"/>
        </w:tblBorders>
        <w:tblLook w:val="04A0" w:firstRow="1" w:lastRow="0" w:firstColumn="1" w:lastColumn="0" w:noHBand="0" w:noVBand="1"/>
      </w:tblPr>
      <w:tblGrid>
        <w:gridCol w:w="1407"/>
        <w:gridCol w:w="1904"/>
        <w:gridCol w:w="4471"/>
        <w:gridCol w:w="1244"/>
      </w:tblGrid>
      <w:tr w:rsidR="007373F6" w:rsidRPr="007D1FCB" w14:paraId="5EE94A29" w14:textId="77777777" w:rsidTr="007D1F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 w:type="pct"/>
          </w:tcPr>
          <w:p w14:paraId="3AA4FAD2" w14:textId="35403180" w:rsidR="007373F6" w:rsidRPr="007D1FCB" w:rsidRDefault="00000000" w:rsidP="007D1FCB">
            <w:pPr>
              <w:jc w:val="center"/>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Variable</w:t>
            </w:r>
          </w:p>
        </w:tc>
        <w:tc>
          <w:tcPr>
            <w:tcW w:w="1055" w:type="pct"/>
          </w:tcPr>
          <w:p w14:paraId="66372AB8" w14:textId="77777777" w:rsidR="007373F6" w:rsidRPr="007D1FCB" w:rsidRDefault="00000000" w:rsidP="007D1FC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Definition</w:t>
            </w:r>
          </w:p>
        </w:tc>
        <w:tc>
          <w:tcPr>
            <w:tcW w:w="2477" w:type="pct"/>
          </w:tcPr>
          <w:p w14:paraId="6D6ECC47" w14:textId="77777777" w:rsidR="007373F6" w:rsidRPr="007D1FCB" w:rsidRDefault="00000000" w:rsidP="007D1FC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Measurement / Formula</w:t>
            </w:r>
          </w:p>
        </w:tc>
        <w:tc>
          <w:tcPr>
            <w:tcW w:w="689" w:type="pct"/>
          </w:tcPr>
          <w:p w14:paraId="4E9FAE29" w14:textId="77777777" w:rsidR="007373F6" w:rsidRPr="007D1FCB" w:rsidRDefault="00000000" w:rsidP="007D1FC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Source / Reference</w:t>
            </w:r>
          </w:p>
        </w:tc>
      </w:tr>
      <w:tr w:rsidR="007373F6" w14:paraId="224C9AC8" w14:textId="77777777" w:rsidTr="007D1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 w:type="pct"/>
          </w:tcPr>
          <w:p w14:paraId="36CEFCFB"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BHAR</w:t>
            </w:r>
          </w:p>
        </w:tc>
        <w:tc>
          <w:tcPr>
            <w:tcW w:w="1055" w:type="pct"/>
          </w:tcPr>
          <w:p w14:paraId="3DCC0D37"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Long-term abnormal stock return relative to the market</w:t>
            </w:r>
          </w:p>
        </w:tc>
        <w:tc>
          <w:tcPr>
            <w:tcW w:w="2477" w:type="pct"/>
          </w:tcPr>
          <w:p w14:paraId="5823BD43"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Cambria Math" w:eastAsia="Cambria Math" w:hAnsi="Cambria Math" w:cs="Cambria Math"/>
                <w:sz w:val="20"/>
                <w:szCs w:val="20"/>
              </w:rPr>
            </w:pPr>
            <m:oMathPara>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BHAR</m:t>
                    </m:r>
                  </m:e>
                  <m:sub>
                    <m:r>
                      <w:rPr>
                        <w:rFonts w:ascii="Cambria Math" w:eastAsia="Cambria Math" w:hAnsi="Cambria Math" w:cs="Cambria Math"/>
                        <w:sz w:val="20"/>
                        <w:szCs w:val="20"/>
                      </w:rPr>
                      <m:t>i,t</m:t>
                    </m:r>
                  </m:sub>
                </m:sSub>
                <m:r>
                  <w:rPr>
                    <w:rFonts w:ascii="Cambria Math" w:eastAsia="Cambria Math" w:hAnsi="Cambria Math" w:cs="Cambria Math"/>
                    <w:sz w:val="20"/>
                    <w:szCs w:val="20"/>
                  </w:rPr>
                  <m:t>=</m:t>
                </m:r>
                <m:nary>
                  <m:naryPr>
                    <m:chr m:val="∏"/>
                    <m:ctrlPr>
                      <w:rPr>
                        <w:rFonts w:ascii="Cambria Math" w:eastAsia="Cambria Math" w:hAnsi="Cambria Math" w:cs="Cambria Math"/>
                        <w:sz w:val="20"/>
                        <w:szCs w:val="20"/>
                      </w:rPr>
                    </m:ctrlPr>
                  </m:naryPr>
                  <m:sub>
                    <m:r>
                      <w:rPr>
                        <w:rFonts w:ascii="Cambria Math" w:eastAsia="Cambria Math" w:hAnsi="Cambria Math" w:cs="Cambria Math"/>
                        <w:sz w:val="20"/>
                        <w:szCs w:val="20"/>
                      </w:rPr>
                      <m:t>t=1</m:t>
                    </m:r>
                  </m:sub>
                  <m:sup>
                    <m:r>
                      <w:rPr>
                        <w:rFonts w:ascii="Cambria Math" w:eastAsia="Cambria Math" w:hAnsi="Cambria Math" w:cs="Cambria Math"/>
                        <w:sz w:val="20"/>
                        <w:szCs w:val="20"/>
                      </w:rPr>
                      <m:t>T</m:t>
                    </m:r>
                  </m:sup>
                  <m:e/>
                </m:nary>
                <m:d>
                  <m:dPr>
                    <m:ctrlPr>
                      <w:rPr>
                        <w:rFonts w:ascii="Cambria Math" w:eastAsia="Cambria Math" w:hAnsi="Cambria Math" w:cs="Cambria Math"/>
                        <w:sz w:val="20"/>
                        <w:szCs w:val="20"/>
                      </w:rPr>
                    </m:ctrlPr>
                  </m:dPr>
                  <m:e>
                    <m:r>
                      <w:rPr>
                        <w:rFonts w:ascii="Cambria Math" w:eastAsia="Cambria Math" w:hAnsi="Cambria Math" w:cs="Cambria Math"/>
                        <w:sz w:val="20"/>
                        <w:szCs w:val="20"/>
                      </w:rPr>
                      <m:t>1+</m:t>
                    </m:r>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R</m:t>
                        </m:r>
                      </m:e>
                      <m:sub>
                        <m:r>
                          <w:rPr>
                            <w:rFonts w:ascii="Cambria Math" w:eastAsia="Cambria Math" w:hAnsi="Cambria Math" w:cs="Cambria Math"/>
                            <w:sz w:val="20"/>
                            <w:szCs w:val="20"/>
                          </w:rPr>
                          <m:t>i,t</m:t>
                        </m:r>
                      </m:sub>
                    </m:sSub>
                  </m:e>
                </m:d>
                <m:r>
                  <w:rPr>
                    <w:rFonts w:ascii="Cambria Math" w:eastAsia="Cambria Math" w:hAnsi="Cambria Math" w:cs="Cambria Math"/>
                    <w:sz w:val="20"/>
                    <w:szCs w:val="20"/>
                  </w:rPr>
                  <m:t>-</m:t>
                </m:r>
                <m:nary>
                  <m:naryPr>
                    <m:chr m:val="∏"/>
                    <m:ctrlPr>
                      <w:rPr>
                        <w:rFonts w:ascii="Cambria Math" w:eastAsia="Cambria Math" w:hAnsi="Cambria Math" w:cs="Cambria Math"/>
                        <w:sz w:val="20"/>
                        <w:szCs w:val="20"/>
                      </w:rPr>
                    </m:ctrlPr>
                  </m:naryPr>
                  <m:sub>
                    <m:r>
                      <w:rPr>
                        <w:rFonts w:ascii="Cambria Math" w:eastAsia="Cambria Math" w:hAnsi="Cambria Math" w:cs="Cambria Math"/>
                        <w:sz w:val="20"/>
                        <w:szCs w:val="20"/>
                      </w:rPr>
                      <m:t>t=1</m:t>
                    </m:r>
                  </m:sub>
                  <m:sup>
                    <m:r>
                      <w:rPr>
                        <w:rFonts w:ascii="Cambria Math" w:eastAsia="Cambria Math" w:hAnsi="Cambria Math" w:cs="Cambria Math"/>
                        <w:sz w:val="20"/>
                        <w:szCs w:val="20"/>
                      </w:rPr>
                      <m:t>T</m:t>
                    </m:r>
                  </m:sup>
                  <m:e/>
                </m:nary>
                <m:d>
                  <m:dPr>
                    <m:ctrlPr>
                      <w:rPr>
                        <w:rFonts w:ascii="Cambria Math" w:eastAsia="Cambria Math" w:hAnsi="Cambria Math" w:cs="Cambria Math"/>
                        <w:sz w:val="20"/>
                        <w:szCs w:val="20"/>
                      </w:rPr>
                    </m:ctrlPr>
                  </m:dPr>
                  <m:e>
                    <m:r>
                      <w:rPr>
                        <w:rFonts w:ascii="Cambria Math" w:eastAsia="Cambria Math" w:hAnsi="Cambria Math" w:cs="Cambria Math"/>
                        <w:sz w:val="20"/>
                        <w:szCs w:val="20"/>
                      </w:rPr>
                      <m:t>1+</m:t>
                    </m:r>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R</m:t>
                        </m:r>
                      </m:e>
                      <m:sub>
                        <m:r>
                          <w:rPr>
                            <w:rFonts w:ascii="Cambria Math" w:eastAsia="Cambria Math" w:hAnsi="Cambria Math" w:cs="Cambria Math"/>
                            <w:sz w:val="20"/>
                            <w:szCs w:val="20"/>
                          </w:rPr>
                          <m:t>m,t</m:t>
                        </m:r>
                      </m:sub>
                    </m:sSub>
                  </m:e>
                </m:d>
              </m:oMath>
            </m:oMathPara>
          </w:p>
          <w:p w14:paraId="6E209BB6"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where </w:t>
            </w: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R</m:t>
                  </m:r>
                </m:e>
                <m:sub>
                  <m:r>
                    <w:rPr>
                      <w:rFonts w:ascii="Cambria Math" w:eastAsia="Cambria Math" w:hAnsi="Cambria Math" w:cs="Cambria Math"/>
                      <w:sz w:val="20"/>
                      <w:szCs w:val="20"/>
                    </w:rPr>
                    <m:t>i,t</m:t>
                  </m:r>
                </m:sub>
              </m:sSub>
            </m:oMath>
            <w:r>
              <w:rPr>
                <w:rFonts w:ascii="Times New Roman" w:eastAsia="Times New Roman" w:hAnsi="Times New Roman" w:cs="Times New Roman"/>
                <w:sz w:val="20"/>
                <w:szCs w:val="20"/>
              </w:rPr>
              <w:t xml:space="preserve">​: firm return, </w:t>
            </w: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R</m:t>
                  </m:r>
                </m:e>
                <m:sub>
                  <m:r>
                    <w:rPr>
                      <w:rFonts w:ascii="Cambria Math" w:eastAsia="Cambria Math" w:hAnsi="Cambria Math" w:cs="Cambria Math"/>
                      <w:sz w:val="20"/>
                      <w:szCs w:val="20"/>
                    </w:rPr>
                    <m:t>m,t</m:t>
                  </m:r>
                </m:sub>
              </m:sSub>
            </m:oMath>
            <w:r>
              <w:rPr>
                <w:rFonts w:ascii="Times New Roman" w:eastAsia="Times New Roman" w:hAnsi="Times New Roman" w:cs="Times New Roman"/>
                <w:sz w:val="20"/>
                <w:szCs w:val="20"/>
              </w:rPr>
              <w:t>​: market return</w:t>
            </w:r>
          </w:p>
        </w:tc>
        <w:tc>
          <w:tcPr>
            <w:tcW w:w="689" w:type="pct"/>
          </w:tcPr>
          <w:p w14:paraId="7402964A"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EC0CF4">
              <w:rPr>
                <w:rFonts w:ascii="Times New Roman" w:eastAsia="Times New Roman" w:hAnsi="Times New Roman" w:cs="Times New Roman"/>
                <w:sz w:val="20"/>
                <w:szCs w:val="20"/>
                <w:lang w:val="de-DE"/>
              </w:rPr>
              <w:t xml:space="preserve">Brav et al. (2000); Wang et al. </w:t>
            </w:r>
            <w:r>
              <w:rPr>
                <w:rFonts w:ascii="Times New Roman" w:eastAsia="Times New Roman" w:hAnsi="Times New Roman" w:cs="Times New Roman"/>
                <w:sz w:val="20"/>
                <w:szCs w:val="20"/>
              </w:rPr>
              <w:t>(2015)</w:t>
            </w:r>
          </w:p>
        </w:tc>
      </w:tr>
      <w:tr w:rsidR="007373F6" w14:paraId="14056673" w14:textId="77777777" w:rsidTr="007D1FCB">
        <w:tc>
          <w:tcPr>
            <w:cnfStyle w:val="001000000000" w:firstRow="0" w:lastRow="0" w:firstColumn="1" w:lastColumn="0" w:oddVBand="0" w:evenVBand="0" w:oddHBand="0" w:evenHBand="0" w:firstRowFirstColumn="0" w:firstRowLastColumn="0" w:lastRowFirstColumn="0" w:lastRowLastColumn="0"/>
            <w:tcW w:w="779" w:type="pct"/>
          </w:tcPr>
          <w:p w14:paraId="6FDAB4E8" w14:textId="77777777" w:rsidR="007373F6" w:rsidRDefault="00000000">
            <w:pPr>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b w:val="0"/>
                <w:sz w:val="20"/>
                <w:szCs w:val="20"/>
              </w:rPr>
              <w:t>Underpricing</w:t>
            </w:r>
            <w:proofErr w:type="spellEnd"/>
          </w:p>
        </w:tc>
        <w:tc>
          <w:tcPr>
            <w:tcW w:w="1055" w:type="pct"/>
          </w:tcPr>
          <w:p w14:paraId="345B28B6"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Initial return between offering price and first-day close</w:t>
            </w:r>
          </w:p>
        </w:tc>
        <w:tc>
          <w:tcPr>
            <w:tcW w:w="2477" w:type="pct"/>
          </w:tcPr>
          <w:p w14:paraId="28358E7B"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Cambria Math" w:eastAsia="Cambria Math" w:hAnsi="Cambria Math" w:cs="Cambria Math"/>
                <w:sz w:val="20"/>
                <w:szCs w:val="20"/>
              </w:rPr>
            </w:pPr>
            <m:oMathPara>
              <m:oMath>
                <m:r>
                  <w:rPr>
                    <w:rFonts w:ascii="Cambria Math" w:eastAsia="Cambria Math" w:hAnsi="Cambria Math" w:cs="Cambria Math"/>
                    <w:sz w:val="20"/>
                    <w:szCs w:val="20"/>
                  </w:rPr>
                  <m:t>IR=</m:t>
                </m:r>
                <m:f>
                  <m:fPr>
                    <m:ctrlPr>
                      <w:rPr>
                        <w:rFonts w:ascii="Cambria Math" w:eastAsia="Cambria Math" w:hAnsi="Cambria Math" w:cs="Cambria Math"/>
                        <w:sz w:val="20"/>
                        <w:szCs w:val="20"/>
                      </w:rPr>
                    </m:ctrlPr>
                  </m:fPr>
                  <m:num>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P</m:t>
                        </m:r>
                      </m:e>
                      <m:sub>
                        <m:r>
                          <w:rPr>
                            <w:rFonts w:ascii="Cambria Math" w:eastAsia="Cambria Math" w:hAnsi="Cambria Math" w:cs="Cambria Math"/>
                            <w:sz w:val="20"/>
                            <w:szCs w:val="20"/>
                          </w:rPr>
                          <m:t>close</m:t>
                        </m:r>
                      </m:sub>
                    </m:sSub>
                    <m:r>
                      <w:rPr>
                        <w:rFonts w:ascii="Cambria Math" w:eastAsia="Cambria Math" w:hAnsi="Cambria Math" w:cs="Cambria Math"/>
                        <w:sz w:val="20"/>
                        <w:szCs w:val="20"/>
                      </w:rPr>
                      <m:t>-</m:t>
                    </m:r>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P</m:t>
                        </m:r>
                      </m:e>
                      <m:sub>
                        <m:r>
                          <w:rPr>
                            <w:rFonts w:ascii="Cambria Math" w:eastAsia="Cambria Math" w:hAnsi="Cambria Math" w:cs="Cambria Math"/>
                            <w:sz w:val="20"/>
                            <w:szCs w:val="20"/>
                          </w:rPr>
                          <m:t>offer</m:t>
                        </m:r>
                      </m:sub>
                    </m:sSub>
                  </m:num>
                  <m:den>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P</m:t>
                        </m:r>
                      </m:e>
                      <m:sub>
                        <m:r>
                          <w:rPr>
                            <w:rFonts w:ascii="Cambria Math" w:eastAsia="Cambria Math" w:hAnsi="Cambria Math" w:cs="Cambria Math"/>
                            <w:sz w:val="20"/>
                            <w:szCs w:val="20"/>
                          </w:rPr>
                          <m:t>offer</m:t>
                        </m:r>
                      </m:sub>
                    </m:sSub>
                  </m:den>
                </m:f>
                <m:r>
                  <w:rPr>
                    <w:rFonts w:ascii="Cambria Math" w:eastAsia="Cambria Math" w:hAnsi="Cambria Math" w:cs="Cambria Math"/>
                    <w:sz w:val="20"/>
                    <w:szCs w:val="20"/>
                  </w:rPr>
                  <m:t>x 100%</m:t>
                </m:r>
              </m:oMath>
            </m:oMathPara>
          </w:p>
          <w:p w14:paraId="29A7DFA6"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where </w:t>
            </w: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P</m:t>
                  </m:r>
                </m:e>
                <m:sub>
                  <m:r>
                    <w:rPr>
                      <w:rFonts w:ascii="Cambria Math" w:eastAsia="Cambria Math" w:hAnsi="Cambria Math" w:cs="Cambria Math"/>
                      <w:sz w:val="20"/>
                      <w:szCs w:val="20"/>
                    </w:rPr>
                    <m:t>offer</m:t>
                  </m:r>
                </m:sub>
              </m:sSub>
            </m:oMath>
            <w:r>
              <w:rPr>
                <w:rFonts w:ascii="Times New Roman" w:eastAsia="Times New Roman" w:hAnsi="Times New Roman" w:cs="Times New Roman"/>
                <w:sz w:val="20"/>
                <w:szCs w:val="20"/>
              </w:rPr>
              <w:t xml:space="preserve">​: offering price, </w:t>
            </w: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P</m:t>
                  </m:r>
                </m:e>
                <m:sub>
                  <m:r>
                    <w:rPr>
                      <w:rFonts w:ascii="Cambria Math" w:eastAsia="Cambria Math" w:hAnsi="Cambria Math" w:cs="Cambria Math"/>
                      <w:sz w:val="20"/>
                      <w:szCs w:val="20"/>
                    </w:rPr>
                    <m:t>close</m:t>
                  </m:r>
                </m:sub>
              </m:sSub>
            </m:oMath>
            <w:r>
              <w:rPr>
                <w:rFonts w:ascii="Times New Roman" w:eastAsia="Times New Roman" w:hAnsi="Times New Roman" w:cs="Times New Roman"/>
                <w:sz w:val="20"/>
                <w:szCs w:val="20"/>
              </w:rPr>
              <w:t>​: first-day close</w:t>
            </w:r>
          </w:p>
        </w:tc>
        <w:tc>
          <w:tcPr>
            <w:tcW w:w="689" w:type="pct"/>
          </w:tcPr>
          <w:p w14:paraId="283BAA6A"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Beatty &amp; Ritter (1986)</w:t>
            </w:r>
          </w:p>
        </w:tc>
      </w:tr>
      <w:tr w:rsidR="007373F6" w14:paraId="314BEA3F" w14:textId="77777777" w:rsidTr="007D1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 w:type="pct"/>
          </w:tcPr>
          <w:p w14:paraId="2E37F743"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ROA</w:t>
            </w:r>
          </w:p>
        </w:tc>
        <w:tc>
          <w:tcPr>
            <w:tcW w:w="1055" w:type="pct"/>
          </w:tcPr>
          <w:p w14:paraId="341582A2"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Asset efficiency &amp; profitability</w:t>
            </w:r>
          </w:p>
        </w:tc>
        <w:tc>
          <w:tcPr>
            <w:tcW w:w="2477" w:type="pct"/>
          </w:tcPr>
          <w:p w14:paraId="38414AA8"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Cambria Math" w:eastAsia="Cambria Math" w:hAnsi="Cambria Math" w:cs="Cambria Math"/>
                <w:sz w:val="20"/>
                <w:szCs w:val="20"/>
              </w:rPr>
            </w:pPr>
            <m:oMathPara>
              <m:oMath>
                <m:r>
                  <w:rPr>
                    <w:rFonts w:ascii="Cambria Math" w:eastAsia="Cambria Math" w:hAnsi="Cambria Math" w:cs="Cambria Math"/>
                    <w:sz w:val="20"/>
                    <w:szCs w:val="20"/>
                  </w:rPr>
                  <m:t>ROA=</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Net Income</m:t>
                    </m:r>
                  </m:num>
                  <m:den>
                    <m:r>
                      <w:rPr>
                        <w:rFonts w:ascii="Cambria Math" w:eastAsia="Cambria Math" w:hAnsi="Cambria Math" w:cs="Cambria Math"/>
                        <w:sz w:val="20"/>
                        <w:szCs w:val="20"/>
                      </w:rPr>
                      <m:t>Total Assets</m:t>
                    </m:r>
                  </m:den>
                </m:f>
                <m:r>
                  <w:rPr>
                    <w:rFonts w:ascii="Cambria Math" w:eastAsia="Cambria Math" w:hAnsi="Cambria Math" w:cs="Cambria Math"/>
                    <w:sz w:val="20"/>
                    <w:szCs w:val="20"/>
                  </w:rPr>
                  <m:t>x 100%</m:t>
                </m:r>
              </m:oMath>
            </m:oMathPara>
          </w:p>
        </w:tc>
        <w:tc>
          <w:tcPr>
            <w:tcW w:w="689" w:type="pct"/>
          </w:tcPr>
          <w:p w14:paraId="3BD9E5A6"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Vance (2014); Budiman (2019)</w:t>
            </w:r>
          </w:p>
        </w:tc>
      </w:tr>
      <w:tr w:rsidR="007373F6" w14:paraId="14AEAF63" w14:textId="77777777" w:rsidTr="007D1FCB">
        <w:tc>
          <w:tcPr>
            <w:cnfStyle w:val="001000000000" w:firstRow="0" w:lastRow="0" w:firstColumn="1" w:lastColumn="0" w:oddVBand="0" w:evenVBand="0" w:oddHBand="0" w:evenHBand="0" w:firstRowFirstColumn="0" w:firstRowLastColumn="0" w:lastRowFirstColumn="0" w:lastRowLastColumn="0"/>
            <w:tcW w:w="779" w:type="pct"/>
          </w:tcPr>
          <w:p w14:paraId="48663DAA"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ROE</w:t>
            </w:r>
          </w:p>
        </w:tc>
        <w:tc>
          <w:tcPr>
            <w:tcW w:w="1055" w:type="pct"/>
          </w:tcPr>
          <w:p w14:paraId="1558873D"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Return to shareholders' equity</w:t>
            </w:r>
          </w:p>
        </w:tc>
        <w:tc>
          <w:tcPr>
            <w:tcW w:w="2477" w:type="pct"/>
          </w:tcPr>
          <w:p w14:paraId="0048F8E5"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Cambria Math" w:eastAsia="Cambria Math" w:hAnsi="Cambria Math" w:cs="Cambria Math"/>
                <w:sz w:val="20"/>
                <w:szCs w:val="20"/>
              </w:rPr>
            </w:pPr>
            <m:oMathPara>
              <m:oMath>
                <m:r>
                  <w:rPr>
                    <w:rFonts w:ascii="Cambria Math" w:eastAsia="Cambria Math" w:hAnsi="Cambria Math" w:cs="Cambria Math"/>
                    <w:sz w:val="20"/>
                    <w:szCs w:val="20"/>
                  </w:rPr>
                  <m:t>ROE=</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Net Income</m:t>
                    </m:r>
                  </m:num>
                  <m:den>
                    <m:r>
                      <w:rPr>
                        <w:rFonts w:ascii="Cambria Math" w:eastAsia="Cambria Math" w:hAnsi="Cambria Math" w:cs="Cambria Math"/>
                        <w:sz w:val="20"/>
                        <w:szCs w:val="20"/>
                      </w:rPr>
                      <m:t>Total Equity</m:t>
                    </m:r>
                  </m:den>
                </m:f>
                <m:r>
                  <w:rPr>
                    <w:rFonts w:ascii="Cambria Math" w:eastAsia="Cambria Math" w:hAnsi="Cambria Math" w:cs="Cambria Math"/>
                    <w:sz w:val="20"/>
                    <w:szCs w:val="20"/>
                  </w:rPr>
                  <m:t>x 100%</m:t>
                </m:r>
              </m:oMath>
            </m:oMathPara>
          </w:p>
        </w:tc>
        <w:tc>
          <w:tcPr>
            <w:tcW w:w="689" w:type="pct"/>
          </w:tcPr>
          <w:p w14:paraId="0A81127B"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Kumar &amp; Sahoo (2021); Batool (2018)</w:t>
            </w:r>
          </w:p>
        </w:tc>
      </w:tr>
      <w:tr w:rsidR="007373F6" w14:paraId="47C035F4" w14:textId="77777777" w:rsidTr="007D1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 w:type="pct"/>
          </w:tcPr>
          <w:p w14:paraId="0C8B1B63"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DER</w:t>
            </w:r>
          </w:p>
        </w:tc>
        <w:tc>
          <w:tcPr>
            <w:tcW w:w="1055" w:type="pct"/>
          </w:tcPr>
          <w:p w14:paraId="4FA6528F"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Capital structure and leverage</w:t>
            </w:r>
          </w:p>
        </w:tc>
        <w:tc>
          <w:tcPr>
            <w:tcW w:w="2477" w:type="pct"/>
          </w:tcPr>
          <w:p w14:paraId="3ABA12E0"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Cambria Math" w:eastAsia="Cambria Math" w:hAnsi="Cambria Math" w:cs="Cambria Math"/>
                <w:sz w:val="20"/>
                <w:szCs w:val="20"/>
              </w:rPr>
            </w:pPr>
            <m:oMathPara>
              <m:oMath>
                <m:r>
                  <w:rPr>
                    <w:rFonts w:ascii="Cambria Math" w:eastAsia="Cambria Math" w:hAnsi="Cambria Math" w:cs="Cambria Math"/>
                    <w:sz w:val="20"/>
                    <w:szCs w:val="20"/>
                  </w:rPr>
                  <m:t>DER=</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Total Liabilities</m:t>
                    </m:r>
                  </m:num>
                  <m:den>
                    <m:r>
                      <w:rPr>
                        <w:rFonts w:ascii="Cambria Math" w:eastAsia="Cambria Math" w:hAnsi="Cambria Math" w:cs="Cambria Math"/>
                        <w:sz w:val="20"/>
                        <w:szCs w:val="20"/>
                      </w:rPr>
                      <m:t>Total Equity</m:t>
                    </m:r>
                  </m:den>
                </m:f>
              </m:oMath>
            </m:oMathPara>
          </w:p>
        </w:tc>
        <w:tc>
          <w:tcPr>
            <w:tcW w:w="689" w:type="pct"/>
          </w:tcPr>
          <w:p w14:paraId="0F72F225"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Bharath et al. (2009); </w:t>
            </w:r>
            <w:proofErr w:type="spellStart"/>
            <w:r>
              <w:rPr>
                <w:rFonts w:ascii="Times New Roman" w:eastAsia="Times New Roman" w:hAnsi="Times New Roman" w:cs="Times New Roman"/>
                <w:sz w:val="20"/>
                <w:szCs w:val="20"/>
              </w:rPr>
              <w:t>Hardiyanto</w:t>
            </w:r>
            <w:proofErr w:type="spellEnd"/>
            <w:r>
              <w:rPr>
                <w:rFonts w:ascii="Times New Roman" w:eastAsia="Times New Roman" w:hAnsi="Times New Roman" w:cs="Times New Roman"/>
                <w:sz w:val="20"/>
                <w:szCs w:val="20"/>
              </w:rPr>
              <w:t xml:space="preserve"> &amp; </w:t>
            </w:r>
            <w:proofErr w:type="spellStart"/>
            <w:r>
              <w:rPr>
                <w:rFonts w:ascii="Times New Roman" w:eastAsia="Times New Roman" w:hAnsi="Times New Roman" w:cs="Times New Roman"/>
                <w:sz w:val="20"/>
                <w:szCs w:val="20"/>
              </w:rPr>
              <w:t>Syarif</w:t>
            </w:r>
            <w:proofErr w:type="spellEnd"/>
            <w:r>
              <w:rPr>
                <w:rFonts w:ascii="Times New Roman" w:eastAsia="Times New Roman" w:hAnsi="Times New Roman" w:cs="Times New Roman"/>
                <w:sz w:val="20"/>
                <w:szCs w:val="20"/>
              </w:rPr>
              <w:t xml:space="preserve"> (2024)</w:t>
            </w:r>
          </w:p>
        </w:tc>
      </w:tr>
      <w:tr w:rsidR="007373F6" w14:paraId="1889E449" w14:textId="77777777" w:rsidTr="007D1FCB">
        <w:tc>
          <w:tcPr>
            <w:cnfStyle w:val="001000000000" w:firstRow="0" w:lastRow="0" w:firstColumn="1" w:lastColumn="0" w:oddVBand="0" w:evenVBand="0" w:oddHBand="0" w:evenHBand="0" w:firstRowFirstColumn="0" w:firstRowLastColumn="0" w:lastRowFirstColumn="0" w:lastRowLastColumn="0"/>
            <w:tcW w:w="779" w:type="pct"/>
          </w:tcPr>
          <w:p w14:paraId="33E2BA8B"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Largest Shareholder</w:t>
            </w:r>
          </w:p>
        </w:tc>
        <w:tc>
          <w:tcPr>
            <w:tcW w:w="1055" w:type="pct"/>
          </w:tcPr>
          <w:p w14:paraId="1C1B255D"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Ownership proportion held by the top shareholder</w:t>
            </w:r>
          </w:p>
        </w:tc>
        <w:tc>
          <w:tcPr>
            <w:tcW w:w="2477" w:type="pct"/>
          </w:tcPr>
          <w:p w14:paraId="58752378"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Cambria Math" w:eastAsia="Cambria Math" w:hAnsi="Cambria Math" w:cs="Cambria Math"/>
                <w:sz w:val="18"/>
                <w:szCs w:val="18"/>
              </w:rPr>
            </w:pPr>
            <m:oMathPara>
              <m:oMath>
                <m:r>
                  <w:rPr>
                    <w:rFonts w:ascii="Cambria Math" w:eastAsia="Cambria Math" w:hAnsi="Cambria Math" w:cs="Cambria Math"/>
                    <w:sz w:val="18"/>
                    <w:szCs w:val="18"/>
                  </w:rPr>
                  <m:t>LS=</m:t>
                </m:r>
                <m:f>
                  <m:fPr>
                    <m:ctrlPr>
                      <w:rPr>
                        <w:rFonts w:ascii="Cambria Math" w:eastAsia="Cambria Math" w:hAnsi="Cambria Math" w:cs="Cambria Math"/>
                        <w:sz w:val="18"/>
                        <w:szCs w:val="18"/>
                      </w:rPr>
                    </m:ctrlPr>
                  </m:fPr>
                  <m:num>
                    <m:r>
                      <w:rPr>
                        <w:rFonts w:ascii="Cambria Math" w:eastAsia="Cambria Math" w:hAnsi="Cambria Math" w:cs="Cambria Math"/>
                        <w:sz w:val="18"/>
                        <w:szCs w:val="18"/>
                      </w:rPr>
                      <m:t>Shares held by top shareholder</m:t>
                    </m:r>
                  </m:num>
                  <m:den>
                    <m:r>
                      <w:rPr>
                        <w:rFonts w:ascii="Cambria Math" w:eastAsia="Cambria Math" w:hAnsi="Cambria Math" w:cs="Cambria Math"/>
                        <w:sz w:val="18"/>
                        <w:szCs w:val="18"/>
                      </w:rPr>
                      <m:t>Total shares</m:t>
                    </m:r>
                  </m:den>
                </m:f>
                <m:r>
                  <w:rPr>
                    <w:rFonts w:ascii="Cambria Math" w:eastAsia="Cambria Math" w:hAnsi="Cambria Math" w:cs="Cambria Math"/>
                    <w:sz w:val="18"/>
                    <w:szCs w:val="18"/>
                  </w:rPr>
                  <m:t>x 100%</m:t>
                </m:r>
              </m:oMath>
            </m:oMathPara>
          </w:p>
        </w:tc>
        <w:tc>
          <w:tcPr>
            <w:tcW w:w="689" w:type="pct"/>
          </w:tcPr>
          <w:p w14:paraId="20DEA5C3"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Wang et al. (2015)</w:t>
            </w:r>
          </w:p>
        </w:tc>
      </w:tr>
      <w:tr w:rsidR="007373F6" w14:paraId="7B467738" w14:textId="77777777" w:rsidTr="007D1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 w:type="pct"/>
          </w:tcPr>
          <w:p w14:paraId="7D079211"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Retained Ownership</w:t>
            </w:r>
          </w:p>
        </w:tc>
        <w:tc>
          <w:tcPr>
            <w:tcW w:w="1055" w:type="pct"/>
          </w:tcPr>
          <w:p w14:paraId="267B964E"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Proportion retained by pre-IPO insiders post-listing</w:t>
            </w:r>
          </w:p>
        </w:tc>
        <w:tc>
          <w:tcPr>
            <w:tcW w:w="2477" w:type="pct"/>
          </w:tcPr>
          <w:p w14:paraId="6E41F930"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Cambria Math" w:eastAsia="Cambria Math" w:hAnsi="Cambria Math" w:cs="Cambria Math"/>
                <w:sz w:val="16"/>
                <w:szCs w:val="16"/>
              </w:rPr>
            </w:pPr>
            <m:oMathPara>
              <m:oMath>
                <m:r>
                  <w:rPr>
                    <w:rFonts w:ascii="Cambria Math" w:eastAsia="Cambria Math" w:hAnsi="Cambria Math" w:cs="Cambria Math"/>
                    <w:sz w:val="16"/>
                    <w:szCs w:val="16"/>
                  </w:rPr>
                  <m:t>RO=</m:t>
                </m:r>
                <m:f>
                  <m:fPr>
                    <m:ctrlPr>
                      <w:rPr>
                        <w:rFonts w:ascii="Cambria Math" w:eastAsia="Cambria Math" w:hAnsi="Cambria Math" w:cs="Cambria Math"/>
                        <w:sz w:val="16"/>
                        <w:szCs w:val="16"/>
                      </w:rPr>
                    </m:ctrlPr>
                  </m:fPr>
                  <m:num>
                    <m:r>
                      <w:rPr>
                        <w:rFonts w:ascii="Cambria Math" w:eastAsia="Cambria Math" w:hAnsi="Cambria Math" w:cs="Cambria Math"/>
                        <w:sz w:val="16"/>
                        <w:szCs w:val="16"/>
                      </w:rPr>
                      <m:t>Shares retained by insiders post-IPO</m:t>
                    </m:r>
                  </m:num>
                  <m:den>
                    <m:r>
                      <w:rPr>
                        <w:rFonts w:ascii="Cambria Math" w:eastAsia="Cambria Math" w:hAnsi="Cambria Math" w:cs="Cambria Math"/>
                        <w:sz w:val="16"/>
                        <w:szCs w:val="16"/>
                      </w:rPr>
                      <m:t>Total shares</m:t>
                    </m:r>
                  </m:den>
                </m:f>
                <m:r>
                  <w:rPr>
                    <w:rFonts w:ascii="Cambria Math" w:eastAsia="Cambria Math" w:hAnsi="Cambria Math" w:cs="Cambria Math"/>
                    <w:sz w:val="16"/>
                    <w:szCs w:val="16"/>
                  </w:rPr>
                  <m:t>x 100%</m:t>
                </m:r>
              </m:oMath>
            </m:oMathPara>
          </w:p>
        </w:tc>
        <w:tc>
          <w:tcPr>
            <w:tcW w:w="689" w:type="pct"/>
          </w:tcPr>
          <w:p w14:paraId="740191E2"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EC0CF4">
              <w:rPr>
                <w:rFonts w:ascii="Times New Roman" w:eastAsia="Times New Roman" w:hAnsi="Times New Roman" w:cs="Times New Roman"/>
                <w:sz w:val="20"/>
                <w:szCs w:val="20"/>
                <w:lang w:val="de-DE"/>
              </w:rPr>
              <w:t xml:space="preserve">Michel et al. (2013); Pham et al. </w:t>
            </w:r>
            <w:r>
              <w:rPr>
                <w:rFonts w:ascii="Times New Roman" w:eastAsia="Times New Roman" w:hAnsi="Times New Roman" w:cs="Times New Roman"/>
                <w:sz w:val="20"/>
                <w:szCs w:val="20"/>
              </w:rPr>
              <w:t>(2003)</w:t>
            </w:r>
          </w:p>
        </w:tc>
      </w:tr>
      <w:tr w:rsidR="007373F6" w14:paraId="07DB50DD" w14:textId="77777777" w:rsidTr="007D1FCB">
        <w:tc>
          <w:tcPr>
            <w:cnfStyle w:val="001000000000" w:firstRow="0" w:lastRow="0" w:firstColumn="1" w:lastColumn="0" w:oddVBand="0" w:evenVBand="0" w:oddHBand="0" w:evenHBand="0" w:firstRowFirstColumn="0" w:firstRowLastColumn="0" w:lastRowFirstColumn="0" w:lastRowLastColumn="0"/>
            <w:tcW w:w="779" w:type="pct"/>
          </w:tcPr>
          <w:p w14:paraId="5958A3BE"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Institutional Ownership</w:t>
            </w:r>
          </w:p>
        </w:tc>
        <w:tc>
          <w:tcPr>
            <w:tcW w:w="1055" w:type="pct"/>
          </w:tcPr>
          <w:p w14:paraId="388E885D"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Shareholding by institutional investors</w:t>
            </w:r>
          </w:p>
        </w:tc>
        <w:tc>
          <w:tcPr>
            <w:tcW w:w="2477" w:type="pct"/>
          </w:tcPr>
          <w:p w14:paraId="4F12378B"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Cambria Math" w:eastAsia="Cambria Math" w:hAnsi="Cambria Math" w:cs="Cambria Math"/>
                <w:sz w:val="16"/>
                <w:szCs w:val="16"/>
              </w:rPr>
            </w:pPr>
            <m:oMathPara>
              <m:oMath>
                <m:r>
                  <w:rPr>
                    <w:rFonts w:ascii="Cambria Math" w:eastAsia="Cambria Math" w:hAnsi="Cambria Math" w:cs="Cambria Math"/>
                    <w:sz w:val="16"/>
                    <w:szCs w:val="16"/>
                  </w:rPr>
                  <m:t>IO=</m:t>
                </m:r>
                <m:f>
                  <m:fPr>
                    <m:ctrlPr>
                      <w:rPr>
                        <w:rFonts w:ascii="Cambria Math" w:eastAsia="Cambria Math" w:hAnsi="Cambria Math" w:cs="Cambria Math"/>
                        <w:sz w:val="16"/>
                        <w:szCs w:val="16"/>
                      </w:rPr>
                    </m:ctrlPr>
                  </m:fPr>
                  <m:num>
                    <m:r>
                      <w:rPr>
                        <w:rFonts w:ascii="Cambria Math" w:eastAsia="Cambria Math" w:hAnsi="Cambria Math" w:cs="Cambria Math"/>
                        <w:sz w:val="16"/>
                        <w:szCs w:val="16"/>
                      </w:rPr>
                      <m:t>Shares held by institutional investors</m:t>
                    </m:r>
                  </m:num>
                  <m:den>
                    <m:r>
                      <w:rPr>
                        <w:rFonts w:ascii="Cambria Math" w:eastAsia="Cambria Math" w:hAnsi="Cambria Math" w:cs="Cambria Math"/>
                        <w:sz w:val="16"/>
                        <w:szCs w:val="16"/>
                      </w:rPr>
                      <m:t>Total shares</m:t>
                    </m:r>
                  </m:den>
                </m:f>
                <m:r>
                  <w:rPr>
                    <w:rFonts w:ascii="Cambria Math" w:eastAsia="Cambria Math" w:hAnsi="Cambria Math" w:cs="Cambria Math"/>
                    <w:sz w:val="16"/>
                    <w:szCs w:val="16"/>
                  </w:rPr>
                  <m:t>x 100%</m:t>
                </m:r>
              </m:oMath>
            </m:oMathPara>
          </w:p>
        </w:tc>
        <w:tc>
          <w:tcPr>
            <w:tcW w:w="689" w:type="pct"/>
          </w:tcPr>
          <w:p w14:paraId="08E9AE95" w14:textId="627ECB0A"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EC0CF4">
              <w:rPr>
                <w:rFonts w:ascii="Times New Roman" w:eastAsia="Times New Roman" w:hAnsi="Times New Roman" w:cs="Times New Roman"/>
                <w:sz w:val="20"/>
                <w:szCs w:val="20"/>
                <w:lang w:val="de-DE"/>
              </w:rPr>
              <w:t xml:space="preserve">Megginson &amp; Weiss (1991); Okumu et al. </w:t>
            </w:r>
            <w:r>
              <w:rPr>
                <w:rFonts w:ascii="Times New Roman" w:eastAsia="Times New Roman" w:hAnsi="Times New Roman" w:cs="Times New Roman"/>
                <w:sz w:val="20"/>
                <w:szCs w:val="20"/>
              </w:rPr>
              <w:t>(2022)</w:t>
            </w:r>
          </w:p>
        </w:tc>
      </w:tr>
    </w:tbl>
    <w:p w14:paraId="03B9F3BF" w14:textId="77777777" w:rsidR="007373F6" w:rsidRPr="007D1FCB" w:rsidRDefault="00000000">
      <w:pPr>
        <w:spacing w:before="240" w:line="240" w:lineRule="auto"/>
        <w:jc w:val="both"/>
        <w:rPr>
          <w:rFonts w:ascii="Times New Roman" w:eastAsia="Times New Roman" w:hAnsi="Times New Roman" w:cs="Times New Roman"/>
          <w:sz w:val="20"/>
          <w:szCs w:val="20"/>
        </w:rPr>
      </w:pPr>
      <w:r w:rsidRPr="007D1FCB">
        <w:rPr>
          <w:rFonts w:ascii="Times New Roman" w:eastAsia="Times New Roman" w:hAnsi="Times New Roman" w:cs="Times New Roman"/>
          <w:i/>
          <w:sz w:val="20"/>
          <w:szCs w:val="20"/>
        </w:rPr>
        <w:t>Note</w:t>
      </w:r>
      <w:r w:rsidRPr="007D1FCB">
        <w:rPr>
          <w:rFonts w:ascii="Times New Roman" w:eastAsia="Times New Roman" w:hAnsi="Times New Roman" w:cs="Times New Roman"/>
          <w:sz w:val="20"/>
          <w:szCs w:val="20"/>
        </w:rPr>
        <w:t>. All formulas follow standard financial definitions. Measurement periods include 12, 24, and 36 months post-IPO. Data collected and calculated by the author in 2025.</w:t>
      </w:r>
    </w:p>
    <w:p w14:paraId="0FC8A87A" w14:textId="77777777" w:rsidR="007373F6" w:rsidRDefault="00000000" w:rsidP="007D1FCB">
      <w:pPr>
        <w:spacing w:before="240" w:after="0" w:line="24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Secondary data were obtained from verified public sources. IPO offering and first-day closing prices were retrieved from the IDX official archives, while financial indicators and </w:t>
      </w:r>
      <w:r>
        <w:rPr>
          <w:rFonts w:ascii="Times New Roman" w:eastAsia="Times New Roman" w:hAnsi="Times New Roman" w:cs="Times New Roman"/>
          <w:sz w:val="24"/>
          <w:szCs w:val="24"/>
        </w:rPr>
        <w:lastRenderedPageBreak/>
        <w:t xml:space="preserve">ownership variables were extracted from IPO prospectuses, and audited annual reports. To ensure data reliability and transparency, all key data points—particularly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and ownership structure—were cross-validated using at least two independent sources (e.g., IDX filings, company reports, and financial databases). Manual reconciliation procedures were undertaken to resolve any discrepancies, ensuring analytical consistency. Only firms with complete and consistent information across the 12-, 24-, and 36-month post-IPO windows were retained to preserve dataset integrity. Historical stock prices used for BHAR calculation were sourced from Yahoo Finance and Investing.com with cross-platform validation to enhance accuracy.</w:t>
      </w:r>
    </w:p>
    <w:p w14:paraId="1FF40BBE" w14:textId="77777777" w:rsidR="007373F6" w:rsidRDefault="00000000" w:rsidP="007D1FCB">
      <w:pPr>
        <w:spacing w:after="0" w:line="24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study employs panel data regression analysis using EViews 13 to assess the relationship between the independent variables and BHAR. This technique captures both cross-sectional and time-series variations. Prior to model estimation, specification tests were conducted, including the Chow Test, Breusch–Pagan Lagrange Multiplier Test, and the Hausman Test, to determine the most appropriate model specification (Gujarati &amp; Porter, 2009).</w:t>
      </w:r>
    </w:p>
    <w:p w14:paraId="5429F851" w14:textId="77777777" w:rsidR="007D1FCB" w:rsidRDefault="00000000" w:rsidP="007D1FCB">
      <w:pPr>
        <w:spacing w:after="0" w:line="24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final regression model is expressed as:</w:t>
      </w:r>
    </w:p>
    <w:p w14:paraId="0D94FC76" w14:textId="4FF70FE7" w:rsidR="007373F6" w:rsidRPr="007D1FCB" w:rsidRDefault="00000000" w:rsidP="007D1FCB">
      <w:pPr>
        <w:spacing w:after="0" w:line="240" w:lineRule="auto"/>
        <w:jc w:val="both"/>
        <w:rPr>
          <w:rFonts w:ascii="Times New Roman" w:eastAsia="Times New Roman" w:hAnsi="Times New Roman" w:cs="Times New Roman"/>
          <w:sz w:val="24"/>
          <w:szCs w:val="24"/>
        </w:rPr>
      </w:pPr>
      <m:oMathPara>
        <m:oMath>
          <m:sSub>
            <m:sSubPr>
              <m:ctrlPr>
                <w:rPr>
                  <w:rFonts w:ascii="Cambria Math" w:eastAsia="Cambria Math" w:hAnsi="Cambria Math" w:cs="Cambria Math"/>
                </w:rPr>
              </m:ctrlPr>
            </m:sSubPr>
            <m:e>
              <m:r>
                <w:rPr>
                  <w:rFonts w:ascii="Cambria Math" w:eastAsia="Cambria Math" w:hAnsi="Cambria Math" w:cs="Cambria Math"/>
                </w:rPr>
                <m:t>BHAR</m:t>
              </m:r>
            </m:e>
            <m:sub>
              <m:r>
                <w:rPr>
                  <w:rFonts w:ascii="Cambria Math" w:eastAsia="Cambria Math" w:hAnsi="Cambria Math" w:cs="Cambria Math"/>
                </w:rPr>
                <m:t>it</m:t>
              </m:r>
            </m:sub>
          </m:sSub>
          <m:r>
            <w:rPr>
              <w:rFonts w:ascii="Cambria Math" w:eastAsia="Cambria Math" w:hAnsi="Cambria Math" w:cs="Cambria Math"/>
            </w:rPr>
            <m:t>​=α+</m:t>
          </m:r>
          <m:sSub>
            <m:sSubPr>
              <m:ctrlPr>
                <w:rPr>
                  <w:rFonts w:ascii="Cambria Math" w:eastAsia="Cambria Math" w:hAnsi="Cambria Math" w:cs="Cambria Math"/>
                </w:rPr>
              </m:ctrlPr>
            </m:sSubPr>
            <m:e>
              <m:r>
                <w:rPr>
                  <w:rFonts w:ascii="Cambria Math" w:eastAsia="Cambria Math" w:hAnsi="Cambria Math" w:cs="Cambria Math"/>
                </w:rPr>
                <m:t>β</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IR</m:t>
              </m:r>
            </m:e>
            <m:sub>
              <m:r>
                <w:rPr>
                  <w:rFonts w:ascii="Cambria Math" w:eastAsia="Cambria Math" w:hAnsi="Cambria Math" w:cs="Cambria Math"/>
                </w:rPr>
                <m:t>it</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β</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ROA</m:t>
              </m:r>
            </m:e>
            <m:sub>
              <m:r>
                <w:rPr>
                  <w:rFonts w:ascii="Cambria Math" w:eastAsia="Cambria Math" w:hAnsi="Cambria Math" w:cs="Cambria Math"/>
                </w:rPr>
                <m:t>it</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β</m:t>
              </m:r>
            </m:e>
            <m:sub>
              <m:r>
                <w:rPr>
                  <w:rFonts w:ascii="Cambria Math" w:eastAsia="Cambria Math" w:hAnsi="Cambria Math" w:cs="Cambria Math"/>
                </w:rPr>
                <m:t>3</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ROE</m:t>
              </m:r>
            </m:e>
            <m:sub>
              <m:r>
                <w:rPr>
                  <w:rFonts w:ascii="Cambria Math" w:eastAsia="Cambria Math" w:hAnsi="Cambria Math" w:cs="Cambria Math"/>
                </w:rPr>
                <m:t>it</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β</m:t>
              </m:r>
            </m:e>
            <m:sub>
              <m:r>
                <w:rPr>
                  <w:rFonts w:ascii="Cambria Math" w:eastAsia="Cambria Math" w:hAnsi="Cambria Math" w:cs="Cambria Math"/>
                </w:rPr>
                <m:t>4</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DER</m:t>
              </m:r>
            </m:e>
            <m:sub>
              <m:r>
                <w:rPr>
                  <w:rFonts w:ascii="Cambria Math" w:eastAsia="Cambria Math" w:hAnsi="Cambria Math" w:cs="Cambria Math"/>
                </w:rPr>
                <m:t>it</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β</m:t>
              </m:r>
            </m:e>
            <m:sub>
              <m:r>
                <w:rPr>
                  <w:rFonts w:ascii="Cambria Math" w:eastAsia="Cambria Math" w:hAnsi="Cambria Math" w:cs="Cambria Math"/>
                </w:rPr>
                <m:t>5</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LS</m:t>
              </m:r>
            </m:e>
            <m:sub>
              <m:r>
                <w:rPr>
                  <w:rFonts w:ascii="Cambria Math" w:eastAsia="Cambria Math" w:hAnsi="Cambria Math" w:cs="Cambria Math"/>
                </w:rPr>
                <m:t>it</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β</m:t>
              </m:r>
            </m:e>
            <m:sub>
              <m:r>
                <w:rPr>
                  <w:rFonts w:ascii="Cambria Math" w:eastAsia="Cambria Math" w:hAnsi="Cambria Math" w:cs="Cambria Math"/>
                </w:rPr>
                <m:t>6</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RO</m:t>
              </m:r>
            </m:e>
            <m:sub>
              <m:r>
                <w:rPr>
                  <w:rFonts w:ascii="Cambria Math" w:eastAsia="Cambria Math" w:hAnsi="Cambria Math" w:cs="Cambria Math"/>
                </w:rPr>
                <m:t>it</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β</m:t>
              </m:r>
            </m:e>
            <m:sub>
              <m:r>
                <w:rPr>
                  <w:rFonts w:ascii="Cambria Math" w:eastAsia="Cambria Math" w:hAnsi="Cambria Math" w:cs="Cambria Math"/>
                </w:rPr>
                <m:t>7</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IO</m:t>
              </m:r>
            </m:e>
            <m:sub>
              <m:r>
                <w:rPr>
                  <w:rFonts w:ascii="Cambria Math" w:eastAsia="Cambria Math" w:hAnsi="Cambria Math" w:cs="Cambria Math"/>
                </w:rPr>
                <m:t>it</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ε</m:t>
              </m:r>
            </m:e>
            <m:sub>
              <m:r>
                <w:rPr>
                  <w:rFonts w:ascii="Cambria Math" w:eastAsia="Cambria Math" w:hAnsi="Cambria Math" w:cs="Cambria Math"/>
                </w:rPr>
                <m:t>it</m:t>
              </m:r>
            </m:sub>
          </m:sSub>
        </m:oMath>
      </m:oMathPara>
    </w:p>
    <w:p w14:paraId="4595F767" w14:textId="77777777" w:rsidR="007D1FCB" w:rsidRDefault="007D1FCB">
      <w:pPr>
        <w:spacing w:line="240" w:lineRule="auto"/>
        <w:ind w:firstLine="360"/>
        <w:jc w:val="both"/>
        <w:rPr>
          <w:rFonts w:ascii="Times New Roman" w:eastAsia="Times New Roman" w:hAnsi="Times New Roman" w:cs="Times New Roman"/>
          <w:sz w:val="24"/>
          <w:szCs w:val="24"/>
        </w:rPr>
      </w:pPr>
    </w:p>
    <w:p w14:paraId="27A5E428" w14:textId="69282EBD"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ensure the robustness of the results, multicollinearity was tested using the Variance Inflation Factor (VIF), and heteroscedasticity and autocorrelation were addressed using robust standard errors as recommended by Wooldridge (2010). These diagnostic procedures enhance the reliability of statistical inferences drawn from the model.</w:t>
      </w:r>
    </w:p>
    <w:p w14:paraId="4CF94ADE" w14:textId="77777777" w:rsidR="007D1FCB" w:rsidRDefault="007D1FCB" w:rsidP="007D1FCB">
      <w:pPr>
        <w:spacing w:after="0" w:line="240" w:lineRule="auto"/>
        <w:jc w:val="both"/>
        <w:rPr>
          <w:rFonts w:ascii="Times New Roman" w:eastAsia="Times New Roman" w:hAnsi="Times New Roman" w:cs="Times New Roman"/>
          <w:sz w:val="24"/>
          <w:szCs w:val="24"/>
        </w:rPr>
      </w:pPr>
    </w:p>
    <w:p w14:paraId="222E893B" w14:textId="35E79067" w:rsidR="007373F6" w:rsidRPr="007D1FCB" w:rsidRDefault="00000000" w:rsidP="00856618">
      <w:pPr>
        <w:pStyle w:val="ListParagraph"/>
        <w:numPr>
          <w:ilvl w:val="0"/>
          <w:numId w:val="23"/>
        </w:numPr>
        <w:spacing w:after="0" w:line="240" w:lineRule="auto"/>
        <w:ind w:left="0" w:firstLine="0"/>
        <w:jc w:val="center"/>
        <w:rPr>
          <w:rFonts w:ascii="Times New Roman" w:eastAsia="Times New Roman" w:hAnsi="Times New Roman" w:cs="Times New Roman"/>
          <w:b/>
          <w:sz w:val="24"/>
          <w:szCs w:val="24"/>
        </w:rPr>
      </w:pPr>
      <w:r w:rsidRPr="007D1FCB">
        <w:rPr>
          <w:rFonts w:ascii="Times New Roman" w:eastAsia="Times New Roman" w:hAnsi="Times New Roman" w:cs="Times New Roman"/>
          <w:b/>
          <w:sz w:val="24"/>
          <w:szCs w:val="24"/>
        </w:rPr>
        <w:t>RESULTS AND DISCUSSION</w:t>
      </w:r>
    </w:p>
    <w:p w14:paraId="071E7127" w14:textId="77777777" w:rsidR="007D1FCB" w:rsidRPr="007D1FCB" w:rsidRDefault="007D1FCB" w:rsidP="007D1FCB">
      <w:pPr>
        <w:spacing w:after="0" w:line="240" w:lineRule="auto"/>
        <w:ind w:left="106" w:firstLine="426"/>
        <w:rPr>
          <w:rFonts w:ascii="Times New Roman" w:eastAsia="Times New Roman" w:hAnsi="Times New Roman" w:cs="Times New Roman"/>
          <w:b/>
          <w:sz w:val="24"/>
          <w:szCs w:val="24"/>
        </w:rPr>
      </w:pPr>
    </w:p>
    <w:p w14:paraId="6E5366D6" w14:textId="77777777" w:rsidR="007373F6" w:rsidRDefault="00000000" w:rsidP="007D1FCB">
      <w:pPr>
        <w:spacing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Descriptive statistics were generated to summarize the central tendency, dispersion, and distributional characteristics of the variables used in this study, based on 453 firm-period observations. Table 2 provides an overview of both the dependent and independent variables included in the regression analysis.</w:t>
      </w:r>
    </w:p>
    <w:p w14:paraId="733EE25B" w14:textId="409024DA" w:rsidR="007373F6" w:rsidRPr="007D1FCB" w:rsidRDefault="00000000" w:rsidP="007D1FCB">
      <w:pPr>
        <w:spacing w:line="240" w:lineRule="auto"/>
        <w:jc w:val="center"/>
        <w:rPr>
          <w:rFonts w:ascii="Times New Roman" w:eastAsia="Times New Roman" w:hAnsi="Times New Roman" w:cs="Times New Roman"/>
          <w:b/>
          <w:sz w:val="24"/>
          <w:szCs w:val="24"/>
        </w:rPr>
      </w:pPr>
      <w:r w:rsidRPr="007D1FCB">
        <w:rPr>
          <w:rFonts w:ascii="Times New Roman" w:eastAsia="Times New Roman" w:hAnsi="Times New Roman" w:cs="Times New Roman"/>
          <w:b/>
          <w:sz w:val="24"/>
          <w:szCs w:val="24"/>
        </w:rPr>
        <w:t>Table 2</w:t>
      </w:r>
      <w:r w:rsidR="007D1FCB" w:rsidRPr="007D1FCB">
        <w:rPr>
          <w:rFonts w:ascii="Times New Roman" w:eastAsia="Times New Roman" w:hAnsi="Times New Roman" w:cs="Times New Roman"/>
          <w:b/>
          <w:sz w:val="24"/>
          <w:szCs w:val="24"/>
        </w:rPr>
        <w:t xml:space="preserve">. </w:t>
      </w:r>
      <w:r w:rsidRPr="007D1FCB">
        <w:rPr>
          <w:rFonts w:ascii="Times New Roman" w:eastAsia="Times New Roman" w:hAnsi="Times New Roman" w:cs="Times New Roman"/>
          <w:sz w:val="24"/>
          <w:szCs w:val="24"/>
        </w:rPr>
        <w:t>Descriptive Statistics of Research Variables</w:t>
      </w:r>
    </w:p>
    <w:tbl>
      <w:tblPr>
        <w:tblStyle w:val="affffb"/>
        <w:tblW w:w="5000" w:type="pct"/>
        <w:tblBorders>
          <w:top w:val="single" w:sz="4" w:space="0" w:color="7F7F7F"/>
          <w:bottom w:val="single" w:sz="4" w:space="0" w:color="7F7F7F"/>
        </w:tblBorders>
        <w:tblLook w:val="04A0" w:firstRow="1" w:lastRow="0" w:firstColumn="1" w:lastColumn="0" w:noHBand="0" w:noVBand="1"/>
      </w:tblPr>
      <w:tblGrid>
        <w:gridCol w:w="1717"/>
        <w:gridCol w:w="1309"/>
        <w:gridCol w:w="1558"/>
        <w:gridCol w:w="1765"/>
        <w:gridCol w:w="1309"/>
        <w:gridCol w:w="1368"/>
      </w:tblGrid>
      <w:tr w:rsidR="007373F6" w:rsidRPr="007D1FCB" w14:paraId="37214124" w14:textId="77777777" w:rsidTr="007D1F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1" w:type="pct"/>
            <w:tcBorders>
              <w:bottom w:val="single" w:sz="4" w:space="0" w:color="000000"/>
            </w:tcBorders>
          </w:tcPr>
          <w:p w14:paraId="4E7EB132" w14:textId="328911CA" w:rsidR="007373F6" w:rsidRPr="007D1FCB" w:rsidRDefault="00000000">
            <w:pPr>
              <w:jc w:val="both"/>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Variable</w:t>
            </w:r>
          </w:p>
        </w:tc>
        <w:tc>
          <w:tcPr>
            <w:tcW w:w="725" w:type="pct"/>
            <w:tcBorders>
              <w:bottom w:val="single" w:sz="4" w:space="0" w:color="000000"/>
            </w:tcBorders>
          </w:tcPr>
          <w:p w14:paraId="6D60B9FB" w14:textId="77777777" w:rsidR="007373F6" w:rsidRPr="007D1FCB"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Mean</w:t>
            </w:r>
          </w:p>
        </w:tc>
        <w:tc>
          <w:tcPr>
            <w:tcW w:w="863" w:type="pct"/>
            <w:tcBorders>
              <w:bottom w:val="single" w:sz="4" w:space="0" w:color="000000"/>
            </w:tcBorders>
          </w:tcPr>
          <w:p w14:paraId="32CBC4D3" w14:textId="77777777" w:rsidR="007373F6" w:rsidRPr="007D1FCB"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Median</w:t>
            </w:r>
          </w:p>
        </w:tc>
        <w:tc>
          <w:tcPr>
            <w:tcW w:w="978" w:type="pct"/>
            <w:tcBorders>
              <w:bottom w:val="single" w:sz="4" w:space="0" w:color="000000"/>
            </w:tcBorders>
          </w:tcPr>
          <w:p w14:paraId="4E4AA932" w14:textId="77777777" w:rsidR="007373F6" w:rsidRPr="007D1FCB"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Std. Dev.</w:t>
            </w:r>
          </w:p>
        </w:tc>
        <w:tc>
          <w:tcPr>
            <w:tcW w:w="725" w:type="pct"/>
            <w:tcBorders>
              <w:bottom w:val="single" w:sz="4" w:space="0" w:color="000000"/>
            </w:tcBorders>
          </w:tcPr>
          <w:p w14:paraId="2149B523" w14:textId="77777777" w:rsidR="007373F6" w:rsidRPr="007D1FCB"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Min</w:t>
            </w:r>
          </w:p>
        </w:tc>
        <w:tc>
          <w:tcPr>
            <w:tcW w:w="758" w:type="pct"/>
            <w:tcBorders>
              <w:bottom w:val="single" w:sz="4" w:space="0" w:color="000000"/>
            </w:tcBorders>
          </w:tcPr>
          <w:p w14:paraId="23B6CE9E" w14:textId="77777777" w:rsidR="007373F6" w:rsidRPr="007D1FCB"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Max</w:t>
            </w:r>
          </w:p>
        </w:tc>
      </w:tr>
      <w:tr w:rsidR="007373F6" w14:paraId="1E48A873" w14:textId="77777777" w:rsidTr="007D1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1" w:type="pct"/>
            <w:tcBorders>
              <w:top w:val="single" w:sz="4" w:space="0" w:color="000000"/>
              <w:bottom w:val="nil"/>
            </w:tcBorders>
          </w:tcPr>
          <w:p w14:paraId="11CCCF55"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BHAR</w:t>
            </w:r>
          </w:p>
        </w:tc>
        <w:tc>
          <w:tcPr>
            <w:tcW w:w="725" w:type="pct"/>
            <w:tcBorders>
              <w:top w:val="single" w:sz="4" w:space="0" w:color="000000"/>
              <w:bottom w:val="nil"/>
            </w:tcBorders>
          </w:tcPr>
          <w:p w14:paraId="793AADC4" w14:textId="77777777" w:rsidR="007373F6" w:rsidRDefault="00000000" w:rsidP="007D1F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1.82</w:t>
            </w:r>
          </w:p>
        </w:tc>
        <w:tc>
          <w:tcPr>
            <w:tcW w:w="863" w:type="pct"/>
            <w:tcBorders>
              <w:top w:val="single" w:sz="4" w:space="0" w:color="000000"/>
              <w:bottom w:val="nil"/>
            </w:tcBorders>
          </w:tcPr>
          <w:p w14:paraId="5B2939C1" w14:textId="77777777" w:rsidR="007373F6" w:rsidRDefault="00000000" w:rsidP="007D1F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-0.004</w:t>
            </w:r>
          </w:p>
        </w:tc>
        <w:tc>
          <w:tcPr>
            <w:tcW w:w="978" w:type="pct"/>
            <w:tcBorders>
              <w:top w:val="single" w:sz="4" w:space="0" w:color="000000"/>
              <w:bottom w:val="nil"/>
            </w:tcBorders>
          </w:tcPr>
          <w:p w14:paraId="57997D33" w14:textId="77777777" w:rsidR="007373F6" w:rsidRDefault="00000000" w:rsidP="007D1F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9.20</w:t>
            </w:r>
          </w:p>
        </w:tc>
        <w:tc>
          <w:tcPr>
            <w:tcW w:w="725" w:type="pct"/>
            <w:tcBorders>
              <w:top w:val="single" w:sz="4" w:space="0" w:color="000000"/>
              <w:bottom w:val="nil"/>
            </w:tcBorders>
          </w:tcPr>
          <w:p w14:paraId="3664F06F" w14:textId="77777777" w:rsidR="007373F6" w:rsidRDefault="00000000" w:rsidP="007D1F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-1.30</w:t>
            </w:r>
          </w:p>
        </w:tc>
        <w:tc>
          <w:tcPr>
            <w:tcW w:w="758" w:type="pct"/>
            <w:tcBorders>
              <w:top w:val="single" w:sz="4" w:space="0" w:color="000000"/>
              <w:bottom w:val="nil"/>
            </w:tcBorders>
          </w:tcPr>
          <w:p w14:paraId="5968A32C" w14:textId="77777777" w:rsidR="007373F6" w:rsidRDefault="00000000" w:rsidP="007D1F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103.31</w:t>
            </w:r>
          </w:p>
        </w:tc>
      </w:tr>
      <w:tr w:rsidR="007373F6" w14:paraId="7F30C318" w14:textId="77777777" w:rsidTr="007D1FCB">
        <w:tc>
          <w:tcPr>
            <w:cnfStyle w:val="001000000000" w:firstRow="0" w:lastRow="0" w:firstColumn="1" w:lastColumn="0" w:oddVBand="0" w:evenVBand="0" w:oddHBand="0" w:evenHBand="0" w:firstRowFirstColumn="0" w:firstRowLastColumn="0" w:lastRowFirstColumn="0" w:lastRowLastColumn="0"/>
            <w:tcW w:w="951" w:type="pct"/>
            <w:tcBorders>
              <w:top w:val="nil"/>
              <w:bottom w:val="nil"/>
            </w:tcBorders>
          </w:tcPr>
          <w:p w14:paraId="647318F8"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IR</w:t>
            </w:r>
          </w:p>
        </w:tc>
        <w:tc>
          <w:tcPr>
            <w:tcW w:w="725" w:type="pct"/>
            <w:tcBorders>
              <w:top w:val="nil"/>
              <w:bottom w:val="nil"/>
            </w:tcBorders>
          </w:tcPr>
          <w:p w14:paraId="2E91D017" w14:textId="77777777" w:rsidR="007373F6" w:rsidRDefault="00000000" w:rsidP="007D1F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0.303</w:t>
            </w:r>
          </w:p>
        </w:tc>
        <w:tc>
          <w:tcPr>
            <w:tcW w:w="863" w:type="pct"/>
            <w:tcBorders>
              <w:top w:val="nil"/>
              <w:bottom w:val="nil"/>
            </w:tcBorders>
          </w:tcPr>
          <w:p w14:paraId="2AE8CEB6" w14:textId="77777777" w:rsidR="007373F6" w:rsidRDefault="00000000" w:rsidP="007D1F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0.343</w:t>
            </w:r>
          </w:p>
        </w:tc>
        <w:tc>
          <w:tcPr>
            <w:tcW w:w="978" w:type="pct"/>
            <w:tcBorders>
              <w:top w:val="nil"/>
              <w:bottom w:val="nil"/>
            </w:tcBorders>
          </w:tcPr>
          <w:p w14:paraId="404ED31D" w14:textId="77777777" w:rsidR="007373F6" w:rsidRDefault="00000000" w:rsidP="007D1F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0.29</w:t>
            </w:r>
          </w:p>
        </w:tc>
        <w:tc>
          <w:tcPr>
            <w:tcW w:w="725" w:type="pct"/>
            <w:tcBorders>
              <w:top w:val="nil"/>
              <w:bottom w:val="nil"/>
            </w:tcBorders>
          </w:tcPr>
          <w:p w14:paraId="2B05E5D0" w14:textId="77777777" w:rsidR="007373F6" w:rsidRDefault="00000000" w:rsidP="007D1F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-0.696</w:t>
            </w:r>
          </w:p>
        </w:tc>
        <w:tc>
          <w:tcPr>
            <w:tcW w:w="758" w:type="pct"/>
            <w:tcBorders>
              <w:top w:val="nil"/>
              <w:bottom w:val="nil"/>
            </w:tcBorders>
          </w:tcPr>
          <w:p w14:paraId="1C4E3415" w14:textId="77777777" w:rsidR="007373F6" w:rsidRDefault="00000000" w:rsidP="007D1F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0.700</w:t>
            </w:r>
          </w:p>
        </w:tc>
      </w:tr>
      <w:tr w:rsidR="007373F6" w14:paraId="397D955C" w14:textId="77777777" w:rsidTr="007D1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1" w:type="pct"/>
            <w:tcBorders>
              <w:top w:val="nil"/>
              <w:bottom w:val="nil"/>
            </w:tcBorders>
          </w:tcPr>
          <w:p w14:paraId="0CB97C23"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ROA</w:t>
            </w:r>
          </w:p>
        </w:tc>
        <w:tc>
          <w:tcPr>
            <w:tcW w:w="725" w:type="pct"/>
            <w:tcBorders>
              <w:top w:val="nil"/>
              <w:bottom w:val="nil"/>
            </w:tcBorders>
          </w:tcPr>
          <w:p w14:paraId="42DC0D7A" w14:textId="77777777" w:rsidR="007373F6" w:rsidRDefault="00000000" w:rsidP="007D1F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0.053</w:t>
            </w:r>
          </w:p>
        </w:tc>
        <w:tc>
          <w:tcPr>
            <w:tcW w:w="863" w:type="pct"/>
            <w:tcBorders>
              <w:top w:val="nil"/>
              <w:bottom w:val="nil"/>
            </w:tcBorders>
          </w:tcPr>
          <w:p w14:paraId="0EFDD518" w14:textId="77777777" w:rsidR="007373F6" w:rsidRDefault="00000000" w:rsidP="007D1F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0.029</w:t>
            </w:r>
          </w:p>
        </w:tc>
        <w:tc>
          <w:tcPr>
            <w:tcW w:w="978" w:type="pct"/>
            <w:tcBorders>
              <w:top w:val="nil"/>
              <w:bottom w:val="nil"/>
            </w:tcBorders>
          </w:tcPr>
          <w:p w14:paraId="3AE4B00B" w14:textId="77777777" w:rsidR="007373F6" w:rsidRDefault="00000000" w:rsidP="007D1F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0.108</w:t>
            </w:r>
          </w:p>
        </w:tc>
        <w:tc>
          <w:tcPr>
            <w:tcW w:w="725" w:type="pct"/>
            <w:tcBorders>
              <w:top w:val="nil"/>
              <w:bottom w:val="nil"/>
            </w:tcBorders>
          </w:tcPr>
          <w:p w14:paraId="724263EB" w14:textId="77777777" w:rsidR="007373F6" w:rsidRDefault="00000000" w:rsidP="007D1F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-0.520</w:t>
            </w:r>
          </w:p>
        </w:tc>
        <w:tc>
          <w:tcPr>
            <w:tcW w:w="758" w:type="pct"/>
            <w:tcBorders>
              <w:top w:val="nil"/>
              <w:bottom w:val="nil"/>
            </w:tcBorders>
          </w:tcPr>
          <w:p w14:paraId="78002AF9" w14:textId="77777777" w:rsidR="007373F6" w:rsidRDefault="00000000" w:rsidP="007D1F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0.486</w:t>
            </w:r>
          </w:p>
        </w:tc>
      </w:tr>
      <w:tr w:rsidR="007373F6" w14:paraId="40486DA8" w14:textId="77777777" w:rsidTr="007D1FCB">
        <w:tc>
          <w:tcPr>
            <w:cnfStyle w:val="001000000000" w:firstRow="0" w:lastRow="0" w:firstColumn="1" w:lastColumn="0" w:oddVBand="0" w:evenVBand="0" w:oddHBand="0" w:evenHBand="0" w:firstRowFirstColumn="0" w:firstRowLastColumn="0" w:lastRowFirstColumn="0" w:lastRowLastColumn="0"/>
            <w:tcW w:w="951" w:type="pct"/>
            <w:tcBorders>
              <w:top w:val="nil"/>
              <w:bottom w:val="nil"/>
            </w:tcBorders>
          </w:tcPr>
          <w:p w14:paraId="21D7AA7D"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ROE</w:t>
            </w:r>
          </w:p>
        </w:tc>
        <w:tc>
          <w:tcPr>
            <w:tcW w:w="725" w:type="pct"/>
            <w:tcBorders>
              <w:top w:val="nil"/>
              <w:bottom w:val="nil"/>
            </w:tcBorders>
          </w:tcPr>
          <w:p w14:paraId="69B43C7F" w14:textId="77777777" w:rsidR="007373F6" w:rsidRDefault="00000000" w:rsidP="007D1F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-0.085</w:t>
            </w:r>
          </w:p>
        </w:tc>
        <w:tc>
          <w:tcPr>
            <w:tcW w:w="863" w:type="pct"/>
            <w:tcBorders>
              <w:top w:val="nil"/>
              <w:bottom w:val="nil"/>
            </w:tcBorders>
          </w:tcPr>
          <w:p w14:paraId="4281D217" w14:textId="77777777" w:rsidR="007373F6" w:rsidRDefault="00000000" w:rsidP="007D1F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0.076</w:t>
            </w:r>
          </w:p>
        </w:tc>
        <w:tc>
          <w:tcPr>
            <w:tcW w:w="978" w:type="pct"/>
            <w:tcBorders>
              <w:top w:val="nil"/>
              <w:bottom w:val="nil"/>
            </w:tcBorders>
          </w:tcPr>
          <w:p w14:paraId="0965A329" w14:textId="77777777" w:rsidR="007373F6" w:rsidRDefault="00000000" w:rsidP="007D1F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2.55</w:t>
            </w:r>
          </w:p>
        </w:tc>
        <w:tc>
          <w:tcPr>
            <w:tcW w:w="725" w:type="pct"/>
            <w:tcBorders>
              <w:top w:val="nil"/>
              <w:bottom w:val="nil"/>
            </w:tcBorders>
          </w:tcPr>
          <w:p w14:paraId="1B311777" w14:textId="77777777" w:rsidR="007373F6" w:rsidRDefault="00000000" w:rsidP="007D1F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-31.02</w:t>
            </w:r>
          </w:p>
        </w:tc>
        <w:tc>
          <w:tcPr>
            <w:tcW w:w="758" w:type="pct"/>
            <w:tcBorders>
              <w:top w:val="nil"/>
              <w:bottom w:val="nil"/>
            </w:tcBorders>
          </w:tcPr>
          <w:p w14:paraId="455DF337" w14:textId="77777777" w:rsidR="007373F6" w:rsidRDefault="00000000" w:rsidP="007D1F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2.30</w:t>
            </w:r>
          </w:p>
        </w:tc>
      </w:tr>
      <w:tr w:rsidR="007373F6" w14:paraId="0E428169" w14:textId="77777777" w:rsidTr="007D1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1" w:type="pct"/>
            <w:tcBorders>
              <w:top w:val="nil"/>
              <w:bottom w:val="nil"/>
            </w:tcBorders>
          </w:tcPr>
          <w:p w14:paraId="35A3965B"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DER</w:t>
            </w:r>
          </w:p>
        </w:tc>
        <w:tc>
          <w:tcPr>
            <w:tcW w:w="725" w:type="pct"/>
            <w:tcBorders>
              <w:top w:val="nil"/>
              <w:bottom w:val="nil"/>
            </w:tcBorders>
          </w:tcPr>
          <w:p w14:paraId="5FCBF01B" w14:textId="77777777" w:rsidR="007373F6" w:rsidRDefault="00000000" w:rsidP="007D1F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1.71</w:t>
            </w:r>
          </w:p>
        </w:tc>
        <w:tc>
          <w:tcPr>
            <w:tcW w:w="863" w:type="pct"/>
            <w:tcBorders>
              <w:top w:val="nil"/>
              <w:bottom w:val="nil"/>
            </w:tcBorders>
          </w:tcPr>
          <w:p w14:paraId="2DC72DDA" w14:textId="77777777" w:rsidR="007373F6" w:rsidRDefault="00000000" w:rsidP="007D1F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1.03</w:t>
            </w:r>
          </w:p>
        </w:tc>
        <w:tc>
          <w:tcPr>
            <w:tcW w:w="978" w:type="pct"/>
            <w:tcBorders>
              <w:top w:val="nil"/>
              <w:bottom w:val="nil"/>
            </w:tcBorders>
          </w:tcPr>
          <w:p w14:paraId="4D36C934" w14:textId="77777777" w:rsidR="007373F6" w:rsidRDefault="00000000" w:rsidP="007D1F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3.31</w:t>
            </w:r>
          </w:p>
        </w:tc>
        <w:tc>
          <w:tcPr>
            <w:tcW w:w="725" w:type="pct"/>
            <w:tcBorders>
              <w:top w:val="nil"/>
              <w:bottom w:val="nil"/>
            </w:tcBorders>
          </w:tcPr>
          <w:p w14:paraId="49D1B4E5" w14:textId="77777777" w:rsidR="007373F6" w:rsidRDefault="00000000" w:rsidP="007D1F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-5.35</w:t>
            </w:r>
          </w:p>
        </w:tc>
        <w:tc>
          <w:tcPr>
            <w:tcW w:w="758" w:type="pct"/>
            <w:tcBorders>
              <w:top w:val="nil"/>
              <w:bottom w:val="nil"/>
            </w:tcBorders>
          </w:tcPr>
          <w:p w14:paraId="0D158957" w14:textId="77777777" w:rsidR="007373F6" w:rsidRDefault="00000000" w:rsidP="007D1F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34.32</w:t>
            </w:r>
          </w:p>
        </w:tc>
      </w:tr>
      <w:tr w:rsidR="007373F6" w14:paraId="4F7C3FD2" w14:textId="77777777" w:rsidTr="007D1FCB">
        <w:tc>
          <w:tcPr>
            <w:cnfStyle w:val="001000000000" w:firstRow="0" w:lastRow="0" w:firstColumn="1" w:lastColumn="0" w:oddVBand="0" w:evenVBand="0" w:oddHBand="0" w:evenHBand="0" w:firstRowFirstColumn="0" w:firstRowLastColumn="0" w:lastRowFirstColumn="0" w:lastRowLastColumn="0"/>
            <w:tcW w:w="951" w:type="pct"/>
            <w:tcBorders>
              <w:top w:val="nil"/>
              <w:bottom w:val="nil"/>
            </w:tcBorders>
          </w:tcPr>
          <w:p w14:paraId="286B5277"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LS</w:t>
            </w:r>
          </w:p>
        </w:tc>
        <w:tc>
          <w:tcPr>
            <w:tcW w:w="725" w:type="pct"/>
            <w:tcBorders>
              <w:top w:val="nil"/>
              <w:bottom w:val="nil"/>
            </w:tcBorders>
          </w:tcPr>
          <w:p w14:paraId="38477759" w14:textId="77777777" w:rsidR="007373F6" w:rsidRDefault="00000000" w:rsidP="007D1F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0.548</w:t>
            </w:r>
          </w:p>
        </w:tc>
        <w:tc>
          <w:tcPr>
            <w:tcW w:w="863" w:type="pct"/>
            <w:tcBorders>
              <w:top w:val="nil"/>
              <w:bottom w:val="nil"/>
            </w:tcBorders>
          </w:tcPr>
          <w:p w14:paraId="28BA5C30" w14:textId="77777777" w:rsidR="007373F6" w:rsidRDefault="00000000" w:rsidP="007D1F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0.560</w:t>
            </w:r>
          </w:p>
        </w:tc>
        <w:tc>
          <w:tcPr>
            <w:tcW w:w="978" w:type="pct"/>
            <w:tcBorders>
              <w:top w:val="nil"/>
              <w:bottom w:val="nil"/>
            </w:tcBorders>
          </w:tcPr>
          <w:p w14:paraId="106F6286" w14:textId="77777777" w:rsidR="007373F6" w:rsidRDefault="00000000" w:rsidP="007D1F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0.20</w:t>
            </w:r>
          </w:p>
        </w:tc>
        <w:tc>
          <w:tcPr>
            <w:tcW w:w="725" w:type="pct"/>
            <w:tcBorders>
              <w:top w:val="nil"/>
              <w:bottom w:val="nil"/>
            </w:tcBorders>
          </w:tcPr>
          <w:p w14:paraId="1C23744A" w14:textId="77777777" w:rsidR="007373F6" w:rsidRDefault="00000000" w:rsidP="007D1F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0.009</w:t>
            </w:r>
          </w:p>
        </w:tc>
        <w:tc>
          <w:tcPr>
            <w:tcW w:w="758" w:type="pct"/>
            <w:tcBorders>
              <w:top w:val="nil"/>
              <w:bottom w:val="nil"/>
            </w:tcBorders>
          </w:tcPr>
          <w:p w14:paraId="17310AE9" w14:textId="77777777" w:rsidR="007373F6" w:rsidRDefault="00000000" w:rsidP="007D1F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0.900</w:t>
            </w:r>
          </w:p>
        </w:tc>
      </w:tr>
      <w:tr w:rsidR="007373F6" w14:paraId="17CD24C7" w14:textId="77777777" w:rsidTr="007D1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1" w:type="pct"/>
            <w:tcBorders>
              <w:top w:val="nil"/>
              <w:bottom w:val="nil"/>
            </w:tcBorders>
          </w:tcPr>
          <w:p w14:paraId="6CA93773"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RO</w:t>
            </w:r>
          </w:p>
        </w:tc>
        <w:tc>
          <w:tcPr>
            <w:tcW w:w="725" w:type="pct"/>
            <w:tcBorders>
              <w:top w:val="nil"/>
              <w:bottom w:val="nil"/>
            </w:tcBorders>
          </w:tcPr>
          <w:p w14:paraId="32C120A7" w14:textId="77777777" w:rsidR="007373F6" w:rsidRDefault="00000000" w:rsidP="007D1F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0.762</w:t>
            </w:r>
          </w:p>
        </w:tc>
        <w:tc>
          <w:tcPr>
            <w:tcW w:w="863" w:type="pct"/>
            <w:tcBorders>
              <w:top w:val="nil"/>
              <w:bottom w:val="nil"/>
            </w:tcBorders>
          </w:tcPr>
          <w:p w14:paraId="360E7378" w14:textId="77777777" w:rsidR="007373F6" w:rsidRDefault="00000000" w:rsidP="007D1F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0.780</w:t>
            </w:r>
          </w:p>
        </w:tc>
        <w:tc>
          <w:tcPr>
            <w:tcW w:w="978" w:type="pct"/>
            <w:tcBorders>
              <w:top w:val="nil"/>
              <w:bottom w:val="nil"/>
            </w:tcBorders>
          </w:tcPr>
          <w:p w14:paraId="6370A366" w14:textId="77777777" w:rsidR="007373F6" w:rsidRDefault="00000000" w:rsidP="007D1F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0.08</w:t>
            </w:r>
          </w:p>
        </w:tc>
        <w:tc>
          <w:tcPr>
            <w:tcW w:w="725" w:type="pct"/>
            <w:tcBorders>
              <w:top w:val="nil"/>
              <w:bottom w:val="nil"/>
            </w:tcBorders>
          </w:tcPr>
          <w:p w14:paraId="733973F7" w14:textId="77777777" w:rsidR="007373F6" w:rsidRDefault="00000000" w:rsidP="007D1F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0.480</w:t>
            </w:r>
          </w:p>
        </w:tc>
        <w:tc>
          <w:tcPr>
            <w:tcW w:w="758" w:type="pct"/>
            <w:tcBorders>
              <w:top w:val="nil"/>
              <w:bottom w:val="nil"/>
            </w:tcBorders>
          </w:tcPr>
          <w:p w14:paraId="7E22CADB" w14:textId="77777777" w:rsidR="007373F6" w:rsidRDefault="00000000" w:rsidP="007D1F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0.956</w:t>
            </w:r>
          </w:p>
        </w:tc>
      </w:tr>
      <w:tr w:rsidR="007373F6" w14:paraId="141440F0" w14:textId="77777777" w:rsidTr="007D1FCB">
        <w:tc>
          <w:tcPr>
            <w:cnfStyle w:val="001000000000" w:firstRow="0" w:lastRow="0" w:firstColumn="1" w:lastColumn="0" w:oddVBand="0" w:evenVBand="0" w:oddHBand="0" w:evenHBand="0" w:firstRowFirstColumn="0" w:firstRowLastColumn="0" w:lastRowFirstColumn="0" w:lastRowLastColumn="0"/>
            <w:tcW w:w="951" w:type="pct"/>
            <w:tcBorders>
              <w:top w:val="nil"/>
              <w:bottom w:val="single" w:sz="4" w:space="0" w:color="000000"/>
            </w:tcBorders>
          </w:tcPr>
          <w:p w14:paraId="3408AB74"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IO</w:t>
            </w:r>
          </w:p>
        </w:tc>
        <w:tc>
          <w:tcPr>
            <w:tcW w:w="725" w:type="pct"/>
            <w:tcBorders>
              <w:top w:val="nil"/>
              <w:bottom w:val="single" w:sz="4" w:space="0" w:color="000000"/>
            </w:tcBorders>
          </w:tcPr>
          <w:p w14:paraId="4BA64DB8" w14:textId="77777777" w:rsidR="007373F6" w:rsidRDefault="00000000" w:rsidP="007D1F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0.578</w:t>
            </w:r>
          </w:p>
        </w:tc>
        <w:tc>
          <w:tcPr>
            <w:tcW w:w="863" w:type="pct"/>
            <w:tcBorders>
              <w:top w:val="nil"/>
              <w:bottom w:val="single" w:sz="4" w:space="0" w:color="000000"/>
            </w:tcBorders>
          </w:tcPr>
          <w:p w14:paraId="460057BF" w14:textId="77777777" w:rsidR="007373F6" w:rsidRDefault="00000000" w:rsidP="007D1F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0.700</w:t>
            </w:r>
          </w:p>
        </w:tc>
        <w:tc>
          <w:tcPr>
            <w:tcW w:w="978" w:type="pct"/>
            <w:tcBorders>
              <w:top w:val="nil"/>
              <w:bottom w:val="single" w:sz="4" w:space="0" w:color="000000"/>
            </w:tcBorders>
          </w:tcPr>
          <w:p w14:paraId="1633144E" w14:textId="77777777" w:rsidR="007373F6" w:rsidRDefault="00000000" w:rsidP="007D1F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0.30</w:t>
            </w:r>
          </w:p>
        </w:tc>
        <w:tc>
          <w:tcPr>
            <w:tcW w:w="725" w:type="pct"/>
            <w:tcBorders>
              <w:top w:val="nil"/>
              <w:bottom w:val="single" w:sz="4" w:space="0" w:color="000000"/>
            </w:tcBorders>
          </w:tcPr>
          <w:p w14:paraId="409EA69D" w14:textId="77777777" w:rsidR="007373F6" w:rsidRDefault="00000000" w:rsidP="007D1F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0.000</w:t>
            </w:r>
          </w:p>
        </w:tc>
        <w:tc>
          <w:tcPr>
            <w:tcW w:w="758" w:type="pct"/>
            <w:tcBorders>
              <w:top w:val="nil"/>
              <w:bottom w:val="single" w:sz="4" w:space="0" w:color="000000"/>
            </w:tcBorders>
          </w:tcPr>
          <w:p w14:paraId="216AAA4E" w14:textId="74E28EB1" w:rsidR="007373F6" w:rsidRDefault="00000000" w:rsidP="007D1F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0.990</w:t>
            </w:r>
          </w:p>
        </w:tc>
      </w:tr>
    </w:tbl>
    <w:p w14:paraId="680BFF6B" w14:textId="77777777" w:rsidR="007373F6" w:rsidRPr="007D1FCB" w:rsidRDefault="00000000" w:rsidP="007D1FCB">
      <w:pPr>
        <w:spacing w:line="240" w:lineRule="auto"/>
        <w:jc w:val="both"/>
        <w:rPr>
          <w:rFonts w:ascii="Times New Roman" w:eastAsia="Times New Roman" w:hAnsi="Times New Roman" w:cs="Times New Roman"/>
          <w:sz w:val="20"/>
          <w:szCs w:val="20"/>
        </w:rPr>
      </w:pPr>
      <w:r w:rsidRPr="007D1FCB">
        <w:rPr>
          <w:rFonts w:ascii="Times New Roman" w:eastAsia="Times New Roman" w:hAnsi="Times New Roman" w:cs="Times New Roman"/>
          <w:i/>
          <w:sz w:val="20"/>
          <w:szCs w:val="20"/>
        </w:rPr>
        <w:t>Note</w:t>
      </w:r>
      <w:r w:rsidRPr="007D1FCB">
        <w:rPr>
          <w:rFonts w:ascii="Times New Roman" w:eastAsia="Times New Roman" w:hAnsi="Times New Roman" w:cs="Times New Roman"/>
          <w:sz w:val="20"/>
          <w:szCs w:val="20"/>
        </w:rPr>
        <w:t>. BHAR = Buy-and-Hold Abnormal Return; IR = Initial Return (</w:t>
      </w:r>
      <w:proofErr w:type="spellStart"/>
      <w:r w:rsidRPr="007D1FCB">
        <w:rPr>
          <w:rFonts w:ascii="Times New Roman" w:eastAsia="Times New Roman" w:hAnsi="Times New Roman" w:cs="Times New Roman"/>
          <w:sz w:val="20"/>
          <w:szCs w:val="20"/>
        </w:rPr>
        <w:t>Underpricing</w:t>
      </w:r>
      <w:proofErr w:type="spellEnd"/>
      <w:r w:rsidRPr="007D1FCB">
        <w:rPr>
          <w:rFonts w:ascii="Times New Roman" w:eastAsia="Times New Roman" w:hAnsi="Times New Roman" w:cs="Times New Roman"/>
          <w:sz w:val="20"/>
          <w:szCs w:val="20"/>
        </w:rPr>
        <w:t>); ROA = Return on Assets; ROE = Return on Equity; DER = Debt-to-Equity Ratio; LS = Largest Shareholder; RO = Retained Ownership; IO = Institutional Ownership. Data processed using EViews 13 based on 453 firm-period observations collected by the author in 2025.</w:t>
      </w:r>
    </w:p>
    <w:p w14:paraId="707AFBEB" w14:textId="77777777" w:rsidR="007D1FCB" w:rsidRDefault="007D1FCB">
      <w:pPr>
        <w:spacing w:before="240" w:line="240" w:lineRule="auto"/>
        <w:ind w:firstLine="360"/>
        <w:jc w:val="both"/>
        <w:rPr>
          <w:rFonts w:ascii="Times New Roman" w:eastAsia="Times New Roman" w:hAnsi="Times New Roman" w:cs="Times New Roman"/>
          <w:sz w:val="24"/>
          <w:szCs w:val="24"/>
        </w:rPr>
      </w:pPr>
    </w:p>
    <w:p w14:paraId="2F52899C" w14:textId="19190900"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shown in Table 2, the average BHAR of 1.82% suggests a modest positive long-term return post-IPO in the Indonesian market. However, the high standard deviation (9.20) and a maximum value of 103.31% indicate the presence of extreme outliers, which may reflect speculative bubbles or extraordinary firm-specific events. The mean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(IR) of 30.3%, reinforces the persistent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trend in Indonesian IPOs, which has been widely documented in emerging market literature. </w:t>
      </w:r>
    </w:p>
    <w:p w14:paraId="0C75E211"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From a performance perspective, ROA (mean = 5.3%) is modestly positive, while ROE shows a negative average (–8.5%) with a wide dispersion. This discrepancy indicates that profitability derived from assets may be more consistent than that from equity, potentially due to fluctuations in shareholder equity or opportunistic earnings timing around the IPO period. In terms of capital structure, the high standard deviation in DER (3.31) and its extreme values point to substantial variability in leverage, possibly reflecting differences in industry risk or access to credit markets. </w:t>
      </w:r>
    </w:p>
    <w:p w14:paraId="216E6917"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Ownership structure variables reflect concentrated control characteristics, with</w:t>
      </w:r>
      <w:r>
        <w:rPr>
          <w:rFonts w:ascii="Times New Roman" w:eastAsia="Times New Roman" w:hAnsi="Times New Roman" w:cs="Times New Roman"/>
        </w:rPr>
        <w:t xml:space="preserve"> </w:t>
      </w:r>
      <w:r>
        <w:rPr>
          <w:rFonts w:ascii="Times New Roman" w:eastAsia="Times New Roman" w:hAnsi="Times New Roman" w:cs="Times New Roman"/>
          <w:sz w:val="24"/>
          <w:szCs w:val="24"/>
        </w:rPr>
        <w:t>largest shareholder (LS) averaging 54.8%, retained ownership (RO) 76.2% and institutional ownership (IO) averaging 57.8%, suggesting that insider and professional investors hold significant stakes post-IPO. These patterns are consistent with governance structures in emerging markets, where concentrated ownership often substitutes for weak external monitoring mechanisms.</w:t>
      </w:r>
    </w:p>
    <w:p w14:paraId="23C252B3"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assess potential multicollinearity, a Pearson correlation matrix was constructed among the independent variables.</w:t>
      </w:r>
    </w:p>
    <w:p w14:paraId="6FF8BC34" w14:textId="77777777" w:rsidR="007D1FCB" w:rsidRDefault="007D1FCB" w:rsidP="007D1FCB">
      <w:pPr>
        <w:spacing w:after="0" w:line="240" w:lineRule="auto"/>
        <w:ind w:firstLine="426"/>
        <w:jc w:val="both"/>
        <w:rPr>
          <w:rFonts w:ascii="Times New Roman" w:eastAsia="Times New Roman" w:hAnsi="Times New Roman" w:cs="Times New Roman"/>
          <w:sz w:val="24"/>
          <w:szCs w:val="24"/>
        </w:rPr>
      </w:pPr>
    </w:p>
    <w:p w14:paraId="136CFDA3" w14:textId="3E33979C" w:rsidR="007373F6" w:rsidRPr="007D1FCB" w:rsidRDefault="00000000" w:rsidP="007D1FCB">
      <w:pPr>
        <w:spacing w:line="240" w:lineRule="auto"/>
        <w:jc w:val="center"/>
        <w:rPr>
          <w:rFonts w:ascii="Times New Roman" w:eastAsia="Times New Roman" w:hAnsi="Times New Roman" w:cs="Times New Roman"/>
          <w:b/>
          <w:sz w:val="24"/>
          <w:szCs w:val="24"/>
        </w:rPr>
      </w:pPr>
      <w:r w:rsidRPr="007D1FCB">
        <w:rPr>
          <w:rFonts w:ascii="Times New Roman" w:eastAsia="Times New Roman" w:hAnsi="Times New Roman" w:cs="Times New Roman"/>
          <w:b/>
          <w:sz w:val="24"/>
          <w:szCs w:val="24"/>
        </w:rPr>
        <w:t>Table 3</w:t>
      </w:r>
      <w:r w:rsidR="007D1FCB" w:rsidRPr="007D1FCB">
        <w:rPr>
          <w:rFonts w:ascii="Times New Roman" w:eastAsia="Times New Roman" w:hAnsi="Times New Roman" w:cs="Times New Roman"/>
          <w:b/>
          <w:sz w:val="24"/>
          <w:szCs w:val="24"/>
        </w:rPr>
        <w:t xml:space="preserve">. </w:t>
      </w:r>
      <w:r w:rsidRPr="007D1FCB">
        <w:rPr>
          <w:rFonts w:ascii="Times New Roman" w:eastAsia="Times New Roman" w:hAnsi="Times New Roman" w:cs="Times New Roman"/>
          <w:sz w:val="24"/>
          <w:szCs w:val="24"/>
        </w:rPr>
        <w:t>Pearson Correlation Matrix of Independent Variables</w:t>
      </w:r>
    </w:p>
    <w:tbl>
      <w:tblPr>
        <w:tblStyle w:val="affffc"/>
        <w:tblW w:w="5000" w:type="pct"/>
        <w:tblBorders>
          <w:top w:val="single" w:sz="4" w:space="0" w:color="7F7F7F"/>
          <w:bottom w:val="single" w:sz="4" w:space="0" w:color="7F7F7F"/>
        </w:tblBorders>
        <w:tblLook w:val="04A0" w:firstRow="1" w:lastRow="0" w:firstColumn="1" w:lastColumn="0" w:noHBand="0" w:noVBand="1"/>
      </w:tblPr>
      <w:tblGrid>
        <w:gridCol w:w="1068"/>
        <w:gridCol w:w="1149"/>
        <w:gridCol w:w="1149"/>
        <w:gridCol w:w="1128"/>
        <w:gridCol w:w="1148"/>
        <w:gridCol w:w="1128"/>
        <w:gridCol w:w="1128"/>
        <w:gridCol w:w="1128"/>
      </w:tblGrid>
      <w:tr w:rsidR="007373F6" w:rsidRPr="007D1FCB" w14:paraId="678ACC06" w14:textId="77777777" w:rsidTr="007D1F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1" w:type="pct"/>
            <w:tcBorders>
              <w:bottom w:val="single" w:sz="4" w:space="0" w:color="000000"/>
            </w:tcBorders>
          </w:tcPr>
          <w:p w14:paraId="574AFF33" w14:textId="58E344F2" w:rsidR="007373F6" w:rsidRPr="007D1FCB" w:rsidRDefault="007373F6">
            <w:pPr>
              <w:jc w:val="both"/>
              <w:rPr>
                <w:rFonts w:ascii="Times New Roman" w:eastAsia="Times New Roman" w:hAnsi="Times New Roman" w:cs="Times New Roman"/>
                <w:bCs/>
                <w:sz w:val="20"/>
                <w:szCs w:val="20"/>
              </w:rPr>
            </w:pPr>
          </w:p>
        </w:tc>
        <w:tc>
          <w:tcPr>
            <w:tcW w:w="636" w:type="pct"/>
            <w:tcBorders>
              <w:bottom w:val="single" w:sz="4" w:space="0" w:color="000000"/>
            </w:tcBorders>
          </w:tcPr>
          <w:p w14:paraId="732D2F13" w14:textId="77777777" w:rsidR="007373F6" w:rsidRPr="007D1FCB"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IR</w:t>
            </w:r>
          </w:p>
        </w:tc>
        <w:tc>
          <w:tcPr>
            <w:tcW w:w="636" w:type="pct"/>
            <w:tcBorders>
              <w:bottom w:val="single" w:sz="4" w:space="0" w:color="000000"/>
            </w:tcBorders>
          </w:tcPr>
          <w:p w14:paraId="2773ED28" w14:textId="77777777" w:rsidR="007373F6" w:rsidRPr="007D1FCB"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ROA</w:t>
            </w:r>
          </w:p>
        </w:tc>
        <w:tc>
          <w:tcPr>
            <w:tcW w:w="625" w:type="pct"/>
            <w:tcBorders>
              <w:bottom w:val="single" w:sz="4" w:space="0" w:color="000000"/>
            </w:tcBorders>
          </w:tcPr>
          <w:p w14:paraId="255DD7BF" w14:textId="77777777" w:rsidR="007373F6" w:rsidRPr="007D1FCB"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ROE</w:t>
            </w:r>
          </w:p>
        </w:tc>
        <w:tc>
          <w:tcPr>
            <w:tcW w:w="636" w:type="pct"/>
            <w:tcBorders>
              <w:bottom w:val="single" w:sz="4" w:space="0" w:color="000000"/>
            </w:tcBorders>
          </w:tcPr>
          <w:p w14:paraId="1C2A876A" w14:textId="77777777" w:rsidR="007373F6" w:rsidRPr="007D1FCB"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DER</w:t>
            </w:r>
          </w:p>
        </w:tc>
        <w:tc>
          <w:tcPr>
            <w:tcW w:w="625" w:type="pct"/>
            <w:tcBorders>
              <w:bottom w:val="single" w:sz="4" w:space="0" w:color="000000"/>
            </w:tcBorders>
          </w:tcPr>
          <w:p w14:paraId="2699BCDC" w14:textId="77777777" w:rsidR="007373F6" w:rsidRPr="007D1FCB"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LS</w:t>
            </w:r>
          </w:p>
        </w:tc>
        <w:tc>
          <w:tcPr>
            <w:tcW w:w="625" w:type="pct"/>
            <w:tcBorders>
              <w:bottom w:val="single" w:sz="4" w:space="0" w:color="000000"/>
            </w:tcBorders>
          </w:tcPr>
          <w:p w14:paraId="72EF051B" w14:textId="77777777" w:rsidR="007373F6" w:rsidRPr="007D1FCB"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RO</w:t>
            </w:r>
          </w:p>
        </w:tc>
        <w:tc>
          <w:tcPr>
            <w:tcW w:w="625" w:type="pct"/>
            <w:tcBorders>
              <w:bottom w:val="single" w:sz="4" w:space="0" w:color="000000"/>
            </w:tcBorders>
          </w:tcPr>
          <w:p w14:paraId="56A3DE0F" w14:textId="77777777" w:rsidR="007373F6" w:rsidRPr="007D1FCB"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IO</w:t>
            </w:r>
          </w:p>
        </w:tc>
      </w:tr>
      <w:tr w:rsidR="007373F6" w14:paraId="172B4435" w14:textId="77777777" w:rsidTr="007D1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1" w:type="pct"/>
            <w:tcBorders>
              <w:top w:val="single" w:sz="4" w:space="0" w:color="000000"/>
              <w:bottom w:val="nil"/>
            </w:tcBorders>
          </w:tcPr>
          <w:p w14:paraId="52C1F592"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IR</w:t>
            </w:r>
          </w:p>
        </w:tc>
        <w:tc>
          <w:tcPr>
            <w:tcW w:w="636" w:type="pct"/>
            <w:tcBorders>
              <w:top w:val="single" w:sz="4" w:space="0" w:color="000000"/>
              <w:bottom w:val="nil"/>
            </w:tcBorders>
          </w:tcPr>
          <w:p w14:paraId="75F6B163"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1.000000</w:t>
            </w:r>
          </w:p>
        </w:tc>
        <w:tc>
          <w:tcPr>
            <w:tcW w:w="636" w:type="pct"/>
            <w:tcBorders>
              <w:top w:val="single" w:sz="4" w:space="0" w:color="000000"/>
              <w:bottom w:val="nil"/>
            </w:tcBorders>
          </w:tcPr>
          <w:p w14:paraId="14000A85" w14:textId="77777777" w:rsidR="007373F6" w:rsidRDefault="007373F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625" w:type="pct"/>
            <w:tcBorders>
              <w:top w:val="single" w:sz="4" w:space="0" w:color="000000"/>
              <w:bottom w:val="nil"/>
            </w:tcBorders>
          </w:tcPr>
          <w:p w14:paraId="60A044FD" w14:textId="77777777" w:rsidR="007373F6" w:rsidRDefault="007373F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636" w:type="pct"/>
            <w:tcBorders>
              <w:top w:val="single" w:sz="4" w:space="0" w:color="000000"/>
              <w:bottom w:val="nil"/>
            </w:tcBorders>
          </w:tcPr>
          <w:p w14:paraId="7F839258" w14:textId="77777777" w:rsidR="007373F6" w:rsidRDefault="007373F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625" w:type="pct"/>
            <w:tcBorders>
              <w:top w:val="single" w:sz="4" w:space="0" w:color="000000"/>
              <w:bottom w:val="nil"/>
            </w:tcBorders>
          </w:tcPr>
          <w:p w14:paraId="75924482" w14:textId="77777777" w:rsidR="007373F6" w:rsidRDefault="007373F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625" w:type="pct"/>
            <w:tcBorders>
              <w:top w:val="single" w:sz="4" w:space="0" w:color="000000"/>
              <w:bottom w:val="nil"/>
            </w:tcBorders>
          </w:tcPr>
          <w:p w14:paraId="075B29E3" w14:textId="77777777" w:rsidR="007373F6" w:rsidRDefault="007373F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625" w:type="pct"/>
            <w:tcBorders>
              <w:top w:val="single" w:sz="4" w:space="0" w:color="000000"/>
              <w:bottom w:val="nil"/>
            </w:tcBorders>
          </w:tcPr>
          <w:p w14:paraId="4F62AA47" w14:textId="77777777" w:rsidR="007373F6" w:rsidRDefault="007373F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r>
      <w:tr w:rsidR="007373F6" w14:paraId="3850204A" w14:textId="77777777" w:rsidTr="007D1FCB">
        <w:tc>
          <w:tcPr>
            <w:cnfStyle w:val="001000000000" w:firstRow="0" w:lastRow="0" w:firstColumn="1" w:lastColumn="0" w:oddVBand="0" w:evenVBand="0" w:oddHBand="0" w:evenHBand="0" w:firstRowFirstColumn="0" w:firstRowLastColumn="0" w:lastRowFirstColumn="0" w:lastRowLastColumn="0"/>
            <w:tcW w:w="591" w:type="pct"/>
            <w:tcBorders>
              <w:top w:val="nil"/>
              <w:bottom w:val="nil"/>
            </w:tcBorders>
          </w:tcPr>
          <w:p w14:paraId="71E453A2"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ROA</w:t>
            </w:r>
          </w:p>
        </w:tc>
        <w:tc>
          <w:tcPr>
            <w:tcW w:w="636" w:type="pct"/>
            <w:tcBorders>
              <w:top w:val="nil"/>
              <w:bottom w:val="nil"/>
            </w:tcBorders>
          </w:tcPr>
          <w:p w14:paraId="5F695866"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-0.231076</w:t>
            </w:r>
          </w:p>
        </w:tc>
        <w:tc>
          <w:tcPr>
            <w:tcW w:w="636" w:type="pct"/>
            <w:tcBorders>
              <w:top w:val="nil"/>
              <w:bottom w:val="nil"/>
            </w:tcBorders>
          </w:tcPr>
          <w:p w14:paraId="67712648"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1.000000</w:t>
            </w:r>
          </w:p>
        </w:tc>
        <w:tc>
          <w:tcPr>
            <w:tcW w:w="625" w:type="pct"/>
            <w:tcBorders>
              <w:top w:val="nil"/>
              <w:bottom w:val="nil"/>
            </w:tcBorders>
          </w:tcPr>
          <w:p w14:paraId="7AD68134" w14:textId="77777777" w:rsidR="007373F6" w:rsidRDefault="007373F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636" w:type="pct"/>
            <w:tcBorders>
              <w:top w:val="nil"/>
              <w:bottom w:val="nil"/>
            </w:tcBorders>
          </w:tcPr>
          <w:p w14:paraId="12279B0F" w14:textId="77777777" w:rsidR="007373F6" w:rsidRDefault="007373F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625" w:type="pct"/>
            <w:tcBorders>
              <w:top w:val="nil"/>
              <w:bottom w:val="nil"/>
            </w:tcBorders>
          </w:tcPr>
          <w:p w14:paraId="147448F9" w14:textId="77777777" w:rsidR="007373F6" w:rsidRDefault="007373F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625" w:type="pct"/>
            <w:tcBorders>
              <w:top w:val="nil"/>
              <w:bottom w:val="nil"/>
            </w:tcBorders>
          </w:tcPr>
          <w:p w14:paraId="4C20269D" w14:textId="77777777" w:rsidR="007373F6" w:rsidRDefault="007373F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625" w:type="pct"/>
            <w:tcBorders>
              <w:top w:val="nil"/>
              <w:bottom w:val="nil"/>
            </w:tcBorders>
          </w:tcPr>
          <w:p w14:paraId="08762AAF" w14:textId="77777777" w:rsidR="007373F6" w:rsidRDefault="007373F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r>
      <w:tr w:rsidR="007373F6" w14:paraId="4F2E2F09" w14:textId="77777777" w:rsidTr="007D1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1" w:type="pct"/>
            <w:tcBorders>
              <w:top w:val="nil"/>
              <w:bottom w:val="nil"/>
            </w:tcBorders>
          </w:tcPr>
          <w:p w14:paraId="74F390DE"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ROE</w:t>
            </w:r>
          </w:p>
        </w:tc>
        <w:tc>
          <w:tcPr>
            <w:tcW w:w="636" w:type="pct"/>
            <w:tcBorders>
              <w:top w:val="nil"/>
              <w:bottom w:val="nil"/>
            </w:tcBorders>
          </w:tcPr>
          <w:p w14:paraId="3F099A9F"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-0.083533</w:t>
            </w:r>
          </w:p>
        </w:tc>
        <w:tc>
          <w:tcPr>
            <w:tcW w:w="636" w:type="pct"/>
            <w:tcBorders>
              <w:top w:val="nil"/>
              <w:bottom w:val="nil"/>
            </w:tcBorders>
          </w:tcPr>
          <w:p w14:paraId="6E7D96E8"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0.584878</w:t>
            </w:r>
          </w:p>
        </w:tc>
        <w:tc>
          <w:tcPr>
            <w:tcW w:w="625" w:type="pct"/>
            <w:tcBorders>
              <w:top w:val="nil"/>
              <w:bottom w:val="nil"/>
            </w:tcBorders>
          </w:tcPr>
          <w:p w14:paraId="6313379E"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1.000000</w:t>
            </w:r>
          </w:p>
        </w:tc>
        <w:tc>
          <w:tcPr>
            <w:tcW w:w="636" w:type="pct"/>
            <w:tcBorders>
              <w:top w:val="nil"/>
              <w:bottom w:val="nil"/>
            </w:tcBorders>
          </w:tcPr>
          <w:p w14:paraId="7349939E" w14:textId="77777777" w:rsidR="007373F6" w:rsidRDefault="007373F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625" w:type="pct"/>
            <w:tcBorders>
              <w:top w:val="nil"/>
              <w:bottom w:val="nil"/>
            </w:tcBorders>
          </w:tcPr>
          <w:p w14:paraId="68B111D4" w14:textId="77777777" w:rsidR="007373F6" w:rsidRDefault="007373F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625" w:type="pct"/>
            <w:tcBorders>
              <w:top w:val="nil"/>
              <w:bottom w:val="nil"/>
            </w:tcBorders>
          </w:tcPr>
          <w:p w14:paraId="6C05CE8D" w14:textId="77777777" w:rsidR="007373F6" w:rsidRDefault="007373F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625" w:type="pct"/>
            <w:tcBorders>
              <w:top w:val="nil"/>
              <w:bottom w:val="nil"/>
            </w:tcBorders>
          </w:tcPr>
          <w:p w14:paraId="35D1DD93" w14:textId="77777777" w:rsidR="007373F6" w:rsidRDefault="007373F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r>
      <w:tr w:rsidR="007373F6" w14:paraId="0B7BBAC0" w14:textId="77777777" w:rsidTr="007D1FCB">
        <w:tc>
          <w:tcPr>
            <w:cnfStyle w:val="001000000000" w:firstRow="0" w:lastRow="0" w:firstColumn="1" w:lastColumn="0" w:oddVBand="0" w:evenVBand="0" w:oddHBand="0" w:evenHBand="0" w:firstRowFirstColumn="0" w:firstRowLastColumn="0" w:lastRowFirstColumn="0" w:lastRowLastColumn="0"/>
            <w:tcW w:w="591" w:type="pct"/>
            <w:tcBorders>
              <w:top w:val="nil"/>
              <w:bottom w:val="nil"/>
            </w:tcBorders>
          </w:tcPr>
          <w:p w14:paraId="39CF55EB"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DER</w:t>
            </w:r>
          </w:p>
        </w:tc>
        <w:tc>
          <w:tcPr>
            <w:tcW w:w="636" w:type="pct"/>
            <w:tcBorders>
              <w:top w:val="nil"/>
              <w:bottom w:val="nil"/>
            </w:tcBorders>
          </w:tcPr>
          <w:p w14:paraId="621FF68E"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0.078231</w:t>
            </w:r>
          </w:p>
        </w:tc>
        <w:tc>
          <w:tcPr>
            <w:tcW w:w="636" w:type="pct"/>
            <w:tcBorders>
              <w:top w:val="nil"/>
              <w:bottom w:val="nil"/>
            </w:tcBorders>
          </w:tcPr>
          <w:p w14:paraId="7F428BC9"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-0.105366</w:t>
            </w:r>
          </w:p>
        </w:tc>
        <w:tc>
          <w:tcPr>
            <w:tcW w:w="625" w:type="pct"/>
            <w:tcBorders>
              <w:top w:val="nil"/>
              <w:bottom w:val="nil"/>
            </w:tcBorders>
          </w:tcPr>
          <w:p w14:paraId="36F994EE"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0.643303</w:t>
            </w:r>
          </w:p>
        </w:tc>
        <w:tc>
          <w:tcPr>
            <w:tcW w:w="636" w:type="pct"/>
            <w:tcBorders>
              <w:top w:val="nil"/>
              <w:bottom w:val="nil"/>
            </w:tcBorders>
          </w:tcPr>
          <w:p w14:paraId="1FD3527E"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1.000000</w:t>
            </w:r>
          </w:p>
        </w:tc>
        <w:tc>
          <w:tcPr>
            <w:tcW w:w="625" w:type="pct"/>
            <w:tcBorders>
              <w:top w:val="nil"/>
              <w:bottom w:val="nil"/>
            </w:tcBorders>
          </w:tcPr>
          <w:p w14:paraId="0910720F"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625" w:type="pct"/>
            <w:tcBorders>
              <w:top w:val="nil"/>
              <w:bottom w:val="nil"/>
            </w:tcBorders>
          </w:tcPr>
          <w:p w14:paraId="56F46B76" w14:textId="77777777" w:rsidR="007373F6" w:rsidRDefault="007373F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625" w:type="pct"/>
            <w:tcBorders>
              <w:top w:val="nil"/>
              <w:bottom w:val="nil"/>
            </w:tcBorders>
          </w:tcPr>
          <w:p w14:paraId="79CB68AD" w14:textId="77777777" w:rsidR="007373F6" w:rsidRDefault="007373F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r>
      <w:tr w:rsidR="007373F6" w14:paraId="70F20DF3" w14:textId="77777777" w:rsidTr="007D1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1" w:type="pct"/>
            <w:tcBorders>
              <w:top w:val="nil"/>
              <w:bottom w:val="nil"/>
            </w:tcBorders>
          </w:tcPr>
          <w:p w14:paraId="24B7FBA5"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LS</w:t>
            </w:r>
          </w:p>
        </w:tc>
        <w:tc>
          <w:tcPr>
            <w:tcW w:w="636" w:type="pct"/>
            <w:tcBorders>
              <w:top w:val="nil"/>
              <w:bottom w:val="nil"/>
            </w:tcBorders>
          </w:tcPr>
          <w:p w14:paraId="413D9CA4"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-0.087488</w:t>
            </w:r>
          </w:p>
        </w:tc>
        <w:tc>
          <w:tcPr>
            <w:tcW w:w="636" w:type="pct"/>
            <w:tcBorders>
              <w:top w:val="nil"/>
              <w:bottom w:val="nil"/>
            </w:tcBorders>
          </w:tcPr>
          <w:p w14:paraId="73AF2627"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0.151880</w:t>
            </w:r>
          </w:p>
        </w:tc>
        <w:tc>
          <w:tcPr>
            <w:tcW w:w="625" w:type="pct"/>
            <w:tcBorders>
              <w:top w:val="nil"/>
              <w:bottom w:val="nil"/>
            </w:tcBorders>
          </w:tcPr>
          <w:p w14:paraId="2157998F"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0.102339</w:t>
            </w:r>
          </w:p>
        </w:tc>
        <w:tc>
          <w:tcPr>
            <w:tcW w:w="636" w:type="pct"/>
            <w:tcBorders>
              <w:top w:val="nil"/>
              <w:bottom w:val="nil"/>
            </w:tcBorders>
          </w:tcPr>
          <w:p w14:paraId="38AAD24D"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0.035151</w:t>
            </w:r>
          </w:p>
        </w:tc>
        <w:tc>
          <w:tcPr>
            <w:tcW w:w="625" w:type="pct"/>
            <w:tcBorders>
              <w:top w:val="nil"/>
              <w:bottom w:val="nil"/>
            </w:tcBorders>
          </w:tcPr>
          <w:p w14:paraId="0C52952A"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1.000000</w:t>
            </w:r>
          </w:p>
        </w:tc>
        <w:tc>
          <w:tcPr>
            <w:tcW w:w="625" w:type="pct"/>
            <w:tcBorders>
              <w:top w:val="nil"/>
              <w:bottom w:val="nil"/>
            </w:tcBorders>
          </w:tcPr>
          <w:p w14:paraId="573120C8" w14:textId="77777777" w:rsidR="007373F6" w:rsidRDefault="007373F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625" w:type="pct"/>
            <w:tcBorders>
              <w:top w:val="nil"/>
              <w:bottom w:val="nil"/>
            </w:tcBorders>
          </w:tcPr>
          <w:p w14:paraId="12C37F29" w14:textId="77777777" w:rsidR="007373F6" w:rsidRDefault="007373F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r>
      <w:tr w:rsidR="007373F6" w14:paraId="59D61162" w14:textId="77777777" w:rsidTr="007D1FCB">
        <w:tc>
          <w:tcPr>
            <w:cnfStyle w:val="001000000000" w:firstRow="0" w:lastRow="0" w:firstColumn="1" w:lastColumn="0" w:oddVBand="0" w:evenVBand="0" w:oddHBand="0" w:evenHBand="0" w:firstRowFirstColumn="0" w:firstRowLastColumn="0" w:lastRowFirstColumn="0" w:lastRowLastColumn="0"/>
            <w:tcW w:w="591" w:type="pct"/>
            <w:tcBorders>
              <w:top w:val="nil"/>
              <w:bottom w:val="nil"/>
            </w:tcBorders>
          </w:tcPr>
          <w:p w14:paraId="110E1D1D"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RO</w:t>
            </w:r>
          </w:p>
        </w:tc>
        <w:tc>
          <w:tcPr>
            <w:tcW w:w="636" w:type="pct"/>
            <w:tcBorders>
              <w:top w:val="nil"/>
              <w:bottom w:val="nil"/>
            </w:tcBorders>
          </w:tcPr>
          <w:p w14:paraId="657FA27F"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-0.348746</w:t>
            </w:r>
          </w:p>
        </w:tc>
        <w:tc>
          <w:tcPr>
            <w:tcW w:w="636" w:type="pct"/>
            <w:tcBorders>
              <w:top w:val="nil"/>
              <w:bottom w:val="nil"/>
            </w:tcBorders>
          </w:tcPr>
          <w:p w14:paraId="6C89CE7B"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0.105514</w:t>
            </w:r>
          </w:p>
        </w:tc>
        <w:tc>
          <w:tcPr>
            <w:tcW w:w="625" w:type="pct"/>
            <w:tcBorders>
              <w:top w:val="nil"/>
              <w:bottom w:val="nil"/>
            </w:tcBorders>
          </w:tcPr>
          <w:p w14:paraId="7DC3378C"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0.033288</w:t>
            </w:r>
          </w:p>
        </w:tc>
        <w:tc>
          <w:tcPr>
            <w:tcW w:w="636" w:type="pct"/>
            <w:tcBorders>
              <w:top w:val="nil"/>
              <w:bottom w:val="nil"/>
            </w:tcBorders>
          </w:tcPr>
          <w:p w14:paraId="4536E13B"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-0.037740</w:t>
            </w:r>
          </w:p>
        </w:tc>
        <w:tc>
          <w:tcPr>
            <w:tcW w:w="625" w:type="pct"/>
            <w:tcBorders>
              <w:top w:val="nil"/>
              <w:bottom w:val="nil"/>
            </w:tcBorders>
          </w:tcPr>
          <w:p w14:paraId="656B7983"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0.257599</w:t>
            </w:r>
          </w:p>
        </w:tc>
        <w:tc>
          <w:tcPr>
            <w:tcW w:w="625" w:type="pct"/>
            <w:tcBorders>
              <w:top w:val="nil"/>
              <w:bottom w:val="nil"/>
            </w:tcBorders>
          </w:tcPr>
          <w:p w14:paraId="672171B3"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1.000000</w:t>
            </w:r>
          </w:p>
        </w:tc>
        <w:tc>
          <w:tcPr>
            <w:tcW w:w="625" w:type="pct"/>
            <w:tcBorders>
              <w:top w:val="nil"/>
              <w:bottom w:val="nil"/>
            </w:tcBorders>
          </w:tcPr>
          <w:p w14:paraId="0913DB70" w14:textId="77777777" w:rsidR="007373F6" w:rsidRDefault="007373F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r>
      <w:tr w:rsidR="007373F6" w14:paraId="76D403CA" w14:textId="77777777" w:rsidTr="007D1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1" w:type="pct"/>
            <w:tcBorders>
              <w:top w:val="nil"/>
              <w:bottom w:val="single" w:sz="4" w:space="0" w:color="000000"/>
            </w:tcBorders>
          </w:tcPr>
          <w:p w14:paraId="0465B133"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IO</w:t>
            </w:r>
          </w:p>
        </w:tc>
        <w:tc>
          <w:tcPr>
            <w:tcW w:w="636" w:type="pct"/>
            <w:tcBorders>
              <w:top w:val="nil"/>
              <w:bottom w:val="single" w:sz="4" w:space="0" w:color="000000"/>
            </w:tcBorders>
          </w:tcPr>
          <w:p w14:paraId="4C4BA7C6"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-0.085737</w:t>
            </w:r>
          </w:p>
        </w:tc>
        <w:tc>
          <w:tcPr>
            <w:tcW w:w="636" w:type="pct"/>
            <w:tcBorders>
              <w:top w:val="nil"/>
              <w:bottom w:val="single" w:sz="4" w:space="0" w:color="000000"/>
            </w:tcBorders>
          </w:tcPr>
          <w:p w14:paraId="0D704441"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0.122303</w:t>
            </w:r>
          </w:p>
        </w:tc>
        <w:tc>
          <w:tcPr>
            <w:tcW w:w="625" w:type="pct"/>
            <w:tcBorders>
              <w:top w:val="nil"/>
              <w:bottom w:val="single" w:sz="4" w:space="0" w:color="000000"/>
            </w:tcBorders>
          </w:tcPr>
          <w:p w14:paraId="26F7259E"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0.131658</w:t>
            </w:r>
          </w:p>
        </w:tc>
        <w:tc>
          <w:tcPr>
            <w:tcW w:w="636" w:type="pct"/>
            <w:tcBorders>
              <w:top w:val="nil"/>
              <w:bottom w:val="single" w:sz="4" w:space="0" w:color="000000"/>
            </w:tcBorders>
          </w:tcPr>
          <w:p w14:paraId="726AD41F"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0.046393</w:t>
            </w:r>
          </w:p>
        </w:tc>
        <w:tc>
          <w:tcPr>
            <w:tcW w:w="625" w:type="pct"/>
            <w:tcBorders>
              <w:top w:val="nil"/>
              <w:bottom w:val="single" w:sz="4" w:space="0" w:color="000000"/>
            </w:tcBorders>
          </w:tcPr>
          <w:p w14:paraId="07588C2C"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0.454063</w:t>
            </w:r>
          </w:p>
        </w:tc>
        <w:tc>
          <w:tcPr>
            <w:tcW w:w="625" w:type="pct"/>
            <w:tcBorders>
              <w:top w:val="nil"/>
              <w:bottom w:val="single" w:sz="4" w:space="0" w:color="000000"/>
            </w:tcBorders>
          </w:tcPr>
          <w:p w14:paraId="6B061E77"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0.179047</w:t>
            </w:r>
          </w:p>
        </w:tc>
        <w:tc>
          <w:tcPr>
            <w:tcW w:w="625" w:type="pct"/>
            <w:tcBorders>
              <w:top w:val="nil"/>
              <w:bottom w:val="single" w:sz="4" w:space="0" w:color="000000"/>
            </w:tcBorders>
          </w:tcPr>
          <w:p w14:paraId="64CBBB0E" w14:textId="34591765"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1.000000</w:t>
            </w:r>
          </w:p>
        </w:tc>
      </w:tr>
    </w:tbl>
    <w:p w14:paraId="3EA25851" w14:textId="77777777" w:rsidR="007373F6" w:rsidRPr="007D1FCB" w:rsidRDefault="00000000" w:rsidP="007D1FCB">
      <w:pPr>
        <w:spacing w:line="240" w:lineRule="auto"/>
        <w:jc w:val="both"/>
        <w:rPr>
          <w:rFonts w:ascii="Times New Roman" w:eastAsia="Times New Roman" w:hAnsi="Times New Roman" w:cs="Times New Roman"/>
          <w:sz w:val="20"/>
          <w:szCs w:val="20"/>
        </w:rPr>
      </w:pPr>
      <w:r w:rsidRPr="007D1FCB">
        <w:rPr>
          <w:rFonts w:ascii="Times New Roman" w:eastAsia="Times New Roman" w:hAnsi="Times New Roman" w:cs="Times New Roman"/>
          <w:i/>
          <w:sz w:val="20"/>
          <w:szCs w:val="20"/>
        </w:rPr>
        <w:t>Note</w:t>
      </w:r>
      <w:r w:rsidRPr="007D1FCB">
        <w:rPr>
          <w:rFonts w:ascii="Times New Roman" w:eastAsia="Times New Roman" w:hAnsi="Times New Roman" w:cs="Times New Roman"/>
          <w:sz w:val="20"/>
          <w:szCs w:val="20"/>
        </w:rPr>
        <w:t>. IR = Initial Return (</w:t>
      </w:r>
      <w:proofErr w:type="spellStart"/>
      <w:r w:rsidRPr="007D1FCB">
        <w:rPr>
          <w:rFonts w:ascii="Times New Roman" w:eastAsia="Times New Roman" w:hAnsi="Times New Roman" w:cs="Times New Roman"/>
          <w:sz w:val="20"/>
          <w:szCs w:val="20"/>
        </w:rPr>
        <w:t>Underpricing</w:t>
      </w:r>
      <w:proofErr w:type="spellEnd"/>
      <w:r w:rsidRPr="007D1FCB">
        <w:rPr>
          <w:rFonts w:ascii="Times New Roman" w:eastAsia="Times New Roman" w:hAnsi="Times New Roman" w:cs="Times New Roman"/>
          <w:sz w:val="20"/>
          <w:szCs w:val="20"/>
        </w:rPr>
        <w:t>); ROA = Return on Assets; ROE = Return on Equity; DER = Debt-to-Equity Ratio; LS = Largest Shareholder; RO = Retained Ownership; IO = Institutional Ownership. All values represent Pearson correlation coefficients. No values exceed 0.80, indicating no multicollinearity. Data processed using EViews 13 based on 453 firm-period observations collected by the author in 2025.</w:t>
      </w:r>
    </w:p>
    <w:p w14:paraId="7522DFAF" w14:textId="77777777" w:rsidR="007373F6" w:rsidRDefault="00000000" w:rsidP="007D1FCB">
      <w:pPr>
        <w:spacing w:before="24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shown in Table 3, the correlation matrix does not show any excessively high correlations among the independent variables. The highest observed correlation is between ROE and DER (0.643), which remains below the conventional threshold of 0.80 for multicollinearity concerns. Therefore, all variables were retained for the multivariate regression analysis without further adjustment or variable exclusion.</w:t>
      </w:r>
    </w:p>
    <w:p w14:paraId="55EC289F" w14:textId="77777777" w:rsidR="007373F6" w:rsidRDefault="00000000" w:rsidP="007D1FCB">
      <w:pPr>
        <w:spacing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assess the assumption of homoskedasticity, a visual inspection of residuals was conducted. Figure 1 shows the distribution pattern of residuals from the initial estimation.</w:t>
      </w:r>
    </w:p>
    <w:p w14:paraId="10B0AB47" w14:textId="74BF5D21" w:rsidR="007373F6" w:rsidRPr="007D1FCB" w:rsidRDefault="00000000" w:rsidP="007D1FCB">
      <w:pPr>
        <w:keepNext/>
        <w:spacing w:after="0" w:line="240" w:lineRule="auto"/>
        <w:jc w:val="center"/>
        <w:rPr>
          <w:rFonts w:ascii="Times New Roman" w:eastAsia="Times New Roman" w:hAnsi="Times New Roman" w:cs="Times New Roman"/>
          <w:b/>
          <w:sz w:val="24"/>
          <w:szCs w:val="24"/>
        </w:rPr>
      </w:pPr>
      <w:r w:rsidRPr="007D1FCB">
        <w:rPr>
          <w:rFonts w:ascii="Times New Roman" w:eastAsia="Times New Roman" w:hAnsi="Times New Roman" w:cs="Times New Roman"/>
          <w:b/>
          <w:sz w:val="24"/>
          <w:szCs w:val="24"/>
        </w:rPr>
        <w:lastRenderedPageBreak/>
        <w:t>Figure 1</w:t>
      </w:r>
      <w:r w:rsidR="007D1FCB" w:rsidRPr="007D1FCB">
        <w:rPr>
          <w:rFonts w:ascii="Times New Roman" w:eastAsia="Times New Roman" w:hAnsi="Times New Roman" w:cs="Times New Roman"/>
          <w:b/>
          <w:sz w:val="24"/>
          <w:szCs w:val="24"/>
        </w:rPr>
        <w:t xml:space="preserve">. </w:t>
      </w:r>
      <w:r w:rsidRPr="007D1FCB">
        <w:rPr>
          <w:rFonts w:ascii="Times New Roman" w:eastAsia="Times New Roman" w:hAnsi="Times New Roman" w:cs="Times New Roman"/>
          <w:sz w:val="24"/>
          <w:szCs w:val="24"/>
        </w:rPr>
        <w:t>Residual Distribution Pattern</w:t>
      </w:r>
    </w:p>
    <w:p w14:paraId="64A770B9" w14:textId="77777777" w:rsidR="007373F6" w:rsidRDefault="00000000" w:rsidP="0016009C">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noProof/>
        </w:rPr>
        <w:drawing>
          <wp:inline distT="0" distB="0" distL="114300" distR="114300" wp14:anchorId="42A9423B" wp14:editId="725E9C6F">
            <wp:extent cx="2800350" cy="2657475"/>
            <wp:effectExtent l="0" t="0" r="0" b="0"/>
            <wp:docPr id="193106200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63"/>
                    <a:srcRect/>
                    <a:stretch>
                      <a:fillRect/>
                    </a:stretch>
                  </pic:blipFill>
                  <pic:spPr>
                    <a:xfrm>
                      <a:off x="0" y="0"/>
                      <a:ext cx="2800350" cy="2657475"/>
                    </a:xfrm>
                    <a:prstGeom prst="rect">
                      <a:avLst/>
                    </a:prstGeom>
                    <a:ln/>
                  </pic:spPr>
                </pic:pic>
              </a:graphicData>
            </a:graphic>
          </wp:inline>
        </w:drawing>
      </w:r>
    </w:p>
    <w:p w14:paraId="069C5050" w14:textId="77777777" w:rsidR="007373F6" w:rsidRPr="007D1FCB" w:rsidRDefault="00000000">
      <w:pPr>
        <w:spacing w:before="240" w:line="240" w:lineRule="auto"/>
        <w:jc w:val="both"/>
        <w:rPr>
          <w:rFonts w:ascii="Times New Roman" w:eastAsia="Times New Roman" w:hAnsi="Times New Roman" w:cs="Times New Roman"/>
          <w:sz w:val="20"/>
          <w:szCs w:val="20"/>
        </w:rPr>
      </w:pPr>
      <w:r w:rsidRPr="007D1FCB">
        <w:rPr>
          <w:rFonts w:ascii="Times New Roman" w:eastAsia="Times New Roman" w:hAnsi="Times New Roman" w:cs="Times New Roman"/>
          <w:i/>
          <w:sz w:val="20"/>
          <w:szCs w:val="20"/>
        </w:rPr>
        <w:t>Note</w:t>
      </w:r>
      <w:r w:rsidRPr="007D1FCB">
        <w:rPr>
          <w:rFonts w:ascii="Times New Roman" w:eastAsia="Times New Roman" w:hAnsi="Times New Roman" w:cs="Times New Roman"/>
          <w:sz w:val="20"/>
          <w:szCs w:val="20"/>
        </w:rPr>
        <w:t>. The graph illustrates the standardized residuals from the panel regression estimation (BHAR_Y model), generated using EViews 13 in 2025.</w:t>
      </w:r>
    </w:p>
    <w:p w14:paraId="35C1BE24"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shown in Figure 1, the residuals are randomly scattered around the zero line and do not display any obvious pattern, such as a funnel or U-shape. This lack of structure in the residual plot supports the assumption of homoskedasticity, meaning the variance of the residuals appears constant across observations. Therefore, the model is not severely affected by heteroskedasticity.</w:t>
      </w:r>
    </w:p>
    <w:p w14:paraId="64A843F1"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determine the most appropriate panel regression model, a Lagrange Multiplier (LM) test was applied, comparing the Common Effects Model (CEM) with the Random Effects Model (REM).</w:t>
      </w:r>
    </w:p>
    <w:p w14:paraId="0195C7D0" w14:textId="12041AE7" w:rsidR="007373F6" w:rsidRPr="007D1FCB" w:rsidRDefault="00000000" w:rsidP="007D1FCB">
      <w:pPr>
        <w:spacing w:line="240" w:lineRule="auto"/>
        <w:jc w:val="center"/>
        <w:rPr>
          <w:rFonts w:ascii="Times New Roman" w:eastAsia="Times New Roman" w:hAnsi="Times New Roman" w:cs="Times New Roman"/>
          <w:sz w:val="24"/>
          <w:szCs w:val="24"/>
        </w:rPr>
      </w:pPr>
      <w:r w:rsidRPr="007D1FCB">
        <w:rPr>
          <w:rFonts w:ascii="Times New Roman" w:eastAsia="Times New Roman" w:hAnsi="Times New Roman" w:cs="Times New Roman"/>
          <w:b/>
          <w:sz w:val="24"/>
          <w:szCs w:val="24"/>
        </w:rPr>
        <w:t xml:space="preserve">Table </w:t>
      </w:r>
      <w:r w:rsidR="007D1FCB" w:rsidRPr="007D1FCB">
        <w:rPr>
          <w:rFonts w:ascii="Times New Roman" w:eastAsia="Times New Roman" w:hAnsi="Times New Roman" w:cs="Times New Roman"/>
          <w:b/>
          <w:sz w:val="24"/>
          <w:szCs w:val="24"/>
        </w:rPr>
        <w:t xml:space="preserve">4. </w:t>
      </w:r>
      <w:r w:rsidRPr="007D1FCB">
        <w:rPr>
          <w:rFonts w:ascii="Times New Roman" w:eastAsia="Times New Roman" w:hAnsi="Times New Roman" w:cs="Times New Roman"/>
          <w:sz w:val="24"/>
          <w:szCs w:val="24"/>
        </w:rPr>
        <w:t>Lagrange Multiplier Test Results</w:t>
      </w:r>
    </w:p>
    <w:tbl>
      <w:tblPr>
        <w:tblStyle w:val="affffd"/>
        <w:tblW w:w="5000" w:type="pct"/>
        <w:tblBorders>
          <w:top w:val="single" w:sz="4" w:space="0" w:color="7F7F7F"/>
          <w:bottom w:val="single" w:sz="4" w:space="0" w:color="7F7F7F"/>
        </w:tblBorders>
        <w:tblLook w:val="04A0" w:firstRow="1" w:lastRow="0" w:firstColumn="1" w:lastColumn="0" w:noHBand="0" w:noVBand="1"/>
      </w:tblPr>
      <w:tblGrid>
        <w:gridCol w:w="3639"/>
        <w:gridCol w:w="3347"/>
        <w:gridCol w:w="2040"/>
      </w:tblGrid>
      <w:tr w:rsidR="007373F6" w:rsidRPr="007D1FCB" w14:paraId="0C01BD67" w14:textId="77777777" w:rsidTr="007D1F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6" w:type="pct"/>
          </w:tcPr>
          <w:p w14:paraId="6A1F198D" w14:textId="134D21D3" w:rsidR="007373F6" w:rsidRPr="007D1FCB" w:rsidRDefault="007373F6">
            <w:pPr>
              <w:jc w:val="both"/>
              <w:rPr>
                <w:rFonts w:ascii="Times New Roman" w:eastAsia="Times New Roman" w:hAnsi="Times New Roman" w:cs="Times New Roman"/>
                <w:bCs/>
                <w:sz w:val="20"/>
                <w:szCs w:val="20"/>
              </w:rPr>
            </w:pPr>
          </w:p>
        </w:tc>
        <w:tc>
          <w:tcPr>
            <w:tcW w:w="1854" w:type="pct"/>
          </w:tcPr>
          <w:p w14:paraId="46242FC2" w14:textId="77777777" w:rsidR="007373F6" w:rsidRPr="007D1FCB"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Cross-Section</w:t>
            </w:r>
          </w:p>
        </w:tc>
        <w:tc>
          <w:tcPr>
            <w:tcW w:w="1130" w:type="pct"/>
          </w:tcPr>
          <w:p w14:paraId="7548FC3E" w14:textId="77777777" w:rsidR="007373F6" w:rsidRPr="007D1FCB" w:rsidRDefault="00000000">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P-Value</w:t>
            </w:r>
          </w:p>
        </w:tc>
      </w:tr>
      <w:tr w:rsidR="007373F6" w14:paraId="12696809" w14:textId="77777777" w:rsidTr="007D1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6" w:type="pct"/>
          </w:tcPr>
          <w:p w14:paraId="39CBDB08"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Breusch-Pagan</w:t>
            </w:r>
          </w:p>
        </w:tc>
        <w:tc>
          <w:tcPr>
            <w:tcW w:w="1854" w:type="pct"/>
          </w:tcPr>
          <w:p w14:paraId="5C9E87BD"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331.6105</w:t>
            </w:r>
          </w:p>
        </w:tc>
        <w:tc>
          <w:tcPr>
            <w:tcW w:w="1130" w:type="pct"/>
          </w:tcPr>
          <w:p w14:paraId="48CA4297" w14:textId="7B9B63B5"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0.0000</w:t>
            </w:r>
          </w:p>
        </w:tc>
      </w:tr>
    </w:tbl>
    <w:p w14:paraId="70C8D830" w14:textId="77777777" w:rsidR="007373F6" w:rsidRPr="007D1FCB" w:rsidRDefault="00000000" w:rsidP="007D1FCB">
      <w:pPr>
        <w:spacing w:line="240" w:lineRule="auto"/>
        <w:jc w:val="both"/>
        <w:rPr>
          <w:rFonts w:ascii="Times New Roman" w:eastAsia="Times New Roman" w:hAnsi="Times New Roman" w:cs="Times New Roman"/>
          <w:sz w:val="20"/>
          <w:szCs w:val="20"/>
        </w:rPr>
      </w:pPr>
      <w:r w:rsidRPr="007D1FCB">
        <w:rPr>
          <w:rFonts w:ascii="Times New Roman" w:eastAsia="Times New Roman" w:hAnsi="Times New Roman" w:cs="Times New Roman"/>
          <w:i/>
          <w:sz w:val="20"/>
          <w:szCs w:val="20"/>
        </w:rPr>
        <w:t>Note</w:t>
      </w:r>
      <w:r w:rsidRPr="007D1FCB">
        <w:rPr>
          <w:rFonts w:ascii="Times New Roman" w:eastAsia="Times New Roman" w:hAnsi="Times New Roman" w:cs="Times New Roman"/>
          <w:sz w:val="20"/>
          <w:szCs w:val="20"/>
        </w:rPr>
        <w:t>. The Breusch–Pagan LM test compares the Common Effects Model (CEM) and the Random Effects Model (REM). Data processed using EViews 13 based on 453 firm-period observations collected by the author in 2025.</w:t>
      </w:r>
    </w:p>
    <w:p w14:paraId="641AAF1C"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shown in Table 4, the result of the LM test shows a statistically significant outcome (p &lt; 0.001), indicating that the Random Effects Model (REM) is more appropriate than the Common Effect Model (CEM). This aligns with the panel data structure, which accommodates both cross-sectional (firm-level) and time-series (period-level) dimensions.</w:t>
      </w:r>
    </w:p>
    <w:p w14:paraId="6EBCA0CF"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results from the Random Effects Model estimation are summarized in Table 5:</w:t>
      </w:r>
    </w:p>
    <w:p w14:paraId="12298AC2" w14:textId="500BAE83" w:rsidR="007373F6" w:rsidRPr="007D1FCB" w:rsidRDefault="00000000" w:rsidP="007D1FCB">
      <w:pPr>
        <w:keepNext/>
        <w:spacing w:line="240" w:lineRule="auto"/>
        <w:jc w:val="center"/>
        <w:rPr>
          <w:rFonts w:ascii="Times New Roman" w:eastAsia="Times New Roman" w:hAnsi="Times New Roman" w:cs="Times New Roman"/>
          <w:b/>
          <w:sz w:val="24"/>
          <w:szCs w:val="24"/>
        </w:rPr>
      </w:pPr>
      <w:r w:rsidRPr="007D1FCB">
        <w:rPr>
          <w:rFonts w:ascii="Times New Roman" w:eastAsia="Times New Roman" w:hAnsi="Times New Roman" w:cs="Times New Roman"/>
          <w:b/>
          <w:sz w:val="24"/>
          <w:szCs w:val="24"/>
        </w:rPr>
        <w:lastRenderedPageBreak/>
        <w:t>Table 5</w:t>
      </w:r>
      <w:r w:rsidR="007D1FCB" w:rsidRPr="007D1FCB">
        <w:rPr>
          <w:rFonts w:ascii="Times New Roman" w:eastAsia="Times New Roman" w:hAnsi="Times New Roman" w:cs="Times New Roman"/>
          <w:b/>
          <w:sz w:val="24"/>
          <w:szCs w:val="24"/>
        </w:rPr>
        <w:t xml:space="preserve">. </w:t>
      </w:r>
      <w:r w:rsidRPr="007D1FCB">
        <w:rPr>
          <w:rFonts w:ascii="Times New Roman" w:eastAsia="Times New Roman" w:hAnsi="Times New Roman" w:cs="Times New Roman"/>
          <w:sz w:val="24"/>
          <w:szCs w:val="24"/>
        </w:rPr>
        <w:t>Random Effects Model Estimation Summary</w:t>
      </w:r>
    </w:p>
    <w:tbl>
      <w:tblPr>
        <w:tblStyle w:val="affffe"/>
        <w:tblW w:w="5000" w:type="pct"/>
        <w:tblBorders>
          <w:top w:val="single" w:sz="4" w:space="0" w:color="7F7F7F"/>
          <w:bottom w:val="single" w:sz="4" w:space="0" w:color="7F7F7F"/>
        </w:tblBorders>
        <w:tblLook w:val="04A0" w:firstRow="1" w:lastRow="0" w:firstColumn="1" w:lastColumn="0" w:noHBand="0" w:noVBand="1"/>
      </w:tblPr>
      <w:tblGrid>
        <w:gridCol w:w="2397"/>
        <w:gridCol w:w="1520"/>
        <w:gridCol w:w="1462"/>
        <w:gridCol w:w="2367"/>
        <w:gridCol w:w="1280"/>
      </w:tblGrid>
      <w:tr w:rsidR="007373F6" w:rsidRPr="007D1FCB" w14:paraId="1CBF58C5" w14:textId="77777777" w:rsidTr="007D1F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8" w:type="pct"/>
            <w:tcBorders>
              <w:bottom w:val="single" w:sz="4" w:space="0" w:color="000000"/>
            </w:tcBorders>
          </w:tcPr>
          <w:p w14:paraId="5EBCF344" w14:textId="15265F9B" w:rsidR="007373F6" w:rsidRPr="007D1FCB" w:rsidRDefault="00000000">
            <w:pPr>
              <w:keepNext/>
              <w:jc w:val="both"/>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Variable</w:t>
            </w:r>
          </w:p>
        </w:tc>
        <w:tc>
          <w:tcPr>
            <w:tcW w:w="842" w:type="pct"/>
            <w:tcBorders>
              <w:bottom w:val="single" w:sz="4" w:space="0" w:color="000000"/>
            </w:tcBorders>
          </w:tcPr>
          <w:p w14:paraId="11CD59CA" w14:textId="77777777" w:rsidR="007373F6" w:rsidRPr="007D1FCB" w:rsidRDefault="00000000">
            <w:pPr>
              <w:keepNext/>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Coefficient</w:t>
            </w:r>
          </w:p>
        </w:tc>
        <w:tc>
          <w:tcPr>
            <w:tcW w:w="810" w:type="pct"/>
            <w:tcBorders>
              <w:bottom w:val="single" w:sz="4" w:space="0" w:color="000000"/>
            </w:tcBorders>
          </w:tcPr>
          <w:p w14:paraId="0DFA44F2" w14:textId="77777777" w:rsidR="007373F6" w:rsidRPr="007D1FCB" w:rsidRDefault="00000000">
            <w:pPr>
              <w:keepNext/>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Std. Error</w:t>
            </w:r>
          </w:p>
        </w:tc>
        <w:tc>
          <w:tcPr>
            <w:tcW w:w="1311" w:type="pct"/>
            <w:tcBorders>
              <w:bottom w:val="single" w:sz="4" w:space="0" w:color="000000"/>
            </w:tcBorders>
          </w:tcPr>
          <w:p w14:paraId="5533B1FC" w14:textId="77777777" w:rsidR="007373F6" w:rsidRPr="007D1FCB" w:rsidRDefault="00000000">
            <w:pPr>
              <w:keepNext/>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t-Statistic</w:t>
            </w:r>
          </w:p>
        </w:tc>
        <w:tc>
          <w:tcPr>
            <w:tcW w:w="709" w:type="pct"/>
            <w:tcBorders>
              <w:bottom w:val="single" w:sz="4" w:space="0" w:color="000000"/>
            </w:tcBorders>
          </w:tcPr>
          <w:p w14:paraId="3B3FE19F" w14:textId="77777777" w:rsidR="007373F6" w:rsidRPr="007D1FCB" w:rsidRDefault="00000000">
            <w:pPr>
              <w:keepNext/>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Prob.</w:t>
            </w:r>
          </w:p>
        </w:tc>
      </w:tr>
      <w:tr w:rsidR="007373F6" w14:paraId="312AFC79" w14:textId="77777777" w:rsidTr="007D1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8" w:type="pct"/>
            <w:tcBorders>
              <w:top w:val="single" w:sz="4" w:space="0" w:color="000000"/>
              <w:bottom w:val="nil"/>
            </w:tcBorders>
          </w:tcPr>
          <w:p w14:paraId="73BD4665" w14:textId="77777777" w:rsidR="007373F6" w:rsidRDefault="00000000">
            <w:pPr>
              <w:keepNext/>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Constant</w:t>
            </w:r>
          </w:p>
        </w:tc>
        <w:tc>
          <w:tcPr>
            <w:tcW w:w="842" w:type="pct"/>
            <w:tcBorders>
              <w:top w:val="single" w:sz="4" w:space="0" w:color="000000"/>
              <w:bottom w:val="nil"/>
            </w:tcBorders>
          </w:tcPr>
          <w:p w14:paraId="3F427FCF" w14:textId="77777777" w:rsidR="007373F6" w:rsidRDefault="00000000">
            <w:pPr>
              <w:keepNext/>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10.11539</w:t>
            </w:r>
          </w:p>
        </w:tc>
        <w:tc>
          <w:tcPr>
            <w:tcW w:w="810" w:type="pct"/>
            <w:tcBorders>
              <w:top w:val="single" w:sz="4" w:space="0" w:color="000000"/>
              <w:bottom w:val="nil"/>
            </w:tcBorders>
          </w:tcPr>
          <w:p w14:paraId="752E106C" w14:textId="77777777" w:rsidR="007373F6" w:rsidRDefault="00000000">
            <w:pPr>
              <w:keepNext/>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7.711399</w:t>
            </w:r>
          </w:p>
        </w:tc>
        <w:tc>
          <w:tcPr>
            <w:tcW w:w="1311" w:type="pct"/>
            <w:tcBorders>
              <w:top w:val="single" w:sz="4" w:space="0" w:color="000000"/>
              <w:bottom w:val="nil"/>
            </w:tcBorders>
          </w:tcPr>
          <w:p w14:paraId="0338F27A" w14:textId="77777777" w:rsidR="007373F6" w:rsidRDefault="00000000">
            <w:pPr>
              <w:keepNext/>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1.311745</w:t>
            </w:r>
          </w:p>
        </w:tc>
        <w:tc>
          <w:tcPr>
            <w:tcW w:w="709" w:type="pct"/>
            <w:tcBorders>
              <w:top w:val="single" w:sz="4" w:space="0" w:color="000000"/>
              <w:bottom w:val="nil"/>
            </w:tcBorders>
          </w:tcPr>
          <w:p w14:paraId="3ABAF3E2" w14:textId="77777777" w:rsidR="007373F6" w:rsidRDefault="00000000">
            <w:pPr>
              <w:keepNext/>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0.1904</w:t>
            </w:r>
          </w:p>
        </w:tc>
      </w:tr>
      <w:tr w:rsidR="007373F6" w14:paraId="5C5434F6" w14:textId="77777777" w:rsidTr="007D1FCB">
        <w:tc>
          <w:tcPr>
            <w:cnfStyle w:val="001000000000" w:firstRow="0" w:lastRow="0" w:firstColumn="1" w:lastColumn="0" w:oddVBand="0" w:evenVBand="0" w:oddHBand="0" w:evenHBand="0" w:firstRowFirstColumn="0" w:firstRowLastColumn="0" w:lastRowFirstColumn="0" w:lastRowLastColumn="0"/>
            <w:tcW w:w="1328" w:type="pct"/>
            <w:tcBorders>
              <w:top w:val="nil"/>
              <w:bottom w:val="nil"/>
            </w:tcBorders>
          </w:tcPr>
          <w:p w14:paraId="5924707E" w14:textId="77777777" w:rsidR="007373F6" w:rsidRDefault="00000000">
            <w:pPr>
              <w:keepNext/>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IR</w:t>
            </w:r>
          </w:p>
        </w:tc>
        <w:tc>
          <w:tcPr>
            <w:tcW w:w="842" w:type="pct"/>
            <w:tcBorders>
              <w:top w:val="nil"/>
              <w:bottom w:val="nil"/>
            </w:tcBorders>
          </w:tcPr>
          <w:p w14:paraId="65FC7700" w14:textId="77777777" w:rsidR="007373F6" w:rsidRDefault="00000000">
            <w:pPr>
              <w:keepNex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-11.94389</w:t>
            </w:r>
          </w:p>
        </w:tc>
        <w:tc>
          <w:tcPr>
            <w:tcW w:w="810" w:type="pct"/>
            <w:tcBorders>
              <w:top w:val="nil"/>
              <w:bottom w:val="nil"/>
            </w:tcBorders>
          </w:tcPr>
          <w:p w14:paraId="216E240D" w14:textId="77777777" w:rsidR="007373F6" w:rsidRDefault="00000000">
            <w:pPr>
              <w:keepNex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2.619837</w:t>
            </w:r>
          </w:p>
        </w:tc>
        <w:tc>
          <w:tcPr>
            <w:tcW w:w="1311" w:type="pct"/>
            <w:tcBorders>
              <w:top w:val="nil"/>
              <w:bottom w:val="nil"/>
            </w:tcBorders>
          </w:tcPr>
          <w:p w14:paraId="1969D387" w14:textId="77777777" w:rsidR="007373F6" w:rsidRDefault="00000000">
            <w:pPr>
              <w:keepNex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-4.559019</w:t>
            </w:r>
          </w:p>
        </w:tc>
        <w:tc>
          <w:tcPr>
            <w:tcW w:w="709" w:type="pct"/>
            <w:tcBorders>
              <w:top w:val="nil"/>
              <w:bottom w:val="nil"/>
            </w:tcBorders>
          </w:tcPr>
          <w:p w14:paraId="0BE49C7E" w14:textId="77777777" w:rsidR="007373F6" w:rsidRDefault="00000000">
            <w:pPr>
              <w:keepNex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0.0000</w:t>
            </w:r>
          </w:p>
        </w:tc>
      </w:tr>
      <w:tr w:rsidR="007373F6" w14:paraId="32064E51" w14:textId="77777777" w:rsidTr="007D1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8" w:type="pct"/>
            <w:tcBorders>
              <w:top w:val="nil"/>
              <w:bottom w:val="nil"/>
            </w:tcBorders>
          </w:tcPr>
          <w:p w14:paraId="25809B22" w14:textId="77777777" w:rsidR="007373F6" w:rsidRDefault="00000000">
            <w:pPr>
              <w:keepNext/>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ROA</w:t>
            </w:r>
          </w:p>
        </w:tc>
        <w:tc>
          <w:tcPr>
            <w:tcW w:w="842" w:type="pct"/>
            <w:tcBorders>
              <w:top w:val="nil"/>
              <w:bottom w:val="nil"/>
            </w:tcBorders>
          </w:tcPr>
          <w:p w14:paraId="51CC320E" w14:textId="77777777" w:rsidR="007373F6" w:rsidRDefault="00000000">
            <w:pPr>
              <w:keepNext/>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19.69675</w:t>
            </w:r>
          </w:p>
        </w:tc>
        <w:tc>
          <w:tcPr>
            <w:tcW w:w="810" w:type="pct"/>
            <w:tcBorders>
              <w:top w:val="nil"/>
              <w:bottom w:val="nil"/>
            </w:tcBorders>
          </w:tcPr>
          <w:p w14:paraId="21A92099" w14:textId="77777777" w:rsidR="007373F6" w:rsidRDefault="00000000">
            <w:pPr>
              <w:keepNext/>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9.757082</w:t>
            </w:r>
          </w:p>
        </w:tc>
        <w:tc>
          <w:tcPr>
            <w:tcW w:w="1311" w:type="pct"/>
            <w:tcBorders>
              <w:top w:val="nil"/>
              <w:bottom w:val="nil"/>
            </w:tcBorders>
          </w:tcPr>
          <w:p w14:paraId="70545B6E" w14:textId="77777777" w:rsidR="007373F6" w:rsidRDefault="00000000">
            <w:pPr>
              <w:keepNext/>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2.018713</w:t>
            </w:r>
          </w:p>
        </w:tc>
        <w:tc>
          <w:tcPr>
            <w:tcW w:w="709" w:type="pct"/>
            <w:tcBorders>
              <w:top w:val="nil"/>
              <w:bottom w:val="nil"/>
            </w:tcBorders>
          </w:tcPr>
          <w:p w14:paraId="6F448099" w14:textId="77777777" w:rsidR="007373F6" w:rsidRDefault="00000000">
            <w:pPr>
              <w:keepNext/>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0.0442</w:t>
            </w:r>
          </w:p>
        </w:tc>
      </w:tr>
      <w:tr w:rsidR="007373F6" w14:paraId="576F12E8" w14:textId="77777777" w:rsidTr="007D1FCB">
        <w:tc>
          <w:tcPr>
            <w:cnfStyle w:val="001000000000" w:firstRow="0" w:lastRow="0" w:firstColumn="1" w:lastColumn="0" w:oddVBand="0" w:evenVBand="0" w:oddHBand="0" w:evenHBand="0" w:firstRowFirstColumn="0" w:firstRowLastColumn="0" w:lastRowFirstColumn="0" w:lastRowLastColumn="0"/>
            <w:tcW w:w="1328" w:type="pct"/>
            <w:tcBorders>
              <w:top w:val="nil"/>
              <w:bottom w:val="nil"/>
            </w:tcBorders>
          </w:tcPr>
          <w:p w14:paraId="36F74016" w14:textId="77777777" w:rsidR="007373F6" w:rsidRDefault="00000000">
            <w:pPr>
              <w:keepNext/>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ROE</w:t>
            </w:r>
          </w:p>
        </w:tc>
        <w:tc>
          <w:tcPr>
            <w:tcW w:w="842" w:type="pct"/>
            <w:tcBorders>
              <w:top w:val="nil"/>
              <w:bottom w:val="nil"/>
            </w:tcBorders>
          </w:tcPr>
          <w:p w14:paraId="46624A7B" w14:textId="77777777" w:rsidR="007373F6" w:rsidRDefault="00000000">
            <w:pPr>
              <w:keepNex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-3.989778</w:t>
            </w:r>
          </w:p>
        </w:tc>
        <w:tc>
          <w:tcPr>
            <w:tcW w:w="810" w:type="pct"/>
            <w:tcBorders>
              <w:top w:val="nil"/>
              <w:bottom w:val="nil"/>
            </w:tcBorders>
          </w:tcPr>
          <w:p w14:paraId="43D03D41" w14:textId="77777777" w:rsidR="007373F6" w:rsidRDefault="00000000">
            <w:pPr>
              <w:keepNex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4.034122</w:t>
            </w:r>
          </w:p>
        </w:tc>
        <w:tc>
          <w:tcPr>
            <w:tcW w:w="1311" w:type="pct"/>
            <w:tcBorders>
              <w:top w:val="nil"/>
              <w:bottom w:val="nil"/>
            </w:tcBorders>
          </w:tcPr>
          <w:p w14:paraId="26CAC806" w14:textId="77777777" w:rsidR="007373F6" w:rsidRDefault="00000000">
            <w:pPr>
              <w:keepNex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-0.989008</w:t>
            </w:r>
          </w:p>
        </w:tc>
        <w:tc>
          <w:tcPr>
            <w:tcW w:w="709" w:type="pct"/>
            <w:tcBorders>
              <w:top w:val="nil"/>
              <w:bottom w:val="nil"/>
            </w:tcBorders>
          </w:tcPr>
          <w:p w14:paraId="4C6846C0" w14:textId="77777777" w:rsidR="007373F6" w:rsidRDefault="00000000">
            <w:pPr>
              <w:keepNex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0.3233</w:t>
            </w:r>
          </w:p>
        </w:tc>
      </w:tr>
      <w:tr w:rsidR="007373F6" w14:paraId="76F016B2" w14:textId="77777777" w:rsidTr="007D1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8" w:type="pct"/>
            <w:tcBorders>
              <w:top w:val="nil"/>
              <w:bottom w:val="nil"/>
            </w:tcBorders>
          </w:tcPr>
          <w:p w14:paraId="5B354258" w14:textId="77777777" w:rsidR="007373F6" w:rsidRDefault="00000000">
            <w:pPr>
              <w:keepNext/>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DER</w:t>
            </w:r>
          </w:p>
        </w:tc>
        <w:tc>
          <w:tcPr>
            <w:tcW w:w="842" w:type="pct"/>
            <w:tcBorders>
              <w:top w:val="nil"/>
              <w:bottom w:val="nil"/>
            </w:tcBorders>
          </w:tcPr>
          <w:p w14:paraId="253F11AC" w14:textId="77777777" w:rsidR="007373F6" w:rsidRDefault="00000000">
            <w:pPr>
              <w:keepNext/>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-0.511031</w:t>
            </w:r>
          </w:p>
        </w:tc>
        <w:tc>
          <w:tcPr>
            <w:tcW w:w="810" w:type="pct"/>
            <w:tcBorders>
              <w:top w:val="nil"/>
              <w:bottom w:val="nil"/>
            </w:tcBorders>
          </w:tcPr>
          <w:p w14:paraId="7F95B5F1" w14:textId="77777777" w:rsidR="007373F6" w:rsidRDefault="00000000">
            <w:pPr>
              <w:keepNext/>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0.190127</w:t>
            </w:r>
          </w:p>
        </w:tc>
        <w:tc>
          <w:tcPr>
            <w:tcW w:w="1311" w:type="pct"/>
            <w:tcBorders>
              <w:top w:val="nil"/>
              <w:bottom w:val="nil"/>
            </w:tcBorders>
          </w:tcPr>
          <w:p w14:paraId="2D71E32D" w14:textId="77777777" w:rsidR="007373F6" w:rsidRDefault="00000000">
            <w:pPr>
              <w:keepNext/>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-2.687848</w:t>
            </w:r>
          </w:p>
        </w:tc>
        <w:tc>
          <w:tcPr>
            <w:tcW w:w="709" w:type="pct"/>
            <w:tcBorders>
              <w:top w:val="nil"/>
              <w:bottom w:val="nil"/>
            </w:tcBorders>
          </w:tcPr>
          <w:p w14:paraId="0524FC4F" w14:textId="77777777" w:rsidR="007373F6" w:rsidRDefault="00000000">
            <w:pPr>
              <w:keepNext/>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0.0075</w:t>
            </w:r>
          </w:p>
        </w:tc>
      </w:tr>
      <w:tr w:rsidR="007373F6" w14:paraId="24292B4C" w14:textId="77777777" w:rsidTr="007D1FCB">
        <w:tc>
          <w:tcPr>
            <w:cnfStyle w:val="001000000000" w:firstRow="0" w:lastRow="0" w:firstColumn="1" w:lastColumn="0" w:oddVBand="0" w:evenVBand="0" w:oddHBand="0" w:evenHBand="0" w:firstRowFirstColumn="0" w:firstRowLastColumn="0" w:lastRowFirstColumn="0" w:lastRowLastColumn="0"/>
            <w:tcW w:w="1328" w:type="pct"/>
            <w:tcBorders>
              <w:top w:val="nil"/>
              <w:bottom w:val="nil"/>
            </w:tcBorders>
          </w:tcPr>
          <w:p w14:paraId="73A3AD1D" w14:textId="77777777" w:rsidR="007373F6" w:rsidRDefault="00000000">
            <w:pPr>
              <w:keepNext/>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LS</w:t>
            </w:r>
          </w:p>
        </w:tc>
        <w:tc>
          <w:tcPr>
            <w:tcW w:w="842" w:type="pct"/>
            <w:tcBorders>
              <w:top w:val="nil"/>
              <w:bottom w:val="nil"/>
            </w:tcBorders>
          </w:tcPr>
          <w:p w14:paraId="69351483" w14:textId="77777777" w:rsidR="007373F6" w:rsidRDefault="00000000">
            <w:pPr>
              <w:keepNex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8.408094</w:t>
            </w:r>
          </w:p>
        </w:tc>
        <w:tc>
          <w:tcPr>
            <w:tcW w:w="810" w:type="pct"/>
            <w:tcBorders>
              <w:top w:val="nil"/>
              <w:bottom w:val="nil"/>
            </w:tcBorders>
          </w:tcPr>
          <w:p w14:paraId="3460E3D8" w14:textId="77777777" w:rsidR="007373F6" w:rsidRDefault="00000000">
            <w:pPr>
              <w:keepNex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3.875213</w:t>
            </w:r>
          </w:p>
        </w:tc>
        <w:tc>
          <w:tcPr>
            <w:tcW w:w="1311" w:type="pct"/>
            <w:tcBorders>
              <w:top w:val="nil"/>
              <w:bottom w:val="nil"/>
            </w:tcBorders>
          </w:tcPr>
          <w:p w14:paraId="0411B1C9" w14:textId="77777777" w:rsidR="007373F6" w:rsidRDefault="00000000">
            <w:pPr>
              <w:keepNex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2.169711</w:t>
            </w:r>
          </w:p>
        </w:tc>
        <w:tc>
          <w:tcPr>
            <w:tcW w:w="709" w:type="pct"/>
            <w:tcBorders>
              <w:top w:val="nil"/>
              <w:bottom w:val="nil"/>
            </w:tcBorders>
          </w:tcPr>
          <w:p w14:paraId="35DE171B" w14:textId="77777777" w:rsidR="007373F6" w:rsidRDefault="00000000">
            <w:pPr>
              <w:keepNex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0.0306</w:t>
            </w:r>
          </w:p>
        </w:tc>
      </w:tr>
      <w:tr w:rsidR="007373F6" w14:paraId="10854C70" w14:textId="77777777" w:rsidTr="007D1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8" w:type="pct"/>
            <w:tcBorders>
              <w:top w:val="nil"/>
              <w:bottom w:val="nil"/>
            </w:tcBorders>
          </w:tcPr>
          <w:p w14:paraId="5A6EB6D5" w14:textId="77777777" w:rsidR="007373F6" w:rsidRDefault="00000000">
            <w:pPr>
              <w:keepNext/>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RO</w:t>
            </w:r>
          </w:p>
        </w:tc>
        <w:tc>
          <w:tcPr>
            <w:tcW w:w="842" w:type="pct"/>
            <w:tcBorders>
              <w:top w:val="nil"/>
              <w:bottom w:val="nil"/>
            </w:tcBorders>
          </w:tcPr>
          <w:p w14:paraId="6468FA5E" w14:textId="77777777" w:rsidR="007373F6" w:rsidRDefault="00000000">
            <w:pPr>
              <w:keepNext/>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-18.65832</w:t>
            </w:r>
          </w:p>
        </w:tc>
        <w:tc>
          <w:tcPr>
            <w:tcW w:w="810" w:type="pct"/>
            <w:tcBorders>
              <w:top w:val="nil"/>
              <w:bottom w:val="nil"/>
            </w:tcBorders>
          </w:tcPr>
          <w:p w14:paraId="2A59E50E" w14:textId="77777777" w:rsidR="007373F6" w:rsidRDefault="00000000">
            <w:pPr>
              <w:keepNext/>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9.891390</w:t>
            </w:r>
          </w:p>
        </w:tc>
        <w:tc>
          <w:tcPr>
            <w:tcW w:w="1311" w:type="pct"/>
            <w:tcBorders>
              <w:top w:val="nil"/>
              <w:bottom w:val="nil"/>
            </w:tcBorders>
          </w:tcPr>
          <w:p w14:paraId="55B51C0E" w14:textId="77777777" w:rsidR="007373F6" w:rsidRDefault="00000000">
            <w:pPr>
              <w:keepNext/>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-1.886320</w:t>
            </w:r>
          </w:p>
        </w:tc>
        <w:tc>
          <w:tcPr>
            <w:tcW w:w="709" w:type="pct"/>
            <w:tcBorders>
              <w:top w:val="nil"/>
              <w:bottom w:val="nil"/>
            </w:tcBorders>
          </w:tcPr>
          <w:p w14:paraId="20023A5A" w14:textId="77777777" w:rsidR="007373F6" w:rsidRDefault="00000000">
            <w:pPr>
              <w:keepNext/>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0.0600</w:t>
            </w:r>
          </w:p>
        </w:tc>
      </w:tr>
      <w:tr w:rsidR="007373F6" w14:paraId="4BD77D98" w14:textId="77777777" w:rsidTr="007D1FCB">
        <w:tc>
          <w:tcPr>
            <w:cnfStyle w:val="001000000000" w:firstRow="0" w:lastRow="0" w:firstColumn="1" w:lastColumn="0" w:oddVBand="0" w:evenVBand="0" w:oddHBand="0" w:evenHBand="0" w:firstRowFirstColumn="0" w:firstRowLastColumn="0" w:lastRowFirstColumn="0" w:lastRowLastColumn="0"/>
            <w:tcW w:w="1328" w:type="pct"/>
            <w:tcBorders>
              <w:top w:val="nil"/>
              <w:bottom w:val="single" w:sz="4" w:space="0" w:color="000000"/>
            </w:tcBorders>
          </w:tcPr>
          <w:p w14:paraId="64D231F0" w14:textId="77777777" w:rsidR="007373F6" w:rsidRDefault="00000000">
            <w:pPr>
              <w:keepNext/>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IO</w:t>
            </w:r>
          </w:p>
        </w:tc>
        <w:tc>
          <w:tcPr>
            <w:tcW w:w="842" w:type="pct"/>
            <w:tcBorders>
              <w:top w:val="nil"/>
              <w:bottom w:val="single" w:sz="4" w:space="0" w:color="000000"/>
            </w:tcBorders>
          </w:tcPr>
          <w:p w14:paraId="6ED2A870" w14:textId="77777777" w:rsidR="007373F6" w:rsidRDefault="00000000">
            <w:pPr>
              <w:keepNex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9.119601</w:t>
            </w:r>
          </w:p>
        </w:tc>
        <w:tc>
          <w:tcPr>
            <w:tcW w:w="810" w:type="pct"/>
            <w:tcBorders>
              <w:top w:val="nil"/>
              <w:bottom w:val="single" w:sz="4" w:space="0" w:color="000000"/>
            </w:tcBorders>
          </w:tcPr>
          <w:p w14:paraId="2294D23E" w14:textId="77777777" w:rsidR="007373F6" w:rsidRDefault="00000000">
            <w:pPr>
              <w:keepNex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2.526039</w:t>
            </w:r>
          </w:p>
        </w:tc>
        <w:tc>
          <w:tcPr>
            <w:tcW w:w="1311" w:type="pct"/>
            <w:tcBorders>
              <w:top w:val="nil"/>
              <w:bottom w:val="single" w:sz="4" w:space="0" w:color="000000"/>
            </w:tcBorders>
          </w:tcPr>
          <w:p w14:paraId="42524A3F" w14:textId="77777777" w:rsidR="007373F6" w:rsidRDefault="00000000">
            <w:pPr>
              <w:keepNex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3.610238</w:t>
            </w:r>
          </w:p>
        </w:tc>
        <w:tc>
          <w:tcPr>
            <w:tcW w:w="709" w:type="pct"/>
            <w:tcBorders>
              <w:top w:val="nil"/>
              <w:bottom w:val="single" w:sz="4" w:space="0" w:color="000000"/>
            </w:tcBorders>
          </w:tcPr>
          <w:p w14:paraId="69F735CA" w14:textId="77777777" w:rsidR="007373F6" w:rsidRDefault="00000000">
            <w:pPr>
              <w:keepNex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0.0003</w:t>
            </w:r>
          </w:p>
        </w:tc>
      </w:tr>
      <w:tr w:rsidR="007373F6" w14:paraId="275253C5" w14:textId="77777777" w:rsidTr="007D1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5"/>
            <w:tcBorders>
              <w:top w:val="single" w:sz="4" w:space="0" w:color="000000"/>
              <w:bottom w:val="single" w:sz="4" w:space="0" w:color="000000"/>
            </w:tcBorders>
          </w:tcPr>
          <w:p w14:paraId="24FA09AF" w14:textId="77777777" w:rsidR="007373F6" w:rsidRDefault="00000000">
            <w:pPr>
              <w:keepNext/>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Weighted Statistics</w:t>
            </w:r>
          </w:p>
        </w:tc>
      </w:tr>
      <w:tr w:rsidR="007373F6" w14:paraId="02C220F8" w14:textId="77777777" w:rsidTr="007D1FCB">
        <w:tc>
          <w:tcPr>
            <w:cnfStyle w:val="001000000000" w:firstRow="0" w:lastRow="0" w:firstColumn="1" w:lastColumn="0" w:oddVBand="0" w:evenVBand="0" w:oddHBand="0" w:evenHBand="0" w:firstRowFirstColumn="0" w:firstRowLastColumn="0" w:lastRowFirstColumn="0" w:lastRowLastColumn="0"/>
            <w:tcW w:w="1328" w:type="pct"/>
            <w:tcBorders>
              <w:top w:val="single" w:sz="4" w:space="0" w:color="000000"/>
              <w:bottom w:val="nil"/>
            </w:tcBorders>
          </w:tcPr>
          <w:p w14:paraId="1C647433" w14:textId="77777777" w:rsidR="007373F6" w:rsidRDefault="00000000">
            <w:pPr>
              <w:keepNext/>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R-squared</w:t>
            </w:r>
          </w:p>
        </w:tc>
        <w:tc>
          <w:tcPr>
            <w:tcW w:w="842" w:type="pct"/>
            <w:tcBorders>
              <w:top w:val="single" w:sz="4" w:space="0" w:color="000000"/>
              <w:bottom w:val="nil"/>
            </w:tcBorders>
          </w:tcPr>
          <w:p w14:paraId="54CA94E1" w14:textId="77777777" w:rsidR="007373F6" w:rsidRDefault="00000000">
            <w:pPr>
              <w:keepNex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0.102512</w:t>
            </w:r>
          </w:p>
        </w:tc>
        <w:tc>
          <w:tcPr>
            <w:tcW w:w="810" w:type="pct"/>
            <w:tcBorders>
              <w:top w:val="single" w:sz="4" w:space="0" w:color="000000"/>
              <w:bottom w:val="nil"/>
            </w:tcBorders>
          </w:tcPr>
          <w:p w14:paraId="7ABE5918" w14:textId="77777777" w:rsidR="007373F6" w:rsidRDefault="007373F6">
            <w:pPr>
              <w:keepNex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311" w:type="pct"/>
            <w:tcBorders>
              <w:top w:val="single" w:sz="4" w:space="0" w:color="000000"/>
              <w:bottom w:val="nil"/>
            </w:tcBorders>
          </w:tcPr>
          <w:p w14:paraId="736CFA5B" w14:textId="77777777" w:rsidR="007373F6" w:rsidRDefault="00000000">
            <w:pPr>
              <w:keepNex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Prob(F-statistic)</w:t>
            </w:r>
          </w:p>
        </w:tc>
        <w:tc>
          <w:tcPr>
            <w:tcW w:w="709" w:type="pct"/>
            <w:tcBorders>
              <w:top w:val="single" w:sz="4" w:space="0" w:color="000000"/>
              <w:bottom w:val="nil"/>
            </w:tcBorders>
          </w:tcPr>
          <w:p w14:paraId="36CD7304" w14:textId="77777777" w:rsidR="007373F6" w:rsidRDefault="00000000">
            <w:pPr>
              <w:keepNex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0.000000</w:t>
            </w:r>
          </w:p>
        </w:tc>
      </w:tr>
      <w:tr w:rsidR="007373F6" w14:paraId="403D239D" w14:textId="77777777" w:rsidTr="007D1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8" w:type="pct"/>
            <w:tcBorders>
              <w:top w:val="nil"/>
              <w:bottom w:val="nil"/>
            </w:tcBorders>
          </w:tcPr>
          <w:p w14:paraId="6C778CA1" w14:textId="77777777" w:rsidR="007373F6" w:rsidRDefault="00000000">
            <w:pPr>
              <w:keepNext/>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Adjusted R-squared</w:t>
            </w:r>
          </w:p>
        </w:tc>
        <w:tc>
          <w:tcPr>
            <w:tcW w:w="842" w:type="pct"/>
            <w:tcBorders>
              <w:top w:val="nil"/>
              <w:bottom w:val="nil"/>
            </w:tcBorders>
          </w:tcPr>
          <w:p w14:paraId="415AE1B8" w14:textId="77777777" w:rsidR="007373F6" w:rsidRDefault="00000000">
            <w:pPr>
              <w:keepNext/>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0.086923</w:t>
            </w:r>
          </w:p>
        </w:tc>
        <w:tc>
          <w:tcPr>
            <w:tcW w:w="810" w:type="pct"/>
            <w:tcBorders>
              <w:top w:val="nil"/>
              <w:bottom w:val="nil"/>
            </w:tcBorders>
          </w:tcPr>
          <w:p w14:paraId="56922988" w14:textId="77777777" w:rsidR="007373F6" w:rsidRDefault="007373F6">
            <w:pPr>
              <w:keepNext/>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1311" w:type="pct"/>
            <w:tcBorders>
              <w:top w:val="nil"/>
              <w:bottom w:val="nil"/>
            </w:tcBorders>
          </w:tcPr>
          <w:p w14:paraId="40503081" w14:textId="77777777" w:rsidR="007373F6" w:rsidRDefault="00000000">
            <w:pPr>
              <w:keepNext/>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Durbin-Watson stat</w:t>
            </w:r>
          </w:p>
        </w:tc>
        <w:tc>
          <w:tcPr>
            <w:tcW w:w="709" w:type="pct"/>
            <w:tcBorders>
              <w:top w:val="nil"/>
              <w:bottom w:val="nil"/>
            </w:tcBorders>
          </w:tcPr>
          <w:p w14:paraId="5F61A67E" w14:textId="77777777" w:rsidR="007373F6" w:rsidRDefault="00000000">
            <w:pPr>
              <w:keepNext/>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2.623462</w:t>
            </w:r>
          </w:p>
        </w:tc>
      </w:tr>
      <w:tr w:rsidR="007373F6" w14:paraId="7949FE2C" w14:textId="77777777" w:rsidTr="007D1FCB">
        <w:tc>
          <w:tcPr>
            <w:cnfStyle w:val="001000000000" w:firstRow="0" w:lastRow="0" w:firstColumn="1" w:lastColumn="0" w:oddVBand="0" w:evenVBand="0" w:oddHBand="0" w:evenHBand="0" w:firstRowFirstColumn="0" w:firstRowLastColumn="0" w:lastRowFirstColumn="0" w:lastRowLastColumn="0"/>
            <w:tcW w:w="1328" w:type="pct"/>
            <w:tcBorders>
              <w:top w:val="nil"/>
              <w:bottom w:val="single" w:sz="4" w:space="0" w:color="000000"/>
            </w:tcBorders>
          </w:tcPr>
          <w:p w14:paraId="048C10D6" w14:textId="77777777" w:rsidR="007373F6" w:rsidRDefault="00000000">
            <w:pPr>
              <w:keepNext/>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F-statistic</w:t>
            </w:r>
          </w:p>
        </w:tc>
        <w:tc>
          <w:tcPr>
            <w:tcW w:w="842" w:type="pct"/>
            <w:tcBorders>
              <w:top w:val="nil"/>
              <w:bottom w:val="single" w:sz="4" w:space="0" w:color="000000"/>
            </w:tcBorders>
          </w:tcPr>
          <w:p w14:paraId="0C6E8A35" w14:textId="77777777" w:rsidR="007373F6" w:rsidRDefault="00000000">
            <w:pPr>
              <w:keepNex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6.575874</w:t>
            </w:r>
          </w:p>
        </w:tc>
        <w:tc>
          <w:tcPr>
            <w:tcW w:w="810" w:type="pct"/>
            <w:tcBorders>
              <w:top w:val="nil"/>
              <w:bottom w:val="single" w:sz="4" w:space="0" w:color="000000"/>
            </w:tcBorders>
          </w:tcPr>
          <w:p w14:paraId="07B8CA08" w14:textId="77777777" w:rsidR="007373F6" w:rsidRDefault="007373F6">
            <w:pPr>
              <w:keepNex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311" w:type="pct"/>
            <w:tcBorders>
              <w:top w:val="nil"/>
              <w:bottom w:val="single" w:sz="4" w:space="0" w:color="000000"/>
            </w:tcBorders>
          </w:tcPr>
          <w:p w14:paraId="572B3FEA" w14:textId="77777777" w:rsidR="007373F6" w:rsidRDefault="007373F6">
            <w:pPr>
              <w:keepNex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709" w:type="pct"/>
            <w:tcBorders>
              <w:top w:val="nil"/>
              <w:bottom w:val="single" w:sz="4" w:space="0" w:color="000000"/>
            </w:tcBorders>
          </w:tcPr>
          <w:p w14:paraId="313FD7E3" w14:textId="6B32C116" w:rsidR="007373F6" w:rsidRDefault="007373F6">
            <w:pPr>
              <w:keepNext/>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r>
    </w:tbl>
    <w:p w14:paraId="26A8CE9A" w14:textId="77777777" w:rsidR="007373F6" w:rsidRPr="007D1FCB" w:rsidRDefault="00000000" w:rsidP="007D1FCB">
      <w:pPr>
        <w:spacing w:after="0" w:line="240" w:lineRule="auto"/>
        <w:jc w:val="both"/>
        <w:rPr>
          <w:rFonts w:ascii="Times New Roman" w:eastAsia="Times New Roman" w:hAnsi="Times New Roman" w:cs="Times New Roman"/>
          <w:sz w:val="20"/>
          <w:szCs w:val="20"/>
        </w:rPr>
      </w:pPr>
      <w:r w:rsidRPr="007D1FCB">
        <w:rPr>
          <w:rFonts w:ascii="Times New Roman" w:eastAsia="Times New Roman" w:hAnsi="Times New Roman" w:cs="Times New Roman"/>
          <w:i/>
          <w:sz w:val="20"/>
          <w:szCs w:val="20"/>
        </w:rPr>
        <w:t>Note</w:t>
      </w:r>
      <w:r w:rsidRPr="007D1FCB">
        <w:rPr>
          <w:rFonts w:ascii="Times New Roman" w:eastAsia="Times New Roman" w:hAnsi="Times New Roman" w:cs="Times New Roman"/>
          <w:sz w:val="20"/>
          <w:szCs w:val="20"/>
        </w:rPr>
        <w:t>. IR = Initial Return (</w:t>
      </w:r>
      <w:proofErr w:type="spellStart"/>
      <w:r w:rsidRPr="007D1FCB">
        <w:rPr>
          <w:rFonts w:ascii="Times New Roman" w:eastAsia="Times New Roman" w:hAnsi="Times New Roman" w:cs="Times New Roman"/>
          <w:sz w:val="20"/>
          <w:szCs w:val="20"/>
        </w:rPr>
        <w:t>Underpricing</w:t>
      </w:r>
      <w:proofErr w:type="spellEnd"/>
      <w:r w:rsidRPr="007D1FCB">
        <w:rPr>
          <w:rFonts w:ascii="Times New Roman" w:eastAsia="Times New Roman" w:hAnsi="Times New Roman" w:cs="Times New Roman"/>
          <w:sz w:val="20"/>
          <w:szCs w:val="20"/>
        </w:rPr>
        <w:t>); ROA = Return on Assets; ROE = Return on Equity; DER = Debt-to-Equity Ratio; LS = Largest Shareholder; RO = Retained Ownership; IO = Institutional Ownership. Data processed using EViews 13 based on 453 firm-period observations collected by the author in 2025.</w:t>
      </w:r>
    </w:p>
    <w:p w14:paraId="352DA720" w14:textId="77777777" w:rsidR="007D1FCB" w:rsidRDefault="007D1FCB" w:rsidP="007D1FCB">
      <w:pPr>
        <w:keepNext/>
        <w:spacing w:after="0" w:line="240" w:lineRule="auto"/>
        <w:ind w:firstLine="426"/>
        <w:jc w:val="both"/>
        <w:rPr>
          <w:rFonts w:ascii="Times New Roman" w:eastAsia="Times New Roman" w:hAnsi="Times New Roman" w:cs="Times New Roman"/>
          <w:sz w:val="24"/>
          <w:szCs w:val="24"/>
        </w:rPr>
      </w:pPr>
    </w:p>
    <w:p w14:paraId="350AC416" w14:textId="2A0C4E89" w:rsidR="007373F6" w:rsidRDefault="00000000" w:rsidP="007D1FCB">
      <w:pPr>
        <w:keepNext/>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shown in Table 5, the regression results confirm that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(IR) has a strong negative effect on BHAR (p &lt; 0.01), reinforcing the notion that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leads to long-term price corrections. ROA is positively and significantly associated with BHAR (p &lt; 0.05), supporting the view that asset efficiency contributes to sustainable returns. DER shows a significant negative relationship with BHAR (p &lt; 0.01), suggesting that higher leverage poses a risk to post-IPO stock performance. Largest Shareholder (LS) and Institutional Ownership (IO) both positively and significantly affect BHAR (p &lt; 0.05 and p &lt; 0.01 respectively), suggesting that credible ownership structures enhance post-IPO performance. Conversely, ROE and Retained Ownership (RO) are not statistically significant at the 5% level, suggesting limited explanatory power in the context of the Indonesian IPO market.</w:t>
      </w:r>
    </w:p>
    <w:p w14:paraId="7911472C"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These outcomes are further summarized in Table 6.</w:t>
      </w:r>
    </w:p>
    <w:p w14:paraId="1C28E26A" w14:textId="77777777" w:rsidR="007D1FCB" w:rsidRDefault="007D1FCB" w:rsidP="007D1FCB">
      <w:pPr>
        <w:spacing w:after="0" w:line="240" w:lineRule="auto"/>
        <w:ind w:firstLine="426"/>
        <w:jc w:val="both"/>
        <w:rPr>
          <w:rFonts w:ascii="Times New Roman" w:eastAsia="Times New Roman" w:hAnsi="Times New Roman" w:cs="Times New Roman"/>
          <w:sz w:val="24"/>
          <w:szCs w:val="24"/>
        </w:rPr>
      </w:pPr>
    </w:p>
    <w:p w14:paraId="2034576A" w14:textId="5BAC0102" w:rsidR="007373F6" w:rsidRPr="007D1FCB" w:rsidRDefault="00000000" w:rsidP="007D1FCB">
      <w:pPr>
        <w:spacing w:line="240" w:lineRule="auto"/>
        <w:jc w:val="center"/>
        <w:rPr>
          <w:rFonts w:ascii="Times New Roman" w:eastAsia="Times New Roman" w:hAnsi="Times New Roman" w:cs="Times New Roman"/>
          <w:sz w:val="24"/>
          <w:szCs w:val="24"/>
        </w:rPr>
      </w:pPr>
      <w:r w:rsidRPr="007D1FCB">
        <w:rPr>
          <w:rFonts w:ascii="Times New Roman" w:eastAsia="Times New Roman" w:hAnsi="Times New Roman" w:cs="Times New Roman"/>
          <w:b/>
          <w:sz w:val="24"/>
          <w:szCs w:val="24"/>
        </w:rPr>
        <w:t>Table 6</w:t>
      </w:r>
      <w:r w:rsidR="007D1FCB" w:rsidRPr="007D1FCB">
        <w:rPr>
          <w:rFonts w:ascii="Times New Roman" w:eastAsia="Times New Roman" w:hAnsi="Times New Roman" w:cs="Times New Roman"/>
          <w:b/>
          <w:sz w:val="24"/>
          <w:szCs w:val="24"/>
        </w:rPr>
        <w:t xml:space="preserve">. </w:t>
      </w:r>
      <w:r w:rsidRPr="007D1FCB">
        <w:rPr>
          <w:rFonts w:ascii="Times New Roman" w:eastAsia="Times New Roman" w:hAnsi="Times New Roman" w:cs="Times New Roman"/>
          <w:sz w:val="24"/>
          <w:szCs w:val="24"/>
        </w:rPr>
        <w:t>Summary of Hypothesis Testing</w:t>
      </w:r>
      <w:r w:rsidRPr="007D1FCB">
        <w:rPr>
          <w:rFonts w:ascii="Times New Roman" w:eastAsia="Times New Roman" w:hAnsi="Times New Roman" w:cs="Times New Roman"/>
        </w:rPr>
        <w:t xml:space="preserve"> </w:t>
      </w:r>
      <w:r w:rsidRPr="007D1FCB">
        <w:rPr>
          <w:rFonts w:ascii="Times New Roman" w:eastAsia="Times New Roman" w:hAnsi="Times New Roman" w:cs="Times New Roman"/>
          <w:sz w:val="24"/>
          <w:szCs w:val="24"/>
        </w:rPr>
        <w:t>Results</w:t>
      </w:r>
    </w:p>
    <w:tbl>
      <w:tblPr>
        <w:tblStyle w:val="afffff"/>
        <w:tblW w:w="5000" w:type="pct"/>
        <w:tblBorders>
          <w:top w:val="single" w:sz="4" w:space="0" w:color="7F7F7F"/>
          <w:bottom w:val="single" w:sz="4" w:space="0" w:color="7F7F7F"/>
        </w:tblBorders>
        <w:tblLook w:val="04A0" w:firstRow="1" w:lastRow="0" w:firstColumn="1" w:lastColumn="0" w:noHBand="0" w:noVBand="1"/>
      </w:tblPr>
      <w:tblGrid>
        <w:gridCol w:w="1356"/>
        <w:gridCol w:w="3601"/>
        <w:gridCol w:w="1713"/>
        <w:gridCol w:w="2356"/>
      </w:tblGrid>
      <w:tr w:rsidR="007373F6" w:rsidRPr="007D1FCB" w14:paraId="70BC5801" w14:textId="77777777" w:rsidTr="007D1F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1" w:type="pct"/>
            <w:tcBorders>
              <w:bottom w:val="single" w:sz="4" w:space="0" w:color="000000"/>
            </w:tcBorders>
          </w:tcPr>
          <w:p w14:paraId="130A4225" w14:textId="1AE0C61F" w:rsidR="007373F6" w:rsidRPr="007D1FCB" w:rsidRDefault="00000000" w:rsidP="007D1FCB">
            <w:pPr>
              <w:jc w:val="center"/>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Hypothesis</w:t>
            </w:r>
          </w:p>
        </w:tc>
        <w:tc>
          <w:tcPr>
            <w:tcW w:w="1995" w:type="pct"/>
            <w:tcBorders>
              <w:bottom w:val="single" w:sz="4" w:space="0" w:color="000000"/>
            </w:tcBorders>
          </w:tcPr>
          <w:p w14:paraId="0B98479B" w14:textId="77777777" w:rsidR="007373F6" w:rsidRPr="007D1FCB" w:rsidRDefault="00000000" w:rsidP="007D1FC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Statement</w:t>
            </w:r>
          </w:p>
        </w:tc>
        <w:tc>
          <w:tcPr>
            <w:tcW w:w="949" w:type="pct"/>
            <w:tcBorders>
              <w:bottom w:val="single" w:sz="4" w:space="0" w:color="000000"/>
            </w:tcBorders>
          </w:tcPr>
          <w:p w14:paraId="6BFFC7B1" w14:textId="77777777" w:rsidR="007373F6" w:rsidRPr="007D1FCB" w:rsidRDefault="00000000" w:rsidP="007D1FC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Result</w:t>
            </w:r>
          </w:p>
        </w:tc>
        <w:tc>
          <w:tcPr>
            <w:tcW w:w="1305" w:type="pct"/>
            <w:tcBorders>
              <w:bottom w:val="single" w:sz="4" w:space="0" w:color="000000"/>
            </w:tcBorders>
          </w:tcPr>
          <w:p w14:paraId="4E9CCEF4" w14:textId="77777777" w:rsidR="007373F6" w:rsidRPr="007D1FCB" w:rsidRDefault="00000000" w:rsidP="007D1FC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7D1FCB">
              <w:rPr>
                <w:rFonts w:ascii="Times New Roman" w:eastAsia="Times New Roman" w:hAnsi="Times New Roman" w:cs="Times New Roman"/>
                <w:bCs/>
                <w:sz w:val="20"/>
                <w:szCs w:val="20"/>
              </w:rPr>
              <w:t>Significance</w:t>
            </w:r>
          </w:p>
        </w:tc>
      </w:tr>
      <w:tr w:rsidR="007373F6" w14:paraId="57060B7F" w14:textId="77777777" w:rsidTr="007D1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1" w:type="pct"/>
            <w:tcBorders>
              <w:top w:val="single" w:sz="4" w:space="0" w:color="000000"/>
              <w:bottom w:val="nil"/>
            </w:tcBorders>
          </w:tcPr>
          <w:p w14:paraId="048917C0"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H1</w:t>
            </w:r>
          </w:p>
        </w:tc>
        <w:tc>
          <w:tcPr>
            <w:tcW w:w="1995" w:type="pct"/>
            <w:tcBorders>
              <w:top w:val="single" w:sz="4" w:space="0" w:color="000000"/>
              <w:bottom w:val="nil"/>
            </w:tcBorders>
          </w:tcPr>
          <w:p w14:paraId="1A60DE1E"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sdt>
              <w:sdtPr>
                <w:tag w:val="goog_rdk_342"/>
                <w:id w:val="-305568083"/>
              </w:sdtPr>
              <w:sdtContent>
                <w:proofErr w:type="spellStart"/>
                <w:r>
                  <w:rPr>
                    <w:rFonts w:ascii="Cardo" w:eastAsia="Cardo" w:hAnsi="Cardo" w:cs="Cardo"/>
                    <w:sz w:val="20"/>
                    <w:szCs w:val="20"/>
                  </w:rPr>
                  <w:t>Underpricing</w:t>
                </w:r>
                <w:proofErr w:type="spellEnd"/>
                <w:r>
                  <w:rPr>
                    <w:rFonts w:ascii="Cardo" w:eastAsia="Cardo" w:hAnsi="Cardo" w:cs="Cardo"/>
                    <w:sz w:val="20"/>
                    <w:szCs w:val="20"/>
                  </w:rPr>
                  <w:t xml:space="preserve"> → BHAR</w:t>
                </w:r>
              </w:sdtContent>
            </w:sdt>
          </w:p>
        </w:tc>
        <w:tc>
          <w:tcPr>
            <w:tcW w:w="949" w:type="pct"/>
            <w:tcBorders>
              <w:top w:val="single" w:sz="4" w:space="0" w:color="000000"/>
              <w:bottom w:val="nil"/>
            </w:tcBorders>
          </w:tcPr>
          <w:p w14:paraId="1135F5AD"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Negative</w:t>
            </w:r>
          </w:p>
        </w:tc>
        <w:tc>
          <w:tcPr>
            <w:tcW w:w="1305" w:type="pct"/>
            <w:tcBorders>
              <w:top w:val="single" w:sz="4" w:space="0" w:color="000000"/>
              <w:bottom w:val="nil"/>
            </w:tcBorders>
          </w:tcPr>
          <w:p w14:paraId="5E1E99FB"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Significant (p &lt; 0.01)</w:t>
            </w:r>
          </w:p>
        </w:tc>
      </w:tr>
      <w:tr w:rsidR="007373F6" w14:paraId="1611AA38" w14:textId="77777777" w:rsidTr="007D1FCB">
        <w:tc>
          <w:tcPr>
            <w:cnfStyle w:val="001000000000" w:firstRow="0" w:lastRow="0" w:firstColumn="1" w:lastColumn="0" w:oddVBand="0" w:evenVBand="0" w:oddHBand="0" w:evenHBand="0" w:firstRowFirstColumn="0" w:firstRowLastColumn="0" w:lastRowFirstColumn="0" w:lastRowLastColumn="0"/>
            <w:tcW w:w="751" w:type="pct"/>
            <w:tcBorders>
              <w:top w:val="nil"/>
              <w:bottom w:val="nil"/>
            </w:tcBorders>
          </w:tcPr>
          <w:p w14:paraId="1DF3F4C2"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H2</w:t>
            </w:r>
          </w:p>
        </w:tc>
        <w:tc>
          <w:tcPr>
            <w:tcW w:w="1995" w:type="pct"/>
            <w:tcBorders>
              <w:top w:val="nil"/>
              <w:bottom w:val="nil"/>
            </w:tcBorders>
          </w:tcPr>
          <w:p w14:paraId="3301865A"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sdt>
              <w:sdtPr>
                <w:tag w:val="goog_rdk_343"/>
                <w:id w:val="-1095492203"/>
              </w:sdtPr>
              <w:sdtContent>
                <w:r>
                  <w:rPr>
                    <w:rFonts w:ascii="Cardo" w:eastAsia="Cardo" w:hAnsi="Cardo" w:cs="Cardo"/>
                    <w:sz w:val="20"/>
                    <w:szCs w:val="20"/>
                  </w:rPr>
                  <w:t>ROA → BHAR</w:t>
                </w:r>
              </w:sdtContent>
            </w:sdt>
          </w:p>
        </w:tc>
        <w:tc>
          <w:tcPr>
            <w:tcW w:w="949" w:type="pct"/>
            <w:tcBorders>
              <w:top w:val="nil"/>
              <w:bottom w:val="nil"/>
            </w:tcBorders>
          </w:tcPr>
          <w:p w14:paraId="5C8BF64C"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Positive</w:t>
            </w:r>
          </w:p>
        </w:tc>
        <w:tc>
          <w:tcPr>
            <w:tcW w:w="1305" w:type="pct"/>
            <w:tcBorders>
              <w:top w:val="nil"/>
              <w:bottom w:val="nil"/>
            </w:tcBorders>
          </w:tcPr>
          <w:p w14:paraId="0074A604"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Significant (p &lt; 0.05)</w:t>
            </w:r>
          </w:p>
        </w:tc>
      </w:tr>
      <w:tr w:rsidR="007373F6" w14:paraId="1815C854" w14:textId="77777777" w:rsidTr="007D1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1" w:type="pct"/>
            <w:tcBorders>
              <w:top w:val="nil"/>
              <w:bottom w:val="nil"/>
            </w:tcBorders>
          </w:tcPr>
          <w:p w14:paraId="3EBBD3C0"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H3</w:t>
            </w:r>
          </w:p>
        </w:tc>
        <w:tc>
          <w:tcPr>
            <w:tcW w:w="1995" w:type="pct"/>
            <w:tcBorders>
              <w:top w:val="nil"/>
              <w:bottom w:val="nil"/>
            </w:tcBorders>
          </w:tcPr>
          <w:p w14:paraId="46B754F0"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sdt>
              <w:sdtPr>
                <w:tag w:val="goog_rdk_344"/>
                <w:id w:val="1202899695"/>
              </w:sdtPr>
              <w:sdtContent>
                <w:r>
                  <w:rPr>
                    <w:rFonts w:ascii="Cardo" w:eastAsia="Cardo" w:hAnsi="Cardo" w:cs="Cardo"/>
                    <w:sz w:val="20"/>
                    <w:szCs w:val="20"/>
                  </w:rPr>
                  <w:t>ROE → BHAR</w:t>
                </w:r>
              </w:sdtContent>
            </w:sdt>
          </w:p>
        </w:tc>
        <w:tc>
          <w:tcPr>
            <w:tcW w:w="949" w:type="pct"/>
            <w:tcBorders>
              <w:top w:val="nil"/>
              <w:bottom w:val="nil"/>
            </w:tcBorders>
          </w:tcPr>
          <w:p w14:paraId="024257CE"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Not significant</w:t>
            </w:r>
          </w:p>
        </w:tc>
        <w:tc>
          <w:tcPr>
            <w:tcW w:w="1305" w:type="pct"/>
            <w:tcBorders>
              <w:top w:val="nil"/>
              <w:bottom w:val="nil"/>
            </w:tcBorders>
          </w:tcPr>
          <w:p w14:paraId="462F1A6E"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p &gt; 0.05</w:t>
            </w:r>
          </w:p>
        </w:tc>
      </w:tr>
      <w:tr w:rsidR="007373F6" w14:paraId="704A543B" w14:textId="77777777" w:rsidTr="007D1FCB">
        <w:tc>
          <w:tcPr>
            <w:cnfStyle w:val="001000000000" w:firstRow="0" w:lastRow="0" w:firstColumn="1" w:lastColumn="0" w:oddVBand="0" w:evenVBand="0" w:oddHBand="0" w:evenHBand="0" w:firstRowFirstColumn="0" w:firstRowLastColumn="0" w:lastRowFirstColumn="0" w:lastRowLastColumn="0"/>
            <w:tcW w:w="751" w:type="pct"/>
            <w:tcBorders>
              <w:top w:val="nil"/>
              <w:bottom w:val="nil"/>
            </w:tcBorders>
          </w:tcPr>
          <w:p w14:paraId="16B30B3F"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H4</w:t>
            </w:r>
          </w:p>
        </w:tc>
        <w:tc>
          <w:tcPr>
            <w:tcW w:w="1995" w:type="pct"/>
            <w:tcBorders>
              <w:top w:val="nil"/>
              <w:bottom w:val="nil"/>
            </w:tcBorders>
          </w:tcPr>
          <w:p w14:paraId="6DC3235C"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sdt>
              <w:sdtPr>
                <w:tag w:val="goog_rdk_345"/>
                <w:id w:val="2123038563"/>
              </w:sdtPr>
              <w:sdtContent>
                <w:r>
                  <w:rPr>
                    <w:rFonts w:ascii="Cardo" w:eastAsia="Cardo" w:hAnsi="Cardo" w:cs="Cardo"/>
                    <w:sz w:val="20"/>
                    <w:szCs w:val="20"/>
                  </w:rPr>
                  <w:t>DER → BHAR</w:t>
                </w:r>
              </w:sdtContent>
            </w:sdt>
          </w:p>
        </w:tc>
        <w:tc>
          <w:tcPr>
            <w:tcW w:w="949" w:type="pct"/>
            <w:tcBorders>
              <w:top w:val="nil"/>
              <w:bottom w:val="nil"/>
            </w:tcBorders>
          </w:tcPr>
          <w:p w14:paraId="72307874"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Negative</w:t>
            </w:r>
          </w:p>
        </w:tc>
        <w:tc>
          <w:tcPr>
            <w:tcW w:w="1305" w:type="pct"/>
            <w:tcBorders>
              <w:top w:val="nil"/>
              <w:bottom w:val="nil"/>
            </w:tcBorders>
          </w:tcPr>
          <w:p w14:paraId="4889FA0B"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Significant (p &lt; 0.01)</w:t>
            </w:r>
          </w:p>
        </w:tc>
      </w:tr>
      <w:tr w:rsidR="007373F6" w14:paraId="5D5E4793" w14:textId="77777777" w:rsidTr="007D1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1" w:type="pct"/>
            <w:tcBorders>
              <w:top w:val="nil"/>
              <w:bottom w:val="nil"/>
            </w:tcBorders>
          </w:tcPr>
          <w:p w14:paraId="6E8E4C46"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H5</w:t>
            </w:r>
          </w:p>
        </w:tc>
        <w:tc>
          <w:tcPr>
            <w:tcW w:w="1995" w:type="pct"/>
            <w:tcBorders>
              <w:top w:val="nil"/>
              <w:bottom w:val="nil"/>
            </w:tcBorders>
          </w:tcPr>
          <w:p w14:paraId="6411088C"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sdt>
              <w:sdtPr>
                <w:tag w:val="goog_rdk_346"/>
                <w:id w:val="512057322"/>
              </w:sdtPr>
              <w:sdtContent>
                <w:r>
                  <w:rPr>
                    <w:rFonts w:ascii="Cardo" w:eastAsia="Cardo" w:hAnsi="Cardo" w:cs="Cardo"/>
                    <w:sz w:val="20"/>
                    <w:szCs w:val="20"/>
                  </w:rPr>
                  <w:t>Largest Shareholder → BHAR</w:t>
                </w:r>
              </w:sdtContent>
            </w:sdt>
          </w:p>
        </w:tc>
        <w:tc>
          <w:tcPr>
            <w:tcW w:w="949" w:type="pct"/>
            <w:tcBorders>
              <w:top w:val="nil"/>
              <w:bottom w:val="nil"/>
            </w:tcBorders>
          </w:tcPr>
          <w:p w14:paraId="7C81CB15"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Positive</w:t>
            </w:r>
          </w:p>
        </w:tc>
        <w:tc>
          <w:tcPr>
            <w:tcW w:w="1305" w:type="pct"/>
            <w:tcBorders>
              <w:top w:val="nil"/>
              <w:bottom w:val="nil"/>
            </w:tcBorders>
          </w:tcPr>
          <w:p w14:paraId="1A58D7DF"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Significant (p &lt; 0.05)</w:t>
            </w:r>
          </w:p>
        </w:tc>
      </w:tr>
      <w:tr w:rsidR="007373F6" w14:paraId="7ADE1C36" w14:textId="77777777" w:rsidTr="007D1FCB">
        <w:tc>
          <w:tcPr>
            <w:cnfStyle w:val="001000000000" w:firstRow="0" w:lastRow="0" w:firstColumn="1" w:lastColumn="0" w:oddVBand="0" w:evenVBand="0" w:oddHBand="0" w:evenHBand="0" w:firstRowFirstColumn="0" w:firstRowLastColumn="0" w:lastRowFirstColumn="0" w:lastRowLastColumn="0"/>
            <w:tcW w:w="751" w:type="pct"/>
            <w:tcBorders>
              <w:top w:val="nil"/>
              <w:bottom w:val="nil"/>
            </w:tcBorders>
          </w:tcPr>
          <w:p w14:paraId="04ECA9C6"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H6</w:t>
            </w:r>
          </w:p>
        </w:tc>
        <w:tc>
          <w:tcPr>
            <w:tcW w:w="1995" w:type="pct"/>
            <w:tcBorders>
              <w:top w:val="nil"/>
              <w:bottom w:val="nil"/>
            </w:tcBorders>
          </w:tcPr>
          <w:p w14:paraId="0639BC78"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sdt>
              <w:sdtPr>
                <w:tag w:val="goog_rdk_347"/>
                <w:id w:val="-2055142822"/>
              </w:sdtPr>
              <w:sdtContent>
                <w:r>
                  <w:rPr>
                    <w:rFonts w:ascii="Cardo" w:eastAsia="Cardo" w:hAnsi="Cardo" w:cs="Cardo"/>
                    <w:sz w:val="20"/>
                    <w:szCs w:val="20"/>
                  </w:rPr>
                  <w:t>Retained Ownership → BHAR</w:t>
                </w:r>
              </w:sdtContent>
            </w:sdt>
          </w:p>
        </w:tc>
        <w:tc>
          <w:tcPr>
            <w:tcW w:w="949" w:type="pct"/>
            <w:tcBorders>
              <w:top w:val="nil"/>
              <w:bottom w:val="nil"/>
            </w:tcBorders>
          </w:tcPr>
          <w:p w14:paraId="6FFFE929"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Not significant</w:t>
            </w:r>
          </w:p>
        </w:tc>
        <w:tc>
          <w:tcPr>
            <w:tcW w:w="1305" w:type="pct"/>
            <w:tcBorders>
              <w:top w:val="nil"/>
              <w:bottom w:val="nil"/>
            </w:tcBorders>
          </w:tcPr>
          <w:p w14:paraId="47A0B21F" w14:textId="77777777" w:rsidR="007373F6"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p &gt; 0.05</w:t>
            </w:r>
          </w:p>
        </w:tc>
      </w:tr>
      <w:tr w:rsidR="007373F6" w14:paraId="2EC6C693" w14:textId="77777777" w:rsidTr="007D1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1" w:type="pct"/>
            <w:tcBorders>
              <w:top w:val="nil"/>
              <w:bottom w:val="single" w:sz="4" w:space="0" w:color="000000"/>
            </w:tcBorders>
          </w:tcPr>
          <w:p w14:paraId="35ED325D" w14:textId="77777777" w:rsidR="007373F6"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H7</w:t>
            </w:r>
          </w:p>
        </w:tc>
        <w:tc>
          <w:tcPr>
            <w:tcW w:w="1995" w:type="pct"/>
            <w:tcBorders>
              <w:top w:val="nil"/>
              <w:bottom w:val="single" w:sz="4" w:space="0" w:color="000000"/>
            </w:tcBorders>
          </w:tcPr>
          <w:p w14:paraId="67B1DF3E"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sdt>
              <w:sdtPr>
                <w:tag w:val="goog_rdk_348"/>
                <w:id w:val="1084805552"/>
              </w:sdtPr>
              <w:sdtContent>
                <w:r>
                  <w:rPr>
                    <w:rFonts w:ascii="Cardo" w:eastAsia="Cardo" w:hAnsi="Cardo" w:cs="Cardo"/>
                    <w:sz w:val="20"/>
                    <w:szCs w:val="20"/>
                  </w:rPr>
                  <w:t>Institutional Ownership → BHAR</w:t>
                </w:r>
              </w:sdtContent>
            </w:sdt>
          </w:p>
        </w:tc>
        <w:tc>
          <w:tcPr>
            <w:tcW w:w="949" w:type="pct"/>
            <w:tcBorders>
              <w:top w:val="nil"/>
              <w:bottom w:val="single" w:sz="4" w:space="0" w:color="000000"/>
            </w:tcBorders>
          </w:tcPr>
          <w:p w14:paraId="2DCE35FA" w14:textId="77777777"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Positive</w:t>
            </w:r>
          </w:p>
        </w:tc>
        <w:tc>
          <w:tcPr>
            <w:tcW w:w="1305" w:type="pct"/>
            <w:tcBorders>
              <w:top w:val="nil"/>
              <w:bottom w:val="single" w:sz="4" w:space="0" w:color="000000"/>
            </w:tcBorders>
          </w:tcPr>
          <w:p w14:paraId="5AF9733D" w14:textId="70AF947F" w:rsidR="007373F6"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Significant (p &lt; 0.01)</w:t>
            </w:r>
          </w:p>
        </w:tc>
      </w:tr>
    </w:tbl>
    <w:p w14:paraId="1ABCBFF5" w14:textId="77777777" w:rsidR="007373F6" w:rsidRPr="007D1FCB" w:rsidRDefault="00000000" w:rsidP="007D1FCB">
      <w:pPr>
        <w:spacing w:after="0" w:line="240" w:lineRule="auto"/>
        <w:jc w:val="both"/>
        <w:rPr>
          <w:rFonts w:ascii="Times New Roman" w:eastAsia="Times New Roman" w:hAnsi="Times New Roman" w:cs="Times New Roman"/>
          <w:sz w:val="20"/>
          <w:szCs w:val="20"/>
        </w:rPr>
      </w:pPr>
      <w:r w:rsidRPr="007D1FCB">
        <w:rPr>
          <w:rFonts w:ascii="Times New Roman" w:eastAsia="Times New Roman" w:hAnsi="Times New Roman" w:cs="Times New Roman"/>
          <w:i/>
          <w:sz w:val="20"/>
          <w:szCs w:val="20"/>
        </w:rPr>
        <w:t>Note</w:t>
      </w:r>
      <w:r w:rsidRPr="007D1FCB">
        <w:rPr>
          <w:rFonts w:ascii="Times New Roman" w:eastAsia="Times New Roman" w:hAnsi="Times New Roman" w:cs="Times New Roman"/>
          <w:sz w:val="20"/>
          <w:szCs w:val="20"/>
        </w:rPr>
        <w:t>. Hypothesis testing is based on Random Effects Model estimation using panel data regression with BHAR as the dependent variable. Data processed using EViews 13 in 2025.</w:t>
      </w:r>
    </w:p>
    <w:p w14:paraId="7C1B8794" w14:textId="77777777" w:rsidR="007D1FCB" w:rsidRDefault="007D1FCB" w:rsidP="007D1FCB">
      <w:pPr>
        <w:spacing w:after="0" w:line="240" w:lineRule="auto"/>
        <w:ind w:firstLine="360"/>
        <w:jc w:val="both"/>
        <w:rPr>
          <w:rFonts w:ascii="Times New Roman" w:eastAsia="Times New Roman" w:hAnsi="Times New Roman" w:cs="Times New Roman"/>
          <w:sz w:val="24"/>
          <w:szCs w:val="24"/>
        </w:rPr>
      </w:pPr>
    </w:p>
    <w:p w14:paraId="561CE994" w14:textId="51D1E3C3"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shown in Table 6, five of the seven hypotheses are statistically supported. This section elaborates on each significant and non-significant finding, grounded in relevant theoretical perspectives.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DER, and ROA are confirmed as significant predictors of BHAR, alongside largest shareholder and institutional ownership. ROE and retained ownership do not show statistically significant effects, indicating that not all internal financial indicators or ownership forms are equally informative in predicting long-term post-IPO stock performance in the Indonesian market.</w:t>
      </w:r>
    </w:p>
    <w:p w14:paraId="2E39A8DC"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empirical findings of this study offer valuable insights into the determinants of long-term stock performance following IPOs in Indonesia. By integrating variables from three </w:t>
      </w:r>
      <w:r>
        <w:rPr>
          <w:rFonts w:ascii="Times New Roman" w:eastAsia="Times New Roman" w:hAnsi="Times New Roman" w:cs="Times New Roman"/>
          <w:sz w:val="24"/>
          <w:szCs w:val="24"/>
        </w:rPr>
        <w:lastRenderedPageBreak/>
        <w:t>critical domains—</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financial performance, and ownership structure—this study contributes to a more holistic understanding of IPO outcomes in an emerging market context.</w:t>
      </w:r>
    </w:p>
    <w:p w14:paraId="750FCE72"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significantly negative relationship between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and long-term stock performance, as evidenced by the BHAR results, reinforces the notion that excessive initial returns may lead to market corrections over time. This finding is consistent with the Information Asymmetry Theory (Rock, 1986), which suggests that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functions as a mechanism to attract uninformed investors. However, when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is too steep, it often reflects speculative demand or over-optimism, leading to inflated valuations that are subsequently adjusted downward. The results corroborate earlier studies by Budiman (2019), </w:t>
      </w:r>
      <w:proofErr w:type="spellStart"/>
      <w:r>
        <w:rPr>
          <w:rFonts w:ascii="Times New Roman" w:eastAsia="Times New Roman" w:hAnsi="Times New Roman" w:cs="Times New Roman"/>
          <w:sz w:val="24"/>
          <w:szCs w:val="24"/>
        </w:rPr>
        <w:t>Sholichah</w:t>
      </w:r>
      <w:proofErr w:type="spellEnd"/>
      <w:r>
        <w:rPr>
          <w:rFonts w:ascii="Times New Roman" w:eastAsia="Times New Roman" w:hAnsi="Times New Roman" w:cs="Times New Roman"/>
          <w:sz w:val="24"/>
          <w:szCs w:val="24"/>
        </w:rPr>
        <w:t xml:space="preserve"> (2018), and Avci (2021), all of which highlight the inverse relationship between initial returns and long-term performance. This suggests that while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may </w:t>
      </w:r>
      <w:proofErr w:type="spellStart"/>
      <w:r>
        <w:rPr>
          <w:rFonts w:ascii="Times New Roman" w:eastAsia="Times New Roman" w:hAnsi="Times New Roman" w:cs="Times New Roman"/>
          <w:sz w:val="24"/>
          <w:szCs w:val="24"/>
        </w:rPr>
        <w:t>fulfill</w:t>
      </w:r>
      <w:proofErr w:type="spellEnd"/>
      <w:r>
        <w:rPr>
          <w:rFonts w:ascii="Times New Roman" w:eastAsia="Times New Roman" w:hAnsi="Times New Roman" w:cs="Times New Roman"/>
          <w:sz w:val="24"/>
          <w:szCs w:val="24"/>
        </w:rPr>
        <w:t xml:space="preserve"> short-term goals such as ensuring full subscription, it may undermine long-term investor value and signal inefficiency in the IPO pricing mechanism.</w:t>
      </w:r>
    </w:p>
    <w:p w14:paraId="7A6FD309"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Among the financial performance indicators, only ROA was found to have a significant positive effect on BHAR. This result supports the </w:t>
      </w:r>
      <w:proofErr w:type="spellStart"/>
      <w:r>
        <w:rPr>
          <w:rFonts w:ascii="Times New Roman" w:eastAsia="Times New Roman" w:hAnsi="Times New Roman" w:cs="Times New Roman"/>
          <w:sz w:val="24"/>
          <w:szCs w:val="24"/>
        </w:rPr>
        <w:t>signaling</w:t>
      </w:r>
      <w:proofErr w:type="spellEnd"/>
      <w:r>
        <w:rPr>
          <w:rFonts w:ascii="Times New Roman" w:eastAsia="Times New Roman" w:hAnsi="Times New Roman" w:cs="Times New Roman"/>
          <w:sz w:val="24"/>
          <w:szCs w:val="24"/>
        </w:rPr>
        <w:t xml:space="preserve"> function of operational efficiency, as described by </w:t>
      </w:r>
      <w:proofErr w:type="spellStart"/>
      <w:r>
        <w:rPr>
          <w:rFonts w:ascii="Times New Roman" w:eastAsia="Times New Roman" w:hAnsi="Times New Roman" w:cs="Times New Roman"/>
          <w:sz w:val="24"/>
          <w:szCs w:val="24"/>
        </w:rPr>
        <w:t>Signaling</w:t>
      </w:r>
      <w:proofErr w:type="spellEnd"/>
      <w:r>
        <w:rPr>
          <w:rFonts w:ascii="Times New Roman" w:eastAsia="Times New Roman" w:hAnsi="Times New Roman" w:cs="Times New Roman"/>
          <w:sz w:val="24"/>
          <w:szCs w:val="24"/>
        </w:rPr>
        <w:t xml:space="preserve"> Theory (Spence, 1973). Firms that effectively utilize their assets to generate profits are more likely to sustain investor confidence post-listing. This aligns with the findings of Batool (2018) and Budiman (2019), who demonstrated that strong ROA contributes to better long-term stock performance. </w:t>
      </w:r>
    </w:p>
    <w:p w14:paraId="2F000891"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contrast, ROE did not significantly affect BHAR. While ROE is often regarded as a key profitability indicator, its lack of statistical significance in this study may reflect distortions arising from IPO timing strategies. According to the Windows of Opportunity Hypothesis, firms may strategically time their IPOs during periods of peak profitability, resulting in temporarily inflated ROE figures that do not reflect sustainable financial performance. Furthermore, high ROE may sometimes stem from short-term accounting practices or financial engineering, particularly in markets like Indonesia where earnings management and financial opacity remain challenges. These conditions may lead to inflated expectations that do not translate into consistent post-IPO performance, thereby weakening ROE's usefulness as a predictor of long-term returns. As such, ROE may lack the robustness required to serve as a reliable signal for long-term investor returns.</w:t>
      </w:r>
    </w:p>
    <w:p w14:paraId="2F5565BD"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negative and significant relationship between DER and BHAR confirms the theoretical expectations derived from the Pecking Order Theory (Myers &amp; Majluf, 1984). A high DER signals dependence on external debt, which can indicate higher financial risk and reduced flexibility in managing future growth. This result is consistent with the findings of Bharath et al. (2009) and Lemmon &amp; Zender (2010), as well as </w:t>
      </w:r>
      <w:proofErr w:type="spellStart"/>
      <w:r>
        <w:rPr>
          <w:rFonts w:ascii="Times New Roman" w:eastAsia="Times New Roman" w:hAnsi="Times New Roman" w:cs="Times New Roman"/>
          <w:sz w:val="24"/>
          <w:szCs w:val="24"/>
        </w:rPr>
        <w:t>Hardiyanto</w:t>
      </w:r>
      <w:proofErr w:type="spellEnd"/>
      <w:r>
        <w:rPr>
          <w:rFonts w:ascii="Times New Roman" w:eastAsia="Times New Roman" w:hAnsi="Times New Roman" w:cs="Times New Roman"/>
          <w:sz w:val="24"/>
          <w:szCs w:val="24"/>
        </w:rPr>
        <w:t xml:space="preserve"> &amp; </w:t>
      </w:r>
      <w:proofErr w:type="spellStart"/>
      <w:r>
        <w:rPr>
          <w:rFonts w:ascii="Times New Roman" w:eastAsia="Times New Roman" w:hAnsi="Times New Roman" w:cs="Times New Roman"/>
          <w:sz w:val="24"/>
          <w:szCs w:val="24"/>
        </w:rPr>
        <w:t>Syarif</w:t>
      </w:r>
      <w:proofErr w:type="spellEnd"/>
      <w:r>
        <w:rPr>
          <w:rFonts w:ascii="Times New Roman" w:eastAsia="Times New Roman" w:hAnsi="Times New Roman" w:cs="Times New Roman"/>
          <w:sz w:val="24"/>
          <w:szCs w:val="24"/>
        </w:rPr>
        <w:t xml:space="preserve"> (2024), who underscore that excessive leverage may depress investor expectations, especially in volatile or low-governance environments such as Indonesia. Hence, while debt can be strategically beneficial, its unchecked use may dampen long-term performance, particularly in the absence of robust financial controls.</w:t>
      </w:r>
    </w:p>
    <w:p w14:paraId="7A2CCCF0"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With respect to ownership structure, the positive and significant effect of the largest shareholder's ownership on BHAR supports the core principles of Agency Theory (Jensen &amp; Meckling, 1976). When a dominant shareholder retains a substantial stake, they are more likely to monitor managerial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and align company strategies with shareholder interests. This finding is in line with </w:t>
      </w:r>
      <w:proofErr w:type="spellStart"/>
      <w:r>
        <w:rPr>
          <w:rFonts w:ascii="Times New Roman" w:eastAsia="Times New Roman" w:hAnsi="Times New Roman" w:cs="Times New Roman"/>
          <w:sz w:val="24"/>
          <w:szCs w:val="24"/>
        </w:rPr>
        <w:t>Gedajlovic</w:t>
      </w:r>
      <w:proofErr w:type="spellEnd"/>
      <w:r>
        <w:rPr>
          <w:rFonts w:ascii="Times New Roman" w:eastAsia="Times New Roman" w:hAnsi="Times New Roman" w:cs="Times New Roman"/>
          <w:sz w:val="24"/>
          <w:szCs w:val="24"/>
        </w:rPr>
        <w:t xml:space="preserve"> &amp; Shapiro (2002) and Wang et al. (2015), who emphasize the role of concentrated ownership in improving governance in environments with weak external controls. In the Indonesian context, where regulatory enforcement and minority shareholder protections may be inconsistent, internal governance mechanisms like majority ownership play a pivotal role in supporting post-IPO performance.</w:t>
      </w:r>
    </w:p>
    <w:p w14:paraId="23BF05C1"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Institutional ownership also showed a strong and positive influence on BHAR, suggesting that the involvement of institutional investors serves as a credible signal of firm quality. This </w:t>
      </w:r>
      <w:r>
        <w:rPr>
          <w:rFonts w:ascii="Times New Roman" w:eastAsia="Times New Roman" w:hAnsi="Times New Roman" w:cs="Times New Roman"/>
          <w:sz w:val="24"/>
          <w:szCs w:val="24"/>
        </w:rPr>
        <w:lastRenderedPageBreak/>
        <w:t>supports the view of Megginson &amp; Weiss (1991), who argue that institutions bring reputational capital, monitoring capability, and valuation expertise to the IPO process. In markets where retail investor dominance is high, institutional participation can provide legitimacy and reduce information asymmetry. The present findings also align with Okumu et al. (2022), who distinguish between long-term strategic institutions and speculative actors. In this sample, institutional ownership likely reflects the former, thereby supporting long-term stock performance.</w:t>
      </w:r>
    </w:p>
    <w:p w14:paraId="724C8C9C"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Surprisingly, retained ownership did not exhibit a statistically significant effect on BHAR. While earlier studies (Michel et al., 2013; Pham et al., 2003) emphasize its </w:t>
      </w:r>
      <w:proofErr w:type="spellStart"/>
      <w:r>
        <w:rPr>
          <w:rFonts w:ascii="Times New Roman" w:eastAsia="Times New Roman" w:hAnsi="Times New Roman" w:cs="Times New Roman"/>
          <w:sz w:val="24"/>
          <w:szCs w:val="24"/>
        </w:rPr>
        <w:t>signaling</w:t>
      </w:r>
      <w:proofErr w:type="spellEnd"/>
      <w:r>
        <w:rPr>
          <w:rFonts w:ascii="Times New Roman" w:eastAsia="Times New Roman" w:hAnsi="Times New Roman" w:cs="Times New Roman"/>
          <w:sz w:val="24"/>
          <w:szCs w:val="24"/>
        </w:rPr>
        <w:t xml:space="preserve"> role as an indicator of insider confidence and long-term commitment, such effects may be diluted in the Indonesian IPO landscape. The prevalence of regulatory lock-up requirements mandates insiders to hold their shares for a minimum period post-listing, rendering high retention less a voluntary strategic decision and more a compliance artifact. In this context, investors may not interpret retained ownership as a credible signal of post-IPO value.</w:t>
      </w:r>
    </w:p>
    <w:p w14:paraId="7DBB3228"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Furthermore, limited post-IPO disclosure, weak enforcement of insider trading rules, and overall institutional opacity can diminish investor confidence in ownership-related signals. These structural limitations may explain why retained ownership fails to significantly predict long-term stock performance in this setting. Accordingly, future research could explore the differential impact of voluntary versus mandatory retained ownership or examine how firm-level governance quality moderates its influence. Such refinements would enhance our understanding of the </w:t>
      </w:r>
      <w:proofErr w:type="spellStart"/>
      <w:r>
        <w:rPr>
          <w:rFonts w:ascii="Times New Roman" w:eastAsia="Times New Roman" w:hAnsi="Times New Roman" w:cs="Times New Roman"/>
          <w:sz w:val="24"/>
          <w:szCs w:val="24"/>
        </w:rPr>
        <w:t>signaling</w:t>
      </w:r>
      <w:proofErr w:type="spellEnd"/>
      <w:r>
        <w:rPr>
          <w:rFonts w:ascii="Times New Roman" w:eastAsia="Times New Roman" w:hAnsi="Times New Roman" w:cs="Times New Roman"/>
          <w:sz w:val="24"/>
          <w:szCs w:val="24"/>
        </w:rPr>
        <w:t xml:space="preserve"> value of ownership in emerging markets.</w:t>
      </w:r>
    </w:p>
    <w:p w14:paraId="1180218B"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While the regression model yields statistically significant relationships for several variables, the adjusted R</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of 8.69% suggests that the explanatory power remains modest. This indicates that a substantial portion of the variation in long-term post-IPO stock performance (BHAR) may be influenced by other factors not captured in the current model. Future model extensions could incorporate macroeconomic controls—such as interest rates, inflation, or GDP growth—which may affect investor sentiment and post-IPO valuations. Sector-specific dynamics may also play a role, as different industries exhibit varying growth trajectories and risk profiles after going public. Including such dimensions could improve the model's predictive capability and offer a more comprehensive understanding of IPO outcomes in emerging markets.</w:t>
      </w:r>
    </w:p>
    <w:p w14:paraId="7B939275"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Overall, the findings emphasize the importance of pricing discipline, operational efficiency, prudent capital structure, and credible ownership signals in shaping post-IPO outcomes. They also illustrate how these factors interact within an institutional framework characterized by market imperfections, governance gaps, and evolving investor sophistication. While certain classical theories retain their explanatory power, the Indonesian case highlights the need for contextual adjustments when applying these frameworks to emerging markets.</w:t>
      </w:r>
    </w:p>
    <w:p w14:paraId="59EEEF43" w14:textId="77777777" w:rsidR="007D1FCB" w:rsidRDefault="007D1FCB" w:rsidP="007D1FCB">
      <w:pPr>
        <w:spacing w:after="0" w:line="240" w:lineRule="auto"/>
        <w:jc w:val="center"/>
        <w:rPr>
          <w:rFonts w:ascii="Times New Roman" w:eastAsia="Times New Roman" w:hAnsi="Times New Roman" w:cs="Times New Roman"/>
          <w:b/>
          <w:sz w:val="24"/>
          <w:szCs w:val="24"/>
        </w:rPr>
      </w:pPr>
    </w:p>
    <w:p w14:paraId="67667ED9" w14:textId="20B1EC1A" w:rsidR="007373F6" w:rsidRPr="007D1FCB" w:rsidRDefault="00000000" w:rsidP="00856618">
      <w:pPr>
        <w:pStyle w:val="ListParagraph"/>
        <w:numPr>
          <w:ilvl w:val="0"/>
          <w:numId w:val="23"/>
        </w:numPr>
        <w:spacing w:after="0" w:line="240" w:lineRule="auto"/>
        <w:jc w:val="center"/>
        <w:rPr>
          <w:rFonts w:ascii="Times New Roman" w:eastAsia="Times New Roman" w:hAnsi="Times New Roman" w:cs="Times New Roman"/>
          <w:b/>
          <w:sz w:val="24"/>
          <w:szCs w:val="24"/>
        </w:rPr>
      </w:pPr>
      <w:r w:rsidRPr="007D1FCB">
        <w:rPr>
          <w:rFonts w:ascii="Times New Roman" w:eastAsia="Times New Roman" w:hAnsi="Times New Roman" w:cs="Times New Roman"/>
          <w:b/>
          <w:sz w:val="24"/>
          <w:szCs w:val="24"/>
        </w:rPr>
        <w:t>CONCLUSION</w:t>
      </w:r>
    </w:p>
    <w:p w14:paraId="2C465183" w14:textId="77777777" w:rsidR="007D1FCB" w:rsidRPr="007D1FCB" w:rsidRDefault="007D1FCB" w:rsidP="007D1FCB">
      <w:pPr>
        <w:spacing w:after="0" w:line="240" w:lineRule="auto"/>
        <w:rPr>
          <w:rFonts w:ascii="Times New Roman" w:eastAsia="Times New Roman" w:hAnsi="Times New Roman" w:cs="Times New Roman"/>
          <w:b/>
          <w:color w:val="00B050"/>
          <w:sz w:val="24"/>
          <w:szCs w:val="24"/>
        </w:rPr>
      </w:pPr>
    </w:p>
    <w:p w14:paraId="621D3DD8"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bookmarkStart w:id="103" w:name="_heading=h.17dp8vu" w:colFirst="0" w:colLast="0"/>
      <w:bookmarkEnd w:id="103"/>
      <w:r>
        <w:rPr>
          <w:rFonts w:ascii="Times New Roman" w:eastAsia="Times New Roman" w:hAnsi="Times New Roman" w:cs="Times New Roman"/>
          <w:sz w:val="24"/>
          <w:szCs w:val="24"/>
        </w:rPr>
        <w:t xml:space="preserve">This study investigates the influence of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financial performance, and ownership structure on the long-term stock performance of IPO firms in Indonesia. Drawing upon a multi-theoretical framework—including the Efficient Market Hypothesis, Information Asymmetry, </w:t>
      </w:r>
      <w:proofErr w:type="spellStart"/>
      <w:r>
        <w:rPr>
          <w:rFonts w:ascii="Times New Roman" w:eastAsia="Times New Roman" w:hAnsi="Times New Roman" w:cs="Times New Roman"/>
          <w:sz w:val="24"/>
          <w:szCs w:val="24"/>
        </w:rPr>
        <w:t>Signaling</w:t>
      </w:r>
      <w:proofErr w:type="spellEnd"/>
      <w:r>
        <w:rPr>
          <w:rFonts w:ascii="Times New Roman" w:eastAsia="Times New Roman" w:hAnsi="Times New Roman" w:cs="Times New Roman"/>
          <w:sz w:val="24"/>
          <w:szCs w:val="24"/>
        </w:rPr>
        <w:t xml:space="preserve">, Agency, and Pecking Order theories—and </w:t>
      </w:r>
      <w:proofErr w:type="spellStart"/>
      <w:r>
        <w:rPr>
          <w:rFonts w:ascii="Times New Roman" w:eastAsia="Times New Roman" w:hAnsi="Times New Roman" w:cs="Times New Roman"/>
          <w:sz w:val="24"/>
          <w:szCs w:val="24"/>
        </w:rPr>
        <w:t>analyzing</w:t>
      </w:r>
      <w:proofErr w:type="spellEnd"/>
      <w:r>
        <w:rPr>
          <w:rFonts w:ascii="Times New Roman" w:eastAsia="Times New Roman" w:hAnsi="Times New Roman" w:cs="Times New Roman"/>
          <w:sz w:val="24"/>
          <w:szCs w:val="24"/>
        </w:rPr>
        <w:t xml:space="preserve"> 453 firm-period observations from 151 IPOs between 2017 and 2021, the study assesses how market signals, firm fundamentals, and governance mechanisms shape investor outcomes over 12, 24, and 36 months post-listing, as measured by Buy-and-Hold Abnormal Return (BHAR).</w:t>
      </w:r>
    </w:p>
    <w:p w14:paraId="16DA80B5"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findings confirm that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exerts a significant negative impact on long-term stock performance, underscoring the corrective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of the market in response to excessive initial returns. Among financial indicators, return on assets (ROA) emerges as a robust and </w:t>
      </w:r>
      <w:r>
        <w:rPr>
          <w:rFonts w:ascii="Times New Roman" w:eastAsia="Times New Roman" w:hAnsi="Times New Roman" w:cs="Times New Roman"/>
          <w:sz w:val="24"/>
          <w:szCs w:val="24"/>
        </w:rPr>
        <w:lastRenderedPageBreak/>
        <w:t xml:space="preserve">positive determinant of BHAR, reflecting its efficacy in </w:t>
      </w:r>
      <w:proofErr w:type="spellStart"/>
      <w:r>
        <w:rPr>
          <w:rFonts w:ascii="Times New Roman" w:eastAsia="Times New Roman" w:hAnsi="Times New Roman" w:cs="Times New Roman"/>
          <w:sz w:val="24"/>
          <w:szCs w:val="24"/>
        </w:rPr>
        <w:t>signaling</w:t>
      </w:r>
      <w:proofErr w:type="spellEnd"/>
      <w:r>
        <w:rPr>
          <w:rFonts w:ascii="Times New Roman" w:eastAsia="Times New Roman" w:hAnsi="Times New Roman" w:cs="Times New Roman"/>
          <w:sz w:val="24"/>
          <w:szCs w:val="24"/>
        </w:rPr>
        <w:t xml:space="preserve"> operational efficiency. Conversely, return on equity (ROE) does not show a significant relationship—possibly due to IPO timing strategies or transient earnings manipulation. Debt-to-equity ratio (DER) is negatively associated with BHAR, supporting the notion that excessive leverage heightens financial risk and undermines post-IPO performance. Regarding ownership structure, the presence of a dominant shareholder and institutional investors positively influence long-term performance, while retained ownership fails to exhibit a significant effect—likely attributable to regulatory lock-up requirements and limited investor reliance on post-IPO insider retention signals.</w:t>
      </w:r>
    </w:p>
    <w:p w14:paraId="57884F2F"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Theoretically, this research contributes to the consolidation of fragmented IPO literature by integrating multiple theoretical perspectives into a unified empirical framework suited for emerging market contexts. Practically, it offers actionable implications for investors, issuers, and regulators. Investors are advised to prioritize structural indicators—such as ROA and DER—over speculative first-day returns. Issuers are encouraged to avoid excessive </w:t>
      </w:r>
      <w:proofErr w:type="spellStart"/>
      <w:r>
        <w:rPr>
          <w:rFonts w:ascii="Times New Roman" w:eastAsia="Times New Roman" w:hAnsi="Times New Roman" w:cs="Times New Roman"/>
          <w:sz w:val="24"/>
          <w:szCs w:val="24"/>
        </w:rPr>
        <w:t>underpricing</w:t>
      </w:r>
      <w:proofErr w:type="spellEnd"/>
      <w:r>
        <w:rPr>
          <w:rFonts w:ascii="Times New Roman" w:eastAsia="Times New Roman" w:hAnsi="Times New Roman" w:cs="Times New Roman"/>
          <w:sz w:val="24"/>
          <w:szCs w:val="24"/>
        </w:rPr>
        <w:t xml:space="preserve"> and maintain credible, transparent financial disclosures. Regulators should enhance post-IPO monitoring, reinforce disclosure standards, and facilitate institutional participation to foster market integrity.</w:t>
      </w:r>
    </w:p>
    <w:p w14:paraId="23529717" w14:textId="77777777" w:rsidR="007373F6" w:rsidRDefault="00000000" w:rsidP="007D1FCB">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Future research may extend this study by incorporating macroeconomic variables (e.g., interest rates, inflation, exchange rates), sector-specific characteristics, or governance dimensions such as board independence, managerial reputation, or ESG practices. Cross-country comparative studies within the ASEAN region or among emerging markets could also test the generalizability of these findings. In addition, applying alternative long-term performance metrics—such as calendar-time portfolio returns or wealth relatives—could enrich the methodological robustness of IPO studies.</w:t>
      </w:r>
    </w:p>
    <w:p w14:paraId="327B1F1A" w14:textId="77777777" w:rsidR="007373F6" w:rsidRDefault="00000000" w:rsidP="007D1FCB">
      <w:pPr>
        <w:spacing w:after="0" w:line="240" w:lineRule="auto"/>
        <w:ind w:firstLine="426"/>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In sum, this study advances the understanding of post-IPO stock performance in emerging markets by emphasizing the joint influence of pricing dynamics, financial fundamentals, and ownership structure within Indonesia’s institutional environment. The results serve as a foundation for building more transparent, resilient, and investor-aligned capital markets across Southeast Asia.</w:t>
      </w:r>
    </w:p>
    <w:p w14:paraId="74F30D47" w14:textId="77777777" w:rsidR="007D1FCB" w:rsidRDefault="007D1FCB">
      <w:pPr>
        <w:spacing w:line="240" w:lineRule="auto"/>
        <w:jc w:val="center"/>
        <w:rPr>
          <w:rFonts w:ascii="Times New Roman" w:eastAsia="Times New Roman" w:hAnsi="Times New Roman" w:cs="Times New Roman"/>
          <w:b/>
          <w:sz w:val="24"/>
          <w:szCs w:val="24"/>
        </w:rPr>
      </w:pPr>
    </w:p>
    <w:p w14:paraId="386508CE" w14:textId="42E8B84C" w:rsidR="007373F6" w:rsidRDefault="00000000">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REFERENCE</w:t>
      </w:r>
    </w:p>
    <w:p w14:paraId="55EB278A"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Akerlof, G. A. (1970). The market for “lemons”: Quality uncertainty and the market mechanism. </w:t>
      </w:r>
      <w:r w:rsidRPr="007D1FCB">
        <w:rPr>
          <w:rFonts w:ascii="Times New Roman" w:eastAsia="Times New Roman" w:hAnsi="Times New Roman" w:cs="Times New Roman"/>
          <w:i/>
          <w:sz w:val="24"/>
          <w:szCs w:val="24"/>
        </w:rPr>
        <w:t>The Quarterly Journal of Economics</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84</w:t>
      </w:r>
      <w:r w:rsidRPr="007D1FCB">
        <w:rPr>
          <w:rFonts w:ascii="Times New Roman" w:eastAsia="Times New Roman" w:hAnsi="Times New Roman" w:cs="Times New Roman"/>
          <w:sz w:val="24"/>
          <w:szCs w:val="24"/>
        </w:rPr>
        <w:t xml:space="preserve">(3), 488–500. </w:t>
      </w:r>
      <w:hyperlink r:id="rId164">
        <w:r w:rsidRPr="007D1FCB">
          <w:rPr>
            <w:rFonts w:ascii="Times New Roman" w:eastAsia="Times New Roman" w:hAnsi="Times New Roman" w:cs="Times New Roman"/>
            <w:sz w:val="24"/>
            <w:szCs w:val="24"/>
          </w:rPr>
          <w:t>https://doi.org/10.2307/1879431</w:t>
        </w:r>
      </w:hyperlink>
    </w:p>
    <w:p w14:paraId="3958BDB0"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Arora, N., &amp; Singh, B. (2020). The long-run performance of SME IPOs in India: Empirical evidence from Indian stock market. </w:t>
      </w:r>
      <w:r w:rsidRPr="007D1FCB">
        <w:rPr>
          <w:rFonts w:ascii="Times New Roman" w:eastAsia="Times New Roman" w:hAnsi="Times New Roman" w:cs="Times New Roman"/>
          <w:i/>
          <w:sz w:val="24"/>
          <w:szCs w:val="24"/>
        </w:rPr>
        <w:t>Journal of Asia Business Studies</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15</w:t>
      </w:r>
      <w:r w:rsidRPr="007D1FCB">
        <w:rPr>
          <w:rFonts w:ascii="Times New Roman" w:eastAsia="Times New Roman" w:hAnsi="Times New Roman" w:cs="Times New Roman"/>
          <w:sz w:val="24"/>
          <w:szCs w:val="24"/>
        </w:rPr>
        <w:t xml:space="preserve">(1), 88–109. </w:t>
      </w:r>
      <w:hyperlink r:id="rId165">
        <w:r w:rsidRPr="007D1FCB">
          <w:rPr>
            <w:rFonts w:ascii="Times New Roman" w:eastAsia="Times New Roman" w:hAnsi="Times New Roman" w:cs="Times New Roman"/>
            <w:sz w:val="24"/>
            <w:szCs w:val="24"/>
          </w:rPr>
          <w:t>https://doi.org/10.1108/jabs-10-2019-0305</w:t>
        </w:r>
      </w:hyperlink>
    </w:p>
    <w:p w14:paraId="1C71D9A3"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Avci, S. B. (2021). Long-run price and operating performance of initial public offerings in Borsa Istanbul. </w:t>
      </w:r>
      <w:r w:rsidRPr="007D1FCB">
        <w:rPr>
          <w:rFonts w:ascii="Times New Roman" w:eastAsia="Times New Roman" w:hAnsi="Times New Roman" w:cs="Times New Roman"/>
          <w:i/>
          <w:sz w:val="24"/>
          <w:szCs w:val="24"/>
        </w:rPr>
        <w:t>Business and Economics Research Journal</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12</w:t>
      </w:r>
      <w:r w:rsidRPr="007D1FCB">
        <w:rPr>
          <w:rFonts w:ascii="Times New Roman" w:eastAsia="Times New Roman" w:hAnsi="Times New Roman" w:cs="Times New Roman"/>
          <w:sz w:val="24"/>
          <w:szCs w:val="24"/>
        </w:rPr>
        <w:t xml:space="preserve">(2), 339–358. </w:t>
      </w:r>
      <w:hyperlink r:id="rId166">
        <w:r w:rsidRPr="007D1FCB">
          <w:rPr>
            <w:rFonts w:ascii="Times New Roman" w:eastAsia="Times New Roman" w:hAnsi="Times New Roman" w:cs="Times New Roman"/>
            <w:sz w:val="24"/>
            <w:szCs w:val="24"/>
          </w:rPr>
          <w:t>https://doi.org/10.20409/berj.2021.325</w:t>
        </w:r>
      </w:hyperlink>
    </w:p>
    <w:p w14:paraId="56B70DBE"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Banerjee, S., Dai, L., &amp; Shrestha, K. (2011). Cross-country IPOs: What explains differences in </w:t>
      </w:r>
      <w:proofErr w:type="spellStart"/>
      <w:r w:rsidRPr="007D1FCB">
        <w:rPr>
          <w:rFonts w:ascii="Times New Roman" w:eastAsia="Times New Roman" w:hAnsi="Times New Roman" w:cs="Times New Roman"/>
          <w:sz w:val="24"/>
          <w:szCs w:val="24"/>
        </w:rPr>
        <w:t>underpricing</w:t>
      </w:r>
      <w:proofErr w:type="spellEnd"/>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Journal of Corporate Finance</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17</w:t>
      </w:r>
      <w:r w:rsidRPr="007D1FCB">
        <w:rPr>
          <w:rFonts w:ascii="Times New Roman" w:eastAsia="Times New Roman" w:hAnsi="Times New Roman" w:cs="Times New Roman"/>
          <w:sz w:val="24"/>
          <w:szCs w:val="24"/>
        </w:rPr>
        <w:t xml:space="preserve">(5), 1289–1305. </w:t>
      </w:r>
      <w:hyperlink r:id="rId167">
        <w:r w:rsidRPr="007D1FCB">
          <w:rPr>
            <w:rFonts w:ascii="Times New Roman" w:eastAsia="Times New Roman" w:hAnsi="Times New Roman" w:cs="Times New Roman"/>
            <w:sz w:val="24"/>
            <w:szCs w:val="24"/>
          </w:rPr>
          <w:t>https://doi.org/10.1016/j.jcorpfin.2011.06.004</w:t>
        </w:r>
      </w:hyperlink>
    </w:p>
    <w:p w14:paraId="47970F75"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Barnes, P. (1987). The analysis and use of financial ratios: A review article. </w:t>
      </w:r>
      <w:r w:rsidRPr="007D1FCB">
        <w:rPr>
          <w:rFonts w:ascii="Times New Roman" w:eastAsia="Times New Roman" w:hAnsi="Times New Roman" w:cs="Times New Roman"/>
          <w:i/>
          <w:sz w:val="24"/>
          <w:szCs w:val="24"/>
        </w:rPr>
        <w:t>Journal of Business Finance &amp; Accounting</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14</w:t>
      </w:r>
      <w:r w:rsidRPr="007D1FCB">
        <w:rPr>
          <w:rFonts w:ascii="Times New Roman" w:eastAsia="Times New Roman" w:hAnsi="Times New Roman" w:cs="Times New Roman"/>
          <w:sz w:val="24"/>
          <w:szCs w:val="24"/>
        </w:rPr>
        <w:t xml:space="preserve">(4), 449–461. </w:t>
      </w:r>
      <w:hyperlink r:id="rId168">
        <w:r w:rsidRPr="007D1FCB">
          <w:rPr>
            <w:rFonts w:ascii="Times New Roman" w:eastAsia="Times New Roman" w:hAnsi="Times New Roman" w:cs="Times New Roman"/>
            <w:sz w:val="24"/>
            <w:szCs w:val="24"/>
          </w:rPr>
          <w:t>https://doi.org/10.1111/j.1468-5957.1987.tb00106.x</w:t>
        </w:r>
      </w:hyperlink>
    </w:p>
    <w:p w14:paraId="0938E8C1"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Batool, Z. (2018). Long run performance of initial public offerings (IPOs) in Pakistan. </w:t>
      </w:r>
      <w:r w:rsidRPr="007D1FCB">
        <w:rPr>
          <w:rFonts w:ascii="Times New Roman" w:eastAsia="Times New Roman" w:hAnsi="Times New Roman" w:cs="Times New Roman"/>
          <w:i/>
          <w:sz w:val="24"/>
          <w:szCs w:val="24"/>
        </w:rPr>
        <w:t>Business and Management Horizons</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6</w:t>
      </w:r>
      <w:r w:rsidRPr="007D1FCB">
        <w:rPr>
          <w:rFonts w:ascii="Times New Roman" w:eastAsia="Times New Roman" w:hAnsi="Times New Roman" w:cs="Times New Roman"/>
          <w:sz w:val="24"/>
          <w:szCs w:val="24"/>
        </w:rPr>
        <w:t xml:space="preserve">(2), 95. </w:t>
      </w:r>
      <w:hyperlink r:id="rId169">
        <w:r w:rsidRPr="007D1FCB">
          <w:rPr>
            <w:rFonts w:ascii="Times New Roman" w:eastAsia="Times New Roman" w:hAnsi="Times New Roman" w:cs="Times New Roman"/>
            <w:sz w:val="24"/>
            <w:szCs w:val="24"/>
          </w:rPr>
          <w:t>https://doi.org/10.5296/bmh.v6i2.14195</w:t>
        </w:r>
      </w:hyperlink>
    </w:p>
    <w:p w14:paraId="6745E125"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lastRenderedPageBreak/>
        <w:t xml:space="preserve">Beatty, R. P., &amp; Ritter, J. R. (1986). Investment banking, reputation, and the </w:t>
      </w:r>
      <w:proofErr w:type="spellStart"/>
      <w:r w:rsidRPr="007D1FCB">
        <w:rPr>
          <w:rFonts w:ascii="Times New Roman" w:eastAsia="Times New Roman" w:hAnsi="Times New Roman" w:cs="Times New Roman"/>
          <w:sz w:val="24"/>
          <w:szCs w:val="24"/>
        </w:rPr>
        <w:t>underpricing</w:t>
      </w:r>
      <w:proofErr w:type="spellEnd"/>
      <w:r w:rsidRPr="007D1FCB">
        <w:rPr>
          <w:rFonts w:ascii="Times New Roman" w:eastAsia="Times New Roman" w:hAnsi="Times New Roman" w:cs="Times New Roman"/>
          <w:sz w:val="24"/>
          <w:szCs w:val="24"/>
        </w:rPr>
        <w:t xml:space="preserve"> of initial public offerings. </w:t>
      </w:r>
      <w:r w:rsidRPr="007D1FCB">
        <w:rPr>
          <w:rFonts w:ascii="Times New Roman" w:eastAsia="Times New Roman" w:hAnsi="Times New Roman" w:cs="Times New Roman"/>
          <w:i/>
          <w:sz w:val="24"/>
          <w:szCs w:val="24"/>
        </w:rPr>
        <w:t>Journal of Financial Economics, 15</w:t>
      </w:r>
      <w:r w:rsidRPr="007D1FCB">
        <w:rPr>
          <w:rFonts w:ascii="Times New Roman" w:eastAsia="Times New Roman" w:hAnsi="Times New Roman" w:cs="Times New Roman"/>
          <w:sz w:val="24"/>
          <w:szCs w:val="24"/>
        </w:rPr>
        <w:t xml:space="preserve">(1–2), 213–232. </w:t>
      </w:r>
      <w:hyperlink r:id="rId170">
        <w:r w:rsidRPr="007D1FCB">
          <w:rPr>
            <w:rFonts w:ascii="Times New Roman" w:eastAsia="Times New Roman" w:hAnsi="Times New Roman" w:cs="Times New Roman"/>
            <w:sz w:val="24"/>
            <w:szCs w:val="24"/>
          </w:rPr>
          <w:t>https://doi.org/10.1016/0304-405X(86)90055-3</w:t>
        </w:r>
      </w:hyperlink>
    </w:p>
    <w:p w14:paraId="7EDB28A5"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Bharath, S. T., Pasquariello, P., &amp; Wu, G. (2009). Does asymmetric information drive capital structure decisions? </w:t>
      </w:r>
      <w:r w:rsidRPr="007D1FCB">
        <w:rPr>
          <w:rFonts w:ascii="Times New Roman" w:eastAsia="Times New Roman" w:hAnsi="Times New Roman" w:cs="Times New Roman"/>
          <w:i/>
          <w:sz w:val="24"/>
          <w:szCs w:val="24"/>
        </w:rPr>
        <w:t>Review of Financial Studies</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22</w:t>
      </w:r>
      <w:r w:rsidRPr="007D1FCB">
        <w:rPr>
          <w:rFonts w:ascii="Times New Roman" w:eastAsia="Times New Roman" w:hAnsi="Times New Roman" w:cs="Times New Roman"/>
          <w:sz w:val="24"/>
          <w:szCs w:val="24"/>
        </w:rPr>
        <w:t xml:space="preserve">(8), 3211–3243. </w:t>
      </w:r>
      <w:hyperlink r:id="rId171">
        <w:r w:rsidRPr="007D1FCB">
          <w:rPr>
            <w:rFonts w:ascii="Times New Roman" w:eastAsia="Times New Roman" w:hAnsi="Times New Roman" w:cs="Times New Roman"/>
            <w:sz w:val="24"/>
            <w:szCs w:val="24"/>
          </w:rPr>
          <w:t>https://doi.org/10.1093/rfs/hhn076</w:t>
        </w:r>
      </w:hyperlink>
    </w:p>
    <w:p w14:paraId="38B34AD6"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Bird, R., &amp; Yeung, D. C. (2010). Institutional ownership and IPO performance: Australian evidence. </w:t>
      </w:r>
      <w:r w:rsidRPr="007D1FCB">
        <w:rPr>
          <w:rFonts w:ascii="Times New Roman" w:eastAsia="Times New Roman" w:hAnsi="Times New Roman" w:cs="Times New Roman"/>
          <w:i/>
          <w:sz w:val="24"/>
          <w:szCs w:val="24"/>
        </w:rPr>
        <w:t>In Financial Management Association Annual Meeting</w:t>
      </w:r>
      <w:r w:rsidRPr="007D1FCB">
        <w:rPr>
          <w:rFonts w:ascii="Times New Roman" w:eastAsia="Times New Roman" w:hAnsi="Times New Roman" w:cs="Times New Roman"/>
          <w:sz w:val="24"/>
          <w:szCs w:val="24"/>
        </w:rPr>
        <w:t xml:space="preserve">, 1-25. </w:t>
      </w:r>
      <w:hyperlink r:id="rId172">
        <w:r w:rsidRPr="007D1FCB">
          <w:rPr>
            <w:rFonts w:ascii="Times New Roman" w:eastAsia="Times New Roman" w:hAnsi="Times New Roman" w:cs="Times New Roman"/>
            <w:sz w:val="24"/>
            <w:szCs w:val="24"/>
          </w:rPr>
          <w:t>http://hdl.handle.net/10453/16682</w:t>
        </w:r>
      </w:hyperlink>
    </w:p>
    <w:p w14:paraId="514AC830"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Brav, A., </w:t>
      </w:r>
      <w:proofErr w:type="spellStart"/>
      <w:r w:rsidRPr="007D1FCB">
        <w:rPr>
          <w:rFonts w:ascii="Times New Roman" w:eastAsia="Times New Roman" w:hAnsi="Times New Roman" w:cs="Times New Roman"/>
          <w:sz w:val="24"/>
          <w:szCs w:val="24"/>
        </w:rPr>
        <w:t>Geczy</w:t>
      </w:r>
      <w:proofErr w:type="spellEnd"/>
      <w:r w:rsidRPr="007D1FCB">
        <w:rPr>
          <w:rFonts w:ascii="Times New Roman" w:eastAsia="Times New Roman" w:hAnsi="Times New Roman" w:cs="Times New Roman"/>
          <w:sz w:val="24"/>
          <w:szCs w:val="24"/>
        </w:rPr>
        <w:t xml:space="preserve">, C., &amp; Gompers, P. A. (2000). Is the abnormal return following equity issuances anomalous? </w:t>
      </w:r>
      <w:r w:rsidRPr="007D1FCB">
        <w:rPr>
          <w:rFonts w:ascii="Times New Roman" w:eastAsia="Times New Roman" w:hAnsi="Times New Roman" w:cs="Times New Roman"/>
          <w:i/>
          <w:sz w:val="24"/>
          <w:szCs w:val="24"/>
        </w:rPr>
        <w:t>Journal of Financial Economics</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56</w:t>
      </w:r>
      <w:r w:rsidRPr="007D1FCB">
        <w:rPr>
          <w:rFonts w:ascii="Times New Roman" w:eastAsia="Times New Roman" w:hAnsi="Times New Roman" w:cs="Times New Roman"/>
          <w:sz w:val="24"/>
          <w:szCs w:val="24"/>
        </w:rPr>
        <w:t xml:space="preserve">(2), 209–249. </w:t>
      </w:r>
      <w:hyperlink r:id="rId173">
        <w:r w:rsidRPr="007D1FCB">
          <w:rPr>
            <w:rFonts w:ascii="Times New Roman" w:eastAsia="Times New Roman" w:hAnsi="Times New Roman" w:cs="Times New Roman"/>
            <w:sz w:val="24"/>
            <w:szCs w:val="24"/>
          </w:rPr>
          <w:t>https://doi.org/10.1016/s0304-405x(00)00040-4</w:t>
        </w:r>
      </w:hyperlink>
    </w:p>
    <w:p w14:paraId="3CEEA81D"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lang w:val="de-DE"/>
        </w:rPr>
      </w:pPr>
      <w:r w:rsidRPr="007D1FCB">
        <w:rPr>
          <w:rFonts w:ascii="Times New Roman" w:eastAsia="Times New Roman" w:hAnsi="Times New Roman" w:cs="Times New Roman"/>
          <w:sz w:val="24"/>
          <w:szCs w:val="24"/>
        </w:rPr>
        <w:t xml:space="preserve">Budiman, A. (2019). Kinerja </w:t>
      </w:r>
      <w:proofErr w:type="spellStart"/>
      <w:r w:rsidRPr="007D1FCB">
        <w:rPr>
          <w:rFonts w:ascii="Times New Roman" w:eastAsia="Times New Roman" w:hAnsi="Times New Roman" w:cs="Times New Roman"/>
          <w:sz w:val="24"/>
          <w:szCs w:val="24"/>
        </w:rPr>
        <w:t>jangka</w:t>
      </w:r>
      <w:proofErr w:type="spellEnd"/>
      <w:r w:rsidRPr="007D1FCB">
        <w:rPr>
          <w:rFonts w:ascii="Times New Roman" w:eastAsia="Times New Roman" w:hAnsi="Times New Roman" w:cs="Times New Roman"/>
          <w:sz w:val="24"/>
          <w:szCs w:val="24"/>
        </w:rPr>
        <w:t xml:space="preserve"> </w:t>
      </w:r>
      <w:proofErr w:type="spellStart"/>
      <w:r w:rsidRPr="007D1FCB">
        <w:rPr>
          <w:rFonts w:ascii="Times New Roman" w:eastAsia="Times New Roman" w:hAnsi="Times New Roman" w:cs="Times New Roman"/>
          <w:sz w:val="24"/>
          <w:szCs w:val="24"/>
        </w:rPr>
        <w:t>pendek</w:t>
      </w:r>
      <w:proofErr w:type="spellEnd"/>
      <w:r w:rsidRPr="007D1FCB">
        <w:rPr>
          <w:rFonts w:ascii="Times New Roman" w:eastAsia="Times New Roman" w:hAnsi="Times New Roman" w:cs="Times New Roman"/>
          <w:sz w:val="24"/>
          <w:szCs w:val="24"/>
        </w:rPr>
        <w:t xml:space="preserve"> dan </w:t>
      </w:r>
      <w:proofErr w:type="spellStart"/>
      <w:r w:rsidRPr="007D1FCB">
        <w:rPr>
          <w:rFonts w:ascii="Times New Roman" w:eastAsia="Times New Roman" w:hAnsi="Times New Roman" w:cs="Times New Roman"/>
          <w:sz w:val="24"/>
          <w:szCs w:val="24"/>
        </w:rPr>
        <w:t>jangka</w:t>
      </w:r>
      <w:proofErr w:type="spellEnd"/>
      <w:r w:rsidRPr="007D1FCB">
        <w:rPr>
          <w:rFonts w:ascii="Times New Roman" w:eastAsia="Times New Roman" w:hAnsi="Times New Roman" w:cs="Times New Roman"/>
          <w:sz w:val="24"/>
          <w:szCs w:val="24"/>
        </w:rPr>
        <w:t xml:space="preserve"> </w:t>
      </w:r>
      <w:proofErr w:type="spellStart"/>
      <w:r w:rsidRPr="007D1FCB">
        <w:rPr>
          <w:rFonts w:ascii="Times New Roman" w:eastAsia="Times New Roman" w:hAnsi="Times New Roman" w:cs="Times New Roman"/>
          <w:sz w:val="24"/>
          <w:szCs w:val="24"/>
        </w:rPr>
        <w:t>panjang</w:t>
      </w:r>
      <w:proofErr w:type="spellEnd"/>
      <w:r w:rsidRPr="007D1FCB">
        <w:rPr>
          <w:rFonts w:ascii="Times New Roman" w:eastAsia="Times New Roman" w:hAnsi="Times New Roman" w:cs="Times New Roman"/>
          <w:sz w:val="24"/>
          <w:szCs w:val="24"/>
        </w:rPr>
        <w:t xml:space="preserve"> </w:t>
      </w:r>
      <w:proofErr w:type="spellStart"/>
      <w:r w:rsidRPr="007D1FCB">
        <w:rPr>
          <w:rFonts w:ascii="Times New Roman" w:eastAsia="Times New Roman" w:hAnsi="Times New Roman" w:cs="Times New Roman"/>
          <w:sz w:val="24"/>
          <w:szCs w:val="24"/>
        </w:rPr>
        <w:t>saham</w:t>
      </w:r>
      <w:proofErr w:type="spellEnd"/>
      <w:r w:rsidRPr="007D1FCB">
        <w:rPr>
          <w:rFonts w:ascii="Times New Roman" w:eastAsia="Times New Roman" w:hAnsi="Times New Roman" w:cs="Times New Roman"/>
          <w:sz w:val="24"/>
          <w:szCs w:val="24"/>
        </w:rPr>
        <w:t xml:space="preserve"> </w:t>
      </w:r>
      <w:proofErr w:type="spellStart"/>
      <w:r w:rsidRPr="007D1FCB">
        <w:rPr>
          <w:rFonts w:ascii="Times New Roman" w:eastAsia="Times New Roman" w:hAnsi="Times New Roman" w:cs="Times New Roman"/>
          <w:sz w:val="24"/>
          <w:szCs w:val="24"/>
        </w:rPr>
        <w:t>perusahaan</w:t>
      </w:r>
      <w:proofErr w:type="spellEnd"/>
      <w:r w:rsidRPr="007D1FCB">
        <w:rPr>
          <w:rFonts w:ascii="Times New Roman" w:eastAsia="Times New Roman" w:hAnsi="Times New Roman" w:cs="Times New Roman"/>
          <w:sz w:val="24"/>
          <w:szCs w:val="24"/>
        </w:rPr>
        <w:t xml:space="preserve"> IPO di Bursa </w:t>
      </w:r>
      <w:proofErr w:type="spellStart"/>
      <w:r w:rsidRPr="007D1FCB">
        <w:rPr>
          <w:rFonts w:ascii="Times New Roman" w:eastAsia="Times New Roman" w:hAnsi="Times New Roman" w:cs="Times New Roman"/>
          <w:sz w:val="24"/>
          <w:szCs w:val="24"/>
        </w:rPr>
        <w:t>Efek</w:t>
      </w:r>
      <w:proofErr w:type="spellEnd"/>
      <w:r w:rsidRPr="007D1FCB">
        <w:rPr>
          <w:rFonts w:ascii="Times New Roman" w:eastAsia="Times New Roman" w:hAnsi="Times New Roman" w:cs="Times New Roman"/>
          <w:sz w:val="24"/>
          <w:szCs w:val="24"/>
        </w:rPr>
        <w:t xml:space="preserve"> Indonesia. </w:t>
      </w:r>
      <w:r w:rsidRPr="007D1FCB">
        <w:rPr>
          <w:rFonts w:ascii="Times New Roman" w:eastAsia="Times New Roman" w:hAnsi="Times New Roman" w:cs="Times New Roman"/>
          <w:i/>
          <w:sz w:val="24"/>
          <w:szCs w:val="24"/>
          <w:lang w:val="de-DE"/>
        </w:rPr>
        <w:t>Jurnal Muara Ilmu Ekonomi dan Bisnis</w:t>
      </w:r>
      <w:r w:rsidRPr="007D1FCB">
        <w:rPr>
          <w:rFonts w:ascii="Times New Roman" w:eastAsia="Times New Roman" w:hAnsi="Times New Roman" w:cs="Times New Roman"/>
          <w:sz w:val="24"/>
          <w:szCs w:val="24"/>
          <w:lang w:val="de-DE"/>
        </w:rPr>
        <w:t xml:space="preserve">, </w:t>
      </w:r>
      <w:r w:rsidRPr="007D1FCB">
        <w:rPr>
          <w:rFonts w:ascii="Times New Roman" w:eastAsia="Times New Roman" w:hAnsi="Times New Roman" w:cs="Times New Roman"/>
          <w:i/>
          <w:sz w:val="24"/>
          <w:szCs w:val="24"/>
          <w:lang w:val="de-DE"/>
        </w:rPr>
        <w:t>2</w:t>
      </w:r>
      <w:r w:rsidRPr="007D1FCB">
        <w:rPr>
          <w:rFonts w:ascii="Times New Roman" w:eastAsia="Times New Roman" w:hAnsi="Times New Roman" w:cs="Times New Roman"/>
          <w:sz w:val="24"/>
          <w:szCs w:val="24"/>
          <w:lang w:val="de-DE"/>
        </w:rPr>
        <w:t xml:space="preserve">(2), 437. </w:t>
      </w:r>
      <w:hyperlink r:id="rId174">
        <w:r w:rsidRPr="007D1FCB">
          <w:rPr>
            <w:rFonts w:ascii="Times New Roman" w:eastAsia="Times New Roman" w:hAnsi="Times New Roman" w:cs="Times New Roman"/>
            <w:sz w:val="24"/>
            <w:szCs w:val="24"/>
            <w:lang w:val="de-DE"/>
          </w:rPr>
          <w:t>https://doi.org/10.24912/jmieb.v2i2.1684</w:t>
        </w:r>
      </w:hyperlink>
    </w:p>
    <w:p w14:paraId="2AB42FBC"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proofErr w:type="spellStart"/>
      <w:r w:rsidRPr="007D1FCB">
        <w:rPr>
          <w:rFonts w:ascii="Times New Roman" w:eastAsia="Times New Roman" w:hAnsi="Times New Roman" w:cs="Times New Roman"/>
          <w:sz w:val="24"/>
          <w:szCs w:val="24"/>
        </w:rPr>
        <w:t>Demsetz</w:t>
      </w:r>
      <w:proofErr w:type="spellEnd"/>
      <w:r w:rsidRPr="007D1FCB">
        <w:rPr>
          <w:rFonts w:ascii="Times New Roman" w:eastAsia="Times New Roman" w:hAnsi="Times New Roman" w:cs="Times New Roman"/>
          <w:sz w:val="24"/>
          <w:szCs w:val="24"/>
        </w:rPr>
        <w:t xml:space="preserve">, H., &amp; Lehn, K. (1985). The structure of corporate ownership: Causes and consequences. </w:t>
      </w:r>
      <w:r w:rsidRPr="007D1FCB">
        <w:rPr>
          <w:rFonts w:ascii="Times New Roman" w:eastAsia="Times New Roman" w:hAnsi="Times New Roman" w:cs="Times New Roman"/>
          <w:i/>
          <w:sz w:val="24"/>
          <w:szCs w:val="24"/>
        </w:rPr>
        <w:t>Journal of Political Economy, 93</w:t>
      </w:r>
      <w:r w:rsidRPr="007D1FCB">
        <w:rPr>
          <w:rFonts w:ascii="Times New Roman" w:eastAsia="Times New Roman" w:hAnsi="Times New Roman" w:cs="Times New Roman"/>
          <w:sz w:val="24"/>
          <w:szCs w:val="24"/>
        </w:rPr>
        <w:t xml:space="preserve">(6), 1155–1177. </w:t>
      </w:r>
      <w:hyperlink r:id="rId175">
        <w:r w:rsidRPr="007D1FCB">
          <w:rPr>
            <w:rFonts w:ascii="Times New Roman" w:eastAsia="Times New Roman" w:hAnsi="Times New Roman" w:cs="Times New Roman"/>
            <w:sz w:val="24"/>
            <w:szCs w:val="24"/>
          </w:rPr>
          <w:t>https://doi.org/10.1086/261354</w:t>
        </w:r>
      </w:hyperlink>
    </w:p>
    <w:p w14:paraId="5D9818E9"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Fama, E. F. (1970). Efficient capital markets: A review of theory and empirical work. </w:t>
      </w:r>
      <w:r w:rsidRPr="007D1FCB">
        <w:rPr>
          <w:rFonts w:ascii="Times New Roman" w:eastAsia="Times New Roman" w:hAnsi="Times New Roman" w:cs="Times New Roman"/>
          <w:i/>
          <w:sz w:val="24"/>
          <w:szCs w:val="24"/>
        </w:rPr>
        <w:t>The Journal of Finance, 25</w:t>
      </w:r>
      <w:r w:rsidRPr="007D1FCB">
        <w:rPr>
          <w:rFonts w:ascii="Times New Roman" w:eastAsia="Times New Roman" w:hAnsi="Times New Roman" w:cs="Times New Roman"/>
          <w:sz w:val="24"/>
          <w:szCs w:val="24"/>
        </w:rPr>
        <w:t xml:space="preserve">(2), 383–417. </w:t>
      </w:r>
      <w:hyperlink r:id="rId176">
        <w:r w:rsidRPr="007D1FCB">
          <w:rPr>
            <w:rFonts w:ascii="Times New Roman" w:eastAsia="Times New Roman" w:hAnsi="Times New Roman" w:cs="Times New Roman"/>
            <w:sz w:val="24"/>
            <w:szCs w:val="24"/>
          </w:rPr>
          <w:t>https://doi.org/10.2307/2325486</w:t>
        </w:r>
      </w:hyperlink>
    </w:p>
    <w:p w14:paraId="2F0085C7"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Fama, E. F. (1991). Efficient capital markets: II. </w:t>
      </w:r>
      <w:r w:rsidRPr="007D1FCB">
        <w:rPr>
          <w:rFonts w:ascii="Times New Roman" w:eastAsia="Times New Roman" w:hAnsi="Times New Roman" w:cs="Times New Roman"/>
          <w:i/>
          <w:sz w:val="24"/>
          <w:szCs w:val="24"/>
        </w:rPr>
        <w:t>The Journal of Finance, 46</w:t>
      </w:r>
      <w:r w:rsidRPr="007D1FCB">
        <w:rPr>
          <w:rFonts w:ascii="Times New Roman" w:eastAsia="Times New Roman" w:hAnsi="Times New Roman" w:cs="Times New Roman"/>
          <w:sz w:val="24"/>
          <w:szCs w:val="24"/>
        </w:rPr>
        <w:t xml:space="preserve">(5), 1575–1617. </w:t>
      </w:r>
      <w:hyperlink r:id="rId177">
        <w:r w:rsidRPr="007D1FCB">
          <w:rPr>
            <w:rFonts w:ascii="Times New Roman" w:eastAsia="Times New Roman" w:hAnsi="Times New Roman" w:cs="Times New Roman"/>
            <w:sz w:val="24"/>
            <w:szCs w:val="24"/>
          </w:rPr>
          <w:t>https://doi.org/10.1111/j.1540-6261.1991.tb04636.x</w:t>
        </w:r>
      </w:hyperlink>
    </w:p>
    <w:p w14:paraId="4218E2AF"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proofErr w:type="spellStart"/>
      <w:r w:rsidRPr="007D1FCB">
        <w:rPr>
          <w:rFonts w:ascii="Times New Roman" w:eastAsia="Times New Roman" w:hAnsi="Times New Roman" w:cs="Times New Roman"/>
          <w:sz w:val="24"/>
          <w:szCs w:val="24"/>
        </w:rPr>
        <w:t>Fuadi</w:t>
      </w:r>
      <w:proofErr w:type="spellEnd"/>
      <w:r w:rsidRPr="007D1FCB">
        <w:rPr>
          <w:rFonts w:ascii="Times New Roman" w:eastAsia="Times New Roman" w:hAnsi="Times New Roman" w:cs="Times New Roman"/>
          <w:sz w:val="24"/>
          <w:szCs w:val="24"/>
        </w:rPr>
        <w:t xml:space="preserve">, A. A., &amp; Pasaribu, P. (2024). IPO long-term performance: Evidence from Indonesia Stock Exchange 2019–2020. </w:t>
      </w:r>
      <w:r w:rsidRPr="007D1FCB">
        <w:rPr>
          <w:rFonts w:ascii="Times New Roman" w:eastAsia="Times New Roman" w:hAnsi="Times New Roman" w:cs="Times New Roman"/>
          <w:i/>
          <w:sz w:val="24"/>
          <w:szCs w:val="24"/>
        </w:rPr>
        <w:t>Equity</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27</w:t>
      </w:r>
      <w:r w:rsidRPr="007D1FCB">
        <w:rPr>
          <w:rFonts w:ascii="Times New Roman" w:eastAsia="Times New Roman" w:hAnsi="Times New Roman" w:cs="Times New Roman"/>
          <w:sz w:val="24"/>
          <w:szCs w:val="24"/>
        </w:rPr>
        <w:t xml:space="preserve">(2), 240–253. </w:t>
      </w:r>
      <w:hyperlink r:id="rId178">
        <w:r w:rsidRPr="007D1FCB">
          <w:rPr>
            <w:rFonts w:ascii="Times New Roman" w:eastAsia="Times New Roman" w:hAnsi="Times New Roman" w:cs="Times New Roman"/>
            <w:sz w:val="24"/>
            <w:szCs w:val="24"/>
          </w:rPr>
          <w:t>https://doi.org/10.34209/equ.v27i2.9382</w:t>
        </w:r>
      </w:hyperlink>
    </w:p>
    <w:p w14:paraId="4FBD20AD"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proofErr w:type="spellStart"/>
      <w:r w:rsidRPr="007D1FCB">
        <w:rPr>
          <w:rFonts w:ascii="Times New Roman" w:eastAsia="Times New Roman" w:hAnsi="Times New Roman" w:cs="Times New Roman"/>
          <w:sz w:val="24"/>
          <w:szCs w:val="24"/>
        </w:rPr>
        <w:t>Gedajlovic</w:t>
      </w:r>
      <w:proofErr w:type="spellEnd"/>
      <w:r w:rsidRPr="007D1FCB">
        <w:rPr>
          <w:rFonts w:ascii="Times New Roman" w:eastAsia="Times New Roman" w:hAnsi="Times New Roman" w:cs="Times New Roman"/>
          <w:sz w:val="24"/>
          <w:szCs w:val="24"/>
        </w:rPr>
        <w:t xml:space="preserve">, E., &amp; Shapiro, D. M. (2002). Ownership structure and firm profitability in Japan. </w:t>
      </w:r>
      <w:r w:rsidRPr="007D1FCB">
        <w:rPr>
          <w:rFonts w:ascii="Times New Roman" w:eastAsia="Times New Roman" w:hAnsi="Times New Roman" w:cs="Times New Roman"/>
          <w:i/>
          <w:sz w:val="24"/>
          <w:szCs w:val="24"/>
        </w:rPr>
        <w:t>The Academy of Management Journal</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45</w:t>
      </w:r>
      <w:r w:rsidRPr="007D1FCB">
        <w:rPr>
          <w:rFonts w:ascii="Times New Roman" w:eastAsia="Times New Roman" w:hAnsi="Times New Roman" w:cs="Times New Roman"/>
          <w:sz w:val="24"/>
          <w:szCs w:val="24"/>
        </w:rPr>
        <w:t xml:space="preserve">(3), 565–575. </w:t>
      </w:r>
      <w:hyperlink r:id="rId179">
        <w:r w:rsidRPr="007D1FCB">
          <w:rPr>
            <w:rFonts w:ascii="Times New Roman" w:eastAsia="Times New Roman" w:hAnsi="Times New Roman" w:cs="Times New Roman"/>
            <w:sz w:val="24"/>
            <w:szCs w:val="24"/>
          </w:rPr>
          <w:t>https://www.jstor.org/stable/3069381</w:t>
        </w:r>
      </w:hyperlink>
    </w:p>
    <w:p w14:paraId="259B632B"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lang w:val="de-DE"/>
        </w:rPr>
        <w:t xml:space="preserve">Gujarati, D. N., &amp; Porter, D. C. (2009). </w:t>
      </w:r>
      <w:r w:rsidRPr="007D1FCB">
        <w:rPr>
          <w:rFonts w:ascii="Times New Roman" w:eastAsia="Times New Roman" w:hAnsi="Times New Roman" w:cs="Times New Roman"/>
          <w:i/>
          <w:sz w:val="24"/>
          <w:szCs w:val="24"/>
        </w:rPr>
        <w:t xml:space="preserve">Basic econometrics </w:t>
      </w:r>
      <w:r w:rsidRPr="007D1FCB">
        <w:rPr>
          <w:rFonts w:ascii="Times New Roman" w:eastAsia="Times New Roman" w:hAnsi="Times New Roman" w:cs="Times New Roman"/>
          <w:sz w:val="24"/>
          <w:szCs w:val="24"/>
        </w:rPr>
        <w:t>(5th ed.). McGraw-Hill Education.</w:t>
      </w:r>
    </w:p>
    <w:p w14:paraId="553825B0"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proofErr w:type="spellStart"/>
      <w:r w:rsidRPr="007D1FCB">
        <w:rPr>
          <w:rFonts w:ascii="Times New Roman" w:eastAsia="Times New Roman" w:hAnsi="Times New Roman" w:cs="Times New Roman"/>
          <w:sz w:val="24"/>
          <w:szCs w:val="24"/>
        </w:rPr>
        <w:t>Hardiyanto</w:t>
      </w:r>
      <w:proofErr w:type="spellEnd"/>
      <w:r w:rsidRPr="007D1FCB">
        <w:rPr>
          <w:rFonts w:ascii="Times New Roman" w:eastAsia="Times New Roman" w:hAnsi="Times New Roman" w:cs="Times New Roman"/>
          <w:sz w:val="24"/>
          <w:szCs w:val="24"/>
        </w:rPr>
        <w:t xml:space="preserve">, D., &amp; </w:t>
      </w:r>
      <w:proofErr w:type="spellStart"/>
      <w:r w:rsidRPr="007D1FCB">
        <w:rPr>
          <w:rFonts w:ascii="Times New Roman" w:eastAsia="Times New Roman" w:hAnsi="Times New Roman" w:cs="Times New Roman"/>
          <w:sz w:val="24"/>
          <w:szCs w:val="24"/>
        </w:rPr>
        <w:t>Syarif</w:t>
      </w:r>
      <w:proofErr w:type="spellEnd"/>
      <w:r w:rsidRPr="007D1FCB">
        <w:rPr>
          <w:rFonts w:ascii="Times New Roman" w:eastAsia="Times New Roman" w:hAnsi="Times New Roman" w:cs="Times New Roman"/>
          <w:sz w:val="24"/>
          <w:szCs w:val="24"/>
        </w:rPr>
        <w:t xml:space="preserve">, A. D. (2024). The effect of PER, DER, firm’s age, firm’s size, gross proceeds and public float on long-run stock performance after IPO with initial return as an intervening variable. </w:t>
      </w:r>
      <w:r w:rsidRPr="007D1FCB">
        <w:rPr>
          <w:rFonts w:ascii="Times New Roman" w:eastAsia="Times New Roman" w:hAnsi="Times New Roman" w:cs="Times New Roman"/>
          <w:i/>
          <w:sz w:val="24"/>
          <w:szCs w:val="24"/>
        </w:rPr>
        <w:t>International Journal of Innovative Science and Research Technology (IJISRT)</w:t>
      </w:r>
      <w:r w:rsidRPr="007D1FCB">
        <w:rPr>
          <w:rFonts w:ascii="Times New Roman" w:eastAsia="Times New Roman" w:hAnsi="Times New Roman" w:cs="Times New Roman"/>
          <w:sz w:val="24"/>
          <w:szCs w:val="24"/>
        </w:rPr>
        <w:t xml:space="preserve">, 73–88. </w:t>
      </w:r>
      <w:hyperlink r:id="rId180">
        <w:r w:rsidRPr="007D1FCB">
          <w:rPr>
            <w:rFonts w:ascii="Times New Roman" w:eastAsia="Times New Roman" w:hAnsi="Times New Roman" w:cs="Times New Roman"/>
            <w:sz w:val="24"/>
            <w:szCs w:val="24"/>
          </w:rPr>
          <w:t>https://doi.org/10.38124/ijisrt/ijisrt24aug057</w:t>
        </w:r>
      </w:hyperlink>
    </w:p>
    <w:p w14:paraId="660AAC33"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lang w:val="de-DE"/>
        </w:rPr>
      </w:pPr>
      <w:r w:rsidRPr="007D1FCB">
        <w:rPr>
          <w:rFonts w:ascii="Times New Roman" w:eastAsia="Times New Roman" w:hAnsi="Times New Roman" w:cs="Times New Roman"/>
          <w:sz w:val="24"/>
          <w:szCs w:val="24"/>
        </w:rPr>
        <w:t xml:space="preserve">Indonesia Stock Exchange. (2023). </w:t>
      </w:r>
      <w:r w:rsidRPr="007D1FCB">
        <w:rPr>
          <w:rFonts w:ascii="Times New Roman" w:eastAsia="Times New Roman" w:hAnsi="Times New Roman" w:cs="Times New Roman"/>
          <w:i/>
          <w:sz w:val="24"/>
          <w:szCs w:val="24"/>
        </w:rPr>
        <w:t>IDX yearly statistics 2023</w:t>
      </w:r>
      <w:r w:rsidRPr="007D1FCB">
        <w:rPr>
          <w:rFonts w:ascii="Times New Roman" w:eastAsia="Times New Roman" w:hAnsi="Times New Roman" w:cs="Times New Roman"/>
          <w:sz w:val="24"/>
          <w:szCs w:val="24"/>
        </w:rPr>
        <w:t xml:space="preserve">. </w:t>
      </w:r>
      <w:hyperlink r:id="rId181">
        <w:r w:rsidRPr="007D1FCB">
          <w:rPr>
            <w:rFonts w:ascii="Times New Roman" w:eastAsia="Times New Roman" w:hAnsi="Times New Roman" w:cs="Times New Roman"/>
            <w:sz w:val="24"/>
            <w:szCs w:val="24"/>
            <w:lang w:val="de-DE"/>
          </w:rPr>
          <w:t>https://www.idx.co.id</w:t>
        </w:r>
      </w:hyperlink>
    </w:p>
    <w:p w14:paraId="427D0382"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lang w:val="de-DE"/>
        </w:rPr>
        <w:t xml:space="preserve">Jensen, M. C., &amp; Meckling, W. H. (1976). </w:t>
      </w:r>
      <w:r w:rsidRPr="007D1FCB">
        <w:rPr>
          <w:rFonts w:ascii="Times New Roman" w:eastAsia="Times New Roman" w:hAnsi="Times New Roman" w:cs="Times New Roman"/>
          <w:sz w:val="24"/>
          <w:szCs w:val="24"/>
        </w:rPr>
        <w:t xml:space="preserve">Theory of the firm: Managerial </w:t>
      </w:r>
      <w:proofErr w:type="spellStart"/>
      <w:r w:rsidRPr="007D1FCB">
        <w:rPr>
          <w:rFonts w:ascii="Times New Roman" w:eastAsia="Times New Roman" w:hAnsi="Times New Roman" w:cs="Times New Roman"/>
          <w:sz w:val="24"/>
          <w:szCs w:val="24"/>
        </w:rPr>
        <w:t>behavior</w:t>
      </w:r>
      <w:proofErr w:type="spellEnd"/>
      <w:r w:rsidRPr="007D1FCB">
        <w:rPr>
          <w:rFonts w:ascii="Times New Roman" w:eastAsia="Times New Roman" w:hAnsi="Times New Roman" w:cs="Times New Roman"/>
          <w:sz w:val="24"/>
          <w:szCs w:val="24"/>
        </w:rPr>
        <w:t xml:space="preserve">, agency costs and ownership structure. </w:t>
      </w:r>
      <w:r w:rsidRPr="007D1FCB">
        <w:rPr>
          <w:rFonts w:ascii="Times New Roman" w:eastAsia="Times New Roman" w:hAnsi="Times New Roman" w:cs="Times New Roman"/>
          <w:i/>
          <w:sz w:val="24"/>
          <w:szCs w:val="24"/>
        </w:rPr>
        <w:t>Journal of Financial Economics</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3</w:t>
      </w:r>
      <w:r w:rsidRPr="007D1FCB">
        <w:rPr>
          <w:rFonts w:ascii="Times New Roman" w:eastAsia="Times New Roman" w:hAnsi="Times New Roman" w:cs="Times New Roman"/>
          <w:sz w:val="24"/>
          <w:szCs w:val="24"/>
        </w:rPr>
        <w:t xml:space="preserve">(4), 305–360. </w:t>
      </w:r>
      <w:hyperlink r:id="rId182">
        <w:r w:rsidRPr="007D1FCB">
          <w:rPr>
            <w:rFonts w:ascii="Times New Roman" w:eastAsia="Times New Roman" w:hAnsi="Times New Roman" w:cs="Times New Roman"/>
            <w:sz w:val="24"/>
            <w:szCs w:val="24"/>
          </w:rPr>
          <w:t>https://doi.org/10.1016/0304-405x(76)90026-x</w:t>
        </w:r>
      </w:hyperlink>
    </w:p>
    <w:p w14:paraId="50FC6A0B"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Kumar, A., &amp; Sahoo, S. (2021). Do anchor investors affect long run performance? Kumar, A., &amp; Sahoo, S. (2021). Do anchor investors affect long run performance? Evidence from Indian IPO markets. </w:t>
      </w:r>
      <w:r w:rsidRPr="007D1FCB">
        <w:rPr>
          <w:rFonts w:ascii="Times New Roman" w:eastAsia="Times New Roman" w:hAnsi="Times New Roman" w:cs="Times New Roman"/>
          <w:i/>
          <w:sz w:val="24"/>
          <w:szCs w:val="24"/>
        </w:rPr>
        <w:t>Pacific Accounting Review</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33</w:t>
      </w:r>
      <w:r w:rsidRPr="007D1FCB">
        <w:rPr>
          <w:rFonts w:ascii="Times New Roman" w:eastAsia="Times New Roman" w:hAnsi="Times New Roman" w:cs="Times New Roman"/>
          <w:sz w:val="24"/>
          <w:szCs w:val="24"/>
        </w:rPr>
        <w:t xml:space="preserve">(3), 322–346. </w:t>
      </w:r>
      <w:hyperlink r:id="rId183">
        <w:r w:rsidRPr="007D1FCB">
          <w:rPr>
            <w:rFonts w:ascii="Times New Roman" w:eastAsia="Times New Roman" w:hAnsi="Times New Roman" w:cs="Times New Roman"/>
            <w:sz w:val="24"/>
            <w:szCs w:val="24"/>
          </w:rPr>
          <w:t>https://doi.org/10.1108/par-09-2020-0149</w:t>
        </w:r>
      </w:hyperlink>
    </w:p>
    <w:p w14:paraId="7E7CFD56"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Leland, H. E., &amp; Pyle, D. H. (1977). Informational asymmetries, financial structure, and financial intermediation. </w:t>
      </w:r>
      <w:r w:rsidRPr="007D1FCB">
        <w:rPr>
          <w:rFonts w:ascii="Times New Roman" w:eastAsia="Times New Roman" w:hAnsi="Times New Roman" w:cs="Times New Roman"/>
          <w:i/>
          <w:sz w:val="24"/>
          <w:szCs w:val="24"/>
        </w:rPr>
        <w:t>The Journal of Finance</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32</w:t>
      </w:r>
      <w:r w:rsidRPr="007D1FCB">
        <w:rPr>
          <w:rFonts w:ascii="Times New Roman" w:eastAsia="Times New Roman" w:hAnsi="Times New Roman" w:cs="Times New Roman"/>
          <w:sz w:val="24"/>
          <w:szCs w:val="24"/>
        </w:rPr>
        <w:t xml:space="preserve">(2), 371–387. </w:t>
      </w:r>
      <w:hyperlink r:id="rId184">
        <w:r w:rsidRPr="007D1FCB">
          <w:rPr>
            <w:rFonts w:ascii="Times New Roman" w:eastAsia="Times New Roman" w:hAnsi="Times New Roman" w:cs="Times New Roman"/>
            <w:sz w:val="24"/>
            <w:szCs w:val="24"/>
          </w:rPr>
          <w:t>https://doi.org/10.2307/2326770</w:t>
        </w:r>
      </w:hyperlink>
    </w:p>
    <w:p w14:paraId="1C0FC82D"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Lemmon, M. L., &amp; Zender, J. F. (2010). Debt capacity and tests of capital structure theories. </w:t>
      </w:r>
      <w:r w:rsidRPr="007D1FCB">
        <w:rPr>
          <w:rFonts w:ascii="Times New Roman" w:eastAsia="Times New Roman" w:hAnsi="Times New Roman" w:cs="Times New Roman"/>
          <w:i/>
          <w:sz w:val="24"/>
          <w:szCs w:val="24"/>
        </w:rPr>
        <w:t>Journal of Financial and Quantitative Analysis</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45</w:t>
      </w:r>
      <w:r w:rsidRPr="007D1FCB">
        <w:rPr>
          <w:rFonts w:ascii="Times New Roman" w:eastAsia="Times New Roman" w:hAnsi="Times New Roman" w:cs="Times New Roman"/>
          <w:sz w:val="24"/>
          <w:szCs w:val="24"/>
        </w:rPr>
        <w:t xml:space="preserve">(5), 1161–1187. </w:t>
      </w:r>
      <w:hyperlink r:id="rId185">
        <w:r w:rsidRPr="007D1FCB">
          <w:rPr>
            <w:rFonts w:ascii="Times New Roman" w:eastAsia="Times New Roman" w:hAnsi="Times New Roman" w:cs="Times New Roman"/>
            <w:sz w:val="24"/>
            <w:szCs w:val="24"/>
          </w:rPr>
          <w:t>https://doi.org/10.1017/S0022109010000499</w:t>
        </w:r>
      </w:hyperlink>
    </w:p>
    <w:p w14:paraId="247F2A9C"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Loughran, T., &amp; Ritter, J. (2004). Why has IPO </w:t>
      </w:r>
      <w:proofErr w:type="spellStart"/>
      <w:r w:rsidRPr="007D1FCB">
        <w:rPr>
          <w:rFonts w:ascii="Times New Roman" w:eastAsia="Times New Roman" w:hAnsi="Times New Roman" w:cs="Times New Roman"/>
          <w:sz w:val="24"/>
          <w:szCs w:val="24"/>
        </w:rPr>
        <w:t>underpricing</w:t>
      </w:r>
      <w:proofErr w:type="spellEnd"/>
      <w:r w:rsidRPr="007D1FCB">
        <w:rPr>
          <w:rFonts w:ascii="Times New Roman" w:eastAsia="Times New Roman" w:hAnsi="Times New Roman" w:cs="Times New Roman"/>
          <w:sz w:val="24"/>
          <w:szCs w:val="24"/>
        </w:rPr>
        <w:t xml:space="preserve"> changed over time? </w:t>
      </w:r>
      <w:r w:rsidRPr="007D1FCB">
        <w:rPr>
          <w:rFonts w:ascii="Times New Roman" w:eastAsia="Times New Roman" w:hAnsi="Times New Roman" w:cs="Times New Roman"/>
          <w:i/>
          <w:sz w:val="24"/>
          <w:szCs w:val="24"/>
        </w:rPr>
        <w:t>Financial Management</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33</w:t>
      </w:r>
      <w:r w:rsidRPr="007D1FCB">
        <w:rPr>
          <w:rFonts w:ascii="Times New Roman" w:eastAsia="Times New Roman" w:hAnsi="Times New Roman" w:cs="Times New Roman"/>
          <w:sz w:val="24"/>
          <w:szCs w:val="24"/>
        </w:rPr>
        <w:t xml:space="preserve">(3), 5–37. </w:t>
      </w:r>
      <w:hyperlink r:id="rId186">
        <w:r w:rsidRPr="007D1FCB">
          <w:rPr>
            <w:rFonts w:ascii="Times New Roman" w:eastAsia="Times New Roman" w:hAnsi="Times New Roman" w:cs="Times New Roman"/>
            <w:sz w:val="24"/>
            <w:szCs w:val="24"/>
          </w:rPr>
          <w:t>http://www.jstor.org/stable/3666262</w:t>
        </w:r>
      </w:hyperlink>
    </w:p>
    <w:p w14:paraId="3D92685B"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lastRenderedPageBreak/>
        <w:t xml:space="preserve">Megginson, W. L., &amp; Weiss, K. A. (1991). Venture capitalist certification in initial public offerings. </w:t>
      </w:r>
      <w:r w:rsidRPr="007D1FCB">
        <w:rPr>
          <w:rFonts w:ascii="Times New Roman" w:eastAsia="Times New Roman" w:hAnsi="Times New Roman" w:cs="Times New Roman"/>
          <w:i/>
          <w:sz w:val="24"/>
          <w:szCs w:val="24"/>
        </w:rPr>
        <w:t>The Journal of Finance, 46</w:t>
      </w:r>
      <w:r w:rsidRPr="007D1FCB">
        <w:rPr>
          <w:rFonts w:ascii="Times New Roman" w:eastAsia="Times New Roman" w:hAnsi="Times New Roman" w:cs="Times New Roman"/>
          <w:sz w:val="24"/>
          <w:szCs w:val="24"/>
        </w:rPr>
        <w:t xml:space="preserve">(3), 879–903. </w:t>
      </w:r>
      <w:hyperlink r:id="rId187">
        <w:r w:rsidRPr="007D1FCB">
          <w:rPr>
            <w:rFonts w:ascii="Times New Roman" w:eastAsia="Times New Roman" w:hAnsi="Times New Roman" w:cs="Times New Roman"/>
            <w:sz w:val="24"/>
            <w:szCs w:val="24"/>
          </w:rPr>
          <w:t>https://doi.org/10.1111/j.1540-6261.1991.tb03770.x</w:t>
        </w:r>
      </w:hyperlink>
    </w:p>
    <w:p w14:paraId="34BA420D"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Mehmood, W., Mohd Rashid, R., &amp; Tajuddin, A. H. (2021). review of IPO </w:t>
      </w:r>
      <w:proofErr w:type="spellStart"/>
      <w:r w:rsidRPr="007D1FCB">
        <w:rPr>
          <w:rFonts w:ascii="Times New Roman" w:eastAsia="Times New Roman" w:hAnsi="Times New Roman" w:cs="Times New Roman"/>
          <w:sz w:val="24"/>
          <w:szCs w:val="24"/>
        </w:rPr>
        <w:t>underpricing</w:t>
      </w:r>
      <w:proofErr w:type="spellEnd"/>
      <w:r w:rsidRPr="007D1FCB">
        <w:rPr>
          <w:rFonts w:ascii="Times New Roman" w:eastAsia="Times New Roman" w:hAnsi="Times New Roman" w:cs="Times New Roman"/>
          <w:sz w:val="24"/>
          <w:szCs w:val="24"/>
        </w:rPr>
        <w:t xml:space="preserve">: Evidences from developed, developing and emerging markets. </w:t>
      </w:r>
      <w:r w:rsidRPr="007D1FCB">
        <w:rPr>
          <w:rFonts w:ascii="Times New Roman" w:eastAsia="Times New Roman" w:hAnsi="Times New Roman" w:cs="Times New Roman"/>
          <w:i/>
          <w:sz w:val="24"/>
          <w:szCs w:val="24"/>
        </w:rPr>
        <w:t>Journal of Contemporary Issues and Thought, 11</w:t>
      </w:r>
      <w:r w:rsidRPr="007D1FCB">
        <w:rPr>
          <w:rFonts w:ascii="Times New Roman" w:eastAsia="Times New Roman" w:hAnsi="Times New Roman" w:cs="Times New Roman"/>
          <w:sz w:val="24"/>
          <w:szCs w:val="24"/>
        </w:rPr>
        <w:t xml:space="preserve">(1), 1-19. </w:t>
      </w:r>
      <w:hyperlink r:id="rId188">
        <w:r w:rsidRPr="007D1FCB">
          <w:rPr>
            <w:rFonts w:ascii="Times New Roman" w:eastAsia="Times New Roman" w:hAnsi="Times New Roman" w:cs="Times New Roman"/>
            <w:sz w:val="24"/>
            <w:szCs w:val="24"/>
          </w:rPr>
          <w:t>https://doi.org/10.37134/jcit.vol11.1.2021</w:t>
        </w:r>
      </w:hyperlink>
    </w:p>
    <w:p w14:paraId="6884C224"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Michel, A., Oded, J., &amp; Shaked, I. (2013). Ownership structure and performance: Evidence from the public float in IPOs. </w:t>
      </w:r>
      <w:r w:rsidRPr="007D1FCB">
        <w:rPr>
          <w:rFonts w:ascii="Times New Roman" w:eastAsia="Times New Roman" w:hAnsi="Times New Roman" w:cs="Times New Roman"/>
          <w:i/>
          <w:sz w:val="24"/>
          <w:szCs w:val="24"/>
        </w:rPr>
        <w:t>Journal of Banking &amp; Finance</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40</w:t>
      </w:r>
      <w:r w:rsidRPr="007D1FCB">
        <w:rPr>
          <w:rFonts w:ascii="Times New Roman" w:eastAsia="Times New Roman" w:hAnsi="Times New Roman" w:cs="Times New Roman"/>
          <w:sz w:val="24"/>
          <w:szCs w:val="24"/>
        </w:rPr>
        <w:t xml:space="preserve">, 54–61. </w:t>
      </w:r>
      <w:hyperlink r:id="rId189">
        <w:r w:rsidRPr="007D1FCB">
          <w:rPr>
            <w:rFonts w:ascii="Times New Roman" w:eastAsia="Times New Roman" w:hAnsi="Times New Roman" w:cs="Times New Roman"/>
            <w:sz w:val="24"/>
            <w:szCs w:val="24"/>
          </w:rPr>
          <w:t>https://doi.org/10.1016/j.jbankfin.2013.11.018</w:t>
        </w:r>
      </w:hyperlink>
    </w:p>
    <w:p w14:paraId="4818BB9D"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Myers, S. C., &amp; Majluf, N. S. (1984). Corporate financing and investment decisions when firms have information that investors do not have. </w:t>
      </w:r>
      <w:r w:rsidRPr="007D1FCB">
        <w:rPr>
          <w:rFonts w:ascii="Times New Roman" w:eastAsia="Times New Roman" w:hAnsi="Times New Roman" w:cs="Times New Roman"/>
          <w:i/>
          <w:sz w:val="24"/>
          <w:szCs w:val="24"/>
        </w:rPr>
        <w:t>Journal of Financial Economics</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13</w:t>
      </w:r>
      <w:r w:rsidRPr="007D1FCB">
        <w:rPr>
          <w:rFonts w:ascii="Times New Roman" w:eastAsia="Times New Roman" w:hAnsi="Times New Roman" w:cs="Times New Roman"/>
          <w:sz w:val="24"/>
          <w:szCs w:val="24"/>
        </w:rPr>
        <w:t xml:space="preserve">(2), 187–221. </w:t>
      </w:r>
      <w:hyperlink r:id="rId190">
        <w:r w:rsidRPr="007D1FCB">
          <w:rPr>
            <w:rFonts w:ascii="Times New Roman" w:eastAsia="Times New Roman" w:hAnsi="Times New Roman" w:cs="Times New Roman"/>
            <w:sz w:val="24"/>
            <w:szCs w:val="24"/>
          </w:rPr>
          <w:t>https://doi.org/10.1016/0304-405x(84)90023-0</w:t>
        </w:r>
      </w:hyperlink>
    </w:p>
    <w:p w14:paraId="77E25C62"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Okumu, A. B., </w:t>
      </w:r>
      <w:proofErr w:type="spellStart"/>
      <w:r w:rsidRPr="007D1FCB">
        <w:rPr>
          <w:rFonts w:ascii="Times New Roman" w:eastAsia="Times New Roman" w:hAnsi="Times New Roman" w:cs="Times New Roman"/>
          <w:sz w:val="24"/>
          <w:szCs w:val="24"/>
        </w:rPr>
        <w:t>Olweny</w:t>
      </w:r>
      <w:proofErr w:type="spellEnd"/>
      <w:r w:rsidRPr="007D1FCB">
        <w:rPr>
          <w:rFonts w:ascii="Times New Roman" w:eastAsia="Times New Roman" w:hAnsi="Times New Roman" w:cs="Times New Roman"/>
          <w:sz w:val="24"/>
          <w:szCs w:val="24"/>
        </w:rPr>
        <w:t xml:space="preserve">, T., &amp; Muturi, W. (2022). Nexus between firm ownership, board composition and initial public offering stocks performance at the Nairobi Securities Exchange in Kenya. </w:t>
      </w:r>
      <w:r w:rsidRPr="007D1FCB">
        <w:rPr>
          <w:rFonts w:ascii="Times New Roman" w:eastAsia="Times New Roman" w:hAnsi="Times New Roman" w:cs="Times New Roman"/>
          <w:i/>
          <w:sz w:val="24"/>
          <w:szCs w:val="24"/>
        </w:rPr>
        <w:t>Journal of Accounting Business and Finance Research</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14</w:t>
      </w:r>
      <w:r w:rsidRPr="007D1FCB">
        <w:rPr>
          <w:rFonts w:ascii="Times New Roman" w:eastAsia="Times New Roman" w:hAnsi="Times New Roman" w:cs="Times New Roman"/>
          <w:sz w:val="24"/>
          <w:szCs w:val="24"/>
        </w:rPr>
        <w:t xml:space="preserve">(2), 30–44. </w:t>
      </w:r>
      <w:hyperlink r:id="rId191">
        <w:r w:rsidRPr="007D1FCB">
          <w:rPr>
            <w:rFonts w:ascii="Times New Roman" w:eastAsia="Times New Roman" w:hAnsi="Times New Roman" w:cs="Times New Roman"/>
            <w:sz w:val="24"/>
            <w:szCs w:val="24"/>
          </w:rPr>
          <w:t>https://doi.org/10.55217/102.v14i2.512</w:t>
        </w:r>
      </w:hyperlink>
    </w:p>
    <w:p w14:paraId="41FF2073"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Pham, P. K., Kalev, P. S., &amp; Steen, A. B. (2003). </w:t>
      </w:r>
      <w:proofErr w:type="spellStart"/>
      <w:r w:rsidRPr="007D1FCB">
        <w:rPr>
          <w:rFonts w:ascii="Times New Roman" w:eastAsia="Times New Roman" w:hAnsi="Times New Roman" w:cs="Times New Roman"/>
          <w:sz w:val="24"/>
          <w:szCs w:val="24"/>
        </w:rPr>
        <w:t>Underpricing</w:t>
      </w:r>
      <w:proofErr w:type="spellEnd"/>
      <w:r w:rsidRPr="007D1FCB">
        <w:rPr>
          <w:rFonts w:ascii="Times New Roman" w:eastAsia="Times New Roman" w:hAnsi="Times New Roman" w:cs="Times New Roman"/>
          <w:sz w:val="24"/>
          <w:szCs w:val="24"/>
        </w:rPr>
        <w:t xml:space="preserve">, stock allocation, ownership structure and post-listing liquidity of newly listed firms. </w:t>
      </w:r>
      <w:r w:rsidRPr="007D1FCB">
        <w:rPr>
          <w:rFonts w:ascii="Times New Roman" w:eastAsia="Times New Roman" w:hAnsi="Times New Roman" w:cs="Times New Roman"/>
          <w:i/>
          <w:sz w:val="24"/>
          <w:szCs w:val="24"/>
        </w:rPr>
        <w:t>Journal of Banking &amp; Finance</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27</w:t>
      </w:r>
      <w:r w:rsidRPr="007D1FCB">
        <w:rPr>
          <w:rFonts w:ascii="Times New Roman" w:eastAsia="Times New Roman" w:hAnsi="Times New Roman" w:cs="Times New Roman"/>
          <w:sz w:val="24"/>
          <w:szCs w:val="24"/>
        </w:rPr>
        <w:t xml:space="preserve">(5), 919–947. </w:t>
      </w:r>
      <w:hyperlink r:id="rId192">
        <w:r w:rsidRPr="007D1FCB">
          <w:rPr>
            <w:rFonts w:ascii="Times New Roman" w:eastAsia="Times New Roman" w:hAnsi="Times New Roman" w:cs="Times New Roman"/>
            <w:sz w:val="24"/>
            <w:szCs w:val="24"/>
          </w:rPr>
          <w:t>https://doi.org/10.1016/s0378-4266(02)00241-8</w:t>
        </w:r>
      </w:hyperlink>
    </w:p>
    <w:p w14:paraId="738CB790"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Pratiwi, D. E., Nugroho, I. C., Susanto, A. S., &amp; </w:t>
      </w:r>
      <w:proofErr w:type="spellStart"/>
      <w:r w:rsidRPr="007D1FCB">
        <w:rPr>
          <w:rFonts w:ascii="Times New Roman" w:eastAsia="Times New Roman" w:hAnsi="Times New Roman" w:cs="Times New Roman"/>
          <w:sz w:val="24"/>
          <w:szCs w:val="24"/>
        </w:rPr>
        <w:t>Muharam</w:t>
      </w:r>
      <w:proofErr w:type="spellEnd"/>
      <w:r w:rsidRPr="007D1FCB">
        <w:rPr>
          <w:rFonts w:ascii="Times New Roman" w:eastAsia="Times New Roman" w:hAnsi="Times New Roman" w:cs="Times New Roman"/>
          <w:sz w:val="24"/>
          <w:szCs w:val="24"/>
        </w:rPr>
        <w:t xml:space="preserve">, H. (2024). Long-term performance of green company IPOs and </w:t>
      </w:r>
      <w:proofErr w:type="spellStart"/>
      <w:r w:rsidRPr="007D1FCB">
        <w:rPr>
          <w:rFonts w:ascii="Times New Roman" w:eastAsia="Times New Roman" w:hAnsi="Times New Roman" w:cs="Times New Roman"/>
          <w:sz w:val="24"/>
          <w:szCs w:val="24"/>
        </w:rPr>
        <w:t>underpricing</w:t>
      </w:r>
      <w:proofErr w:type="spellEnd"/>
      <w:r w:rsidRPr="007D1FCB">
        <w:rPr>
          <w:rFonts w:ascii="Times New Roman" w:eastAsia="Times New Roman" w:hAnsi="Times New Roman" w:cs="Times New Roman"/>
          <w:sz w:val="24"/>
          <w:szCs w:val="24"/>
        </w:rPr>
        <w:t xml:space="preserve"> factors for Gold Indonesia 2045. </w:t>
      </w:r>
      <w:r w:rsidRPr="007D1FCB">
        <w:rPr>
          <w:rFonts w:ascii="Times New Roman" w:eastAsia="Times New Roman" w:hAnsi="Times New Roman" w:cs="Times New Roman"/>
          <w:i/>
          <w:sz w:val="24"/>
          <w:szCs w:val="24"/>
        </w:rPr>
        <w:t>Research Horizon, 4</w:t>
      </w:r>
      <w:r w:rsidRPr="007D1FCB">
        <w:rPr>
          <w:rFonts w:ascii="Times New Roman" w:eastAsia="Times New Roman" w:hAnsi="Times New Roman" w:cs="Times New Roman"/>
          <w:sz w:val="24"/>
          <w:szCs w:val="24"/>
        </w:rPr>
        <w:t xml:space="preserve">(4), 101–108. </w:t>
      </w:r>
      <w:hyperlink r:id="rId193">
        <w:r w:rsidRPr="007D1FCB">
          <w:rPr>
            <w:rFonts w:ascii="Times New Roman" w:eastAsia="Times New Roman" w:hAnsi="Times New Roman" w:cs="Times New Roman"/>
            <w:sz w:val="24"/>
            <w:szCs w:val="24"/>
          </w:rPr>
          <w:t>http://journal.lifescifi.com/index.php/RH/article/view/314</w:t>
        </w:r>
      </w:hyperlink>
    </w:p>
    <w:p w14:paraId="786AFCB4"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lang w:val="de-DE"/>
        </w:rPr>
        <w:t xml:space="preserve">Ritter, J. R., &amp; Welch, I. (2002). </w:t>
      </w:r>
      <w:r w:rsidRPr="007D1FCB">
        <w:rPr>
          <w:rFonts w:ascii="Times New Roman" w:eastAsia="Times New Roman" w:hAnsi="Times New Roman" w:cs="Times New Roman"/>
          <w:sz w:val="24"/>
          <w:szCs w:val="24"/>
        </w:rPr>
        <w:t xml:space="preserve">A review of IPO activity, pricing, and allocations. </w:t>
      </w:r>
      <w:r w:rsidRPr="007D1FCB">
        <w:rPr>
          <w:rFonts w:ascii="Times New Roman" w:eastAsia="Times New Roman" w:hAnsi="Times New Roman" w:cs="Times New Roman"/>
          <w:i/>
          <w:sz w:val="24"/>
          <w:szCs w:val="24"/>
        </w:rPr>
        <w:t>The Journal of Finance</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57</w:t>
      </w:r>
      <w:r w:rsidRPr="007D1FCB">
        <w:rPr>
          <w:rFonts w:ascii="Times New Roman" w:eastAsia="Times New Roman" w:hAnsi="Times New Roman" w:cs="Times New Roman"/>
          <w:sz w:val="24"/>
          <w:szCs w:val="24"/>
        </w:rPr>
        <w:t xml:space="preserve">(4), 1795–1828. </w:t>
      </w:r>
      <w:hyperlink r:id="rId194">
        <w:r w:rsidRPr="007D1FCB">
          <w:rPr>
            <w:rFonts w:ascii="Times New Roman" w:eastAsia="Times New Roman" w:hAnsi="Times New Roman" w:cs="Times New Roman"/>
            <w:sz w:val="24"/>
            <w:szCs w:val="24"/>
          </w:rPr>
          <w:t>http://www.jstor.org/stable/3094524</w:t>
        </w:r>
      </w:hyperlink>
    </w:p>
    <w:p w14:paraId="3B6D8D16"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Rock, K. (1986). Why new issues are underpriced. </w:t>
      </w:r>
      <w:r w:rsidRPr="007D1FCB">
        <w:rPr>
          <w:rFonts w:ascii="Times New Roman" w:eastAsia="Times New Roman" w:hAnsi="Times New Roman" w:cs="Times New Roman"/>
          <w:i/>
          <w:sz w:val="24"/>
          <w:szCs w:val="24"/>
        </w:rPr>
        <w:t>Journal of Financial Economics</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15</w:t>
      </w:r>
      <w:r w:rsidRPr="007D1FCB">
        <w:rPr>
          <w:rFonts w:ascii="Times New Roman" w:eastAsia="Times New Roman" w:hAnsi="Times New Roman" w:cs="Times New Roman"/>
          <w:sz w:val="24"/>
          <w:szCs w:val="24"/>
        </w:rPr>
        <w:t xml:space="preserve">(1–2), 187–212. </w:t>
      </w:r>
      <w:hyperlink r:id="rId195">
        <w:r w:rsidRPr="007D1FCB">
          <w:rPr>
            <w:rFonts w:ascii="Times New Roman" w:eastAsia="Times New Roman" w:hAnsi="Times New Roman" w:cs="Times New Roman"/>
            <w:sz w:val="24"/>
            <w:szCs w:val="24"/>
          </w:rPr>
          <w:t>https://doi.org/10.1016/0304-405x(86)90054-1</w:t>
        </w:r>
      </w:hyperlink>
    </w:p>
    <w:p w14:paraId="74CA5D08"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Setia-Atmaja, L., &amp; </w:t>
      </w:r>
      <w:proofErr w:type="spellStart"/>
      <w:r w:rsidRPr="007D1FCB">
        <w:rPr>
          <w:rFonts w:ascii="Times New Roman" w:eastAsia="Times New Roman" w:hAnsi="Times New Roman" w:cs="Times New Roman"/>
          <w:sz w:val="24"/>
          <w:szCs w:val="24"/>
        </w:rPr>
        <w:t>Chandera</w:t>
      </w:r>
      <w:proofErr w:type="spellEnd"/>
      <w:r w:rsidRPr="007D1FCB">
        <w:rPr>
          <w:rFonts w:ascii="Times New Roman" w:eastAsia="Times New Roman" w:hAnsi="Times New Roman" w:cs="Times New Roman"/>
          <w:sz w:val="24"/>
          <w:szCs w:val="24"/>
        </w:rPr>
        <w:t xml:space="preserve">, Y. (2021). Impact of family ownership, management, and generations on IPO </w:t>
      </w:r>
      <w:proofErr w:type="spellStart"/>
      <w:r w:rsidRPr="007D1FCB">
        <w:rPr>
          <w:rFonts w:ascii="Times New Roman" w:eastAsia="Times New Roman" w:hAnsi="Times New Roman" w:cs="Times New Roman"/>
          <w:sz w:val="24"/>
          <w:szCs w:val="24"/>
        </w:rPr>
        <w:t>underpricing</w:t>
      </w:r>
      <w:proofErr w:type="spellEnd"/>
      <w:r w:rsidRPr="007D1FCB">
        <w:rPr>
          <w:rFonts w:ascii="Times New Roman" w:eastAsia="Times New Roman" w:hAnsi="Times New Roman" w:cs="Times New Roman"/>
          <w:sz w:val="24"/>
          <w:szCs w:val="24"/>
        </w:rPr>
        <w:t xml:space="preserve"> and long-run performance. </w:t>
      </w:r>
      <w:r w:rsidRPr="007D1FCB">
        <w:rPr>
          <w:rFonts w:ascii="Times New Roman" w:eastAsia="Times New Roman" w:hAnsi="Times New Roman" w:cs="Times New Roman"/>
          <w:i/>
          <w:sz w:val="24"/>
          <w:szCs w:val="24"/>
        </w:rPr>
        <w:t>Investment Management and Financial Innovations</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18</w:t>
      </w:r>
      <w:r w:rsidRPr="007D1FCB">
        <w:rPr>
          <w:rFonts w:ascii="Times New Roman" w:eastAsia="Times New Roman" w:hAnsi="Times New Roman" w:cs="Times New Roman"/>
          <w:sz w:val="24"/>
          <w:szCs w:val="24"/>
        </w:rPr>
        <w:t xml:space="preserve">(4), 266–279. </w:t>
      </w:r>
      <w:hyperlink r:id="rId196">
        <w:r w:rsidRPr="007D1FCB">
          <w:rPr>
            <w:rFonts w:ascii="Times New Roman" w:eastAsia="Times New Roman" w:hAnsi="Times New Roman" w:cs="Times New Roman"/>
            <w:sz w:val="24"/>
            <w:szCs w:val="24"/>
          </w:rPr>
          <w:t>https://doi.org/10.21511/imfi.18(4).2021.23</w:t>
        </w:r>
      </w:hyperlink>
    </w:p>
    <w:p w14:paraId="125FE628"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proofErr w:type="spellStart"/>
      <w:r w:rsidRPr="007D1FCB">
        <w:rPr>
          <w:rFonts w:ascii="Times New Roman" w:eastAsia="Times New Roman" w:hAnsi="Times New Roman" w:cs="Times New Roman"/>
          <w:sz w:val="24"/>
          <w:szCs w:val="24"/>
        </w:rPr>
        <w:t>Sholichah</w:t>
      </w:r>
      <w:proofErr w:type="spellEnd"/>
      <w:r w:rsidRPr="007D1FCB">
        <w:rPr>
          <w:rFonts w:ascii="Times New Roman" w:eastAsia="Times New Roman" w:hAnsi="Times New Roman" w:cs="Times New Roman"/>
          <w:sz w:val="24"/>
          <w:szCs w:val="24"/>
        </w:rPr>
        <w:t xml:space="preserve">, M. (2018). The company characteristics, initial return and long-term performance stock initial public offerings listing in Indonesia Stock Exchange. </w:t>
      </w:r>
      <w:r w:rsidRPr="007D1FCB">
        <w:rPr>
          <w:rFonts w:ascii="Times New Roman" w:eastAsia="Times New Roman" w:hAnsi="Times New Roman" w:cs="Times New Roman"/>
          <w:i/>
          <w:sz w:val="24"/>
          <w:szCs w:val="24"/>
        </w:rPr>
        <w:t>International Journal of Advanced Research</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6</w:t>
      </w:r>
      <w:r w:rsidRPr="007D1FCB">
        <w:rPr>
          <w:rFonts w:ascii="Times New Roman" w:eastAsia="Times New Roman" w:hAnsi="Times New Roman" w:cs="Times New Roman"/>
          <w:sz w:val="24"/>
          <w:szCs w:val="24"/>
        </w:rPr>
        <w:t xml:space="preserve">(3), 988–997. </w:t>
      </w:r>
      <w:hyperlink r:id="rId197">
        <w:r w:rsidRPr="007D1FCB">
          <w:rPr>
            <w:rFonts w:ascii="Times New Roman" w:eastAsia="Times New Roman" w:hAnsi="Times New Roman" w:cs="Times New Roman"/>
            <w:sz w:val="24"/>
            <w:szCs w:val="24"/>
          </w:rPr>
          <w:t>https://doi.org/10.21474/ijar01/6756</w:t>
        </w:r>
      </w:hyperlink>
    </w:p>
    <w:p w14:paraId="040D55E4"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Spence, M. (1973). Job market </w:t>
      </w:r>
      <w:proofErr w:type="spellStart"/>
      <w:r w:rsidRPr="007D1FCB">
        <w:rPr>
          <w:rFonts w:ascii="Times New Roman" w:eastAsia="Times New Roman" w:hAnsi="Times New Roman" w:cs="Times New Roman"/>
          <w:sz w:val="24"/>
          <w:szCs w:val="24"/>
        </w:rPr>
        <w:t>signaling</w:t>
      </w:r>
      <w:proofErr w:type="spellEnd"/>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The Quarterly Journal of Economics, 87</w:t>
      </w:r>
      <w:r w:rsidRPr="007D1FCB">
        <w:rPr>
          <w:rFonts w:ascii="Times New Roman" w:eastAsia="Times New Roman" w:hAnsi="Times New Roman" w:cs="Times New Roman"/>
          <w:sz w:val="24"/>
          <w:szCs w:val="24"/>
        </w:rPr>
        <w:t xml:space="preserve">(3), 355–374. </w:t>
      </w:r>
      <w:hyperlink r:id="rId198">
        <w:r w:rsidRPr="007D1FCB">
          <w:rPr>
            <w:rFonts w:ascii="Times New Roman" w:eastAsia="Times New Roman" w:hAnsi="Times New Roman" w:cs="Times New Roman"/>
            <w:sz w:val="24"/>
            <w:szCs w:val="24"/>
          </w:rPr>
          <w:t>https://doi.org/10.2307/1882010</w:t>
        </w:r>
      </w:hyperlink>
    </w:p>
    <w:p w14:paraId="0EA4B8A3"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Vance, D. (2014). Are there simple indicators as to which IPOs outperform the market over the long term? </w:t>
      </w:r>
      <w:r w:rsidRPr="007D1FCB">
        <w:rPr>
          <w:rFonts w:ascii="Times New Roman" w:eastAsia="Times New Roman" w:hAnsi="Times New Roman" w:cs="Times New Roman"/>
          <w:i/>
          <w:sz w:val="24"/>
          <w:szCs w:val="24"/>
        </w:rPr>
        <w:t>British Journal of Economics Management &amp; Trade</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4</w:t>
      </w:r>
      <w:r w:rsidRPr="007D1FCB">
        <w:rPr>
          <w:rFonts w:ascii="Times New Roman" w:eastAsia="Times New Roman" w:hAnsi="Times New Roman" w:cs="Times New Roman"/>
          <w:sz w:val="24"/>
          <w:szCs w:val="24"/>
        </w:rPr>
        <w:t xml:space="preserve">(2), 183–196. </w:t>
      </w:r>
      <w:hyperlink r:id="rId199">
        <w:r w:rsidRPr="007D1FCB">
          <w:rPr>
            <w:rFonts w:ascii="Times New Roman" w:eastAsia="Times New Roman" w:hAnsi="Times New Roman" w:cs="Times New Roman"/>
            <w:sz w:val="24"/>
            <w:szCs w:val="24"/>
          </w:rPr>
          <w:t>https://doi.org/10.9734/bjemt/2014/6349</w:t>
        </w:r>
      </w:hyperlink>
    </w:p>
    <w:p w14:paraId="604C1084"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Wang, X., Cao, J., Liu, Q., Tang, J., &amp; Tian, G. G. (2015). Disproportionate ownership structure and IPO long-run performance of non-SOEs in China. </w:t>
      </w:r>
      <w:r w:rsidRPr="007D1FCB">
        <w:rPr>
          <w:rFonts w:ascii="Times New Roman" w:eastAsia="Times New Roman" w:hAnsi="Times New Roman" w:cs="Times New Roman"/>
          <w:i/>
          <w:sz w:val="24"/>
          <w:szCs w:val="24"/>
        </w:rPr>
        <w:t>China Economic Review</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32</w:t>
      </w:r>
      <w:r w:rsidRPr="007D1FCB">
        <w:rPr>
          <w:rFonts w:ascii="Times New Roman" w:eastAsia="Times New Roman" w:hAnsi="Times New Roman" w:cs="Times New Roman"/>
          <w:sz w:val="24"/>
          <w:szCs w:val="24"/>
        </w:rPr>
        <w:t xml:space="preserve">, 27–42. </w:t>
      </w:r>
      <w:hyperlink r:id="rId200" w:history="1">
        <w:r w:rsidRPr="007D1FCB">
          <w:rPr>
            <w:rStyle w:val="Hyperlink"/>
            <w:rFonts w:ascii="Times New Roman" w:eastAsia="Times New Roman" w:hAnsi="Times New Roman" w:cs="Times New Roman"/>
            <w:color w:val="auto"/>
            <w:sz w:val="24"/>
            <w:szCs w:val="24"/>
            <w:u w:val="none"/>
          </w:rPr>
          <w:t>https://doi.org/10.1016/j.chieco.2014.11.004</w:t>
        </w:r>
      </w:hyperlink>
    </w:p>
    <w:p w14:paraId="612286D8"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Wang, Y., &amp; Wang, G. (2021). IPO </w:t>
      </w:r>
      <w:proofErr w:type="spellStart"/>
      <w:r w:rsidRPr="007D1FCB">
        <w:rPr>
          <w:rFonts w:ascii="Times New Roman" w:eastAsia="Times New Roman" w:hAnsi="Times New Roman" w:cs="Times New Roman"/>
          <w:sz w:val="24"/>
          <w:szCs w:val="24"/>
        </w:rPr>
        <w:t>underpricing</w:t>
      </w:r>
      <w:proofErr w:type="spellEnd"/>
      <w:r w:rsidRPr="007D1FCB">
        <w:rPr>
          <w:rFonts w:ascii="Times New Roman" w:eastAsia="Times New Roman" w:hAnsi="Times New Roman" w:cs="Times New Roman"/>
          <w:sz w:val="24"/>
          <w:szCs w:val="24"/>
        </w:rPr>
        <w:t xml:space="preserve"> and long-term performance in China: The perspective of price limit policy. </w:t>
      </w:r>
      <w:r w:rsidRPr="007D1FCB">
        <w:rPr>
          <w:rFonts w:ascii="Times New Roman" w:eastAsia="Times New Roman" w:hAnsi="Times New Roman" w:cs="Times New Roman"/>
          <w:i/>
          <w:sz w:val="24"/>
          <w:szCs w:val="24"/>
        </w:rPr>
        <w:t>Managerial Finance</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47</w:t>
      </w:r>
      <w:r w:rsidRPr="007D1FCB">
        <w:rPr>
          <w:rFonts w:ascii="Times New Roman" w:eastAsia="Times New Roman" w:hAnsi="Times New Roman" w:cs="Times New Roman"/>
          <w:sz w:val="24"/>
          <w:szCs w:val="24"/>
        </w:rPr>
        <w:t xml:space="preserve">(9), 1233–1252. </w:t>
      </w:r>
      <w:hyperlink r:id="rId201">
        <w:r w:rsidRPr="007D1FCB">
          <w:rPr>
            <w:rFonts w:ascii="Times New Roman" w:eastAsia="Times New Roman" w:hAnsi="Times New Roman" w:cs="Times New Roman"/>
            <w:sz w:val="24"/>
            <w:szCs w:val="24"/>
          </w:rPr>
          <w:t>https://doi.org/10.1108/mf-08-2020-0428</w:t>
        </w:r>
      </w:hyperlink>
    </w:p>
    <w:p w14:paraId="049C0615"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Wang, Z., Su, B., Coakley, J., &amp; Shen, Z. (2018). Prospect theory and IPO returns in China. </w:t>
      </w:r>
      <w:r w:rsidRPr="007D1FCB">
        <w:rPr>
          <w:rFonts w:ascii="Times New Roman" w:eastAsia="Times New Roman" w:hAnsi="Times New Roman" w:cs="Times New Roman"/>
          <w:i/>
          <w:sz w:val="24"/>
          <w:szCs w:val="24"/>
        </w:rPr>
        <w:t>Journal of Corporate Finance</w:t>
      </w:r>
      <w:r w:rsidRPr="007D1FCB">
        <w:rPr>
          <w:rFonts w:ascii="Times New Roman" w:eastAsia="Times New Roman" w:hAnsi="Times New Roman" w:cs="Times New Roman"/>
          <w:sz w:val="24"/>
          <w:szCs w:val="24"/>
        </w:rPr>
        <w:t xml:space="preserve">, </w:t>
      </w:r>
      <w:r w:rsidRPr="007D1FCB">
        <w:rPr>
          <w:rFonts w:ascii="Times New Roman" w:eastAsia="Times New Roman" w:hAnsi="Times New Roman" w:cs="Times New Roman"/>
          <w:i/>
          <w:sz w:val="24"/>
          <w:szCs w:val="24"/>
        </w:rPr>
        <w:t>48</w:t>
      </w:r>
      <w:r w:rsidRPr="007D1FCB">
        <w:rPr>
          <w:rFonts w:ascii="Times New Roman" w:eastAsia="Times New Roman" w:hAnsi="Times New Roman" w:cs="Times New Roman"/>
          <w:sz w:val="24"/>
          <w:szCs w:val="24"/>
        </w:rPr>
        <w:t xml:space="preserve">, 726–751. </w:t>
      </w:r>
      <w:hyperlink r:id="rId202">
        <w:r w:rsidRPr="007D1FCB">
          <w:rPr>
            <w:rFonts w:ascii="Times New Roman" w:eastAsia="Times New Roman" w:hAnsi="Times New Roman" w:cs="Times New Roman"/>
            <w:sz w:val="24"/>
            <w:szCs w:val="24"/>
          </w:rPr>
          <w:t>https://doi.org/10.1016/j.jcorpfin.2017.12.027</w:t>
        </w:r>
      </w:hyperlink>
    </w:p>
    <w:p w14:paraId="70A1FF89" w14:textId="77777777" w:rsidR="007D1FCB" w:rsidRPr="007D1FCB" w:rsidRDefault="007D1FCB" w:rsidP="007D1FCB">
      <w:pPr>
        <w:spacing w:after="0" w:line="240" w:lineRule="auto"/>
        <w:ind w:left="720" w:hanging="720"/>
        <w:jc w:val="both"/>
        <w:rPr>
          <w:rFonts w:ascii="Times New Roman" w:eastAsia="Times New Roman" w:hAnsi="Times New Roman" w:cs="Times New Roman"/>
          <w:sz w:val="24"/>
          <w:szCs w:val="24"/>
        </w:rPr>
      </w:pPr>
      <w:r w:rsidRPr="007D1FCB">
        <w:rPr>
          <w:rFonts w:ascii="Times New Roman" w:eastAsia="Times New Roman" w:hAnsi="Times New Roman" w:cs="Times New Roman"/>
          <w:sz w:val="24"/>
          <w:szCs w:val="24"/>
        </w:rPr>
        <w:t xml:space="preserve">Wooldridge, J. M. (2010). </w:t>
      </w:r>
      <w:r w:rsidRPr="007D1FCB">
        <w:rPr>
          <w:rFonts w:ascii="Times New Roman" w:eastAsia="Times New Roman" w:hAnsi="Times New Roman" w:cs="Times New Roman"/>
          <w:i/>
          <w:sz w:val="24"/>
          <w:szCs w:val="24"/>
        </w:rPr>
        <w:t xml:space="preserve">Econometric analysis of cross section and panel data </w:t>
      </w:r>
      <w:r w:rsidRPr="007D1FCB">
        <w:rPr>
          <w:rFonts w:ascii="Times New Roman" w:eastAsia="Times New Roman" w:hAnsi="Times New Roman" w:cs="Times New Roman"/>
          <w:sz w:val="24"/>
          <w:szCs w:val="24"/>
        </w:rPr>
        <w:t xml:space="preserve">(2nd ed.). The MIT Press. </w:t>
      </w:r>
      <w:hyperlink r:id="rId203">
        <w:r w:rsidRPr="007D1FCB">
          <w:rPr>
            <w:rFonts w:ascii="Times New Roman" w:eastAsia="Times New Roman" w:hAnsi="Times New Roman" w:cs="Times New Roman"/>
            <w:sz w:val="24"/>
            <w:szCs w:val="24"/>
          </w:rPr>
          <w:t>http://www.jstor.org/stable/j.ctt5hhcfr</w:t>
        </w:r>
      </w:hyperlink>
    </w:p>
    <w:p w14:paraId="4C6D303A" w14:textId="77777777" w:rsidR="007373F6" w:rsidRDefault="00000000">
      <w:pPr>
        <w:pStyle w:val="Heading1"/>
      </w:pPr>
      <w:bookmarkStart w:id="104" w:name="_Toc211808162"/>
      <w:r>
        <w:lastRenderedPageBreak/>
        <w:t>Paper ID 69</w:t>
      </w:r>
      <w:bookmarkEnd w:id="104"/>
    </w:p>
    <w:p w14:paraId="13DFF2D2" w14:textId="77777777" w:rsidR="007373F6" w:rsidRDefault="00000000">
      <w:pPr>
        <w:pStyle w:val="Heading2"/>
        <w:spacing w:after="0" w:line="240" w:lineRule="auto"/>
      </w:pPr>
      <w:bookmarkStart w:id="105" w:name="_Toc211808163"/>
      <w:r>
        <w:t>DEVELOPING A FRAUD DETECTION MODEL BASED ON THE FRAUD DIAMOND THEORY: EVIDENCE FROM STRUCTURED DATA OF JAPANESE FIRMS</w:t>
      </w:r>
      <w:bookmarkEnd w:id="105"/>
      <w:r>
        <w:t xml:space="preserve"> </w:t>
      </w:r>
    </w:p>
    <w:p w14:paraId="11731C49" w14:textId="77777777" w:rsidR="007373F6" w:rsidRDefault="007373F6">
      <w:pPr>
        <w:spacing w:after="0" w:line="240" w:lineRule="auto"/>
        <w:jc w:val="center"/>
        <w:rPr>
          <w:rFonts w:ascii="Times New Roman" w:eastAsia="Times New Roman" w:hAnsi="Times New Roman" w:cs="Times New Roman"/>
          <w:b/>
          <w:sz w:val="26"/>
          <w:szCs w:val="26"/>
        </w:rPr>
      </w:pPr>
    </w:p>
    <w:p w14:paraId="0810E6A1" w14:textId="77777777" w:rsidR="007373F6" w:rsidRPr="007D1FCB" w:rsidRDefault="00000000">
      <w:pPr>
        <w:shd w:val="clear" w:color="auto" w:fill="FFFFFF"/>
        <w:jc w:val="center"/>
        <w:rPr>
          <w:rFonts w:ascii="Times New Roman" w:eastAsia="Times New Roman" w:hAnsi="Times New Roman" w:cs="Times New Roman"/>
          <w:sz w:val="24"/>
          <w:szCs w:val="24"/>
        </w:rPr>
      </w:pPr>
      <w:r w:rsidRPr="007D1FCB">
        <w:rPr>
          <w:rFonts w:ascii="Times New Roman" w:eastAsia="Times New Roman" w:hAnsi="Times New Roman" w:cs="Times New Roman"/>
          <w:b/>
          <w:sz w:val="24"/>
          <w:szCs w:val="24"/>
        </w:rPr>
        <w:t>Keisuke Yoshida</w:t>
      </w:r>
      <w:r w:rsidRPr="007D1FCB">
        <w:rPr>
          <w:rFonts w:ascii="Times New Roman" w:eastAsia="Times New Roman" w:hAnsi="Times New Roman" w:cs="Times New Roman"/>
          <w:sz w:val="24"/>
          <w:szCs w:val="24"/>
        </w:rPr>
        <w:t xml:space="preserve">, Bunkyo </w:t>
      </w:r>
      <w:proofErr w:type="spellStart"/>
      <w:r w:rsidRPr="007D1FCB">
        <w:rPr>
          <w:rFonts w:ascii="Times New Roman" w:eastAsia="Times New Roman" w:hAnsi="Times New Roman" w:cs="Times New Roman"/>
          <w:sz w:val="24"/>
          <w:szCs w:val="24"/>
        </w:rPr>
        <w:t>Gakuin</w:t>
      </w:r>
      <w:proofErr w:type="spellEnd"/>
      <w:r w:rsidRPr="007D1FCB">
        <w:rPr>
          <w:rFonts w:ascii="Times New Roman" w:eastAsia="Times New Roman" w:hAnsi="Times New Roman" w:cs="Times New Roman"/>
          <w:sz w:val="24"/>
          <w:szCs w:val="24"/>
        </w:rPr>
        <w:t xml:space="preserve"> University, Japan (kyoshida@bgu.ac.jp)</w:t>
      </w:r>
    </w:p>
    <w:p w14:paraId="0B6C5441" w14:textId="77777777" w:rsidR="007373F6" w:rsidRPr="007D1FCB" w:rsidRDefault="00000000">
      <w:pPr>
        <w:shd w:val="clear" w:color="auto" w:fill="FFFFFF"/>
        <w:jc w:val="center"/>
        <w:rPr>
          <w:rFonts w:ascii="Times New Roman" w:eastAsia="Times New Roman" w:hAnsi="Times New Roman" w:cs="Times New Roman"/>
          <w:sz w:val="24"/>
          <w:szCs w:val="24"/>
        </w:rPr>
      </w:pPr>
      <w:r w:rsidRPr="007D1FCB">
        <w:rPr>
          <w:rFonts w:ascii="Times New Roman" w:eastAsia="Times New Roman" w:hAnsi="Times New Roman" w:cs="Times New Roman"/>
          <w:b/>
          <w:sz w:val="24"/>
          <w:szCs w:val="24"/>
        </w:rPr>
        <w:t>Masumi Nakashima</w:t>
      </w:r>
      <w:r w:rsidRPr="007D1FCB">
        <w:rPr>
          <w:rFonts w:ascii="Times New Roman" w:eastAsia="Times New Roman" w:hAnsi="Times New Roman" w:cs="Times New Roman"/>
          <w:sz w:val="24"/>
          <w:szCs w:val="24"/>
        </w:rPr>
        <w:t xml:space="preserve">, Bunkyo </w:t>
      </w:r>
      <w:proofErr w:type="spellStart"/>
      <w:r w:rsidRPr="007D1FCB">
        <w:rPr>
          <w:rFonts w:ascii="Times New Roman" w:eastAsia="Times New Roman" w:hAnsi="Times New Roman" w:cs="Times New Roman"/>
          <w:sz w:val="24"/>
          <w:szCs w:val="24"/>
        </w:rPr>
        <w:t>Gakuin</w:t>
      </w:r>
      <w:proofErr w:type="spellEnd"/>
      <w:r w:rsidRPr="007D1FCB">
        <w:rPr>
          <w:rFonts w:ascii="Times New Roman" w:eastAsia="Times New Roman" w:hAnsi="Times New Roman" w:cs="Times New Roman"/>
          <w:sz w:val="24"/>
          <w:szCs w:val="24"/>
        </w:rPr>
        <w:t xml:space="preserve"> University, Japan (</w:t>
      </w:r>
      <w:hyperlink r:id="rId204">
        <w:r w:rsidR="007373F6" w:rsidRPr="007D1FCB">
          <w:rPr>
            <w:rFonts w:ascii="Times New Roman" w:eastAsia="Times New Roman" w:hAnsi="Times New Roman" w:cs="Times New Roman"/>
            <w:sz w:val="24"/>
            <w:szCs w:val="24"/>
          </w:rPr>
          <w:t>mnakashima@bgu.ac.jp</w:t>
        </w:r>
      </w:hyperlink>
      <w:r w:rsidRPr="007D1FCB">
        <w:rPr>
          <w:rFonts w:ascii="Times New Roman" w:eastAsia="Times New Roman" w:hAnsi="Times New Roman" w:cs="Times New Roman"/>
          <w:sz w:val="24"/>
          <w:szCs w:val="24"/>
        </w:rPr>
        <w:t>)</w:t>
      </w:r>
    </w:p>
    <w:p w14:paraId="55E90A11" w14:textId="77777777" w:rsidR="007373F6" w:rsidRDefault="007373F6">
      <w:pPr>
        <w:shd w:val="clear" w:color="auto" w:fill="FFFFFF"/>
        <w:jc w:val="center"/>
        <w:rPr>
          <w:rFonts w:ascii="Times New Roman" w:eastAsia="Times New Roman" w:hAnsi="Times New Roman" w:cs="Times New Roman"/>
          <w:color w:val="222222"/>
          <w:sz w:val="24"/>
          <w:szCs w:val="24"/>
        </w:rPr>
      </w:pPr>
    </w:p>
    <w:p w14:paraId="683420D0" w14:textId="77777777" w:rsidR="007373F6"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ABSTRACT</w:t>
      </w:r>
    </w:p>
    <w:p w14:paraId="32DBC852"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study develops and empirically validates a fraud detection model for Japanese firms based on the Fraud Diamond Theory, which conceptualizes fraud through four dimensions: incentives/pressures, opportunities, rationalization, and capability. Unlike the traditional Fraud Triangle, the Fraud Diamond includes managerial capability as a key factor, offering a more comprehensive framework for </w:t>
      </w:r>
      <w:proofErr w:type="spellStart"/>
      <w:r>
        <w:rPr>
          <w:rFonts w:ascii="Times New Roman" w:eastAsia="Times New Roman" w:hAnsi="Times New Roman" w:cs="Times New Roman"/>
          <w:sz w:val="24"/>
          <w:szCs w:val="24"/>
        </w:rPr>
        <w:t>analyzing</w:t>
      </w:r>
      <w:proofErr w:type="spellEnd"/>
      <w:r>
        <w:rPr>
          <w:rFonts w:ascii="Times New Roman" w:eastAsia="Times New Roman" w:hAnsi="Times New Roman" w:cs="Times New Roman"/>
          <w:sz w:val="24"/>
          <w:szCs w:val="24"/>
        </w:rPr>
        <w:t xml:space="preserve"> fraudulent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Using structured financial and governance data, proxy variables were constructed for each element of the theory. </w:t>
      </w:r>
      <w:proofErr w:type="spellStart"/>
      <w:r>
        <w:rPr>
          <w:rFonts w:ascii="Times New Roman" w:eastAsia="Times New Roman" w:hAnsi="Times New Roman" w:cs="Times New Roman"/>
          <w:sz w:val="24"/>
          <w:szCs w:val="24"/>
        </w:rPr>
        <w:t>CatBoost</w:t>
      </w:r>
      <w:proofErr w:type="spellEnd"/>
      <w:r>
        <w:rPr>
          <w:rFonts w:ascii="Times New Roman" w:eastAsia="Times New Roman" w:hAnsi="Times New Roman" w:cs="Times New Roman"/>
          <w:sz w:val="24"/>
          <w:szCs w:val="24"/>
        </w:rPr>
        <w:t>, a machine learning algorithm, was employed to model fraud likelihood, and SHAP (</w:t>
      </w:r>
      <w:proofErr w:type="spellStart"/>
      <w:r>
        <w:rPr>
          <w:rFonts w:ascii="Times New Roman" w:eastAsia="Times New Roman" w:hAnsi="Times New Roman" w:cs="Times New Roman"/>
          <w:sz w:val="24"/>
          <w:szCs w:val="24"/>
        </w:rPr>
        <w:t>SHapley</w:t>
      </w:r>
      <w:proofErr w:type="spellEnd"/>
      <w:r>
        <w:rPr>
          <w:rFonts w:ascii="Times New Roman" w:eastAsia="Times New Roman" w:hAnsi="Times New Roman" w:cs="Times New Roman"/>
          <w:sz w:val="24"/>
          <w:szCs w:val="24"/>
        </w:rPr>
        <w:t xml:space="preserve"> Additive </w:t>
      </w:r>
      <w:proofErr w:type="spellStart"/>
      <w:r>
        <w:rPr>
          <w:rFonts w:ascii="Times New Roman" w:eastAsia="Times New Roman" w:hAnsi="Times New Roman" w:cs="Times New Roman"/>
          <w:sz w:val="24"/>
          <w:szCs w:val="24"/>
        </w:rPr>
        <w:t>exPlanations</w:t>
      </w:r>
      <w:proofErr w:type="spellEnd"/>
      <w:r>
        <w:rPr>
          <w:rFonts w:ascii="Times New Roman" w:eastAsia="Times New Roman" w:hAnsi="Times New Roman" w:cs="Times New Roman"/>
          <w:sz w:val="24"/>
          <w:szCs w:val="24"/>
        </w:rPr>
        <w:t>) values were applied for interpretability. The sample comprised Japanese listed firms (2019–2023), excluding financial institutions. Fraudulent firms were identified through Tokyo Shoko Research’s inappropriate accounting database. Results reveal that opportunity-related variables (board structure, financial institutional ownership, and foreign ownership) are the strongest predictors of fraud risk. Capability, proxied by gender diversity on boards, modestly reduces fraud likelihood. Incentives/pressures variables, particularly leverage, demonstrated dual effects, while rationalization proxies showed weaker significance. The model achieved an AUC of 0.716, indicating robust predictive performance even in Japan’s low-incidence fraud environment. The study contributes theoretically by confirming the Fraud Diamond’s applicability in a non-Western context, empirically by employing explainable AI with structured data, and practically by offering regulators, auditors, and corporate governance officers a transparent early-warning framework. Limitations include the reliance on structured data alone, marginal capture of rationalization, and small sample size of confirmed fraud cases. Future research should integrate unstructured textual indicators and advance toward causal inference models.</w:t>
      </w:r>
    </w:p>
    <w:p w14:paraId="34A0B5D3" w14:textId="77777777" w:rsidR="007373F6" w:rsidRDefault="007373F6">
      <w:pPr>
        <w:spacing w:after="0" w:line="240" w:lineRule="auto"/>
        <w:jc w:val="both"/>
        <w:rPr>
          <w:rFonts w:ascii="Times New Roman" w:eastAsia="Times New Roman" w:hAnsi="Times New Roman" w:cs="Times New Roman"/>
          <w:sz w:val="24"/>
          <w:szCs w:val="24"/>
        </w:rPr>
      </w:pPr>
    </w:p>
    <w:p w14:paraId="146C36CC" w14:textId="77777777" w:rsidR="007373F6" w:rsidRDefault="00000000">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Keywords: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Fraud Detection, Fraud Diamond Theory, Structured Data, Corporate Governance, Logistic Regression </w:t>
      </w:r>
    </w:p>
    <w:p w14:paraId="167EED1B" w14:textId="77777777" w:rsidR="007373F6" w:rsidRDefault="007373F6" w:rsidP="008142FB"/>
    <w:p w14:paraId="1E5AD2BE" w14:textId="77777777" w:rsidR="007373F6" w:rsidRDefault="00000000" w:rsidP="00856618">
      <w:pPr>
        <w:widowControl w:val="0"/>
        <w:numPr>
          <w:ilvl w:val="0"/>
          <w:numId w:val="1"/>
        </w:numPr>
        <w:tabs>
          <w:tab w:val="left" w:pos="286"/>
        </w:tabs>
        <w:spacing w:before="1"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INTRODUCTION</w:t>
      </w:r>
    </w:p>
    <w:p w14:paraId="3AB3FC4A" w14:textId="77777777" w:rsidR="007D1FCB" w:rsidRDefault="007D1FCB" w:rsidP="007D1FCB">
      <w:pPr>
        <w:widowControl w:val="0"/>
        <w:tabs>
          <w:tab w:val="left" w:pos="286"/>
        </w:tabs>
        <w:spacing w:before="1" w:after="0" w:line="240" w:lineRule="auto"/>
        <w:rPr>
          <w:rFonts w:ascii="Times New Roman" w:eastAsia="Times New Roman" w:hAnsi="Times New Roman" w:cs="Times New Roman"/>
          <w:b/>
          <w:sz w:val="24"/>
          <w:szCs w:val="24"/>
        </w:rPr>
      </w:pPr>
    </w:p>
    <w:p w14:paraId="27F2A748" w14:textId="77777777" w:rsidR="007373F6" w:rsidRDefault="00000000" w:rsidP="007D1FCB">
      <w:pPr>
        <w:widowControl w:val="0"/>
        <w:spacing w:after="0" w:line="240" w:lineRule="auto"/>
        <w:ind w:firstLine="426"/>
        <w:jc w:val="both"/>
        <w:rPr>
          <w:rFonts w:ascii="Times New Roman" w:eastAsia="Times New Roman" w:hAnsi="Times New Roman" w:cs="Times New Roman"/>
          <w:sz w:val="24"/>
          <w:szCs w:val="24"/>
        </w:rPr>
      </w:pPr>
      <w:bookmarkStart w:id="106" w:name="_heading=h.elj6g810wkpp" w:colFirst="0" w:colLast="0"/>
      <w:bookmarkEnd w:id="106"/>
      <w:r>
        <w:rPr>
          <w:rFonts w:ascii="Times New Roman" w:eastAsia="Times New Roman" w:hAnsi="Times New Roman" w:cs="Times New Roman"/>
          <w:sz w:val="24"/>
          <w:szCs w:val="24"/>
        </w:rPr>
        <w:t>Corporate fraud remains a persistent global concern, eroding trust in financial reporting and capital markets. While the Fraud Triangle (Cressey 1953) has long dominated academic and professional discourse, Wolfe and Hermanson (2004) introduced the Fraud Diamond Theory by adding “capability” to the classic three elements. This conceptual expansion has deepened the understanding of why some individuals are able to commit and conceal fraud when others under similar pressures cannot. Japan presents a unique research context. Documented accounting fraud cases are rare, reflecting robust regulatory and governance environments, yet their economic and social impact is disproportionately large when they occur. The scarcity of confirmed fraud cases poses a methodological challenge: traditional regression-</w:t>
      </w:r>
      <w:r>
        <w:rPr>
          <w:rFonts w:ascii="Times New Roman" w:eastAsia="Times New Roman" w:hAnsi="Times New Roman" w:cs="Times New Roman"/>
          <w:sz w:val="24"/>
          <w:szCs w:val="24"/>
        </w:rPr>
        <w:lastRenderedPageBreak/>
        <w:t xml:space="preserve">based fraud models often fail to capture rare events, particularly when relying solely on structured data. This study addresses this challenge by operationalizing the Fraud Diamond Theory through financial and governance variables and testing its empirical applicability using Japanese firms from 2019–2023. The research advances three goals: to examine whether structured proxies corresponding to the Fraud Diamond dimensions are significantly associated with fraud occurrence; to evaluate the predictive performance of a machine learning–based model using </w:t>
      </w:r>
      <w:proofErr w:type="spellStart"/>
      <w:r>
        <w:rPr>
          <w:rFonts w:ascii="Times New Roman" w:eastAsia="Times New Roman" w:hAnsi="Times New Roman" w:cs="Times New Roman"/>
          <w:sz w:val="24"/>
          <w:szCs w:val="24"/>
        </w:rPr>
        <w:t>CatBoost</w:t>
      </w:r>
      <w:proofErr w:type="spellEnd"/>
      <w:r>
        <w:rPr>
          <w:rFonts w:ascii="Times New Roman" w:eastAsia="Times New Roman" w:hAnsi="Times New Roman" w:cs="Times New Roman"/>
          <w:sz w:val="24"/>
          <w:szCs w:val="24"/>
        </w:rPr>
        <w:t>; and to provide interpretable insights through SHAP values, linking predictive analytics back to theoretical and practical implications.</w:t>
      </w:r>
    </w:p>
    <w:p w14:paraId="23084E06" w14:textId="77777777" w:rsidR="007373F6" w:rsidRDefault="00000000" w:rsidP="00856618">
      <w:pPr>
        <w:widowControl w:val="0"/>
        <w:numPr>
          <w:ilvl w:val="0"/>
          <w:numId w:val="1"/>
        </w:numPr>
        <w:tabs>
          <w:tab w:val="left" w:pos="286"/>
        </w:tabs>
        <w:spacing w:before="210" w:line="240" w:lineRule="auto"/>
        <w:ind w:left="0" w:firstLine="426"/>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LITERATURE REVIEW AND HYPOTHESES DEVELOPMENT</w:t>
      </w:r>
    </w:p>
    <w:p w14:paraId="10A5FFFE" w14:textId="77777777" w:rsidR="007373F6" w:rsidRDefault="00000000" w:rsidP="007D1FCB">
      <w:pPr>
        <w:widowControl w:val="0"/>
        <w:tabs>
          <w:tab w:val="left" w:pos="286"/>
        </w:tabs>
        <w:spacing w:after="0" w:line="240" w:lineRule="auto"/>
        <w:ind w:firstLine="426"/>
        <w:jc w:val="both"/>
      </w:pPr>
      <w:r>
        <w:rPr>
          <w:rFonts w:ascii="Times New Roman" w:eastAsia="Times New Roman" w:hAnsi="Times New Roman" w:cs="Times New Roman"/>
        </w:rPr>
        <w:t xml:space="preserve">Prior research on corporate fraud has increasingly adopted theoretical frameworks such as the Fraud Triangle (Cressey 1953) and its extension, the Fraud Diamond (Wolfe and Hermanson 2004), to explain the conditions under which fraud is likely to occur. The Fraud Diamond adds a fourth dimension—capability—to the traditional three components of incentives/pressures, opportunities, and rationalization, offering a more comprehensive understanding of fraudulent </w:t>
      </w:r>
      <w:proofErr w:type="spellStart"/>
      <w:r>
        <w:rPr>
          <w:rFonts w:ascii="Times New Roman" w:eastAsia="Times New Roman" w:hAnsi="Times New Roman" w:cs="Times New Roman"/>
        </w:rPr>
        <w:t>behavior</w:t>
      </w:r>
      <w:proofErr w:type="spellEnd"/>
      <w:r>
        <w:rPr>
          <w:rFonts w:ascii="Times New Roman" w:eastAsia="Times New Roman" w:hAnsi="Times New Roman" w:cs="Times New Roman"/>
        </w:rPr>
        <w:t>. Empirical studies have tested elements of these frameworks using both qualitative case studies and quantitative models, with mixed results regarding the relative importance of each component in predicting fraud risk. Research has shown that poor financial performance can create pressures on management to manipulate financial results. Indicators such as low profitability, high leverage, and declining sales growth have been linked to higher fraud risk (Skousen et al. 2009; Lou and Wang 2009). Managers under pressure to meet earnings targets may resort to financial misstatements to preserve reputation and market confidence.</w:t>
      </w:r>
      <w:r>
        <w:t xml:space="preserve"> </w:t>
      </w:r>
    </w:p>
    <w:p w14:paraId="4B5A7582" w14:textId="77777777" w:rsidR="007373F6" w:rsidRDefault="00000000" w:rsidP="007D1FCB">
      <w:pPr>
        <w:widowControl w:val="0"/>
        <w:spacing w:after="0" w:line="271" w:lineRule="auto"/>
        <w:ind w:firstLine="426"/>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H</w:t>
      </w:r>
      <w:r w:rsidRPr="007D1FCB">
        <w:rPr>
          <w:rFonts w:ascii="Times New Roman" w:eastAsia="Times New Roman" w:hAnsi="Times New Roman" w:cs="Times New Roman"/>
          <w:b/>
          <w:sz w:val="24"/>
          <w:szCs w:val="24"/>
          <w:vertAlign w:val="subscript"/>
        </w:rPr>
        <w:t>1</w:t>
      </w:r>
      <w:r>
        <w:rPr>
          <w:rFonts w:ascii="Times New Roman" w:eastAsia="Times New Roman" w:hAnsi="Times New Roman" w:cs="Times New Roman"/>
          <w:b/>
          <w:sz w:val="24"/>
          <w:szCs w:val="24"/>
        </w:rPr>
        <w:t xml:space="preserve">: </w:t>
      </w:r>
      <w:r w:rsidRPr="007D1FCB">
        <w:rPr>
          <w:rFonts w:ascii="Times New Roman" w:eastAsia="Times New Roman" w:hAnsi="Times New Roman" w:cs="Times New Roman"/>
          <w:bCs/>
          <w:sz w:val="24"/>
          <w:szCs w:val="24"/>
        </w:rPr>
        <w:t>Firms with higher financial pressures, as indicated by low ROA, high leverage, and low revenue growth, are more likely to commit fraud.</w:t>
      </w:r>
    </w:p>
    <w:p w14:paraId="685AEBF1" w14:textId="77777777" w:rsidR="007373F6" w:rsidRDefault="00000000" w:rsidP="007D1FCB">
      <w:pPr>
        <w:widowControl w:val="0"/>
        <w:tabs>
          <w:tab w:val="left" w:pos="286"/>
        </w:tabs>
        <w:spacing w:after="0" w:line="240" w:lineRule="auto"/>
        <w:ind w:firstLine="4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Opportunities for fraud are shaped by governance mechanisms such as board structure, ownership composition, and audit oversight. Beasley (1996) finds that weak governance structures increase the likelihood of financial statement fraud. Chen et al. (2006) show that certain ownership structures, such as low foreign and institutional ownership, may facilitate opportunistic managerial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w:t>
      </w:r>
    </w:p>
    <w:p w14:paraId="031A7617" w14:textId="77777777" w:rsidR="007373F6" w:rsidRDefault="00000000" w:rsidP="007D1FCB">
      <w:pPr>
        <w:widowControl w:val="0"/>
        <w:spacing w:after="0" w:line="271" w:lineRule="auto"/>
        <w:ind w:firstLine="426"/>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H</w:t>
      </w:r>
      <w:r w:rsidRPr="007D1FCB">
        <w:rPr>
          <w:rFonts w:ascii="Times New Roman" w:eastAsia="Times New Roman" w:hAnsi="Times New Roman" w:cs="Times New Roman"/>
          <w:b/>
          <w:sz w:val="24"/>
          <w:szCs w:val="24"/>
          <w:vertAlign w:val="subscript"/>
        </w:rPr>
        <w:t>2</w:t>
      </w:r>
      <w:r>
        <w:rPr>
          <w:rFonts w:ascii="Times New Roman" w:eastAsia="Times New Roman" w:hAnsi="Times New Roman" w:cs="Times New Roman"/>
          <w:b/>
          <w:sz w:val="24"/>
          <w:szCs w:val="24"/>
        </w:rPr>
        <w:t xml:space="preserve">: </w:t>
      </w:r>
      <w:r w:rsidRPr="007D1FCB">
        <w:rPr>
          <w:rFonts w:ascii="Times New Roman" w:eastAsia="Times New Roman" w:hAnsi="Times New Roman" w:cs="Times New Roman"/>
          <w:bCs/>
          <w:sz w:val="24"/>
          <w:szCs w:val="24"/>
        </w:rPr>
        <w:t>Firms with governance structures that provide greater opportunities for managerial discretion—such as smaller boards, lower foreign ownership, and lower institutional ownership—are more likely to commit fraud.</w:t>
      </w:r>
    </w:p>
    <w:p w14:paraId="563F2D24" w14:textId="77777777" w:rsidR="007373F6" w:rsidRDefault="00000000" w:rsidP="007D1FCB">
      <w:pPr>
        <w:widowControl w:val="0"/>
        <w:spacing w:after="0" w:line="271"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Rationalization refers to the cognitive justifications managers use to legitimize fraudulent acts. While difficult to observe directly, certain proxies, such as long auditor tenure or the absence of a Big Four auditor, may reflect an environment where rationalization of misconduct is more feasible. Studies such as </w:t>
      </w:r>
      <w:proofErr w:type="spellStart"/>
      <w:r>
        <w:rPr>
          <w:rFonts w:ascii="Times New Roman" w:eastAsia="Times New Roman" w:hAnsi="Times New Roman" w:cs="Times New Roman"/>
          <w:sz w:val="24"/>
          <w:szCs w:val="24"/>
        </w:rPr>
        <w:t>Carcello</w:t>
      </w:r>
      <w:proofErr w:type="spellEnd"/>
      <w:r>
        <w:rPr>
          <w:rFonts w:ascii="Times New Roman" w:eastAsia="Times New Roman" w:hAnsi="Times New Roman" w:cs="Times New Roman"/>
          <w:sz w:val="24"/>
          <w:szCs w:val="24"/>
        </w:rPr>
        <w:t xml:space="preserve"> and Nagy (2004) suggest that weaker audit scrutiny can indirectly foster rationalization. </w:t>
      </w:r>
    </w:p>
    <w:p w14:paraId="50B3A853" w14:textId="77777777" w:rsidR="007373F6" w:rsidRDefault="00000000" w:rsidP="007D1FCB">
      <w:pPr>
        <w:widowControl w:val="0"/>
        <w:spacing w:after="0" w:line="271" w:lineRule="auto"/>
        <w:ind w:firstLine="426"/>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H</w:t>
      </w:r>
      <w:r w:rsidRPr="007D1FCB">
        <w:rPr>
          <w:rFonts w:ascii="Times New Roman" w:eastAsia="Times New Roman" w:hAnsi="Times New Roman" w:cs="Times New Roman"/>
          <w:b/>
          <w:sz w:val="24"/>
          <w:szCs w:val="24"/>
          <w:vertAlign w:val="subscript"/>
        </w:rPr>
        <w:t>3</w:t>
      </w:r>
      <w:r>
        <w:rPr>
          <w:rFonts w:ascii="Times New Roman" w:eastAsia="Times New Roman" w:hAnsi="Times New Roman" w:cs="Times New Roman"/>
          <w:b/>
          <w:sz w:val="24"/>
          <w:szCs w:val="24"/>
        </w:rPr>
        <w:t xml:space="preserve">: </w:t>
      </w:r>
      <w:r w:rsidRPr="007D1FCB">
        <w:rPr>
          <w:rFonts w:ascii="Times New Roman" w:eastAsia="Times New Roman" w:hAnsi="Times New Roman" w:cs="Times New Roman"/>
          <w:bCs/>
          <w:sz w:val="24"/>
          <w:szCs w:val="24"/>
        </w:rPr>
        <w:t>Firms with longer auditor tenure and without Big Four auditors are more likely to commit fraud.</w:t>
      </w:r>
    </w:p>
    <w:p w14:paraId="174D67B9" w14:textId="77777777" w:rsidR="007373F6" w:rsidRDefault="00000000" w:rsidP="007D1FCB">
      <w:pPr>
        <w:widowControl w:val="0"/>
        <w:spacing w:after="0" w:line="271"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Capability, introduced in the Fraud Diamond, refers to the personal traits, skills, and positions that enable individuals to commit and conceal fraud (Wolfe and Hermanson 2004). Board-level characteristics, such as gender diversity, have been associated with enhanced ethical oversight and reduced fraud risk (Adams and Ferreira 2009). However, in certain contexts, the presence or absence of diverse perspectives could also influence the ability to execute complex fraudulent schemes.</w:t>
      </w:r>
    </w:p>
    <w:p w14:paraId="0F90E972" w14:textId="77777777" w:rsidR="007373F6" w:rsidRDefault="00000000" w:rsidP="007D1FCB">
      <w:pPr>
        <w:widowControl w:val="0"/>
        <w:spacing w:after="0" w:line="271" w:lineRule="auto"/>
        <w:ind w:firstLine="426"/>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H</w:t>
      </w:r>
      <w:r w:rsidRPr="007D1FCB">
        <w:rPr>
          <w:rFonts w:ascii="Times New Roman" w:eastAsia="Times New Roman" w:hAnsi="Times New Roman" w:cs="Times New Roman"/>
          <w:b/>
          <w:sz w:val="24"/>
          <w:szCs w:val="24"/>
          <w:vertAlign w:val="subscript"/>
        </w:rPr>
        <w:t>4</w:t>
      </w:r>
      <w:r>
        <w:rPr>
          <w:rFonts w:ascii="Times New Roman" w:eastAsia="Times New Roman" w:hAnsi="Times New Roman" w:cs="Times New Roman"/>
          <w:b/>
          <w:sz w:val="24"/>
          <w:szCs w:val="24"/>
        </w:rPr>
        <w:t xml:space="preserve">: </w:t>
      </w:r>
      <w:r w:rsidRPr="007D1FCB">
        <w:rPr>
          <w:rFonts w:ascii="Times New Roman" w:eastAsia="Times New Roman" w:hAnsi="Times New Roman" w:cs="Times New Roman"/>
          <w:bCs/>
          <w:sz w:val="24"/>
          <w:szCs w:val="24"/>
        </w:rPr>
        <w:t>Firms with lower gender diversity on boards are more likely to commit fraud.</w:t>
      </w:r>
    </w:p>
    <w:p w14:paraId="45586799" w14:textId="77777777" w:rsidR="007373F6" w:rsidRDefault="007373F6" w:rsidP="008142FB"/>
    <w:p w14:paraId="5A9768EE" w14:textId="77777777" w:rsidR="007D1FCB" w:rsidRDefault="007D1FCB" w:rsidP="008142FB"/>
    <w:p w14:paraId="6B8B205C" w14:textId="77777777" w:rsidR="007373F6" w:rsidRDefault="00000000" w:rsidP="00856618">
      <w:pPr>
        <w:widowControl w:val="0"/>
        <w:numPr>
          <w:ilvl w:val="0"/>
          <w:numId w:val="7"/>
        </w:numPr>
        <w:tabs>
          <w:tab w:val="left" w:pos="286"/>
        </w:tabs>
        <w:spacing w:before="1"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 METHODOLOGY</w:t>
      </w:r>
    </w:p>
    <w:p w14:paraId="53656A13" w14:textId="77777777" w:rsidR="007373F6" w:rsidRDefault="007373F6">
      <w:pPr>
        <w:widowControl w:val="0"/>
        <w:spacing w:before="6" w:after="0" w:line="240" w:lineRule="auto"/>
        <w:jc w:val="both"/>
        <w:rPr>
          <w:rFonts w:ascii="Times New Roman" w:eastAsia="Times New Roman" w:hAnsi="Times New Roman" w:cs="Times New Roman"/>
          <w:b/>
          <w:sz w:val="27"/>
          <w:szCs w:val="27"/>
        </w:rPr>
      </w:pPr>
    </w:p>
    <w:p w14:paraId="74A33018" w14:textId="7DA15DE8" w:rsidR="007373F6" w:rsidRDefault="00000000" w:rsidP="007D1FCB">
      <w:pPr>
        <w:widowControl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3.1 Sample Selection</w:t>
      </w:r>
    </w:p>
    <w:p w14:paraId="3378F6B7" w14:textId="77777777" w:rsidR="007373F6" w:rsidRDefault="00000000" w:rsidP="007D1FCB">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Japanese listed firms filing with EDINET (2019–2023), excluding financial/insurance industries. Fraudulent firms were identified using Tokyo Shoko Research’s 2024 database. After listwise deletion, the dataset contained 13,936 firm-year observations, including 158 fraudulent cases. Training data spanned 2019–2022, with 2023 reserved for testing.</w:t>
      </w:r>
    </w:p>
    <w:p w14:paraId="429D96D5" w14:textId="77777777" w:rsidR="007373F6" w:rsidRDefault="007373F6" w:rsidP="007D1FCB">
      <w:pPr>
        <w:widowControl w:val="0"/>
        <w:spacing w:after="0" w:line="240" w:lineRule="auto"/>
        <w:ind w:firstLine="426"/>
        <w:jc w:val="both"/>
        <w:rPr>
          <w:rFonts w:ascii="Times New Roman" w:eastAsia="Times New Roman" w:hAnsi="Times New Roman" w:cs="Times New Roman"/>
          <w:sz w:val="24"/>
          <w:szCs w:val="24"/>
        </w:rPr>
      </w:pPr>
    </w:p>
    <w:p w14:paraId="32B046BE" w14:textId="77777777" w:rsidR="007373F6" w:rsidRDefault="00000000" w:rsidP="007D1FCB">
      <w:pPr>
        <w:widowControl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3.2 Variables and Proxies</w:t>
      </w:r>
    </w:p>
    <w:p w14:paraId="2F96A6F0" w14:textId="77777777" w:rsidR="007373F6" w:rsidRDefault="00000000" w:rsidP="007D1FCB">
      <w:pPr>
        <w:widowControl w:val="0"/>
        <w:spacing w:after="0" w:line="240" w:lineRule="auto"/>
        <w:ind w:firstLine="426"/>
        <w:jc w:val="both"/>
        <w:rPr>
          <w:rFonts w:ascii="Times New Roman" w:eastAsia="Times New Roman" w:hAnsi="Times New Roman" w:cs="Times New Roman"/>
          <w:sz w:val="24"/>
          <w:szCs w:val="24"/>
        </w:rPr>
      </w:pPr>
      <w:bookmarkStart w:id="107" w:name="_heading=h.illobulnuri5" w:colFirst="0" w:colLast="0"/>
      <w:bookmarkEnd w:id="107"/>
      <w:r>
        <w:rPr>
          <w:rFonts w:ascii="Times New Roman" w:eastAsia="Times New Roman" w:hAnsi="Times New Roman" w:cs="Times New Roman"/>
          <w:sz w:val="24"/>
          <w:szCs w:val="24"/>
        </w:rPr>
        <w:t>The variables are grouped according to the four dimensions of the Fraud Diamond theory. Incentives and pressures are captured through the return on assets (ROA), the leverage ratio, and the revenue growth rate. Opportunities are represented by board size, the proportion of foreign ownership, and the level of financial institutional ownership. Rationalization is measured using auditor tenure and an indicator variable for engagement with a Big Four audit firm. Capability is proxied by gender diversity on board. In addition, control variables include firm size, measured as the natural logarithm of total assets, and industry classification.</w:t>
      </w:r>
    </w:p>
    <w:p w14:paraId="418F1CB4" w14:textId="77777777" w:rsidR="007373F6" w:rsidRDefault="007373F6" w:rsidP="007D1FCB">
      <w:pPr>
        <w:widowControl w:val="0"/>
        <w:spacing w:after="0" w:line="240" w:lineRule="auto"/>
        <w:ind w:firstLine="426"/>
        <w:jc w:val="both"/>
        <w:rPr>
          <w:rFonts w:ascii="Times New Roman" w:eastAsia="Times New Roman" w:hAnsi="Times New Roman" w:cs="Times New Roman"/>
          <w:i/>
          <w:sz w:val="24"/>
          <w:szCs w:val="24"/>
        </w:rPr>
      </w:pPr>
    </w:p>
    <w:p w14:paraId="2A4D053A" w14:textId="77777777" w:rsidR="007373F6" w:rsidRDefault="00000000" w:rsidP="007D1FCB">
      <w:pPr>
        <w:widowControl w:val="0"/>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b/>
          <w:sz w:val="24"/>
          <w:szCs w:val="24"/>
        </w:rPr>
        <w:t>3.3 Analytical Approach</w:t>
      </w:r>
    </w:p>
    <w:p w14:paraId="67CE41C2" w14:textId="77777777" w:rsidR="007373F6" w:rsidRDefault="00000000" w:rsidP="007D1FCB">
      <w:pPr>
        <w:widowControl w:val="0"/>
        <w:spacing w:after="0" w:line="240" w:lineRule="auto"/>
        <w:ind w:firstLine="426"/>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CatBoost</w:t>
      </w:r>
      <w:proofErr w:type="spellEnd"/>
      <w:r>
        <w:rPr>
          <w:rFonts w:ascii="Times New Roman" w:eastAsia="Times New Roman" w:hAnsi="Times New Roman" w:cs="Times New Roman"/>
          <w:sz w:val="24"/>
          <w:szCs w:val="24"/>
        </w:rPr>
        <w:t xml:space="preserve"> was applied to estimate fraud likelihood. SMOTE was used to balance data, and SHAP values for interpretability.</w:t>
      </w:r>
    </w:p>
    <w:p w14:paraId="6EBD9873" w14:textId="77777777" w:rsidR="007373F6" w:rsidRDefault="00000000">
      <w:pPr>
        <w:spacing w:before="280" w:after="280" w:line="24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4. RESULTS</w:t>
      </w:r>
    </w:p>
    <w:p w14:paraId="173133D4" w14:textId="77777777" w:rsidR="007D1FCB" w:rsidRDefault="00000000" w:rsidP="0017264D">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4. 1 Model Performance</w:t>
      </w:r>
    </w:p>
    <w:p w14:paraId="4304B863" w14:textId="41027AE3" w:rsidR="007373F6" w:rsidRDefault="00000000" w:rsidP="0017264D">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model achieves an AUC of approximately 0.72, indicating reasonable predictive capability using only structured data. This result suggests that governance and financial indicators provide valuable insights for fraud detection.</w:t>
      </w:r>
    </w:p>
    <w:p w14:paraId="539B1738" w14:textId="77777777" w:rsidR="0017264D" w:rsidRDefault="0017264D" w:rsidP="0017264D">
      <w:pPr>
        <w:spacing w:after="0" w:line="240" w:lineRule="auto"/>
        <w:ind w:firstLine="426"/>
        <w:jc w:val="both"/>
        <w:rPr>
          <w:rFonts w:ascii="Times New Roman" w:eastAsia="Times New Roman" w:hAnsi="Times New Roman" w:cs="Times New Roman"/>
          <w:sz w:val="24"/>
          <w:szCs w:val="24"/>
        </w:rPr>
      </w:pPr>
    </w:p>
    <w:p w14:paraId="27227B38" w14:textId="77777777" w:rsidR="007373F6" w:rsidRDefault="00000000" w:rsidP="0017264D">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4. 2 Model Interpretation</w:t>
      </w:r>
    </w:p>
    <w:p w14:paraId="70DDD13B" w14:textId="77777777" w:rsidR="007373F6" w:rsidRDefault="00000000" w:rsidP="0017264D">
      <w:pPr>
        <w:spacing w:after="0" w:line="240" w:lineRule="auto"/>
        <w:ind w:firstLine="426"/>
        <w:jc w:val="both"/>
        <w:rPr>
          <w:rFonts w:ascii="Times New Roman" w:eastAsia="Times New Roman" w:hAnsi="Times New Roman" w:cs="Times New Roman"/>
        </w:rPr>
      </w:pPr>
      <w:r>
        <w:rPr>
          <w:rFonts w:ascii="Times New Roman" w:eastAsia="Times New Roman" w:hAnsi="Times New Roman" w:cs="Times New Roman"/>
          <w:sz w:val="24"/>
          <w:szCs w:val="24"/>
        </w:rPr>
        <w:t xml:space="preserve">Based on the mean absolute SHAP values, the board is found to contribute most significantly to the model’s estimation, followed by LEV as the second most important contributor and </w:t>
      </w:r>
      <w:proofErr w:type="spellStart"/>
      <w:r>
        <w:rPr>
          <w:rFonts w:ascii="Times New Roman" w:eastAsia="Times New Roman" w:hAnsi="Times New Roman" w:cs="Times New Roman"/>
          <w:sz w:val="24"/>
          <w:szCs w:val="24"/>
        </w:rPr>
        <w:t>FIN_Owner</w:t>
      </w:r>
      <w:proofErr w:type="spellEnd"/>
      <w:r>
        <w:rPr>
          <w:rFonts w:ascii="Times New Roman" w:eastAsia="Times New Roman" w:hAnsi="Times New Roman" w:cs="Times New Roman"/>
          <w:sz w:val="24"/>
          <w:szCs w:val="24"/>
        </w:rPr>
        <w:t xml:space="preserve"> as the third. </w:t>
      </w:r>
      <w:r>
        <w:rPr>
          <w:rFonts w:ascii="Times New Roman" w:eastAsia="Times New Roman" w:hAnsi="Times New Roman" w:cs="Times New Roman"/>
        </w:rPr>
        <w:t xml:space="preserve">In these proceedings, representing the ten explanatory variables used in the estimation, we discuss the contributions of board, LEV, and </w:t>
      </w:r>
      <w:proofErr w:type="spellStart"/>
      <w:r>
        <w:rPr>
          <w:rFonts w:ascii="Times New Roman" w:eastAsia="Times New Roman" w:hAnsi="Times New Roman" w:cs="Times New Roman"/>
        </w:rPr>
        <w:t>FIN_Owner</w:t>
      </w:r>
      <w:proofErr w:type="spellEnd"/>
      <w:r>
        <w:rPr>
          <w:rFonts w:ascii="Times New Roman" w:eastAsia="Times New Roman" w:hAnsi="Times New Roman" w:cs="Times New Roman"/>
        </w:rPr>
        <w:t xml:space="preserve"> to the model’s estimation. A smaller board of directors is associated with a higher likelihood of fraud. Higher values of LEV are also associated with a higher likelihood of fraud. In addition, higher values of </w:t>
      </w:r>
      <w:proofErr w:type="spellStart"/>
      <w:r>
        <w:rPr>
          <w:rFonts w:ascii="Times New Roman" w:eastAsia="Times New Roman" w:hAnsi="Times New Roman" w:cs="Times New Roman"/>
        </w:rPr>
        <w:t>FIN_Owner</w:t>
      </w:r>
      <w:proofErr w:type="spellEnd"/>
      <w:r>
        <w:rPr>
          <w:rFonts w:ascii="Times New Roman" w:eastAsia="Times New Roman" w:hAnsi="Times New Roman" w:cs="Times New Roman"/>
        </w:rPr>
        <w:t xml:space="preserve"> tend to be associated with a lower likelihood of fraud.</w:t>
      </w:r>
    </w:p>
    <w:p w14:paraId="620314B3" w14:textId="77777777" w:rsidR="0017264D" w:rsidRDefault="0017264D" w:rsidP="0017264D">
      <w:pPr>
        <w:spacing w:after="0" w:line="240" w:lineRule="auto"/>
        <w:ind w:firstLine="426"/>
        <w:jc w:val="both"/>
        <w:rPr>
          <w:rFonts w:ascii="Times New Roman" w:eastAsia="Times New Roman" w:hAnsi="Times New Roman" w:cs="Times New Roman"/>
        </w:rPr>
      </w:pPr>
    </w:p>
    <w:p w14:paraId="08B0C5FD" w14:textId="0EA8EBEF" w:rsidR="007373F6" w:rsidRPr="0017264D" w:rsidRDefault="00000000" w:rsidP="00856618">
      <w:pPr>
        <w:pStyle w:val="ListParagraph"/>
        <w:widowControl w:val="0"/>
        <w:numPr>
          <w:ilvl w:val="0"/>
          <w:numId w:val="36"/>
        </w:numPr>
        <w:spacing w:after="0" w:line="240" w:lineRule="auto"/>
        <w:jc w:val="center"/>
        <w:rPr>
          <w:rFonts w:ascii="Times New Roman" w:eastAsia="Times New Roman" w:hAnsi="Times New Roman" w:cs="Times New Roman"/>
          <w:b/>
          <w:sz w:val="24"/>
          <w:szCs w:val="24"/>
        </w:rPr>
      </w:pPr>
      <w:r w:rsidRPr="0017264D">
        <w:rPr>
          <w:rFonts w:ascii="Times New Roman" w:eastAsia="Times New Roman" w:hAnsi="Times New Roman" w:cs="Times New Roman"/>
          <w:b/>
          <w:sz w:val="24"/>
          <w:szCs w:val="24"/>
        </w:rPr>
        <w:t>CONCLUSIONS</w:t>
      </w:r>
    </w:p>
    <w:p w14:paraId="2469ECAA" w14:textId="77777777" w:rsidR="0017264D" w:rsidRPr="0017264D" w:rsidRDefault="0017264D" w:rsidP="0017264D">
      <w:pPr>
        <w:widowControl w:val="0"/>
        <w:spacing w:after="0" w:line="240" w:lineRule="auto"/>
        <w:ind w:firstLine="426"/>
        <w:rPr>
          <w:rFonts w:ascii="Times New Roman" w:eastAsia="Times New Roman" w:hAnsi="Times New Roman" w:cs="Times New Roman"/>
          <w:b/>
          <w:sz w:val="24"/>
          <w:szCs w:val="24"/>
        </w:rPr>
      </w:pPr>
    </w:p>
    <w:p w14:paraId="00A830A3" w14:textId="77777777" w:rsidR="007373F6" w:rsidRDefault="00000000" w:rsidP="0017264D">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study examines whether the elements of the Fraud Diamond—Incentives/Pressures, Opportunities, Rationalization, and Capability—can explain and predict fraudulent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in Japanese firms using only structured data. The results reveal two main findings. First, opportunity-related variables such as board size, foreign ownership ratio, and financial institutional ownership show the highest predictive significance, indicating that governance structures and shareholder composition play a key role in creating or mitigating opportunities for fraud. Capability, measured by gender diversity on the board, is negatively associated with fraud occurrence, suggesting that diversity may have a deterrent effect, although the significance level is marginal. Second, incentives/pressures variables present mixed results: ROA is significantly associated with fraud likelihood, but leverage ratio and revenue growth rate are less robust predictors. Rationalization-related proxies, such as auditor tenure and Big </w:t>
      </w:r>
      <w:r>
        <w:rPr>
          <w:rFonts w:ascii="Times New Roman" w:eastAsia="Times New Roman" w:hAnsi="Times New Roman" w:cs="Times New Roman"/>
          <w:sz w:val="24"/>
          <w:szCs w:val="24"/>
        </w:rPr>
        <w:lastRenderedPageBreak/>
        <w:t>Four affiliation, do not show significant associations, which may imply that these aspects are more difficult to capture through structured data.</w:t>
      </w:r>
    </w:p>
    <w:p w14:paraId="4F5E99C2" w14:textId="77777777" w:rsidR="007373F6" w:rsidRDefault="00000000" w:rsidP="0017264D">
      <w:pPr>
        <w:widowControl w:val="0"/>
        <w:spacing w:after="0" w:line="240" w:lineRule="auto"/>
        <w:ind w:firstLine="426"/>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The logistic regression model achieves an AUC of approximately 0.74, demonstrating reasonable predictive capability using structured variables alone. Future research could extend the analysis by integrating unstructured textual indicators and testing multi-period predictive performance to further enhance the model’s explanatory and predictive power.</w:t>
      </w:r>
    </w:p>
    <w:p w14:paraId="7B3D7852" w14:textId="77777777" w:rsidR="007373F6" w:rsidRDefault="007373F6">
      <w:pPr>
        <w:widowControl w:val="0"/>
        <w:spacing w:before="4" w:after="0" w:line="240" w:lineRule="auto"/>
        <w:jc w:val="both"/>
        <w:rPr>
          <w:rFonts w:ascii="Times New Roman" w:eastAsia="Times New Roman" w:hAnsi="Times New Roman" w:cs="Times New Roman"/>
          <w:sz w:val="20"/>
          <w:szCs w:val="20"/>
        </w:rPr>
      </w:pPr>
    </w:p>
    <w:p w14:paraId="34627C55" w14:textId="77777777" w:rsidR="0017264D" w:rsidRDefault="0017264D">
      <w:pPr>
        <w:widowControl w:val="0"/>
        <w:spacing w:line="240" w:lineRule="auto"/>
        <w:ind w:left="106"/>
        <w:jc w:val="center"/>
        <w:rPr>
          <w:rFonts w:ascii="Times New Roman" w:eastAsia="Times New Roman" w:hAnsi="Times New Roman" w:cs="Times New Roman"/>
          <w:b/>
          <w:sz w:val="24"/>
          <w:szCs w:val="24"/>
        </w:rPr>
      </w:pPr>
    </w:p>
    <w:p w14:paraId="003DED16" w14:textId="5F78B271" w:rsidR="007373F6" w:rsidRPr="002748F8" w:rsidRDefault="00000000">
      <w:pPr>
        <w:widowControl w:val="0"/>
        <w:spacing w:line="240" w:lineRule="auto"/>
        <w:ind w:left="106"/>
        <w:jc w:val="center"/>
        <w:rPr>
          <w:rFonts w:ascii="Times New Roman" w:eastAsia="Times New Roman" w:hAnsi="Times New Roman" w:cs="Times New Roman"/>
          <w:b/>
          <w:sz w:val="24"/>
          <w:szCs w:val="24"/>
        </w:rPr>
      </w:pPr>
      <w:r w:rsidRPr="002748F8">
        <w:rPr>
          <w:rFonts w:ascii="Times New Roman" w:eastAsia="Times New Roman" w:hAnsi="Times New Roman" w:cs="Times New Roman"/>
          <w:b/>
          <w:sz w:val="24"/>
          <w:szCs w:val="24"/>
        </w:rPr>
        <w:t>REFERENCES</w:t>
      </w:r>
    </w:p>
    <w:p w14:paraId="097D9AFF" w14:textId="034AD6D1" w:rsidR="007373F6" w:rsidRPr="002748F8" w:rsidRDefault="00000000">
      <w:pPr>
        <w:widowControl w:val="0"/>
        <w:spacing w:before="66" w:after="0" w:line="268" w:lineRule="auto"/>
        <w:ind w:left="720" w:hanging="720"/>
        <w:jc w:val="both"/>
        <w:rPr>
          <w:rFonts w:ascii="Times New Roman" w:eastAsia="Times New Roman" w:hAnsi="Times New Roman" w:cs="Times New Roman"/>
          <w:sz w:val="24"/>
          <w:szCs w:val="24"/>
        </w:rPr>
      </w:pPr>
      <w:r w:rsidRPr="002748F8">
        <w:rPr>
          <w:rFonts w:ascii="Times New Roman" w:eastAsia="Times New Roman" w:hAnsi="Times New Roman" w:cs="Times New Roman"/>
          <w:sz w:val="24"/>
          <w:szCs w:val="24"/>
        </w:rPr>
        <w:t>Adams, R. B., and D. Ferreira. 2009. Women in the boardroom and their impact on governance and</w:t>
      </w:r>
      <w:r w:rsidRPr="002748F8">
        <w:rPr>
          <w:rFonts w:ascii="Times New Roman" w:eastAsia="Times New Roman" w:hAnsi="Times New Roman" w:cs="Times New Roman"/>
          <w:sz w:val="24"/>
          <w:szCs w:val="24"/>
        </w:rPr>
        <w:tab/>
        <w:t xml:space="preserve">performance. </w:t>
      </w:r>
      <w:r w:rsidRPr="002748F8">
        <w:rPr>
          <w:rFonts w:ascii="Times New Roman" w:eastAsia="Times New Roman" w:hAnsi="Times New Roman" w:cs="Times New Roman"/>
          <w:i/>
          <w:sz w:val="24"/>
          <w:szCs w:val="24"/>
        </w:rPr>
        <w:t>Journal of Financial Economics</w:t>
      </w:r>
      <w:r w:rsidRPr="002748F8">
        <w:rPr>
          <w:rFonts w:ascii="Times New Roman" w:eastAsia="Times New Roman" w:hAnsi="Times New Roman" w:cs="Times New Roman"/>
          <w:sz w:val="24"/>
          <w:szCs w:val="24"/>
        </w:rPr>
        <w:t xml:space="preserve"> 94(2):291–309.</w:t>
      </w:r>
      <w:r w:rsidR="002748F8" w:rsidRPr="002748F8">
        <w:rPr>
          <w:rFonts w:ascii="Times New Roman" w:eastAsia="Times New Roman" w:hAnsi="Times New Roman" w:cs="Times New Roman"/>
          <w:sz w:val="24"/>
          <w:szCs w:val="24"/>
        </w:rPr>
        <w:t xml:space="preserve">  </w:t>
      </w:r>
      <w:hyperlink r:id="rId205" w:history="1">
        <w:r w:rsidR="002748F8" w:rsidRPr="002748F8">
          <w:rPr>
            <w:rStyle w:val="Hyperlink"/>
            <w:rFonts w:ascii="Times New Roman" w:eastAsia="Times New Roman" w:hAnsi="Times New Roman" w:cs="Times New Roman"/>
            <w:color w:val="auto"/>
            <w:sz w:val="24"/>
            <w:szCs w:val="24"/>
            <w:u w:val="none"/>
          </w:rPr>
          <w:t>https://doi.org/10.1016/j.jfineco.2008.10.007</w:t>
        </w:r>
      </w:hyperlink>
    </w:p>
    <w:p w14:paraId="32AFEBD9" w14:textId="77777777" w:rsidR="007373F6" w:rsidRPr="002748F8" w:rsidRDefault="00000000">
      <w:pPr>
        <w:widowControl w:val="0"/>
        <w:spacing w:before="66" w:after="0" w:line="268" w:lineRule="auto"/>
        <w:ind w:left="720" w:hanging="720"/>
        <w:jc w:val="both"/>
        <w:rPr>
          <w:rFonts w:ascii="Times New Roman" w:eastAsia="Times New Roman" w:hAnsi="Times New Roman" w:cs="Times New Roman"/>
          <w:sz w:val="24"/>
          <w:szCs w:val="24"/>
        </w:rPr>
      </w:pPr>
      <w:r w:rsidRPr="002748F8">
        <w:rPr>
          <w:rFonts w:ascii="Times New Roman" w:eastAsia="Times New Roman" w:hAnsi="Times New Roman" w:cs="Times New Roman"/>
          <w:sz w:val="24"/>
          <w:szCs w:val="24"/>
        </w:rPr>
        <w:t>Beasley, M. S. 1996. An empirical analysis of the relation between the board of director composition</w:t>
      </w:r>
      <w:r w:rsidRPr="002748F8">
        <w:rPr>
          <w:rFonts w:ascii="Times New Roman" w:eastAsia="Times New Roman" w:hAnsi="Times New Roman" w:cs="Times New Roman"/>
          <w:sz w:val="24"/>
          <w:szCs w:val="24"/>
        </w:rPr>
        <w:tab/>
        <w:t xml:space="preserve">and financial statement fraud. </w:t>
      </w:r>
      <w:r w:rsidRPr="002748F8">
        <w:rPr>
          <w:rFonts w:ascii="Times New Roman" w:eastAsia="Times New Roman" w:hAnsi="Times New Roman" w:cs="Times New Roman"/>
          <w:i/>
          <w:sz w:val="24"/>
          <w:szCs w:val="24"/>
        </w:rPr>
        <w:t xml:space="preserve">The Accounting Review </w:t>
      </w:r>
      <w:r w:rsidRPr="002748F8">
        <w:rPr>
          <w:rFonts w:ascii="Times New Roman" w:eastAsia="Times New Roman" w:hAnsi="Times New Roman" w:cs="Times New Roman"/>
          <w:sz w:val="24"/>
          <w:szCs w:val="24"/>
        </w:rPr>
        <w:t>71(4): 443–465.</w:t>
      </w:r>
    </w:p>
    <w:p w14:paraId="21F7BB0D" w14:textId="2A49B114" w:rsidR="007373F6" w:rsidRPr="002748F8" w:rsidRDefault="00000000">
      <w:pPr>
        <w:widowControl w:val="0"/>
        <w:spacing w:before="66" w:after="0" w:line="268" w:lineRule="auto"/>
        <w:ind w:left="720" w:hanging="720"/>
        <w:jc w:val="both"/>
        <w:rPr>
          <w:rFonts w:ascii="Times New Roman" w:eastAsia="Times New Roman" w:hAnsi="Times New Roman" w:cs="Times New Roman"/>
          <w:sz w:val="24"/>
          <w:szCs w:val="24"/>
        </w:rPr>
      </w:pPr>
      <w:proofErr w:type="spellStart"/>
      <w:r w:rsidRPr="002748F8">
        <w:rPr>
          <w:rFonts w:ascii="Times New Roman" w:eastAsia="Times New Roman" w:hAnsi="Times New Roman" w:cs="Times New Roman"/>
          <w:sz w:val="24"/>
          <w:szCs w:val="24"/>
        </w:rPr>
        <w:t>Carcello</w:t>
      </w:r>
      <w:proofErr w:type="spellEnd"/>
      <w:r w:rsidRPr="002748F8">
        <w:rPr>
          <w:rFonts w:ascii="Times New Roman" w:eastAsia="Times New Roman" w:hAnsi="Times New Roman" w:cs="Times New Roman"/>
          <w:sz w:val="24"/>
          <w:szCs w:val="24"/>
        </w:rPr>
        <w:t>, J. V., and A.L. Nagy. 2004. Audit firm tenure and fraudulent financial reporting.</w:t>
      </w:r>
      <w:r w:rsidR="002748F8" w:rsidRPr="002748F8">
        <w:rPr>
          <w:rFonts w:ascii="Times New Roman" w:eastAsia="Times New Roman" w:hAnsi="Times New Roman" w:cs="Times New Roman"/>
          <w:sz w:val="24"/>
          <w:szCs w:val="24"/>
        </w:rPr>
        <w:t xml:space="preserve"> </w:t>
      </w:r>
      <w:r w:rsidRPr="002748F8">
        <w:rPr>
          <w:rFonts w:ascii="Times New Roman" w:eastAsia="Times New Roman" w:hAnsi="Times New Roman" w:cs="Times New Roman"/>
          <w:sz w:val="24"/>
          <w:szCs w:val="24"/>
        </w:rPr>
        <w:t xml:space="preserve">Auditing: </w:t>
      </w:r>
      <w:r w:rsidRPr="002748F8">
        <w:rPr>
          <w:rFonts w:ascii="Times New Roman" w:eastAsia="Times New Roman" w:hAnsi="Times New Roman" w:cs="Times New Roman"/>
          <w:i/>
          <w:sz w:val="24"/>
          <w:szCs w:val="24"/>
        </w:rPr>
        <w:t>A Journal of Practice &amp; Theory</w:t>
      </w:r>
      <w:r w:rsidRPr="002748F8">
        <w:rPr>
          <w:rFonts w:ascii="Times New Roman" w:eastAsia="Times New Roman" w:hAnsi="Times New Roman" w:cs="Times New Roman"/>
          <w:sz w:val="24"/>
          <w:szCs w:val="24"/>
        </w:rPr>
        <w:t xml:space="preserve"> 23(2): 55–69.</w:t>
      </w:r>
      <w:r w:rsidR="002748F8" w:rsidRPr="002748F8">
        <w:rPr>
          <w:rFonts w:ascii="Times New Roman" w:eastAsia="Times New Roman" w:hAnsi="Times New Roman" w:cs="Times New Roman"/>
          <w:sz w:val="24"/>
          <w:szCs w:val="24"/>
        </w:rPr>
        <w:t xml:space="preserve"> </w:t>
      </w:r>
      <w:hyperlink r:id="rId206" w:history="1">
        <w:r w:rsidR="002748F8" w:rsidRPr="002748F8">
          <w:rPr>
            <w:rStyle w:val="Hyperlink"/>
            <w:rFonts w:ascii="Times New Roman" w:eastAsia="Times New Roman" w:hAnsi="Times New Roman" w:cs="Times New Roman"/>
            <w:color w:val="auto"/>
            <w:sz w:val="24"/>
            <w:szCs w:val="24"/>
            <w:u w:val="none"/>
          </w:rPr>
          <w:t>https://doi.org/10.2308/aud.2004.23.2.55</w:t>
        </w:r>
      </w:hyperlink>
    </w:p>
    <w:p w14:paraId="37CFA5AF" w14:textId="6F9844C5" w:rsidR="007373F6" w:rsidRPr="002748F8" w:rsidRDefault="00000000">
      <w:pPr>
        <w:widowControl w:val="0"/>
        <w:spacing w:before="66" w:after="0" w:line="268" w:lineRule="auto"/>
        <w:ind w:left="720" w:hanging="720"/>
        <w:jc w:val="both"/>
        <w:rPr>
          <w:rFonts w:ascii="Times New Roman" w:eastAsia="Times New Roman" w:hAnsi="Times New Roman" w:cs="Times New Roman"/>
          <w:sz w:val="24"/>
          <w:szCs w:val="24"/>
        </w:rPr>
      </w:pPr>
      <w:r w:rsidRPr="002748F8">
        <w:rPr>
          <w:rFonts w:ascii="Times New Roman" w:eastAsia="Times New Roman" w:hAnsi="Times New Roman" w:cs="Times New Roman"/>
          <w:sz w:val="24"/>
          <w:szCs w:val="24"/>
        </w:rPr>
        <w:t xml:space="preserve">Chen, G., Firth, M., Gao, D. </w:t>
      </w:r>
      <w:proofErr w:type="spellStart"/>
      <w:r w:rsidRPr="002748F8">
        <w:rPr>
          <w:rFonts w:ascii="Times New Roman" w:eastAsia="Times New Roman" w:hAnsi="Times New Roman" w:cs="Times New Roman"/>
          <w:sz w:val="24"/>
          <w:szCs w:val="24"/>
        </w:rPr>
        <w:t>N.,and</w:t>
      </w:r>
      <w:proofErr w:type="spellEnd"/>
      <w:r w:rsidRPr="002748F8">
        <w:rPr>
          <w:rFonts w:ascii="Times New Roman" w:eastAsia="Times New Roman" w:hAnsi="Times New Roman" w:cs="Times New Roman"/>
          <w:sz w:val="24"/>
          <w:szCs w:val="24"/>
        </w:rPr>
        <w:t xml:space="preserve"> Rui, O. M. (2006). Ownership structure, corporate governance,</w:t>
      </w:r>
      <w:r w:rsidRPr="002748F8">
        <w:rPr>
          <w:rFonts w:ascii="Times New Roman" w:eastAsia="Times New Roman" w:hAnsi="Times New Roman" w:cs="Times New Roman"/>
          <w:sz w:val="24"/>
          <w:szCs w:val="24"/>
        </w:rPr>
        <w:tab/>
        <w:t xml:space="preserve">and fraud: Evidence from China. </w:t>
      </w:r>
      <w:r w:rsidRPr="002748F8">
        <w:rPr>
          <w:rFonts w:ascii="Times New Roman" w:eastAsia="Times New Roman" w:hAnsi="Times New Roman" w:cs="Times New Roman"/>
          <w:i/>
          <w:sz w:val="24"/>
          <w:szCs w:val="24"/>
        </w:rPr>
        <w:t>Journal of Corporate Finance</w:t>
      </w:r>
      <w:r w:rsidRPr="002748F8">
        <w:rPr>
          <w:rFonts w:ascii="Times New Roman" w:eastAsia="Times New Roman" w:hAnsi="Times New Roman" w:cs="Times New Roman"/>
          <w:sz w:val="24"/>
          <w:szCs w:val="24"/>
        </w:rPr>
        <w:t xml:space="preserve"> 12(3):424–448.</w:t>
      </w:r>
      <w:r w:rsidR="002748F8" w:rsidRPr="002748F8">
        <w:rPr>
          <w:rFonts w:ascii="Times New Roman" w:eastAsia="Times New Roman" w:hAnsi="Times New Roman" w:cs="Times New Roman"/>
          <w:sz w:val="24"/>
          <w:szCs w:val="24"/>
        </w:rPr>
        <w:t xml:space="preserve"> </w:t>
      </w:r>
      <w:r w:rsidRPr="002748F8">
        <w:rPr>
          <w:rFonts w:ascii="Times New Roman" w:eastAsia="Times New Roman" w:hAnsi="Times New Roman" w:cs="Times New Roman"/>
          <w:sz w:val="24"/>
          <w:szCs w:val="24"/>
        </w:rPr>
        <w:t>https://doi.org/10.1016/j.jcorpfin.2005.09.002</w:t>
      </w:r>
    </w:p>
    <w:p w14:paraId="3413FAC0" w14:textId="0BAC4875" w:rsidR="007373F6" w:rsidRPr="002748F8" w:rsidRDefault="00000000">
      <w:pPr>
        <w:widowControl w:val="0"/>
        <w:spacing w:before="66" w:after="0" w:line="268" w:lineRule="auto"/>
        <w:ind w:left="720" w:hanging="720"/>
        <w:jc w:val="both"/>
        <w:rPr>
          <w:rFonts w:ascii="Times New Roman" w:eastAsia="Times New Roman" w:hAnsi="Times New Roman" w:cs="Times New Roman"/>
          <w:sz w:val="24"/>
          <w:szCs w:val="24"/>
        </w:rPr>
      </w:pPr>
      <w:r w:rsidRPr="002748F8">
        <w:rPr>
          <w:rFonts w:ascii="Times New Roman" w:eastAsia="Times New Roman" w:hAnsi="Times New Roman" w:cs="Times New Roman"/>
          <w:sz w:val="24"/>
          <w:szCs w:val="24"/>
        </w:rPr>
        <w:t xml:space="preserve">Cressey, D. R. 1953. </w:t>
      </w:r>
      <w:r w:rsidRPr="002748F8">
        <w:rPr>
          <w:rFonts w:ascii="Times New Roman" w:eastAsia="Times New Roman" w:hAnsi="Times New Roman" w:cs="Times New Roman"/>
          <w:i/>
          <w:sz w:val="24"/>
          <w:szCs w:val="24"/>
        </w:rPr>
        <w:t>Other people’s money: A study in the social psychology of embezzlement.</w:t>
      </w:r>
      <w:r w:rsidR="002748F8" w:rsidRPr="002748F8">
        <w:rPr>
          <w:rFonts w:ascii="Times New Roman" w:eastAsia="Times New Roman" w:hAnsi="Times New Roman" w:cs="Times New Roman"/>
          <w:sz w:val="24"/>
          <w:szCs w:val="24"/>
        </w:rPr>
        <w:t xml:space="preserve"> </w:t>
      </w:r>
      <w:r w:rsidRPr="002748F8">
        <w:rPr>
          <w:rFonts w:ascii="Times New Roman" w:eastAsia="Times New Roman" w:hAnsi="Times New Roman" w:cs="Times New Roman"/>
          <w:sz w:val="24"/>
          <w:szCs w:val="24"/>
        </w:rPr>
        <w:t>Glencoe, IL: Free Press.</w:t>
      </w:r>
    </w:p>
    <w:p w14:paraId="7D8758DC" w14:textId="740FACE9" w:rsidR="007373F6" w:rsidRPr="0017264D" w:rsidRDefault="00000000">
      <w:pPr>
        <w:widowControl w:val="0"/>
        <w:spacing w:before="66" w:after="0" w:line="268" w:lineRule="auto"/>
        <w:ind w:left="720" w:hanging="720"/>
        <w:jc w:val="both"/>
        <w:rPr>
          <w:rFonts w:ascii="Times New Roman" w:eastAsia="Times New Roman" w:hAnsi="Times New Roman" w:cs="Times New Roman"/>
          <w:sz w:val="24"/>
          <w:szCs w:val="24"/>
        </w:rPr>
      </w:pPr>
      <w:r w:rsidRPr="002748F8">
        <w:rPr>
          <w:rFonts w:ascii="Times New Roman" w:eastAsia="Times New Roman" w:hAnsi="Times New Roman" w:cs="Times New Roman"/>
          <w:sz w:val="24"/>
          <w:szCs w:val="24"/>
        </w:rPr>
        <w:t xml:space="preserve">Lou, Y., and M. Wang, M. 2009. Fraud risk factor disclosures and asset misappropriation: </w:t>
      </w:r>
      <w:r w:rsidRPr="0017264D">
        <w:rPr>
          <w:rFonts w:ascii="Times New Roman" w:eastAsia="Times New Roman" w:hAnsi="Times New Roman" w:cs="Times New Roman"/>
          <w:sz w:val="24"/>
          <w:szCs w:val="24"/>
        </w:rPr>
        <w:t>Evidenc</w:t>
      </w:r>
      <w:r w:rsidR="002748F8">
        <w:rPr>
          <w:rFonts w:ascii="Times New Roman" w:eastAsia="Times New Roman" w:hAnsi="Times New Roman" w:cs="Times New Roman"/>
          <w:sz w:val="24"/>
          <w:szCs w:val="24"/>
        </w:rPr>
        <w:t xml:space="preserve">e </w:t>
      </w:r>
      <w:r w:rsidRPr="0017264D">
        <w:rPr>
          <w:rFonts w:ascii="Times New Roman" w:eastAsia="Times New Roman" w:hAnsi="Times New Roman" w:cs="Times New Roman"/>
          <w:sz w:val="24"/>
          <w:szCs w:val="24"/>
        </w:rPr>
        <w:t>from China’s securities market. C</w:t>
      </w:r>
      <w:r w:rsidRPr="0017264D">
        <w:rPr>
          <w:rFonts w:ascii="Times New Roman" w:eastAsia="Times New Roman" w:hAnsi="Times New Roman" w:cs="Times New Roman"/>
          <w:i/>
          <w:sz w:val="24"/>
          <w:szCs w:val="24"/>
        </w:rPr>
        <w:t xml:space="preserve">hina Journal of Accounting Research </w:t>
      </w:r>
      <w:r w:rsidRPr="0017264D">
        <w:rPr>
          <w:rFonts w:ascii="Times New Roman" w:eastAsia="Times New Roman" w:hAnsi="Times New Roman" w:cs="Times New Roman"/>
          <w:sz w:val="24"/>
          <w:szCs w:val="24"/>
        </w:rPr>
        <w:t>2(1): 1–23.</w:t>
      </w:r>
    </w:p>
    <w:p w14:paraId="4C68EA34" w14:textId="77777777" w:rsidR="007373F6" w:rsidRPr="0017264D" w:rsidRDefault="00000000">
      <w:pPr>
        <w:widowControl w:val="0"/>
        <w:spacing w:before="66" w:after="0" w:line="268" w:lineRule="auto"/>
        <w:ind w:left="720" w:hanging="720"/>
        <w:jc w:val="both"/>
        <w:rPr>
          <w:rFonts w:ascii="Times New Roman" w:eastAsia="Times New Roman" w:hAnsi="Times New Roman" w:cs="Times New Roman"/>
          <w:sz w:val="24"/>
          <w:szCs w:val="24"/>
        </w:rPr>
      </w:pPr>
      <w:r w:rsidRPr="0017264D">
        <w:rPr>
          <w:rFonts w:ascii="Times New Roman" w:eastAsia="Times New Roman" w:hAnsi="Times New Roman" w:cs="Times New Roman"/>
          <w:sz w:val="24"/>
          <w:szCs w:val="24"/>
        </w:rPr>
        <w:t>Nakashima, M. 2021. Can the fraud triangle explain fraudulent financial statements? Evidence from</w:t>
      </w:r>
      <w:r w:rsidRPr="0017264D">
        <w:rPr>
          <w:rFonts w:ascii="Times New Roman" w:eastAsia="Times New Roman" w:hAnsi="Times New Roman" w:cs="Times New Roman"/>
          <w:sz w:val="24"/>
          <w:szCs w:val="24"/>
        </w:rPr>
        <w:tab/>
        <w:t xml:space="preserve">Japan. </w:t>
      </w:r>
      <w:r w:rsidRPr="0017264D">
        <w:rPr>
          <w:rFonts w:ascii="Times New Roman" w:eastAsia="Times New Roman" w:hAnsi="Times New Roman" w:cs="Times New Roman"/>
          <w:i/>
          <w:sz w:val="24"/>
          <w:szCs w:val="24"/>
        </w:rPr>
        <w:t>Journal of Forensic and Investigative Accounting</w:t>
      </w:r>
      <w:r w:rsidRPr="0017264D">
        <w:rPr>
          <w:rFonts w:ascii="Times New Roman" w:eastAsia="Times New Roman" w:hAnsi="Times New Roman" w:cs="Times New Roman"/>
          <w:sz w:val="24"/>
          <w:szCs w:val="24"/>
        </w:rPr>
        <w:t xml:space="preserve"> 13(1), 198–232.</w:t>
      </w:r>
    </w:p>
    <w:p w14:paraId="6FEDB783" w14:textId="2CF54B32" w:rsidR="007373F6" w:rsidRPr="0017264D" w:rsidRDefault="00000000">
      <w:pPr>
        <w:widowControl w:val="0"/>
        <w:spacing w:before="66" w:after="0" w:line="268" w:lineRule="auto"/>
        <w:ind w:left="720" w:hanging="720"/>
        <w:jc w:val="both"/>
        <w:rPr>
          <w:rFonts w:ascii="Times New Roman" w:eastAsia="Times New Roman" w:hAnsi="Times New Roman" w:cs="Times New Roman"/>
          <w:sz w:val="24"/>
          <w:szCs w:val="24"/>
        </w:rPr>
      </w:pPr>
      <w:r w:rsidRPr="0017264D">
        <w:rPr>
          <w:rFonts w:ascii="Times New Roman" w:eastAsia="Times New Roman" w:hAnsi="Times New Roman" w:cs="Times New Roman"/>
          <w:sz w:val="24"/>
          <w:szCs w:val="24"/>
        </w:rPr>
        <w:t>Skousen, C. J., Smith, K. R., and C.J. Wright. 2009. Detecting and predicting financial statement</w:t>
      </w:r>
      <w:r w:rsidRPr="0017264D">
        <w:rPr>
          <w:rFonts w:ascii="Times New Roman" w:eastAsia="Times New Roman" w:hAnsi="Times New Roman" w:cs="Times New Roman"/>
          <w:sz w:val="24"/>
          <w:szCs w:val="24"/>
        </w:rPr>
        <w:tab/>
        <w:t xml:space="preserve">fraud: Th effectiveness of the fraud triangle and SAS No. 99. </w:t>
      </w:r>
      <w:r w:rsidRPr="0017264D">
        <w:rPr>
          <w:rFonts w:ascii="Times New Roman" w:eastAsia="Times New Roman" w:hAnsi="Times New Roman" w:cs="Times New Roman"/>
          <w:i/>
          <w:sz w:val="24"/>
          <w:szCs w:val="24"/>
        </w:rPr>
        <w:t>Advances in Financial</w:t>
      </w:r>
      <w:r w:rsidRPr="0017264D">
        <w:rPr>
          <w:rFonts w:ascii="Times New Roman" w:eastAsia="Times New Roman" w:hAnsi="Times New Roman" w:cs="Times New Roman"/>
          <w:i/>
          <w:sz w:val="24"/>
          <w:szCs w:val="24"/>
        </w:rPr>
        <w:tab/>
        <w:t>Economics</w:t>
      </w:r>
      <w:r w:rsidR="002748F8">
        <w:rPr>
          <w:rFonts w:ascii="Times New Roman" w:eastAsia="Times New Roman" w:hAnsi="Times New Roman" w:cs="Times New Roman"/>
          <w:sz w:val="24"/>
          <w:szCs w:val="24"/>
        </w:rPr>
        <w:t xml:space="preserve"> </w:t>
      </w:r>
      <w:r w:rsidRPr="0017264D">
        <w:rPr>
          <w:rFonts w:ascii="Times New Roman" w:eastAsia="Times New Roman" w:hAnsi="Times New Roman" w:cs="Times New Roman"/>
          <w:sz w:val="24"/>
          <w:szCs w:val="24"/>
        </w:rPr>
        <w:t>13:53-81.</w:t>
      </w:r>
      <w:r w:rsidR="002748F8">
        <w:rPr>
          <w:rFonts w:ascii="Times New Roman" w:eastAsia="Times New Roman" w:hAnsi="Times New Roman" w:cs="Times New Roman"/>
          <w:sz w:val="24"/>
          <w:szCs w:val="24"/>
        </w:rPr>
        <w:t xml:space="preserve"> </w:t>
      </w:r>
      <w:r w:rsidRPr="0017264D">
        <w:rPr>
          <w:rFonts w:ascii="Times New Roman" w:eastAsia="Times New Roman" w:hAnsi="Times New Roman" w:cs="Times New Roman"/>
          <w:sz w:val="24"/>
          <w:szCs w:val="24"/>
        </w:rPr>
        <w:t>https://doi.org/10.1108/S1569-3732(2009)0000013005</w:t>
      </w:r>
    </w:p>
    <w:p w14:paraId="0DA608A4" w14:textId="4E9208E4" w:rsidR="007373F6" w:rsidRPr="0017264D" w:rsidRDefault="00000000">
      <w:pPr>
        <w:widowControl w:val="0"/>
        <w:spacing w:before="66" w:after="0" w:line="268" w:lineRule="auto"/>
        <w:ind w:left="720" w:hanging="720"/>
        <w:jc w:val="both"/>
        <w:rPr>
          <w:rFonts w:ascii="Times New Roman" w:eastAsia="Times New Roman" w:hAnsi="Times New Roman" w:cs="Times New Roman"/>
          <w:b/>
        </w:rPr>
      </w:pPr>
      <w:r w:rsidRPr="0017264D">
        <w:rPr>
          <w:rFonts w:ascii="Times New Roman" w:eastAsia="Times New Roman" w:hAnsi="Times New Roman" w:cs="Times New Roman"/>
          <w:sz w:val="24"/>
          <w:szCs w:val="24"/>
        </w:rPr>
        <w:t xml:space="preserve">Wolfe, D. T., and D.R. Hermanson. 2004. The fraud diamond: Considering the four elements </w:t>
      </w:r>
      <w:proofErr w:type="spellStart"/>
      <w:r w:rsidRPr="0017264D">
        <w:rPr>
          <w:rFonts w:ascii="Times New Roman" w:eastAsia="Times New Roman" w:hAnsi="Times New Roman" w:cs="Times New Roman"/>
          <w:sz w:val="24"/>
          <w:szCs w:val="24"/>
        </w:rPr>
        <w:t>o</w:t>
      </w:r>
      <w:proofErr w:type="spellEnd"/>
      <w:r w:rsidRPr="0017264D">
        <w:rPr>
          <w:rFonts w:ascii="Times New Roman" w:eastAsia="Times New Roman" w:hAnsi="Times New Roman" w:cs="Times New Roman"/>
          <w:sz w:val="24"/>
          <w:szCs w:val="24"/>
        </w:rPr>
        <w:t xml:space="preserve"> fraud.</w:t>
      </w:r>
      <w:r w:rsidR="002748F8">
        <w:rPr>
          <w:rFonts w:ascii="Times New Roman" w:eastAsia="Times New Roman" w:hAnsi="Times New Roman" w:cs="Times New Roman"/>
          <w:sz w:val="24"/>
          <w:szCs w:val="24"/>
        </w:rPr>
        <w:t xml:space="preserve"> </w:t>
      </w:r>
      <w:r w:rsidRPr="0017264D">
        <w:rPr>
          <w:rFonts w:ascii="Times New Roman" w:eastAsia="Times New Roman" w:hAnsi="Times New Roman" w:cs="Times New Roman"/>
          <w:i/>
          <w:sz w:val="24"/>
          <w:szCs w:val="24"/>
        </w:rPr>
        <w:t>The CPA Journal</w:t>
      </w:r>
      <w:r w:rsidRPr="0017264D">
        <w:rPr>
          <w:rFonts w:ascii="Times New Roman" w:eastAsia="Times New Roman" w:hAnsi="Times New Roman" w:cs="Times New Roman"/>
          <w:sz w:val="24"/>
          <w:szCs w:val="24"/>
        </w:rPr>
        <w:t xml:space="preserve"> 74(12): 38–42.</w:t>
      </w:r>
    </w:p>
    <w:p w14:paraId="35A62C5B" w14:textId="77777777" w:rsidR="007373F6" w:rsidRDefault="007373F6" w:rsidP="008142FB"/>
    <w:p w14:paraId="4300826A" w14:textId="77777777" w:rsidR="007373F6" w:rsidRDefault="007373F6" w:rsidP="008142FB"/>
    <w:p w14:paraId="0597F0CE" w14:textId="41489635" w:rsidR="0017264D" w:rsidRDefault="0017264D">
      <w:r>
        <w:br w:type="page"/>
      </w:r>
    </w:p>
    <w:p w14:paraId="30FDCF93" w14:textId="77777777" w:rsidR="007373F6" w:rsidRDefault="00000000">
      <w:pPr>
        <w:pStyle w:val="Heading1"/>
      </w:pPr>
      <w:bookmarkStart w:id="108" w:name="_Toc211808164"/>
      <w:r>
        <w:lastRenderedPageBreak/>
        <w:t>Paper ID 70</w:t>
      </w:r>
      <w:bookmarkEnd w:id="108"/>
    </w:p>
    <w:p w14:paraId="141111D9" w14:textId="77777777" w:rsidR="007373F6" w:rsidRDefault="00000000">
      <w:pPr>
        <w:pStyle w:val="Heading2"/>
      </w:pPr>
      <w:bookmarkStart w:id="109" w:name="_Toc211808165"/>
      <w:r>
        <w:t>TRANSFER PRICING, FIRM VALUE AND TAX PLANNING IN EMERGING ECONOMIES: EVIDENCE FROM INDONESIA’S FINANCIAL SECTOR</w:t>
      </w:r>
      <w:bookmarkEnd w:id="109"/>
    </w:p>
    <w:p w14:paraId="6DE66455" w14:textId="77777777" w:rsidR="007373F6" w:rsidRPr="0017264D" w:rsidRDefault="00000000">
      <w:pPr>
        <w:shd w:val="clear" w:color="auto" w:fill="FFFFFF"/>
        <w:jc w:val="center"/>
        <w:rPr>
          <w:rFonts w:ascii="Times New Roman" w:eastAsia="Times New Roman" w:hAnsi="Times New Roman" w:cs="Times New Roman"/>
          <w:sz w:val="24"/>
          <w:szCs w:val="24"/>
        </w:rPr>
      </w:pPr>
      <w:proofErr w:type="spellStart"/>
      <w:r w:rsidRPr="0017264D">
        <w:rPr>
          <w:rFonts w:ascii="Times New Roman" w:eastAsia="Times New Roman" w:hAnsi="Times New Roman" w:cs="Times New Roman"/>
          <w:b/>
          <w:sz w:val="24"/>
          <w:szCs w:val="24"/>
        </w:rPr>
        <w:t>Vidiyanna</w:t>
      </w:r>
      <w:proofErr w:type="spellEnd"/>
      <w:r w:rsidRPr="0017264D">
        <w:rPr>
          <w:rFonts w:ascii="Times New Roman" w:eastAsia="Times New Roman" w:hAnsi="Times New Roman" w:cs="Times New Roman"/>
          <w:b/>
          <w:sz w:val="24"/>
          <w:szCs w:val="24"/>
        </w:rPr>
        <w:t xml:space="preserve"> Putri*</w:t>
      </w:r>
      <w:r w:rsidRPr="0017264D">
        <w:rPr>
          <w:rFonts w:ascii="Times New Roman" w:eastAsia="Times New Roman" w:hAnsi="Times New Roman" w:cs="Times New Roman"/>
          <w:sz w:val="24"/>
          <w:szCs w:val="24"/>
        </w:rPr>
        <w:t>, Accounting Research Institute, Universiti Teknologi MARA, Malaysia (</w:t>
      </w:r>
      <w:hyperlink r:id="rId207">
        <w:r w:rsidR="007373F6" w:rsidRPr="0017264D">
          <w:rPr>
            <w:rFonts w:ascii="Times New Roman" w:eastAsia="Times New Roman" w:hAnsi="Times New Roman" w:cs="Times New Roman"/>
            <w:sz w:val="24"/>
            <w:szCs w:val="24"/>
          </w:rPr>
          <w:t>vidiputri@ibs.ac.id</w:t>
        </w:r>
      </w:hyperlink>
      <w:r w:rsidRPr="0017264D">
        <w:rPr>
          <w:rFonts w:ascii="Times New Roman" w:eastAsia="Times New Roman" w:hAnsi="Times New Roman" w:cs="Times New Roman"/>
          <w:sz w:val="24"/>
          <w:szCs w:val="24"/>
        </w:rPr>
        <w:t>)</w:t>
      </w:r>
    </w:p>
    <w:p w14:paraId="48F3B02B" w14:textId="77777777" w:rsidR="00055906" w:rsidRPr="0017264D" w:rsidRDefault="00055906" w:rsidP="00055906">
      <w:pPr>
        <w:shd w:val="clear" w:color="auto" w:fill="FFFFFF"/>
        <w:jc w:val="center"/>
        <w:rPr>
          <w:rFonts w:asciiTheme="majorBidi" w:hAnsiTheme="majorBidi" w:cstheme="majorBidi"/>
          <w:sz w:val="24"/>
          <w:szCs w:val="24"/>
          <w:lang w:val="en-US"/>
        </w:rPr>
      </w:pPr>
      <w:r w:rsidRPr="0017264D">
        <w:rPr>
          <w:rFonts w:asciiTheme="majorBidi" w:hAnsiTheme="majorBidi" w:cstheme="majorBidi"/>
          <w:b/>
          <w:bCs/>
          <w:sz w:val="24"/>
          <w:szCs w:val="24"/>
          <w:lang w:val="en-US"/>
        </w:rPr>
        <w:t>Nor Balkish Zakaria</w:t>
      </w:r>
      <w:r w:rsidRPr="0017264D">
        <w:rPr>
          <w:rFonts w:asciiTheme="majorBidi" w:hAnsiTheme="majorBidi" w:cstheme="majorBidi"/>
          <w:bCs/>
          <w:sz w:val="24"/>
          <w:szCs w:val="24"/>
          <w:lang w:val="en-US"/>
        </w:rPr>
        <w:t>, Accounting Research Institute, Universiti Teknologi MARA, Malaysia (norbalkish@uitm.edu.my)</w:t>
      </w:r>
    </w:p>
    <w:p w14:paraId="47BA3025" w14:textId="77777777" w:rsidR="00055906" w:rsidRPr="0017264D" w:rsidRDefault="00055906" w:rsidP="00055906">
      <w:pPr>
        <w:shd w:val="clear" w:color="auto" w:fill="FFFFFF"/>
        <w:jc w:val="center"/>
        <w:rPr>
          <w:rFonts w:asciiTheme="majorBidi" w:hAnsiTheme="majorBidi" w:cstheme="majorBidi"/>
          <w:sz w:val="24"/>
          <w:szCs w:val="24"/>
          <w:lang w:val="en-US"/>
        </w:rPr>
      </w:pPr>
      <w:r w:rsidRPr="0017264D">
        <w:rPr>
          <w:rFonts w:asciiTheme="majorBidi" w:hAnsiTheme="majorBidi" w:cstheme="majorBidi"/>
          <w:b/>
          <w:bCs/>
          <w:sz w:val="24"/>
          <w:szCs w:val="24"/>
          <w:lang w:val="en-US"/>
        </w:rPr>
        <w:t>Nelmida</w:t>
      </w:r>
      <w:r w:rsidRPr="0017264D">
        <w:rPr>
          <w:rFonts w:asciiTheme="majorBidi" w:hAnsiTheme="majorBidi" w:cstheme="majorBidi"/>
          <w:bCs/>
          <w:sz w:val="24"/>
          <w:szCs w:val="24"/>
          <w:lang w:val="en-US"/>
        </w:rPr>
        <w:t xml:space="preserve">, Institute </w:t>
      </w:r>
      <w:proofErr w:type="spellStart"/>
      <w:r w:rsidRPr="0017264D">
        <w:rPr>
          <w:rFonts w:asciiTheme="majorBidi" w:hAnsiTheme="majorBidi" w:cstheme="majorBidi"/>
          <w:bCs/>
          <w:sz w:val="24"/>
          <w:szCs w:val="24"/>
          <w:lang w:val="en-US"/>
        </w:rPr>
        <w:t>Transportasi</w:t>
      </w:r>
      <w:proofErr w:type="spellEnd"/>
      <w:r w:rsidRPr="0017264D">
        <w:rPr>
          <w:rFonts w:asciiTheme="majorBidi" w:hAnsiTheme="majorBidi" w:cstheme="majorBidi"/>
          <w:bCs/>
          <w:sz w:val="24"/>
          <w:szCs w:val="24"/>
          <w:lang w:val="en-US"/>
        </w:rPr>
        <w:t xml:space="preserve"> and Logistic </w:t>
      </w:r>
      <w:proofErr w:type="spellStart"/>
      <w:r w:rsidRPr="0017264D">
        <w:rPr>
          <w:rFonts w:asciiTheme="majorBidi" w:hAnsiTheme="majorBidi" w:cstheme="majorBidi"/>
          <w:bCs/>
          <w:sz w:val="24"/>
          <w:szCs w:val="24"/>
          <w:lang w:val="en-US"/>
        </w:rPr>
        <w:t>Trisakti</w:t>
      </w:r>
      <w:proofErr w:type="spellEnd"/>
      <w:r w:rsidRPr="0017264D">
        <w:rPr>
          <w:rFonts w:asciiTheme="majorBidi" w:hAnsiTheme="majorBidi" w:cstheme="majorBidi"/>
          <w:bCs/>
          <w:sz w:val="24"/>
          <w:szCs w:val="24"/>
          <w:lang w:val="en-US"/>
        </w:rPr>
        <w:t>, Jakarta, Indonesia (</w:t>
      </w:r>
      <w:r w:rsidRPr="0017264D">
        <w:rPr>
          <w:rFonts w:asciiTheme="majorBidi" w:hAnsiTheme="majorBidi" w:cstheme="majorBidi"/>
          <w:sz w:val="24"/>
          <w:szCs w:val="24"/>
          <w:lang w:val="en-US"/>
        </w:rPr>
        <w:t>nelmida.2020@gmail.com</w:t>
      </w:r>
      <w:r w:rsidRPr="0017264D">
        <w:rPr>
          <w:rFonts w:asciiTheme="majorBidi" w:hAnsiTheme="majorBidi" w:cstheme="majorBidi"/>
          <w:bCs/>
          <w:sz w:val="24"/>
          <w:szCs w:val="24"/>
          <w:lang w:val="en-US"/>
        </w:rPr>
        <w:t>)</w:t>
      </w:r>
    </w:p>
    <w:p w14:paraId="4CD5E311" w14:textId="77777777" w:rsidR="00055906" w:rsidRPr="0017264D" w:rsidRDefault="00055906" w:rsidP="00055906">
      <w:pPr>
        <w:shd w:val="clear" w:color="auto" w:fill="FFFFFF"/>
        <w:jc w:val="center"/>
        <w:rPr>
          <w:rFonts w:asciiTheme="majorBidi" w:hAnsiTheme="majorBidi" w:cstheme="majorBidi"/>
          <w:sz w:val="24"/>
          <w:szCs w:val="24"/>
          <w:lang w:val="en-US"/>
        </w:rPr>
      </w:pPr>
      <w:r w:rsidRPr="0017264D">
        <w:rPr>
          <w:rFonts w:asciiTheme="majorBidi" w:hAnsiTheme="majorBidi" w:cstheme="majorBidi"/>
          <w:b/>
          <w:bCs/>
          <w:sz w:val="24"/>
          <w:szCs w:val="24"/>
          <w:lang w:val="en-US"/>
        </w:rPr>
        <w:t>Sri Handayani</w:t>
      </w:r>
      <w:r w:rsidRPr="0017264D">
        <w:rPr>
          <w:rFonts w:asciiTheme="majorBidi" w:hAnsiTheme="majorBidi" w:cstheme="majorBidi"/>
          <w:bCs/>
          <w:sz w:val="24"/>
          <w:szCs w:val="24"/>
          <w:lang w:val="en-US"/>
        </w:rPr>
        <w:t xml:space="preserve">, Institute </w:t>
      </w:r>
      <w:proofErr w:type="spellStart"/>
      <w:r w:rsidRPr="0017264D">
        <w:rPr>
          <w:rFonts w:asciiTheme="majorBidi" w:hAnsiTheme="majorBidi" w:cstheme="majorBidi"/>
          <w:bCs/>
          <w:sz w:val="24"/>
          <w:szCs w:val="24"/>
          <w:lang w:val="en-US"/>
        </w:rPr>
        <w:t>Transportasi</w:t>
      </w:r>
      <w:proofErr w:type="spellEnd"/>
      <w:r w:rsidRPr="0017264D">
        <w:rPr>
          <w:rFonts w:asciiTheme="majorBidi" w:hAnsiTheme="majorBidi" w:cstheme="majorBidi"/>
          <w:bCs/>
          <w:sz w:val="24"/>
          <w:szCs w:val="24"/>
          <w:lang w:val="en-US"/>
        </w:rPr>
        <w:t xml:space="preserve"> and Logistic </w:t>
      </w:r>
      <w:proofErr w:type="spellStart"/>
      <w:r w:rsidRPr="0017264D">
        <w:rPr>
          <w:rFonts w:asciiTheme="majorBidi" w:hAnsiTheme="majorBidi" w:cstheme="majorBidi"/>
          <w:bCs/>
          <w:sz w:val="24"/>
          <w:szCs w:val="24"/>
          <w:lang w:val="en-US"/>
        </w:rPr>
        <w:t>Trisakti</w:t>
      </w:r>
      <w:proofErr w:type="spellEnd"/>
      <w:r w:rsidRPr="0017264D">
        <w:rPr>
          <w:rFonts w:asciiTheme="majorBidi" w:hAnsiTheme="majorBidi" w:cstheme="majorBidi"/>
          <w:bCs/>
          <w:sz w:val="24"/>
          <w:szCs w:val="24"/>
          <w:lang w:val="en-US"/>
        </w:rPr>
        <w:t>, Jakarta, Indonesia (</w:t>
      </w:r>
      <w:hyperlink r:id="rId208" w:history="1">
        <w:r w:rsidRPr="0017264D">
          <w:rPr>
            <w:rStyle w:val="Hyperlink"/>
            <w:rFonts w:asciiTheme="majorBidi" w:hAnsiTheme="majorBidi" w:cstheme="majorBidi"/>
            <w:bCs/>
            <w:color w:val="auto"/>
            <w:sz w:val="24"/>
            <w:szCs w:val="24"/>
            <w:u w:val="none"/>
            <w:lang w:val="en-US"/>
          </w:rPr>
          <w:t>vidiputri@ibs.ac.id</w:t>
        </w:r>
      </w:hyperlink>
      <w:r w:rsidRPr="0017264D">
        <w:rPr>
          <w:rFonts w:asciiTheme="majorBidi" w:hAnsiTheme="majorBidi" w:cstheme="majorBidi"/>
          <w:bCs/>
          <w:sz w:val="24"/>
          <w:szCs w:val="24"/>
          <w:lang w:val="en-US"/>
        </w:rPr>
        <w:t>)</w:t>
      </w:r>
    </w:p>
    <w:p w14:paraId="4474E508" w14:textId="77777777" w:rsidR="00055906" w:rsidRPr="0017264D" w:rsidRDefault="00055906" w:rsidP="00055906">
      <w:pPr>
        <w:shd w:val="clear" w:color="auto" w:fill="FFFFFF"/>
        <w:jc w:val="center"/>
        <w:rPr>
          <w:rFonts w:asciiTheme="majorBidi" w:hAnsiTheme="majorBidi" w:cstheme="majorBidi"/>
          <w:sz w:val="24"/>
          <w:szCs w:val="24"/>
          <w:lang w:val="en-US"/>
        </w:rPr>
      </w:pPr>
      <w:r w:rsidRPr="0017264D">
        <w:rPr>
          <w:rFonts w:asciiTheme="majorBidi" w:hAnsiTheme="majorBidi" w:cstheme="majorBidi"/>
          <w:b/>
          <w:bCs/>
          <w:sz w:val="24"/>
          <w:szCs w:val="24"/>
          <w:lang w:val="en-US"/>
        </w:rPr>
        <w:t>Siti Farhana</w:t>
      </w:r>
      <w:r w:rsidRPr="0017264D">
        <w:rPr>
          <w:rFonts w:asciiTheme="majorBidi" w:hAnsiTheme="majorBidi" w:cstheme="majorBidi"/>
          <w:bCs/>
          <w:sz w:val="24"/>
          <w:szCs w:val="24"/>
          <w:lang w:val="en-US"/>
        </w:rPr>
        <w:t xml:space="preserve">, </w:t>
      </w:r>
      <w:proofErr w:type="spellStart"/>
      <w:r w:rsidRPr="0017264D">
        <w:rPr>
          <w:rFonts w:asciiTheme="majorBidi" w:hAnsiTheme="majorBidi" w:cstheme="majorBidi"/>
          <w:bCs/>
          <w:sz w:val="24"/>
          <w:szCs w:val="24"/>
          <w:lang w:val="en-US"/>
        </w:rPr>
        <w:t>Prasetiya</w:t>
      </w:r>
      <w:proofErr w:type="spellEnd"/>
      <w:r w:rsidRPr="0017264D">
        <w:rPr>
          <w:rFonts w:asciiTheme="majorBidi" w:hAnsiTheme="majorBidi" w:cstheme="majorBidi"/>
          <w:bCs/>
          <w:sz w:val="24"/>
          <w:szCs w:val="24"/>
          <w:lang w:val="en-US"/>
        </w:rPr>
        <w:t xml:space="preserve"> Mulya University, Indonesia (</w:t>
      </w:r>
      <w:hyperlink r:id="rId209" w:history="1">
        <w:r w:rsidRPr="0017264D">
          <w:rPr>
            <w:rStyle w:val="Hyperlink"/>
            <w:rFonts w:asciiTheme="majorBidi" w:hAnsiTheme="majorBidi" w:cstheme="majorBidi"/>
            <w:bCs/>
            <w:color w:val="auto"/>
            <w:sz w:val="24"/>
            <w:szCs w:val="24"/>
            <w:u w:val="none"/>
            <w:lang w:val="en-US"/>
          </w:rPr>
          <w:t>vidiputri@ibs.ac.id</w:t>
        </w:r>
      </w:hyperlink>
      <w:r w:rsidRPr="0017264D">
        <w:rPr>
          <w:rFonts w:asciiTheme="majorBidi" w:hAnsiTheme="majorBidi" w:cstheme="majorBidi"/>
          <w:bCs/>
          <w:sz w:val="24"/>
          <w:szCs w:val="24"/>
          <w:lang w:val="en-US"/>
        </w:rPr>
        <w:t>)</w:t>
      </w:r>
    </w:p>
    <w:p w14:paraId="53834649" w14:textId="77777777" w:rsidR="00055906" w:rsidRPr="0017264D" w:rsidRDefault="00055906" w:rsidP="00055906">
      <w:pPr>
        <w:shd w:val="clear" w:color="auto" w:fill="FFFFFF"/>
        <w:jc w:val="center"/>
        <w:rPr>
          <w:rFonts w:asciiTheme="majorBidi" w:hAnsiTheme="majorBidi" w:cstheme="majorBidi"/>
          <w:sz w:val="24"/>
          <w:szCs w:val="24"/>
          <w:lang w:val="en-US"/>
        </w:rPr>
      </w:pPr>
      <w:r w:rsidRPr="0017264D">
        <w:rPr>
          <w:rFonts w:asciiTheme="majorBidi" w:hAnsiTheme="majorBidi" w:cstheme="majorBidi"/>
          <w:b/>
          <w:bCs/>
          <w:sz w:val="24"/>
          <w:szCs w:val="24"/>
          <w:lang w:val="en-US"/>
        </w:rPr>
        <w:t xml:space="preserve">Lintang Putri </w:t>
      </w:r>
      <w:proofErr w:type="spellStart"/>
      <w:r w:rsidRPr="0017264D">
        <w:rPr>
          <w:rFonts w:asciiTheme="majorBidi" w:hAnsiTheme="majorBidi" w:cstheme="majorBidi"/>
          <w:b/>
          <w:bCs/>
          <w:sz w:val="24"/>
          <w:szCs w:val="24"/>
          <w:lang w:val="en-US"/>
        </w:rPr>
        <w:t>Estiarto</w:t>
      </w:r>
      <w:proofErr w:type="spellEnd"/>
      <w:r w:rsidRPr="0017264D">
        <w:rPr>
          <w:rFonts w:asciiTheme="majorBidi" w:hAnsiTheme="majorBidi" w:cstheme="majorBidi"/>
          <w:bCs/>
          <w:sz w:val="24"/>
          <w:szCs w:val="24"/>
          <w:lang w:val="en-US"/>
        </w:rPr>
        <w:t xml:space="preserve">, Accounting Department, Bina </w:t>
      </w:r>
      <w:proofErr w:type="spellStart"/>
      <w:r w:rsidRPr="0017264D">
        <w:rPr>
          <w:rFonts w:asciiTheme="majorBidi" w:hAnsiTheme="majorBidi" w:cstheme="majorBidi"/>
          <w:bCs/>
          <w:sz w:val="24"/>
          <w:szCs w:val="24"/>
          <w:lang w:val="en-US"/>
        </w:rPr>
        <w:t>Insani</w:t>
      </w:r>
      <w:proofErr w:type="spellEnd"/>
      <w:r w:rsidRPr="0017264D">
        <w:rPr>
          <w:rFonts w:asciiTheme="majorBidi" w:hAnsiTheme="majorBidi" w:cstheme="majorBidi"/>
          <w:bCs/>
          <w:sz w:val="24"/>
          <w:szCs w:val="24"/>
          <w:lang w:val="en-US"/>
        </w:rPr>
        <w:t xml:space="preserve"> University, Indonesia (</w:t>
      </w:r>
      <w:r w:rsidRPr="0017264D">
        <w:rPr>
          <w:rFonts w:asciiTheme="majorBidi" w:hAnsiTheme="majorBidi" w:cstheme="majorBidi"/>
          <w:sz w:val="24"/>
          <w:szCs w:val="24"/>
          <w:lang w:val="en-US"/>
        </w:rPr>
        <w:t>lintangputri@binainsani.ac.id</w:t>
      </w:r>
      <w:r w:rsidRPr="0017264D">
        <w:rPr>
          <w:rFonts w:asciiTheme="majorBidi" w:hAnsiTheme="majorBidi" w:cstheme="majorBidi"/>
          <w:bCs/>
          <w:sz w:val="24"/>
          <w:szCs w:val="24"/>
          <w:lang w:val="en-US"/>
        </w:rPr>
        <w:t>)</w:t>
      </w:r>
    </w:p>
    <w:p w14:paraId="7266D42A" w14:textId="77777777" w:rsidR="00055906" w:rsidRPr="00055906" w:rsidRDefault="00055906">
      <w:pPr>
        <w:shd w:val="clear" w:color="auto" w:fill="FFFFFF"/>
        <w:jc w:val="center"/>
        <w:rPr>
          <w:lang w:val="en-US"/>
        </w:rPr>
      </w:pPr>
    </w:p>
    <w:p w14:paraId="3AA3FB0E" w14:textId="77777777" w:rsidR="007373F6" w:rsidRDefault="007373F6">
      <w:pPr>
        <w:jc w:val="center"/>
      </w:pPr>
    </w:p>
    <w:p w14:paraId="3FE30A66" w14:textId="77777777" w:rsidR="007373F6"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ABSTRACT</w:t>
      </w:r>
    </w:p>
    <w:p w14:paraId="0412BB62" w14:textId="77777777" w:rsidR="007373F6" w:rsidRDefault="00000000">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study investigates the influence of key financial strategies, debt shifting, financial derivatives, and transfer pricing on corporate tax avoidance, along with the moderating role of firm value. The research focuses on banking and non-banking financial institutions listed on the Indonesia Stock Exchange between 2018 and 2023, offering empirical evidence from an emerging market context where tax compliance and regulatory enforcement remain pressing challenges. Using regression analysis via E-Views, the Effective Tax Rate (ETR) is employed as a proxy for tax avoidance, recognizing their inverse relationship: a higher ETR reflects lower tax avoidance, and vice versa. The findings reveal that debt shifting has a significant negative effect on tax avoidance, suggesting that firms engaging in higher debt shifting tend to report higher ETRs and thus lower levels of tax avoidance. Financial derivatives, however, show no statistically significant impact on tax avoidance, indicating their limited role in shaping tax outcomes within the observed sample. Conversely, transfer pricing exhibits a negative association with ETR, implying a positive link with tax avoidance and underscoring its effectiveness as a tax minimization tool. Furthermore, firm value does not moderate the effects of debt shifting or financial derivatives on tax avoidance but does moderate the relationship between transfer pricing and tax avoidance. These results provide actionable insights for policymakers seeking to address tax loopholes, enhance regulatory frameworks, and promote sustainable tax compliance in emerging economies.</w:t>
      </w:r>
    </w:p>
    <w:p w14:paraId="5DAB4749" w14:textId="77777777" w:rsidR="007373F6" w:rsidRDefault="007373F6">
      <w:pPr>
        <w:spacing w:after="0"/>
        <w:jc w:val="both"/>
        <w:rPr>
          <w:rFonts w:ascii="Times New Roman" w:eastAsia="Times New Roman" w:hAnsi="Times New Roman" w:cs="Times New Roman"/>
          <w:sz w:val="24"/>
          <w:szCs w:val="24"/>
        </w:rPr>
      </w:pPr>
    </w:p>
    <w:p w14:paraId="0EDAAD90" w14:textId="77777777" w:rsidR="007373F6" w:rsidRDefault="00000000">
      <w:pPr>
        <w:spacing w:after="0"/>
        <w:jc w:val="both"/>
        <w:rPr>
          <w:rFonts w:ascii="Times New Roman" w:eastAsia="Times New Roman" w:hAnsi="Times New Roman" w:cs="Times New Roman"/>
          <w:sz w:val="24"/>
          <w:szCs w:val="24"/>
        </w:rPr>
      </w:pPr>
      <w:r>
        <w:rPr>
          <w:rFonts w:ascii="Times New Roman" w:eastAsia="Times New Roman" w:hAnsi="Times New Roman" w:cs="Times New Roman"/>
          <w:b/>
          <w:i/>
          <w:color w:val="000000"/>
          <w:sz w:val="24"/>
          <w:szCs w:val="24"/>
          <w:highlight w:val="white"/>
        </w:rPr>
        <w:t xml:space="preserve">Keywords: </w:t>
      </w:r>
      <w:r>
        <w:rPr>
          <w:rFonts w:ascii="Times New Roman" w:eastAsia="Times New Roman" w:hAnsi="Times New Roman" w:cs="Times New Roman"/>
          <w:i/>
          <w:color w:val="000000"/>
          <w:sz w:val="24"/>
          <w:szCs w:val="24"/>
          <w:highlight w:val="white"/>
        </w:rPr>
        <w:t>Tax Avoidance, Debt Shifting, Derivatives, Transfer Pricing, Firm Value</w:t>
      </w:r>
      <w:r>
        <w:rPr>
          <w:rFonts w:ascii="Times New Roman" w:eastAsia="Times New Roman" w:hAnsi="Times New Roman" w:cs="Times New Roman"/>
          <w:b/>
          <w:i/>
          <w:color w:val="000000"/>
          <w:sz w:val="24"/>
          <w:szCs w:val="24"/>
          <w:highlight w:val="white"/>
        </w:rPr>
        <w:t xml:space="preserve"> </w:t>
      </w:r>
    </w:p>
    <w:p w14:paraId="76413252" w14:textId="77777777" w:rsidR="007373F6" w:rsidRDefault="007373F6">
      <w:pPr>
        <w:jc w:val="both"/>
        <w:rPr>
          <w:rFonts w:ascii="Times New Roman" w:eastAsia="Times New Roman" w:hAnsi="Times New Roman" w:cs="Times New Roman"/>
          <w:sz w:val="24"/>
          <w:szCs w:val="24"/>
          <w:highlight w:val="white"/>
        </w:rPr>
      </w:pPr>
    </w:p>
    <w:p w14:paraId="7297D754" w14:textId="77777777" w:rsidR="0017264D" w:rsidRDefault="0017264D">
      <w:pPr>
        <w:jc w:val="both"/>
        <w:rPr>
          <w:rFonts w:ascii="Times New Roman" w:eastAsia="Times New Roman" w:hAnsi="Times New Roman" w:cs="Times New Roman"/>
          <w:sz w:val="24"/>
          <w:szCs w:val="24"/>
          <w:highlight w:val="white"/>
        </w:rPr>
      </w:pPr>
    </w:p>
    <w:p w14:paraId="3E3458CB" w14:textId="77777777" w:rsidR="007373F6" w:rsidRDefault="00000000">
      <w:pPr>
        <w:widowControl w:val="0"/>
        <w:spacing w:after="20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 INTRODUCTION</w:t>
      </w:r>
    </w:p>
    <w:p w14:paraId="793F37E3" w14:textId="77777777" w:rsidR="007373F6" w:rsidRDefault="00000000" w:rsidP="0017264D">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Taxation is a cornerstone of national fiscal sustainability, providing the primary source of government revenue to finance public expenditure. Yet Indonesia’s tax-to-GDP ratio remains among the lowest in Southeast Asia, stagnating around 10.39% in 2022, far below the OECD average of 33.8%. Despite collecting IDR 1,932.4 trillion in 2024—exceeding the target by 100.5%—the contribution from corporate income tax in the banking sector has declined, underscoring sector-specific weaknesses in profitability and compliance.</w:t>
      </w:r>
    </w:p>
    <w:p w14:paraId="5CF6361B" w14:textId="77777777" w:rsidR="007373F6" w:rsidRDefault="00000000" w:rsidP="0017264D">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financial sector plays a dual role in taxation: as a direct contributor to state revenues and as a potential facilitator of aggressive tax planning strategies. Techniques such as debt shifting, transfer pricing, and the use of derivatives exploit gaps in legislation to minimize tax obligations. These practices may be legal, but they reduce government revenues and raise ethical concerns regarding corporate accountability. In particular, Indonesian banks and financial institutions—given their structural complexity—are highly vulnerable to manipulative tax strategies.</w:t>
      </w:r>
    </w:p>
    <w:p w14:paraId="0149D3E7" w14:textId="04071EF0" w:rsidR="007373F6" w:rsidRDefault="00000000" w:rsidP="0017264D">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Against this background, this study explores whether debt shifting, derivatives, and transfer pricing significantly drive tax avoidance, and whether firm value moderates these relationships. The research provides evidence from Indonesia as an emerging economy where regulatory enforcement remains a challenge.</w:t>
      </w:r>
    </w:p>
    <w:p w14:paraId="0852E477" w14:textId="77777777" w:rsidR="007373F6" w:rsidRDefault="007373F6">
      <w:pPr>
        <w:widowControl w:val="0"/>
        <w:spacing w:after="0" w:line="240" w:lineRule="auto"/>
        <w:jc w:val="both"/>
        <w:rPr>
          <w:rFonts w:ascii="Times New Roman" w:eastAsia="Times New Roman" w:hAnsi="Times New Roman" w:cs="Times New Roman"/>
          <w:sz w:val="24"/>
          <w:szCs w:val="24"/>
        </w:rPr>
      </w:pPr>
    </w:p>
    <w:p w14:paraId="6F136EC3" w14:textId="77777777" w:rsidR="007373F6" w:rsidRDefault="00000000">
      <w:pPr>
        <w:widowControl w:val="0"/>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 LITERATURE REVIEW AND HYPOTHESES DEVELOPMENT</w:t>
      </w:r>
    </w:p>
    <w:p w14:paraId="578D29C2" w14:textId="77777777" w:rsidR="007373F6" w:rsidRDefault="007373F6">
      <w:pPr>
        <w:widowControl w:val="0"/>
        <w:spacing w:after="0" w:line="240" w:lineRule="auto"/>
        <w:jc w:val="both"/>
        <w:rPr>
          <w:rFonts w:ascii="Times New Roman" w:eastAsia="Times New Roman" w:hAnsi="Times New Roman" w:cs="Times New Roman"/>
          <w:sz w:val="24"/>
          <w:szCs w:val="24"/>
        </w:rPr>
      </w:pPr>
    </w:p>
    <w:p w14:paraId="5D87E3E5" w14:textId="3DA8442D" w:rsidR="007373F6" w:rsidRDefault="0017264D" w:rsidP="0017264D">
      <w:pPr>
        <w:widowControl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2.1 Debt Shifting and Tax Avoidance</w:t>
      </w:r>
    </w:p>
    <w:p w14:paraId="413EC206" w14:textId="77777777" w:rsidR="007373F6" w:rsidRDefault="00000000" w:rsidP="0017264D">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Debt shifting allows firms to exploit interest deductibility rules by relocating debt within group structures. Gumpert, Hines, and Schnitzer (2016) found that multinational corporations achieved significant tax savings through this channel. Yet, higher levels of long-term debt may also constrain aggressive tax planning due to limited flexibility.</w:t>
      </w:r>
    </w:p>
    <w:p w14:paraId="1FA6475C" w14:textId="77777777" w:rsidR="007373F6" w:rsidRDefault="00000000" w:rsidP="0017264D">
      <w:pPr>
        <w:widowControl w:val="0"/>
        <w:spacing w:after="0" w:line="240" w:lineRule="auto"/>
        <w:ind w:firstLine="426"/>
        <w:jc w:val="both"/>
        <w:rPr>
          <w:rFonts w:ascii="Times New Roman" w:eastAsia="Times New Roman" w:hAnsi="Times New Roman" w:cs="Times New Roman"/>
          <w:sz w:val="24"/>
          <w:szCs w:val="24"/>
        </w:rPr>
      </w:pPr>
      <w:r w:rsidRPr="0017264D">
        <w:rPr>
          <w:rFonts w:ascii="Times New Roman" w:eastAsia="Times New Roman" w:hAnsi="Times New Roman" w:cs="Times New Roman"/>
          <w:b/>
          <w:bCs/>
          <w:sz w:val="24"/>
          <w:szCs w:val="24"/>
        </w:rPr>
        <w:t>H</w:t>
      </w:r>
      <w:r w:rsidRPr="0017264D">
        <w:rPr>
          <w:rFonts w:ascii="Times New Roman" w:eastAsia="Times New Roman" w:hAnsi="Times New Roman" w:cs="Times New Roman"/>
          <w:b/>
          <w:bCs/>
          <w:sz w:val="24"/>
          <w:szCs w:val="24"/>
          <w:vertAlign w:val="subscript"/>
        </w:rPr>
        <w:t>1</w:t>
      </w:r>
      <w:r>
        <w:rPr>
          <w:rFonts w:ascii="Times New Roman" w:eastAsia="Times New Roman" w:hAnsi="Times New Roman" w:cs="Times New Roman"/>
          <w:sz w:val="24"/>
          <w:szCs w:val="24"/>
        </w:rPr>
        <w:t>: Debt shifting has a positive effect on tax avoidance.</w:t>
      </w:r>
    </w:p>
    <w:p w14:paraId="77DE6C56" w14:textId="40F9B8E1" w:rsidR="007373F6" w:rsidRDefault="0017264D" w:rsidP="0017264D">
      <w:pPr>
        <w:widowControl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2.2 Derivatives and Tax Avoidance</w:t>
      </w:r>
    </w:p>
    <w:p w14:paraId="2AEF09CB" w14:textId="77777777" w:rsidR="007373F6" w:rsidRDefault="00000000" w:rsidP="0017264D">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Derivatives are commonly used for hedging but may also enable firms to manage earnings and defer taxable income (Hribar &amp; Jenkins, 2004; Donohoe, 2015). Empirical results are mixed, with some evidence of derivatives facilitating aggressive tax planning, while others suggest neutral or even mitigating effects.</w:t>
      </w:r>
    </w:p>
    <w:p w14:paraId="2F576F9D" w14:textId="77777777" w:rsidR="007373F6" w:rsidRDefault="00000000" w:rsidP="0017264D">
      <w:pPr>
        <w:widowControl w:val="0"/>
        <w:spacing w:after="0" w:line="240" w:lineRule="auto"/>
        <w:ind w:firstLine="426"/>
        <w:jc w:val="both"/>
        <w:rPr>
          <w:rFonts w:ascii="Times New Roman" w:eastAsia="Times New Roman" w:hAnsi="Times New Roman" w:cs="Times New Roman"/>
          <w:sz w:val="24"/>
          <w:szCs w:val="24"/>
        </w:rPr>
      </w:pPr>
      <w:r w:rsidRPr="0017264D">
        <w:rPr>
          <w:rFonts w:ascii="Times New Roman" w:eastAsia="Times New Roman" w:hAnsi="Times New Roman" w:cs="Times New Roman"/>
          <w:b/>
          <w:bCs/>
          <w:sz w:val="24"/>
          <w:szCs w:val="24"/>
        </w:rPr>
        <w:t>H</w:t>
      </w:r>
      <w:r w:rsidRPr="0017264D">
        <w:rPr>
          <w:rFonts w:ascii="Times New Roman" w:eastAsia="Times New Roman" w:hAnsi="Times New Roman" w:cs="Times New Roman"/>
          <w:b/>
          <w:bCs/>
          <w:sz w:val="24"/>
          <w:szCs w:val="24"/>
          <w:vertAlign w:val="subscript"/>
        </w:rPr>
        <w:t>2</w:t>
      </w:r>
      <w:r>
        <w:rPr>
          <w:rFonts w:ascii="Times New Roman" w:eastAsia="Times New Roman" w:hAnsi="Times New Roman" w:cs="Times New Roman"/>
          <w:sz w:val="24"/>
          <w:szCs w:val="24"/>
        </w:rPr>
        <w:t>: Financial derivatives positively affect tax avoidance.</w:t>
      </w:r>
    </w:p>
    <w:p w14:paraId="63C63202" w14:textId="0F7959A7" w:rsidR="007373F6" w:rsidRDefault="0017264D" w:rsidP="0017264D">
      <w:pPr>
        <w:widowControl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2.3 Transfer Pricing and Tax Avoidance</w:t>
      </w:r>
    </w:p>
    <w:p w14:paraId="45795789" w14:textId="77777777" w:rsidR="007373F6" w:rsidRDefault="00000000" w:rsidP="0017264D">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Transfer pricing manipulation enables profit shifting to low-tax jurisdictions, eroding tax bases in host countries (Richardson et al., 2013; Dharmapala &amp; Riedel, 2013). Numerous studies have confirmed its role in tax minimization.</w:t>
      </w:r>
    </w:p>
    <w:p w14:paraId="5B1FF052" w14:textId="77777777" w:rsidR="007373F6" w:rsidRDefault="00000000" w:rsidP="0017264D">
      <w:pPr>
        <w:widowControl w:val="0"/>
        <w:spacing w:after="0" w:line="240" w:lineRule="auto"/>
        <w:ind w:firstLine="426"/>
        <w:jc w:val="both"/>
        <w:rPr>
          <w:rFonts w:ascii="Times New Roman" w:eastAsia="Times New Roman" w:hAnsi="Times New Roman" w:cs="Times New Roman"/>
          <w:sz w:val="24"/>
          <w:szCs w:val="24"/>
        </w:rPr>
      </w:pPr>
      <w:r w:rsidRPr="0017264D">
        <w:rPr>
          <w:rFonts w:ascii="Times New Roman" w:eastAsia="Times New Roman" w:hAnsi="Times New Roman" w:cs="Times New Roman"/>
          <w:b/>
          <w:bCs/>
          <w:sz w:val="24"/>
          <w:szCs w:val="24"/>
        </w:rPr>
        <w:t>H</w:t>
      </w:r>
      <w:r w:rsidRPr="0017264D">
        <w:rPr>
          <w:rFonts w:ascii="Times New Roman" w:eastAsia="Times New Roman" w:hAnsi="Times New Roman" w:cs="Times New Roman"/>
          <w:b/>
          <w:bCs/>
          <w:sz w:val="24"/>
          <w:szCs w:val="24"/>
          <w:vertAlign w:val="subscript"/>
        </w:rPr>
        <w:t>3</w:t>
      </w:r>
      <w:r>
        <w:rPr>
          <w:rFonts w:ascii="Times New Roman" w:eastAsia="Times New Roman" w:hAnsi="Times New Roman" w:cs="Times New Roman"/>
          <w:sz w:val="24"/>
          <w:szCs w:val="24"/>
        </w:rPr>
        <w:t>: Transfer pricing positively affects tax avoidance.</w:t>
      </w:r>
    </w:p>
    <w:p w14:paraId="5EB9394A" w14:textId="2C981151" w:rsidR="007373F6" w:rsidRDefault="0017264D" w:rsidP="0017264D">
      <w:pPr>
        <w:widowControl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2.4 Moderating Role of Firm Value</w:t>
      </w:r>
    </w:p>
    <w:p w14:paraId="02D7A979" w14:textId="77777777" w:rsidR="007373F6" w:rsidRDefault="00000000" w:rsidP="0017264D">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High-value firms face greater scrutiny but also have more resources for sophisticated tax planning. Prior evidence shows mixed moderating effects: while tax avoidance can increase firm value through savings, reputational risks may offset benefits (Dyreng et al., 2019; Feng et al., 2020).</w:t>
      </w:r>
    </w:p>
    <w:p w14:paraId="268D356A" w14:textId="77777777" w:rsidR="007373F6" w:rsidRDefault="00000000" w:rsidP="0017264D">
      <w:pPr>
        <w:widowControl w:val="0"/>
        <w:spacing w:after="0" w:line="240" w:lineRule="auto"/>
        <w:ind w:firstLine="426"/>
        <w:jc w:val="both"/>
        <w:rPr>
          <w:rFonts w:ascii="Times New Roman" w:eastAsia="Times New Roman" w:hAnsi="Times New Roman" w:cs="Times New Roman"/>
          <w:sz w:val="24"/>
          <w:szCs w:val="24"/>
        </w:rPr>
      </w:pPr>
      <w:r w:rsidRPr="0017264D">
        <w:rPr>
          <w:rFonts w:ascii="Times New Roman" w:eastAsia="Times New Roman" w:hAnsi="Times New Roman" w:cs="Times New Roman"/>
          <w:b/>
          <w:bCs/>
          <w:sz w:val="24"/>
          <w:szCs w:val="24"/>
        </w:rPr>
        <w:t>H</w:t>
      </w:r>
      <w:r w:rsidRPr="0017264D">
        <w:rPr>
          <w:rFonts w:ascii="Times New Roman" w:eastAsia="Times New Roman" w:hAnsi="Times New Roman" w:cs="Times New Roman"/>
          <w:b/>
          <w:bCs/>
          <w:sz w:val="24"/>
          <w:szCs w:val="24"/>
          <w:vertAlign w:val="subscript"/>
        </w:rPr>
        <w:t>4</w:t>
      </w:r>
      <w:r>
        <w:rPr>
          <w:rFonts w:ascii="Times New Roman" w:eastAsia="Times New Roman" w:hAnsi="Times New Roman" w:cs="Times New Roman"/>
          <w:sz w:val="24"/>
          <w:szCs w:val="24"/>
        </w:rPr>
        <w:t>: Firm value moderates the relationship between debt shifting and tax avoidance.</w:t>
      </w:r>
    </w:p>
    <w:p w14:paraId="1246EEAB" w14:textId="77777777" w:rsidR="007373F6" w:rsidRDefault="00000000" w:rsidP="0017264D">
      <w:pPr>
        <w:widowControl w:val="0"/>
        <w:spacing w:after="0" w:line="240" w:lineRule="auto"/>
        <w:ind w:firstLine="426"/>
        <w:jc w:val="both"/>
        <w:rPr>
          <w:rFonts w:ascii="Times New Roman" w:eastAsia="Times New Roman" w:hAnsi="Times New Roman" w:cs="Times New Roman"/>
          <w:sz w:val="24"/>
          <w:szCs w:val="24"/>
        </w:rPr>
      </w:pPr>
      <w:r w:rsidRPr="0017264D">
        <w:rPr>
          <w:rFonts w:ascii="Times New Roman" w:eastAsia="Times New Roman" w:hAnsi="Times New Roman" w:cs="Times New Roman"/>
          <w:b/>
          <w:bCs/>
          <w:sz w:val="24"/>
          <w:szCs w:val="24"/>
        </w:rPr>
        <w:t>H</w:t>
      </w:r>
      <w:r w:rsidRPr="0017264D">
        <w:rPr>
          <w:rFonts w:ascii="Times New Roman" w:eastAsia="Times New Roman" w:hAnsi="Times New Roman" w:cs="Times New Roman"/>
          <w:b/>
          <w:bCs/>
          <w:sz w:val="24"/>
          <w:szCs w:val="24"/>
          <w:vertAlign w:val="subscript"/>
        </w:rPr>
        <w:t>5</w:t>
      </w:r>
      <w:r>
        <w:rPr>
          <w:rFonts w:ascii="Times New Roman" w:eastAsia="Times New Roman" w:hAnsi="Times New Roman" w:cs="Times New Roman"/>
          <w:sz w:val="24"/>
          <w:szCs w:val="24"/>
        </w:rPr>
        <w:t>: Firm value moderates the relationship between derivatives and tax avoidance.</w:t>
      </w:r>
    </w:p>
    <w:p w14:paraId="463EC15B" w14:textId="77777777" w:rsidR="007373F6" w:rsidRDefault="00000000" w:rsidP="0017264D">
      <w:pPr>
        <w:widowControl w:val="0"/>
        <w:spacing w:after="0" w:line="240" w:lineRule="auto"/>
        <w:ind w:firstLine="426"/>
        <w:jc w:val="both"/>
        <w:rPr>
          <w:rFonts w:ascii="Times New Roman" w:eastAsia="Times New Roman" w:hAnsi="Times New Roman" w:cs="Times New Roman"/>
          <w:sz w:val="24"/>
          <w:szCs w:val="24"/>
        </w:rPr>
      </w:pPr>
      <w:r w:rsidRPr="0017264D">
        <w:rPr>
          <w:rFonts w:ascii="Times New Roman" w:eastAsia="Times New Roman" w:hAnsi="Times New Roman" w:cs="Times New Roman"/>
          <w:b/>
          <w:bCs/>
          <w:sz w:val="24"/>
          <w:szCs w:val="24"/>
        </w:rPr>
        <w:t>H</w:t>
      </w:r>
      <w:r w:rsidRPr="0017264D">
        <w:rPr>
          <w:rFonts w:ascii="Times New Roman" w:eastAsia="Times New Roman" w:hAnsi="Times New Roman" w:cs="Times New Roman"/>
          <w:b/>
          <w:bCs/>
          <w:sz w:val="24"/>
          <w:szCs w:val="24"/>
          <w:vertAlign w:val="subscript"/>
        </w:rPr>
        <w:t>6</w:t>
      </w:r>
      <w:r>
        <w:rPr>
          <w:rFonts w:ascii="Times New Roman" w:eastAsia="Times New Roman" w:hAnsi="Times New Roman" w:cs="Times New Roman"/>
          <w:sz w:val="24"/>
          <w:szCs w:val="24"/>
        </w:rPr>
        <w:t>: Firm value moderates the relationship between transfer pricing and tax avoidance.</w:t>
      </w:r>
    </w:p>
    <w:p w14:paraId="1B2D781C" w14:textId="77777777" w:rsidR="0017264D" w:rsidRDefault="0017264D">
      <w:pPr>
        <w:widowControl w:val="0"/>
        <w:spacing w:after="0" w:line="240" w:lineRule="auto"/>
        <w:jc w:val="center"/>
        <w:rPr>
          <w:rFonts w:ascii="Times New Roman" w:eastAsia="Times New Roman" w:hAnsi="Times New Roman" w:cs="Times New Roman"/>
          <w:b/>
          <w:sz w:val="24"/>
          <w:szCs w:val="24"/>
        </w:rPr>
      </w:pPr>
    </w:p>
    <w:p w14:paraId="6252DDD2" w14:textId="77777777" w:rsidR="0017264D" w:rsidRDefault="0017264D">
      <w:pPr>
        <w:widowControl w:val="0"/>
        <w:spacing w:after="0" w:line="240" w:lineRule="auto"/>
        <w:jc w:val="center"/>
        <w:rPr>
          <w:rFonts w:ascii="Times New Roman" w:eastAsia="Times New Roman" w:hAnsi="Times New Roman" w:cs="Times New Roman"/>
          <w:b/>
          <w:sz w:val="24"/>
          <w:szCs w:val="24"/>
        </w:rPr>
      </w:pPr>
    </w:p>
    <w:p w14:paraId="53957B61" w14:textId="77777777" w:rsidR="0017264D" w:rsidRDefault="0017264D">
      <w:pPr>
        <w:widowControl w:val="0"/>
        <w:spacing w:after="0" w:line="240" w:lineRule="auto"/>
        <w:jc w:val="center"/>
        <w:rPr>
          <w:rFonts w:ascii="Times New Roman" w:eastAsia="Times New Roman" w:hAnsi="Times New Roman" w:cs="Times New Roman"/>
          <w:b/>
          <w:sz w:val="24"/>
          <w:szCs w:val="24"/>
        </w:rPr>
      </w:pPr>
    </w:p>
    <w:p w14:paraId="5BDC4B07" w14:textId="2014A89E" w:rsidR="007373F6" w:rsidRDefault="00000000">
      <w:pPr>
        <w:widowControl w:val="0"/>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3. RESEARCH METHODOLOGY</w:t>
      </w:r>
    </w:p>
    <w:p w14:paraId="2D373D5C" w14:textId="77777777" w:rsidR="007373F6" w:rsidRDefault="007373F6">
      <w:pPr>
        <w:widowControl w:val="0"/>
        <w:spacing w:after="0" w:line="240" w:lineRule="auto"/>
        <w:jc w:val="both"/>
        <w:rPr>
          <w:rFonts w:ascii="Times New Roman" w:eastAsia="Times New Roman" w:hAnsi="Times New Roman" w:cs="Times New Roman"/>
          <w:sz w:val="24"/>
          <w:szCs w:val="24"/>
        </w:rPr>
      </w:pPr>
    </w:p>
    <w:p w14:paraId="3B39C8E4" w14:textId="186B07C9" w:rsidR="007373F6" w:rsidRDefault="0017264D" w:rsidP="0017264D">
      <w:pPr>
        <w:widowControl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3.1 Sample and Data</w:t>
      </w:r>
    </w:p>
    <w:p w14:paraId="32DC9DD5" w14:textId="77777777" w:rsidR="007373F6" w:rsidRDefault="00000000" w:rsidP="0017264D">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study examines 69 publicly listed financial institutions (34 banks, 35 non-banks) over 2018–2023, resulting in 414 firm-year observations. Firms with incomplete data, post-2015 IPOs, and Islamic banks were excluded. Data were sourced from IDX and company reports.</w:t>
      </w:r>
    </w:p>
    <w:p w14:paraId="10B177CA" w14:textId="77777777" w:rsidR="007373F6" w:rsidRDefault="007373F6" w:rsidP="0017264D">
      <w:pPr>
        <w:widowControl w:val="0"/>
        <w:spacing w:after="0" w:line="240" w:lineRule="auto"/>
        <w:ind w:firstLine="426"/>
        <w:jc w:val="both"/>
        <w:rPr>
          <w:rFonts w:ascii="Times New Roman" w:eastAsia="Times New Roman" w:hAnsi="Times New Roman" w:cs="Times New Roman"/>
          <w:sz w:val="24"/>
          <w:szCs w:val="24"/>
        </w:rPr>
      </w:pPr>
    </w:p>
    <w:p w14:paraId="034D2ACC" w14:textId="61939274" w:rsidR="007373F6" w:rsidRDefault="0017264D" w:rsidP="0017264D">
      <w:pPr>
        <w:widowControl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3.2 Research Design</w:t>
      </w:r>
    </w:p>
    <w:p w14:paraId="426F803E" w14:textId="77777777" w:rsidR="007373F6" w:rsidRDefault="00000000" w:rsidP="0017264D">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Quantitative causal research with panel data regression was employed. The dependent variable is tax avoidance, proxied by ETR. Independent variables are debt shifting (DS), derivatives (DERV), and transfer pricing (TP). Firm value (FV) serves as a moderator.</w:t>
      </w:r>
    </w:p>
    <w:p w14:paraId="4A97A3D7" w14:textId="77777777" w:rsidR="007373F6" w:rsidRDefault="007373F6" w:rsidP="0017264D">
      <w:pPr>
        <w:widowControl w:val="0"/>
        <w:spacing w:after="0" w:line="240" w:lineRule="auto"/>
        <w:ind w:firstLine="426"/>
        <w:jc w:val="both"/>
        <w:rPr>
          <w:rFonts w:ascii="Times New Roman" w:eastAsia="Times New Roman" w:hAnsi="Times New Roman" w:cs="Times New Roman"/>
          <w:sz w:val="24"/>
          <w:szCs w:val="24"/>
        </w:rPr>
      </w:pPr>
    </w:p>
    <w:p w14:paraId="36754D5E" w14:textId="0F671A64" w:rsidR="007373F6" w:rsidRDefault="0017264D" w:rsidP="0017264D">
      <w:pPr>
        <w:widowControl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3.3 Model Specification</w:t>
      </w:r>
    </w:p>
    <w:p w14:paraId="4D25D5F5" w14:textId="77777777" w:rsidR="007373F6" w:rsidRDefault="00000000" w:rsidP="0017264D">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Panel regression with interaction terms was applied to test moderating effects. The significance threshold was set at 5%.</w:t>
      </w:r>
    </w:p>
    <w:p w14:paraId="3F8DE46E" w14:textId="77777777" w:rsidR="007373F6" w:rsidRDefault="007373F6">
      <w:pPr>
        <w:widowControl w:val="0"/>
        <w:spacing w:after="0" w:line="240" w:lineRule="auto"/>
        <w:jc w:val="both"/>
        <w:rPr>
          <w:rFonts w:ascii="Times New Roman" w:eastAsia="Times New Roman" w:hAnsi="Times New Roman" w:cs="Times New Roman"/>
          <w:sz w:val="24"/>
          <w:szCs w:val="24"/>
        </w:rPr>
      </w:pPr>
    </w:p>
    <w:p w14:paraId="4181344A" w14:textId="77777777" w:rsidR="007373F6" w:rsidRDefault="00000000">
      <w:pPr>
        <w:widowControl w:val="0"/>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4. RESULTS</w:t>
      </w:r>
    </w:p>
    <w:p w14:paraId="14BFDD0B" w14:textId="77777777" w:rsidR="007373F6" w:rsidRDefault="007373F6">
      <w:pPr>
        <w:widowControl w:val="0"/>
        <w:spacing w:after="0" w:line="240" w:lineRule="auto"/>
        <w:jc w:val="both"/>
        <w:rPr>
          <w:rFonts w:ascii="Times New Roman" w:eastAsia="Times New Roman" w:hAnsi="Times New Roman" w:cs="Times New Roman"/>
          <w:sz w:val="24"/>
          <w:szCs w:val="24"/>
        </w:rPr>
      </w:pPr>
    </w:p>
    <w:p w14:paraId="1F8FA087" w14:textId="24219B59" w:rsidR="007373F6" w:rsidRPr="0017264D" w:rsidRDefault="0017264D" w:rsidP="0017264D">
      <w:pPr>
        <w:widowControl w:val="0"/>
        <w:spacing w:after="0" w:line="240" w:lineRule="auto"/>
        <w:jc w:val="both"/>
        <w:rPr>
          <w:rFonts w:asciiTheme="majorBidi" w:eastAsia="Times New Roman" w:hAnsiTheme="majorBidi" w:cstheme="majorBidi"/>
          <w:b/>
          <w:sz w:val="24"/>
          <w:szCs w:val="24"/>
        </w:rPr>
      </w:pPr>
      <w:r>
        <w:rPr>
          <w:rFonts w:asciiTheme="majorBidi" w:eastAsia="Times New Roman" w:hAnsiTheme="majorBidi" w:cstheme="majorBidi"/>
          <w:b/>
          <w:sz w:val="24"/>
          <w:szCs w:val="24"/>
        </w:rPr>
        <w:t xml:space="preserve">4.1 </w:t>
      </w:r>
      <w:r w:rsidRPr="0017264D">
        <w:rPr>
          <w:rFonts w:asciiTheme="majorBidi" w:eastAsia="Times New Roman" w:hAnsiTheme="majorBidi" w:cstheme="majorBidi"/>
          <w:b/>
          <w:sz w:val="24"/>
          <w:szCs w:val="24"/>
        </w:rPr>
        <w:t>Key Findings (Partial t-tests)</w:t>
      </w:r>
    </w:p>
    <w:p w14:paraId="640E10FD" w14:textId="2EBDF1F6" w:rsidR="007373F6" w:rsidRPr="0017264D" w:rsidRDefault="00000000" w:rsidP="0017264D">
      <w:pPr>
        <w:widowControl w:val="0"/>
        <w:spacing w:after="0" w:line="240" w:lineRule="auto"/>
        <w:jc w:val="both"/>
        <w:rPr>
          <w:rFonts w:asciiTheme="majorBidi" w:eastAsia="Times New Roman" w:hAnsiTheme="majorBidi" w:cstheme="majorBidi"/>
          <w:b/>
          <w:sz w:val="24"/>
          <w:szCs w:val="24"/>
        </w:rPr>
      </w:pPr>
      <w:r w:rsidRPr="0017264D">
        <w:rPr>
          <w:rFonts w:asciiTheme="majorBidi" w:eastAsia="Cardo" w:hAnsiTheme="majorBidi" w:cstheme="majorBidi"/>
          <w:sz w:val="24"/>
          <w:szCs w:val="24"/>
        </w:rPr>
        <w:t>Debt Shifting (DS): significant positive coefficient on ETR (0.393, p &lt; 0.01). Interpreted inversely, debt shifting reduces tax avoidance. →</w:t>
      </w:r>
      <w:r w:rsidRPr="0017264D">
        <w:rPr>
          <w:rFonts w:asciiTheme="majorBidi" w:eastAsia="Times New Roman" w:hAnsiTheme="majorBidi" w:cstheme="majorBidi"/>
          <w:b/>
          <w:sz w:val="24"/>
          <w:szCs w:val="24"/>
        </w:rPr>
        <w:t xml:space="preserve"> H1 rejected.</w:t>
      </w:r>
    </w:p>
    <w:p w14:paraId="23DFCDD7" w14:textId="77777777" w:rsidR="0017264D" w:rsidRDefault="0017264D" w:rsidP="0017264D">
      <w:pPr>
        <w:widowControl w:val="0"/>
        <w:spacing w:after="0" w:line="240" w:lineRule="auto"/>
        <w:ind w:firstLine="426"/>
        <w:jc w:val="both"/>
        <w:rPr>
          <w:rFonts w:asciiTheme="majorBidi" w:eastAsia="Times New Roman" w:hAnsiTheme="majorBidi" w:cstheme="majorBidi"/>
          <w:sz w:val="24"/>
          <w:szCs w:val="24"/>
        </w:rPr>
      </w:pPr>
    </w:p>
    <w:p w14:paraId="0AAEB1B9" w14:textId="38515968" w:rsidR="007373F6" w:rsidRPr="0017264D" w:rsidRDefault="00000000" w:rsidP="0017264D">
      <w:pPr>
        <w:widowControl w:val="0"/>
        <w:spacing w:after="0" w:line="240" w:lineRule="auto"/>
        <w:ind w:firstLine="426"/>
        <w:jc w:val="both"/>
        <w:rPr>
          <w:rFonts w:asciiTheme="majorBidi" w:eastAsia="Times New Roman" w:hAnsiTheme="majorBidi" w:cstheme="majorBidi"/>
          <w:sz w:val="24"/>
          <w:szCs w:val="24"/>
        </w:rPr>
      </w:pPr>
      <w:r w:rsidRPr="0017264D">
        <w:rPr>
          <w:rFonts w:asciiTheme="majorBidi" w:eastAsia="Times New Roman" w:hAnsiTheme="majorBidi" w:cstheme="majorBidi"/>
          <w:sz w:val="24"/>
          <w:szCs w:val="24"/>
        </w:rPr>
        <w:t>Interpreted inversely, this indicates that higher levels of debt shifting are associated with reduced tax avoidance, suggesting that in the Indonesian context, debt financing may not be primarily utilized as a tax minimization tool. This finding contradicts the conventional view of debt shifting as a driver of tax avoidance, thereby leading to the rejection of H1.</w:t>
      </w:r>
    </w:p>
    <w:p w14:paraId="6AE4CAB0" w14:textId="77777777" w:rsidR="007373F6" w:rsidRPr="0017264D" w:rsidRDefault="007373F6" w:rsidP="0017264D">
      <w:pPr>
        <w:widowControl w:val="0"/>
        <w:spacing w:after="0" w:line="240" w:lineRule="auto"/>
        <w:ind w:firstLine="426"/>
        <w:jc w:val="both"/>
        <w:rPr>
          <w:rFonts w:asciiTheme="majorBidi" w:eastAsia="Times New Roman" w:hAnsiTheme="majorBidi" w:cstheme="majorBidi"/>
          <w:sz w:val="24"/>
          <w:szCs w:val="24"/>
        </w:rPr>
      </w:pPr>
    </w:p>
    <w:p w14:paraId="6640C2E3" w14:textId="75C4B269" w:rsidR="007373F6" w:rsidRPr="0017264D" w:rsidRDefault="00000000" w:rsidP="0017264D">
      <w:pPr>
        <w:widowControl w:val="0"/>
        <w:spacing w:after="0" w:line="240" w:lineRule="auto"/>
        <w:jc w:val="both"/>
        <w:rPr>
          <w:rFonts w:asciiTheme="majorBidi" w:eastAsia="Times New Roman" w:hAnsiTheme="majorBidi" w:cstheme="majorBidi"/>
          <w:b/>
          <w:sz w:val="24"/>
          <w:szCs w:val="24"/>
        </w:rPr>
      </w:pPr>
      <w:r w:rsidRPr="0017264D">
        <w:rPr>
          <w:rFonts w:asciiTheme="majorBidi" w:eastAsia="Cardo" w:hAnsiTheme="majorBidi" w:cstheme="majorBidi"/>
          <w:sz w:val="24"/>
          <w:szCs w:val="24"/>
        </w:rPr>
        <w:t xml:space="preserve">Derivatives (DERV): coefficient positive but insignificant (12.336, p &gt; 0.05). → </w:t>
      </w:r>
      <w:r w:rsidRPr="0017264D">
        <w:rPr>
          <w:rFonts w:asciiTheme="majorBidi" w:eastAsia="Times New Roman" w:hAnsiTheme="majorBidi" w:cstheme="majorBidi"/>
          <w:b/>
          <w:sz w:val="24"/>
          <w:szCs w:val="24"/>
        </w:rPr>
        <w:t>H2 rejected.</w:t>
      </w:r>
    </w:p>
    <w:p w14:paraId="35BF3C72" w14:textId="77777777" w:rsidR="0017264D" w:rsidRDefault="0017264D" w:rsidP="0017264D">
      <w:pPr>
        <w:widowControl w:val="0"/>
        <w:spacing w:after="0" w:line="240" w:lineRule="auto"/>
        <w:ind w:firstLine="426"/>
        <w:jc w:val="both"/>
        <w:rPr>
          <w:rFonts w:asciiTheme="majorBidi" w:eastAsia="Times New Roman" w:hAnsiTheme="majorBidi" w:cstheme="majorBidi"/>
          <w:sz w:val="24"/>
          <w:szCs w:val="24"/>
        </w:rPr>
      </w:pPr>
    </w:p>
    <w:p w14:paraId="5D816F88" w14:textId="15FD6959" w:rsidR="007373F6" w:rsidRPr="0017264D" w:rsidRDefault="00000000" w:rsidP="0017264D">
      <w:pPr>
        <w:widowControl w:val="0"/>
        <w:spacing w:after="0" w:line="240" w:lineRule="auto"/>
        <w:ind w:firstLine="426"/>
        <w:jc w:val="both"/>
        <w:rPr>
          <w:rFonts w:asciiTheme="majorBidi" w:eastAsia="Times New Roman" w:hAnsiTheme="majorBidi" w:cstheme="majorBidi"/>
          <w:sz w:val="24"/>
          <w:szCs w:val="24"/>
        </w:rPr>
      </w:pPr>
      <w:r w:rsidRPr="0017264D">
        <w:rPr>
          <w:rFonts w:asciiTheme="majorBidi" w:eastAsia="Times New Roman" w:hAnsiTheme="majorBidi" w:cstheme="majorBidi"/>
          <w:sz w:val="24"/>
          <w:szCs w:val="24"/>
        </w:rPr>
        <w:t xml:space="preserve">This result suggests that derivatives do not play a meaningful role in influencing tax avoidance </w:t>
      </w:r>
      <w:proofErr w:type="spellStart"/>
      <w:r w:rsidRPr="0017264D">
        <w:rPr>
          <w:rFonts w:asciiTheme="majorBidi" w:eastAsia="Times New Roman" w:hAnsiTheme="majorBidi" w:cstheme="majorBidi"/>
          <w:sz w:val="24"/>
          <w:szCs w:val="24"/>
        </w:rPr>
        <w:t>behavior</w:t>
      </w:r>
      <w:proofErr w:type="spellEnd"/>
      <w:r w:rsidRPr="0017264D">
        <w:rPr>
          <w:rFonts w:asciiTheme="majorBidi" w:eastAsia="Times New Roman" w:hAnsiTheme="majorBidi" w:cstheme="majorBidi"/>
          <w:sz w:val="24"/>
          <w:szCs w:val="24"/>
        </w:rPr>
        <w:t xml:space="preserve"> in the sampled firms, resulting in the rejection of H2.</w:t>
      </w:r>
    </w:p>
    <w:p w14:paraId="4CF7EBDA" w14:textId="77777777" w:rsidR="0017264D" w:rsidRDefault="0017264D" w:rsidP="0017264D">
      <w:pPr>
        <w:widowControl w:val="0"/>
        <w:spacing w:after="0" w:line="240" w:lineRule="auto"/>
        <w:jc w:val="both"/>
        <w:rPr>
          <w:rFonts w:asciiTheme="majorBidi" w:eastAsia="Times New Roman" w:hAnsiTheme="majorBidi" w:cstheme="majorBidi"/>
          <w:sz w:val="24"/>
          <w:szCs w:val="24"/>
        </w:rPr>
      </w:pPr>
    </w:p>
    <w:p w14:paraId="300AB239" w14:textId="6058E28C" w:rsidR="007373F6" w:rsidRPr="0017264D" w:rsidRDefault="00000000" w:rsidP="0017264D">
      <w:pPr>
        <w:widowControl w:val="0"/>
        <w:spacing w:after="0" w:line="240" w:lineRule="auto"/>
        <w:jc w:val="both"/>
        <w:rPr>
          <w:rFonts w:asciiTheme="majorBidi" w:eastAsia="Times New Roman" w:hAnsiTheme="majorBidi" w:cstheme="majorBidi"/>
          <w:b/>
          <w:sz w:val="24"/>
          <w:szCs w:val="24"/>
        </w:rPr>
      </w:pPr>
      <w:r w:rsidRPr="0017264D">
        <w:rPr>
          <w:rFonts w:asciiTheme="majorBidi" w:eastAsia="Cardo" w:hAnsiTheme="majorBidi" w:cstheme="majorBidi"/>
          <w:sz w:val="24"/>
          <w:szCs w:val="24"/>
        </w:rPr>
        <w:t>Transfer Pricing (TP): significant negative effect on ETR (-0.239, p &lt; 0.01), confirming its role in tax avoidance. →</w:t>
      </w:r>
      <w:r w:rsidRPr="0017264D">
        <w:rPr>
          <w:rFonts w:asciiTheme="majorBidi" w:eastAsia="Times New Roman" w:hAnsiTheme="majorBidi" w:cstheme="majorBidi"/>
          <w:b/>
          <w:sz w:val="24"/>
          <w:szCs w:val="24"/>
        </w:rPr>
        <w:t xml:space="preserve"> H3 accepted.</w:t>
      </w:r>
    </w:p>
    <w:p w14:paraId="07D26693" w14:textId="77777777" w:rsidR="0017264D" w:rsidRDefault="0017264D" w:rsidP="0017264D">
      <w:pPr>
        <w:widowControl w:val="0"/>
        <w:spacing w:after="0" w:line="240" w:lineRule="auto"/>
        <w:jc w:val="both"/>
        <w:rPr>
          <w:rFonts w:asciiTheme="majorBidi" w:eastAsia="Times New Roman" w:hAnsiTheme="majorBidi" w:cstheme="majorBidi"/>
          <w:sz w:val="24"/>
          <w:szCs w:val="24"/>
        </w:rPr>
      </w:pPr>
    </w:p>
    <w:p w14:paraId="256403FC" w14:textId="5E1FDF9D" w:rsidR="007373F6" w:rsidRPr="0017264D" w:rsidRDefault="00000000" w:rsidP="0017264D">
      <w:pPr>
        <w:widowControl w:val="0"/>
        <w:spacing w:after="0" w:line="240" w:lineRule="auto"/>
        <w:ind w:firstLine="426"/>
        <w:jc w:val="both"/>
        <w:rPr>
          <w:rFonts w:asciiTheme="majorBidi" w:eastAsia="Times New Roman" w:hAnsiTheme="majorBidi" w:cstheme="majorBidi"/>
          <w:sz w:val="24"/>
          <w:szCs w:val="24"/>
        </w:rPr>
      </w:pPr>
      <w:r w:rsidRPr="0017264D">
        <w:rPr>
          <w:rFonts w:asciiTheme="majorBidi" w:eastAsia="Times New Roman" w:hAnsiTheme="majorBidi" w:cstheme="majorBidi"/>
          <w:sz w:val="24"/>
          <w:szCs w:val="24"/>
        </w:rPr>
        <w:t>This finding supports H3 and highlights the potential of transfer pricing practices to shift taxable income and minimize tax liabilities</w:t>
      </w:r>
    </w:p>
    <w:p w14:paraId="08F994C5" w14:textId="77777777" w:rsidR="007373F6" w:rsidRPr="0017264D" w:rsidRDefault="007373F6" w:rsidP="0017264D">
      <w:pPr>
        <w:widowControl w:val="0"/>
        <w:spacing w:after="0" w:line="240" w:lineRule="auto"/>
        <w:ind w:firstLine="426"/>
        <w:jc w:val="both"/>
        <w:rPr>
          <w:rFonts w:asciiTheme="majorBidi" w:eastAsia="Times New Roman" w:hAnsiTheme="majorBidi" w:cstheme="majorBidi"/>
          <w:sz w:val="24"/>
          <w:szCs w:val="24"/>
        </w:rPr>
      </w:pPr>
    </w:p>
    <w:p w14:paraId="69CD0236" w14:textId="075CA0B1" w:rsidR="007373F6" w:rsidRPr="0017264D" w:rsidRDefault="00000000" w:rsidP="0017264D">
      <w:pPr>
        <w:widowControl w:val="0"/>
        <w:spacing w:after="0" w:line="240" w:lineRule="auto"/>
        <w:jc w:val="both"/>
        <w:rPr>
          <w:rFonts w:asciiTheme="majorBidi" w:eastAsia="Times New Roman" w:hAnsiTheme="majorBidi" w:cstheme="majorBidi"/>
          <w:b/>
          <w:sz w:val="24"/>
          <w:szCs w:val="24"/>
        </w:rPr>
      </w:pPr>
      <w:r w:rsidRPr="0017264D">
        <w:rPr>
          <w:rFonts w:asciiTheme="majorBidi" w:eastAsia="Cardo" w:hAnsiTheme="majorBidi" w:cstheme="majorBidi"/>
          <w:sz w:val="24"/>
          <w:szCs w:val="24"/>
        </w:rPr>
        <w:t xml:space="preserve">Firm Value: moderates transfer pricing-tax avoidance relationship (p &lt; 0.01), but not debt shifting or derivatives. → </w:t>
      </w:r>
      <w:r w:rsidRPr="0017264D">
        <w:rPr>
          <w:rFonts w:asciiTheme="majorBidi" w:eastAsia="Times New Roman" w:hAnsiTheme="majorBidi" w:cstheme="majorBidi"/>
          <w:b/>
          <w:sz w:val="24"/>
          <w:szCs w:val="24"/>
        </w:rPr>
        <w:t>H4 and H5 rejected; H6 accepted.</w:t>
      </w:r>
    </w:p>
    <w:p w14:paraId="33C83BD0" w14:textId="77777777" w:rsidR="0017264D" w:rsidRDefault="0017264D" w:rsidP="0017264D">
      <w:pPr>
        <w:widowControl w:val="0"/>
        <w:spacing w:after="0" w:line="240" w:lineRule="auto"/>
        <w:ind w:firstLine="426"/>
        <w:jc w:val="both"/>
        <w:rPr>
          <w:rFonts w:asciiTheme="majorBidi" w:eastAsia="Times New Roman" w:hAnsiTheme="majorBidi" w:cstheme="majorBidi"/>
          <w:sz w:val="24"/>
          <w:szCs w:val="24"/>
        </w:rPr>
      </w:pPr>
    </w:p>
    <w:p w14:paraId="78DAB7BE" w14:textId="2DB5D564" w:rsidR="007373F6" w:rsidRPr="0017264D" w:rsidRDefault="00000000" w:rsidP="0017264D">
      <w:pPr>
        <w:widowControl w:val="0"/>
        <w:spacing w:after="0" w:line="240" w:lineRule="auto"/>
        <w:ind w:firstLine="426"/>
        <w:jc w:val="both"/>
        <w:rPr>
          <w:rFonts w:asciiTheme="majorBidi" w:eastAsia="Times New Roman" w:hAnsiTheme="majorBidi" w:cstheme="majorBidi"/>
          <w:sz w:val="24"/>
          <w:szCs w:val="24"/>
        </w:rPr>
      </w:pPr>
      <w:r w:rsidRPr="0017264D">
        <w:rPr>
          <w:rFonts w:asciiTheme="majorBidi" w:eastAsia="Times New Roman" w:hAnsiTheme="majorBidi" w:cstheme="majorBidi"/>
          <w:sz w:val="24"/>
          <w:szCs w:val="24"/>
        </w:rPr>
        <w:t>This selective moderating effect provides partial support for the hypotheses, specifically leading to the rejection of H4 and H5, but the acceptance of H6. Collectively, these findings underscore the nuanced nature of tax avoidance strategies in emerging markets, where debt and derivatives appear less relevant, while transfer pricing remains a significant channel, particularly among high-value firms with greater incentives and capacity to engage in aggressive tax planning.</w:t>
      </w:r>
    </w:p>
    <w:p w14:paraId="03E541DC" w14:textId="77777777" w:rsidR="0017264D" w:rsidRDefault="0017264D" w:rsidP="0017264D">
      <w:pPr>
        <w:widowControl w:val="0"/>
        <w:spacing w:after="0" w:line="240" w:lineRule="auto"/>
        <w:jc w:val="both"/>
        <w:rPr>
          <w:rFonts w:asciiTheme="majorBidi" w:eastAsia="Times New Roman" w:hAnsiTheme="majorBidi" w:cstheme="majorBidi"/>
          <w:sz w:val="24"/>
          <w:szCs w:val="24"/>
        </w:rPr>
      </w:pPr>
    </w:p>
    <w:p w14:paraId="048162F6" w14:textId="2390E506" w:rsidR="007373F6" w:rsidRPr="0017264D" w:rsidRDefault="0017264D" w:rsidP="0017264D">
      <w:pPr>
        <w:widowControl w:val="0"/>
        <w:spacing w:after="0" w:line="240" w:lineRule="auto"/>
        <w:jc w:val="both"/>
        <w:rPr>
          <w:rFonts w:asciiTheme="majorBidi" w:eastAsia="Times New Roman" w:hAnsiTheme="majorBidi" w:cstheme="majorBidi"/>
          <w:b/>
          <w:bCs/>
          <w:sz w:val="24"/>
          <w:szCs w:val="24"/>
        </w:rPr>
      </w:pPr>
      <w:r w:rsidRPr="0017264D">
        <w:rPr>
          <w:rFonts w:asciiTheme="majorBidi" w:eastAsia="Times New Roman" w:hAnsiTheme="majorBidi" w:cstheme="majorBidi"/>
          <w:b/>
          <w:bCs/>
          <w:sz w:val="24"/>
          <w:szCs w:val="24"/>
        </w:rPr>
        <w:t>4.2 Model Fit</w:t>
      </w:r>
    </w:p>
    <w:p w14:paraId="72BE1DF4" w14:textId="77777777" w:rsidR="007373F6" w:rsidRPr="0017264D" w:rsidRDefault="00000000" w:rsidP="0017264D">
      <w:pPr>
        <w:widowControl w:val="0"/>
        <w:spacing w:after="0" w:line="240" w:lineRule="auto"/>
        <w:ind w:firstLine="426"/>
        <w:jc w:val="both"/>
        <w:rPr>
          <w:rFonts w:asciiTheme="majorBidi" w:eastAsia="Times New Roman" w:hAnsiTheme="majorBidi" w:cstheme="majorBidi"/>
          <w:sz w:val="24"/>
          <w:szCs w:val="24"/>
        </w:rPr>
      </w:pPr>
      <w:r w:rsidRPr="0017264D">
        <w:rPr>
          <w:rFonts w:asciiTheme="majorBidi" w:eastAsia="Times New Roman" w:hAnsiTheme="majorBidi" w:cstheme="majorBidi"/>
          <w:sz w:val="24"/>
          <w:szCs w:val="24"/>
        </w:rPr>
        <w:t xml:space="preserve">The adjusted R² value of 0.327 indicates that the model is able to explain 32.7% of the </w:t>
      </w:r>
      <w:r w:rsidRPr="0017264D">
        <w:rPr>
          <w:rFonts w:asciiTheme="majorBidi" w:eastAsia="Times New Roman" w:hAnsiTheme="majorBidi" w:cstheme="majorBidi"/>
          <w:sz w:val="24"/>
          <w:szCs w:val="24"/>
        </w:rPr>
        <w:lastRenderedPageBreak/>
        <w:t xml:space="preserve">variability in tax avoidance among the sampled firms. This level of explanatory power suggests that while the selected independent variables—debt shifting, derivatives, transfer pricing, and firm value—contribute meaningfully to understanding corporate tax avoidance, a considerable proportion of the variance remains unexplained. In other words, 67.3% of the variation in tax avoidance </w:t>
      </w:r>
      <w:proofErr w:type="spellStart"/>
      <w:r w:rsidRPr="0017264D">
        <w:rPr>
          <w:rFonts w:asciiTheme="majorBidi" w:eastAsia="Times New Roman" w:hAnsiTheme="majorBidi" w:cstheme="majorBidi"/>
          <w:sz w:val="24"/>
          <w:szCs w:val="24"/>
        </w:rPr>
        <w:t>behavior</w:t>
      </w:r>
      <w:proofErr w:type="spellEnd"/>
      <w:r w:rsidRPr="0017264D">
        <w:rPr>
          <w:rFonts w:asciiTheme="majorBidi" w:eastAsia="Times New Roman" w:hAnsiTheme="majorBidi" w:cstheme="majorBidi"/>
          <w:sz w:val="24"/>
          <w:szCs w:val="24"/>
        </w:rPr>
        <w:t xml:space="preserve"> is likely driven by other factors not captured in the model, such as corporate governance practices, ownership structure, industry characteristics, or regulatory enforcement intensity. Although an adjusted R² of 0.327 may be considered moderate, it is consistent with empirical research in the field of corporate finance and taxation, where </w:t>
      </w:r>
      <w:proofErr w:type="spellStart"/>
      <w:r w:rsidRPr="0017264D">
        <w:rPr>
          <w:rFonts w:asciiTheme="majorBidi" w:eastAsia="Times New Roman" w:hAnsiTheme="majorBidi" w:cstheme="majorBidi"/>
          <w:sz w:val="24"/>
          <w:szCs w:val="24"/>
        </w:rPr>
        <w:t>behavioral</w:t>
      </w:r>
      <w:proofErr w:type="spellEnd"/>
      <w:r w:rsidRPr="0017264D">
        <w:rPr>
          <w:rFonts w:asciiTheme="majorBidi" w:eastAsia="Times New Roman" w:hAnsiTheme="majorBidi" w:cstheme="majorBidi"/>
          <w:sz w:val="24"/>
          <w:szCs w:val="24"/>
        </w:rPr>
        <w:t xml:space="preserve"> and contextual factors often limit the explanatory strength of statistical models. This result underscores the complexity of tax avoidance as a multifaceted phenomenon, shaped not only by financial strategies but also by broader institutional, managerial, and regulatory dynamics.</w:t>
      </w:r>
    </w:p>
    <w:p w14:paraId="02900864" w14:textId="77777777" w:rsidR="007373F6" w:rsidRDefault="007373F6">
      <w:pPr>
        <w:widowControl w:val="0"/>
        <w:spacing w:after="0" w:line="240" w:lineRule="auto"/>
        <w:jc w:val="both"/>
        <w:rPr>
          <w:rFonts w:ascii="Times New Roman" w:eastAsia="Times New Roman" w:hAnsi="Times New Roman" w:cs="Times New Roman"/>
          <w:sz w:val="24"/>
          <w:szCs w:val="24"/>
        </w:rPr>
      </w:pPr>
    </w:p>
    <w:p w14:paraId="6A9E836C" w14:textId="77777777" w:rsidR="007373F6" w:rsidRDefault="00000000">
      <w:pPr>
        <w:widowControl w:val="0"/>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5. DISCUSSION</w:t>
      </w:r>
    </w:p>
    <w:p w14:paraId="5E24AEAF" w14:textId="77777777" w:rsidR="007373F6" w:rsidRDefault="007373F6">
      <w:pPr>
        <w:widowControl w:val="0"/>
        <w:spacing w:after="0" w:line="240" w:lineRule="auto"/>
        <w:jc w:val="both"/>
        <w:rPr>
          <w:rFonts w:ascii="Times New Roman" w:eastAsia="Times New Roman" w:hAnsi="Times New Roman" w:cs="Times New Roman"/>
          <w:sz w:val="24"/>
          <w:szCs w:val="24"/>
        </w:rPr>
      </w:pPr>
    </w:p>
    <w:p w14:paraId="404E685C" w14:textId="77777777" w:rsidR="007373F6" w:rsidRDefault="00000000" w:rsidP="0017264D">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findings challenge conventional assumptions regarding debt shifting in emerging markets. Unlike developed economies, where debt shifting often enhances tax avoidance, Indonesian banks appear constrained by regulatory oversight and lower financial flexibility. This explains why debt shifting reduces rather than increases avoidance.</w:t>
      </w:r>
    </w:p>
    <w:p w14:paraId="1B0663C5" w14:textId="77777777" w:rsidR="007373F6" w:rsidRDefault="00000000" w:rsidP="0017264D">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Derivatives, while theoretically effective tools for tax planning, appear to play a marginal role in Indonesia’s financial sector, likely due to limited sophistication of derivative markets and stricter disclosure rules.</w:t>
      </w:r>
    </w:p>
    <w:p w14:paraId="5F2E47F1" w14:textId="77777777" w:rsidR="007373F6" w:rsidRDefault="00000000" w:rsidP="0017264D">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Transfer pricing emerges as the dominant channel for tax avoidance, consistent with global literature. The moderating role of firm value suggests that high-value firms have greater incentives and capacity to exploit transfer pricing strategies, balancing reputational costs with tax savings.</w:t>
      </w:r>
    </w:p>
    <w:p w14:paraId="0D8ADE6B" w14:textId="77777777" w:rsidR="007373F6" w:rsidRDefault="007373F6">
      <w:pPr>
        <w:widowControl w:val="0"/>
        <w:spacing w:after="0" w:line="240" w:lineRule="auto"/>
        <w:jc w:val="both"/>
        <w:rPr>
          <w:rFonts w:ascii="Times New Roman" w:eastAsia="Times New Roman" w:hAnsi="Times New Roman" w:cs="Times New Roman"/>
          <w:sz w:val="24"/>
          <w:szCs w:val="24"/>
        </w:rPr>
      </w:pPr>
    </w:p>
    <w:p w14:paraId="00C5B480" w14:textId="77777777" w:rsidR="007373F6" w:rsidRDefault="00000000">
      <w:pPr>
        <w:widowControl w:val="0"/>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6. CONCLUSIONS AND IMPLICATIONS</w:t>
      </w:r>
    </w:p>
    <w:p w14:paraId="3BAA5363" w14:textId="77777777" w:rsidR="007373F6" w:rsidRDefault="007373F6">
      <w:pPr>
        <w:widowControl w:val="0"/>
        <w:spacing w:after="0" w:line="240" w:lineRule="auto"/>
        <w:jc w:val="both"/>
        <w:rPr>
          <w:rFonts w:ascii="Times New Roman" w:eastAsia="Times New Roman" w:hAnsi="Times New Roman" w:cs="Times New Roman"/>
          <w:sz w:val="24"/>
          <w:szCs w:val="24"/>
        </w:rPr>
      </w:pPr>
    </w:p>
    <w:p w14:paraId="104DE259" w14:textId="77777777" w:rsidR="007373F6" w:rsidRDefault="00000000">
      <w:pPr>
        <w:widowControl w:val="0"/>
        <w:spacing w:after="0" w:line="240" w:lineRule="auto"/>
        <w:ind w:firstLine="4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findings indicate that debt shifting has a negative influence on tax avoidance, suggesting that companies engaging in higher debt levels may face limitations in reducing their tax burden. In contrast, the use of financial derivatives shows no significant effect, highlighting that such instruments neither strengthen nor weaken tax avoidance practices in this context. Interestingly, transfer pricing emerges as a key driver, exerting a positive influence on tax avoidance, underscoring its role as a common mechanism for shifting profits across entities. Moreover, the moderating effect of firm value is only evident in the transfer pricing, tax avoidance relationship, implying that firms with stronger valuations may leverage transfer pricing more effectively as part of their tax strategy.</w:t>
      </w:r>
    </w:p>
    <w:p w14:paraId="16F1260F" w14:textId="77777777" w:rsidR="007373F6" w:rsidRDefault="007373F6">
      <w:pPr>
        <w:widowControl w:val="0"/>
        <w:spacing w:after="0" w:line="240" w:lineRule="auto"/>
        <w:jc w:val="both"/>
        <w:rPr>
          <w:rFonts w:ascii="Times New Roman" w:eastAsia="Times New Roman" w:hAnsi="Times New Roman" w:cs="Times New Roman"/>
          <w:b/>
          <w:sz w:val="24"/>
          <w:szCs w:val="24"/>
        </w:rPr>
      </w:pPr>
    </w:p>
    <w:p w14:paraId="3C4DC9FE" w14:textId="77777777" w:rsidR="007373F6" w:rsidRDefault="0000000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Practical Implications.</w:t>
      </w:r>
      <w:r>
        <w:rPr>
          <w:rFonts w:ascii="Times New Roman" w:eastAsia="Times New Roman" w:hAnsi="Times New Roman" w:cs="Times New Roman"/>
          <w:sz w:val="24"/>
          <w:szCs w:val="24"/>
        </w:rPr>
        <w:t xml:space="preserve"> The findings suggest that policymakers need to place greater emphasis on stricter monitoring of transfer pricing transactions, especially among high-value firms where the practice is more likely to influence tax avoidance. Regulators are also encouraged to enhance transparency in financial reporting to reduce the potential for hidden derivative use that may obscure true tax positions. For the banking sector, strengthening internal governance is essential to ensure that tax strategies remain aligned with compliance obligations and do not expose firms to regulatory or reputational risks.</w:t>
      </w:r>
    </w:p>
    <w:p w14:paraId="0F4AE620" w14:textId="77777777" w:rsidR="007373F6" w:rsidRDefault="007373F6">
      <w:pPr>
        <w:widowControl w:val="0"/>
        <w:spacing w:after="0" w:line="240" w:lineRule="auto"/>
        <w:jc w:val="both"/>
        <w:rPr>
          <w:rFonts w:ascii="Times New Roman" w:eastAsia="Times New Roman" w:hAnsi="Times New Roman" w:cs="Times New Roman"/>
          <w:sz w:val="24"/>
          <w:szCs w:val="24"/>
        </w:rPr>
      </w:pPr>
    </w:p>
    <w:p w14:paraId="476B0CBA" w14:textId="77777777" w:rsidR="007373F6" w:rsidRDefault="0000000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Theoretical Contribution.</w:t>
      </w:r>
      <w:r>
        <w:rPr>
          <w:rFonts w:ascii="Times New Roman" w:eastAsia="Times New Roman" w:hAnsi="Times New Roman" w:cs="Times New Roman"/>
          <w:sz w:val="24"/>
          <w:szCs w:val="24"/>
        </w:rPr>
        <w:t xml:space="preserve"> This study enriches the tax planning literature by showing that debt shifting in emerging markets does not necessarily align with tax avoidance incentives, challenging conventional assumptions drawn from developed economies. Furthermore, it highlights that firm value plays a selective moderating role, exerting influence only on the </w:t>
      </w:r>
      <w:r>
        <w:rPr>
          <w:rFonts w:ascii="Times New Roman" w:eastAsia="Times New Roman" w:hAnsi="Times New Roman" w:cs="Times New Roman"/>
          <w:sz w:val="24"/>
          <w:szCs w:val="24"/>
        </w:rPr>
        <w:lastRenderedPageBreak/>
        <w:t>relationship between transfer pricing and tax avoidance, thereby offering new insights into how firm characteristics shape tax planning strategies.</w:t>
      </w:r>
    </w:p>
    <w:p w14:paraId="70D410C3" w14:textId="77777777" w:rsidR="007373F6" w:rsidRDefault="007373F6">
      <w:pPr>
        <w:widowControl w:val="0"/>
        <w:spacing w:after="0" w:line="240" w:lineRule="auto"/>
        <w:jc w:val="both"/>
        <w:rPr>
          <w:rFonts w:ascii="Times New Roman" w:eastAsia="Times New Roman" w:hAnsi="Times New Roman" w:cs="Times New Roman"/>
          <w:sz w:val="24"/>
          <w:szCs w:val="24"/>
        </w:rPr>
      </w:pPr>
    </w:p>
    <w:p w14:paraId="1293F6D6" w14:textId="77777777" w:rsidR="007373F6" w:rsidRDefault="00000000">
      <w:pPr>
        <w:widowControl w:val="0"/>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7. LIMITATIONS AND FUTURE RESEARCH</w:t>
      </w:r>
    </w:p>
    <w:p w14:paraId="51713C18" w14:textId="77777777" w:rsidR="007373F6" w:rsidRDefault="007373F6">
      <w:pPr>
        <w:widowControl w:val="0"/>
        <w:spacing w:after="0" w:line="240" w:lineRule="auto"/>
        <w:jc w:val="both"/>
        <w:rPr>
          <w:rFonts w:ascii="Times New Roman" w:eastAsia="Times New Roman" w:hAnsi="Times New Roman" w:cs="Times New Roman"/>
          <w:sz w:val="24"/>
          <w:szCs w:val="24"/>
        </w:rPr>
      </w:pPr>
    </w:p>
    <w:p w14:paraId="001B4215" w14:textId="77777777" w:rsidR="007373F6" w:rsidRDefault="00000000" w:rsidP="0017264D">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Sample limited to 69 financial institutions; inclusion of Islamic banks and fintech firms may yield broader insights.</w:t>
      </w:r>
    </w:p>
    <w:p w14:paraId="30C2DF8B" w14:textId="77777777" w:rsidR="007373F6" w:rsidRDefault="00000000" w:rsidP="0017264D">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Adjusted R² of 32.7% indicates omitted variables such as profitability, firm size, and corporate governance.</w:t>
      </w:r>
    </w:p>
    <w:p w14:paraId="3F06AF04" w14:textId="77777777" w:rsidR="007373F6" w:rsidRDefault="00000000" w:rsidP="0017264D">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Period covers COVID-19, which may distort earnings and tax </w:t>
      </w:r>
      <w:proofErr w:type="spellStart"/>
      <w:r>
        <w:rPr>
          <w:rFonts w:ascii="Times New Roman" w:eastAsia="Times New Roman" w:hAnsi="Times New Roman" w:cs="Times New Roman"/>
          <w:sz w:val="24"/>
          <w:szCs w:val="24"/>
        </w:rPr>
        <w:t>behaviors</w:t>
      </w:r>
      <w:proofErr w:type="spellEnd"/>
      <w:r>
        <w:rPr>
          <w:rFonts w:ascii="Times New Roman" w:eastAsia="Times New Roman" w:hAnsi="Times New Roman" w:cs="Times New Roman"/>
          <w:sz w:val="24"/>
          <w:szCs w:val="24"/>
        </w:rPr>
        <w:t>.</w:t>
      </w:r>
    </w:p>
    <w:p w14:paraId="7E74F44E" w14:textId="77777777" w:rsidR="007373F6" w:rsidRDefault="00000000" w:rsidP="0017264D">
      <w:pPr>
        <w:widowControl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Future research could employ cross-country comparative analysis, integrate governance indicators, and test advanced econometric models (e.g., GMM, SEM) to improve explanatory power.</w:t>
      </w:r>
    </w:p>
    <w:p w14:paraId="67CD5BF4" w14:textId="77777777" w:rsidR="007373F6" w:rsidRDefault="007373F6">
      <w:pPr>
        <w:widowControl w:val="0"/>
        <w:spacing w:after="0" w:line="240" w:lineRule="auto"/>
        <w:jc w:val="both"/>
        <w:rPr>
          <w:rFonts w:ascii="Times New Roman" w:eastAsia="Times New Roman" w:hAnsi="Times New Roman" w:cs="Times New Roman"/>
          <w:sz w:val="24"/>
          <w:szCs w:val="24"/>
        </w:rPr>
      </w:pPr>
    </w:p>
    <w:p w14:paraId="233E742F" w14:textId="77777777" w:rsidR="0017264D" w:rsidRDefault="0017264D">
      <w:pPr>
        <w:widowControl w:val="0"/>
        <w:spacing w:after="0" w:line="240" w:lineRule="auto"/>
        <w:jc w:val="both"/>
        <w:rPr>
          <w:rFonts w:ascii="Times New Roman" w:eastAsia="Times New Roman" w:hAnsi="Times New Roman" w:cs="Times New Roman"/>
          <w:sz w:val="24"/>
          <w:szCs w:val="24"/>
        </w:rPr>
      </w:pPr>
    </w:p>
    <w:p w14:paraId="4C4D9727" w14:textId="7E07ACDF" w:rsidR="007373F6" w:rsidRDefault="0017264D" w:rsidP="0017264D">
      <w:pPr>
        <w:widowControl w:val="0"/>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REFERENCES</w:t>
      </w:r>
    </w:p>
    <w:p w14:paraId="50184343" w14:textId="77777777" w:rsidR="0017264D" w:rsidRDefault="0017264D" w:rsidP="0017264D">
      <w:pPr>
        <w:widowControl w:val="0"/>
        <w:spacing w:after="0" w:line="240" w:lineRule="auto"/>
        <w:jc w:val="center"/>
        <w:rPr>
          <w:rFonts w:ascii="Times New Roman" w:eastAsia="Times New Roman" w:hAnsi="Times New Roman" w:cs="Times New Roman"/>
          <w:b/>
          <w:sz w:val="24"/>
          <w:szCs w:val="24"/>
        </w:rPr>
      </w:pPr>
    </w:p>
    <w:p w14:paraId="57AC8224" w14:textId="6F350459" w:rsidR="007373F6" w:rsidRDefault="00000000" w:rsidP="0017264D">
      <w:pPr>
        <w:widowControl w:val="0"/>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Dharmapala, D., &amp; Riedel, N. (2013). Earnings Shocks and Tax-Motivated</w:t>
      </w:r>
      <w:r w:rsidR="002748F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Income-Shifting. </w:t>
      </w:r>
      <w:r>
        <w:rPr>
          <w:rFonts w:ascii="Times New Roman" w:eastAsia="Times New Roman" w:hAnsi="Times New Roman" w:cs="Times New Roman"/>
          <w:i/>
          <w:sz w:val="24"/>
          <w:szCs w:val="24"/>
        </w:rPr>
        <w:t>Review of Economics and Statistics</w:t>
      </w:r>
      <w:r>
        <w:rPr>
          <w:rFonts w:ascii="Times New Roman" w:eastAsia="Times New Roman" w:hAnsi="Times New Roman" w:cs="Times New Roman"/>
          <w:sz w:val="24"/>
          <w:szCs w:val="24"/>
        </w:rPr>
        <w:t>.</w:t>
      </w:r>
    </w:p>
    <w:p w14:paraId="10098A27" w14:textId="1FD4884F" w:rsidR="007373F6" w:rsidRDefault="00000000" w:rsidP="0017264D">
      <w:pPr>
        <w:widowControl w:val="0"/>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Donohoe, M. (2015). The Use of Derivatives in Tax Planning.</w:t>
      </w:r>
      <w:r>
        <w:rPr>
          <w:rFonts w:ascii="Times New Roman" w:eastAsia="Times New Roman" w:hAnsi="Times New Roman" w:cs="Times New Roman"/>
          <w:i/>
          <w:sz w:val="24"/>
          <w:szCs w:val="24"/>
        </w:rPr>
        <w:t xml:space="preserve"> Journal of Accounting Research.</w:t>
      </w:r>
    </w:p>
    <w:p w14:paraId="5905C34C" w14:textId="377DF3C0" w:rsidR="007373F6" w:rsidRDefault="00000000" w:rsidP="0017264D">
      <w:pPr>
        <w:widowControl w:val="0"/>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Dyreng, S., Hanlon, M., &amp; Maydew, E. (2019). When Does Tax Avoidance Affect Firm Value? T</w:t>
      </w:r>
      <w:r>
        <w:rPr>
          <w:rFonts w:ascii="Times New Roman" w:eastAsia="Times New Roman" w:hAnsi="Times New Roman" w:cs="Times New Roman"/>
          <w:i/>
          <w:sz w:val="24"/>
          <w:szCs w:val="24"/>
        </w:rPr>
        <w:t>he Accounting Review</w:t>
      </w:r>
      <w:r>
        <w:rPr>
          <w:rFonts w:ascii="Times New Roman" w:eastAsia="Times New Roman" w:hAnsi="Times New Roman" w:cs="Times New Roman"/>
          <w:sz w:val="24"/>
          <w:szCs w:val="24"/>
        </w:rPr>
        <w:t>.</w:t>
      </w:r>
    </w:p>
    <w:p w14:paraId="4D221F3D" w14:textId="75FCD74D" w:rsidR="007373F6" w:rsidRDefault="00000000" w:rsidP="0017264D">
      <w:pPr>
        <w:widowControl w:val="0"/>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Gumpert, A., Hines, J., &amp; Schnitzer, M. (2016). Multinational Firms and Tax Base Erosion. </w:t>
      </w:r>
      <w:r>
        <w:rPr>
          <w:rFonts w:ascii="Times New Roman" w:eastAsia="Times New Roman" w:hAnsi="Times New Roman" w:cs="Times New Roman"/>
          <w:i/>
          <w:sz w:val="24"/>
          <w:szCs w:val="24"/>
        </w:rPr>
        <w:t>Journal of Public Economics.</w:t>
      </w:r>
    </w:p>
    <w:p w14:paraId="31153ED4" w14:textId="7FDC9AE8" w:rsidR="007373F6" w:rsidRDefault="00000000" w:rsidP="0017264D">
      <w:pPr>
        <w:widowControl w:val="0"/>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Richardson, G., Taylor, G., &amp; Lanis, R. (2013). Determinants of Transfer Pricing Aggressiveness.</w:t>
      </w:r>
      <w:r>
        <w:rPr>
          <w:rFonts w:ascii="Times New Roman" w:eastAsia="Times New Roman" w:hAnsi="Times New Roman" w:cs="Times New Roman"/>
          <w:i/>
          <w:sz w:val="24"/>
          <w:szCs w:val="24"/>
        </w:rPr>
        <w:t xml:space="preserve"> Journal of Contemporary Accounting &amp; Economics.</w:t>
      </w:r>
    </w:p>
    <w:p w14:paraId="1187970C" w14:textId="0F57655B" w:rsidR="007373F6" w:rsidRPr="0017264D" w:rsidRDefault="00000000" w:rsidP="0017264D">
      <w:pPr>
        <w:widowControl w:val="0"/>
        <w:spacing w:after="0" w:line="240" w:lineRule="auto"/>
        <w:ind w:left="720" w:hanging="720"/>
        <w:jc w:val="both"/>
        <w:rPr>
          <w:rFonts w:ascii="Times New Roman" w:eastAsia="Times New Roman" w:hAnsi="Times New Roman" w:cs="Times New Roman"/>
          <w:sz w:val="24"/>
          <w:szCs w:val="24"/>
        </w:rPr>
        <w:sectPr w:rsidR="007373F6" w:rsidRPr="0017264D">
          <w:pgSz w:w="11906" w:h="16838"/>
          <w:pgMar w:top="1440" w:right="1440" w:bottom="1440" w:left="1440" w:header="708" w:footer="708" w:gutter="0"/>
          <w:cols w:space="720"/>
        </w:sectPr>
      </w:pPr>
      <w:r>
        <w:rPr>
          <w:rFonts w:ascii="Times New Roman" w:eastAsia="Times New Roman" w:hAnsi="Times New Roman" w:cs="Times New Roman"/>
          <w:sz w:val="24"/>
          <w:szCs w:val="24"/>
        </w:rPr>
        <w:t xml:space="preserve">Wang, Y., Xu, S., Sun, L., &amp; Cullinan, C. (2020). Earnings Management and Tax </w:t>
      </w:r>
      <w:r>
        <w:rPr>
          <w:rFonts w:ascii="Times New Roman" w:eastAsia="Times New Roman" w:hAnsi="Times New Roman" w:cs="Times New Roman"/>
          <w:sz w:val="24"/>
          <w:szCs w:val="24"/>
        </w:rPr>
        <w:tab/>
        <w:t xml:space="preserve">Avoidance in Banks. </w:t>
      </w:r>
      <w:r>
        <w:rPr>
          <w:rFonts w:ascii="Times New Roman" w:eastAsia="Times New Roman" w:hAnsi="Times New Roman" w:cs="Times New Roman"/>
          <w:i/>
          <w:sz w:val="24"/>
          <w:szCs w:val="24"/>
        </w:rPr>
        <w:t>International Review of Financial Analysis</w:t>
      </w:r>
      <w:r w:rsidR="0017264D">
        <w:rPr>
          <w:rFonts w:ascii="Times New Roman" w:eastAsia="Times New Roman" w:hAnsi="Times New Roman" w:cs="Times New Roman"/>
          <w:i/>
          <w:sz w:val="24"/>
          <w:szCs w:val="24"/>
        </w:rPr>
        <w:t>.</w:t>
      </w:r>
    </w:p>
    <w:p w14:paraId="19BA6AB9" w14:textId="77777777" w:rsidR="007373F6" w:rsidRDefault="00000000">
      <w:pPr>
        <w:pStyle w:val="Heading1"/>
      </w:pPr>
      <w:bookmarkStart w:id="110" w:name="_Toc211808166"/>
      <w:r>
        <w:lastRenderedPageBreak/>
        <w:t>Paper ID 71</w:t>
      </w:r>
      <w:bookmarkEnd w:id="110"/>
    </w:p>
    <w:p w14:paraId="1F9CFA00" w14:textId="77777777" w:rsidR="007373F6" w:rsidRDefault="00000000">
      <w:pPr>
        <w:pStyle w:val="Heading2"/>
      </w:pPr>
      <w:bookmarkStart w:id="111" w:name="_Toc211808167"/>
      <w:r>
        <w:t>DETECTING FINANCIAL STATEMENT FRAUD IN VIETNAM: A FRAUD TRIANGLE-BASED PREDICTIVE MODEL WITH FINANCIAL AND QUALITATIVE</w:t>
      </w:r>
      <w:bookmarkEnd w:id="111"/>
      <w:r>
        <w:t xml:space="preserve"> </w:t>
      </w:r>
    </w:p>
    <w:p w14:paraId="642F8DB7" w14:textId="77777777" w:rsidR="007373F6" w:rsidRPr="002148A8" w:rsidRDefault="00000000">
      <w:pPr>
        <w:shd w:val="clear" w:color="auto" w:fill="FFFFFF"/>
        <w:jc w:val="center"/>
        <w:rPr>
          <w:rFonts w:ascii="Times New Roman" w:eastAsia="Times New Roman" w:hAnsi="Times New Roman" w:cs="Times New Roman"/>
          <w:sz w:val="24"/>
          <w:szCs w:val="24"/>
        </w:rPr>
      </w:pPr>
      <w:r w:rsidRPr="002148A8">
        <w:rPr>
          <w:rFonts w:ascii="Times New Roman" w:eastAsia="Times New Roman" w:hAnsi="Times New Roman" w:cs="Times New Roman"/>
          <w:b/>
          <w:sz w:val="24"/>
          <w:szCs w:val="24"/>
        </w:rPr>
        <w:t xml:space="preserve">Mo Tran Thi*, </w:t>
      </w:r>
      <w:proofErr w:type="spellStart"/>
      <w:r w:rsidRPr="002148A8">
        <w:rPr>
          <w:rFonts w:ascii="Times New Roman" w:eastAsia="Times New Roman" w:hAnsi="Times New Roman" w:cs="Times New Roman"/>
          <w:sz w:val="24"/>
          <w:szCs w:val="24"/>
        </w:rPr>
        <w:t>Phenikaa</w:t>
      </w:r>
      <w:proofErr w:type="spellEnd"/>
      <w:r w:rsidRPr="002148A8">
        <w:rPr>
          <w:rFonts w:ascii="Times New Roman" w:eastAsia="Times New Roman" w:hAnsi="Times New Roman" w:cs="Times New Roman"/>
          <w:sz w:val="24"/>
          <w:szCs w:val="24"/>
        </w:rPr>
        <w:t xml:space="preserve"> University, Vietnam (</w:t>
      </w:r>
      <w:hyperlink r:id="rId210">
        <w:r w:rsidR="007373F6" w:rsidRPr="002148A8">
          <w:rPr>
            <w:rFonts w:ascii="Times New Roman" w:eastAsia="Times New Roman" w:hAnsi="Times New Roman" w:cs="Times New Roman"/>
            <w:sz w:val="24"/>
            <w:szCs w:val="24"/>
          </w:rPr>
          <w:t>Mo.tranthi@phenikaa-uni.edu.vn</w:t>
        </w:r>
      </w:hyperlink>
      <w:r w:rsidRPr="002148A8">
        <w:rPr>
          <w:rFonts w:ascii="Times New Roman" w:eastAsia="Times New Roman" w:hAnsi="Times New Roman" w:cs="Times New Roman"/>
          <w:sz w:val="24"/>
          <w:szCs w:val="24"/>
        </w:rPr>
        <w:t>)</w:t>
      </w:r>
    </w:p>
    <w:p w14:paraId="0F5C9CC5" w14:textId="77777777" w:rsidR="007373F6" w:rsidRPr="002148A8" w:rsidRDefault="00000000">
      <w:pPr>
        <w:shd w:val="clear" w:color="auto" w:fill="FFFFFF"/>
        <w:jc w:val="center"/>
        <w:rPr>
          <w:rFonts w:ascii="Times New Roman" w:eastAsia="Times New Roman" w:hAnsi="Times New Roman" w:cs="Times New Roman"/>
          <w:sz w:val="24"/>
          <w:szCs w:val="24"/>
        </w:rPr>
      </w:pPr>
      <w:r w:rsidRPr="002148A8">
        <w:rPr>
          <w:rFonts w:ascii="Times New Roman" w:eastAsia="Times New Roman" w:hAnsi="Times New Roman" w:cs="Times New Roman"/>
          <w:b/>
          <w:sz w:val="24"/>
          <w:szCs w:val="24"/>
        </w:rPr>
        <w:t xml:space="preserve">Trinh Tuyet Ngo, </w:t>
      </w:r>
      <w:r w:rsidRPr="002148A8">
        <w:rPr>
          <w:rFonts w:ascii="Times New Roman" w:eastAsia="Times New Roman" w:hAnsi="Times New Roman" w:cs="Times New Roman"/>
          <w:sz w:val="24"/>
          <w:szCs w:val="24"/>
        </w:rPr>
        <w:t>Faculty of Economics,</w:t>
      </w:r>
    </w:p>
    <w:p w14:paraId="6EF6EBA2" w14:textId="77777777" w:rsidR="007373F6" w:rsidRPr="002148A8" w:rsidRDefault="00000000">
      <w:pPr>
        <w:spacing w:after="0" w:line="240" w:lineRule="auto"/>
        <w:jc w:val="center"/>
        <w:rPr>
          <w:rFonts w:ascii="Times New Roman" w:eastAsia="Times New Roman" w:hAnsi="Times New Roman" w:cs="Times New Roman"/>
          <w:sz w:val="24"/>
          <w:szCs w:val="24"/>
        </w:rPr>
      </w:pPr>
      <w:r w:rsidRPr="002148A8">
        <w:rPr>
          <w:rFonts w:ascii="Times New Roman" w:eastAsia="Times New Roman" w:hAnsi="Times New Roman" w:cs="Times New Roman"/>
          <w:sz w:val="24"/>
          <w:szCs w:val="24"/>
        </w:rPr>
        <w:t>Hanoi University of Natural Resources and Environment, Vietnam (</w:t>
      </w:r>
      <w:hyperlink r:id="rId211">
        <w:r w:rsidR="007373F6" w:rsidRPr="002148A8">
          <w:rPr>
            <w:rFonts w:ascii="Times New Roman" w:eastAsia="Times New Roman" w:hAnsi="Times New Roman" w:cs="Times New Roman"/>
            <w:sz w:val="24"/>
            <w:szCs w:val="24"/>
          </w:rPr>
          <w:t>Nttrinh@hunre.edu.vn</w:t>
        </w:r>
      </w:hyperlink>
      <w:r w:rsidRPr="002148A8">
        <w:t>)</w:t>
      </w:r>
    </w:p>
    <w:p w14:paraId="11BA9D4A" w14:textId="77777777" w:rsidR="007373F6" w:rsidRPr="002148A8" w:rsidRDefault="007373F6">
      <w:pPr>
        <w:spacing w:after="0" w:line="240" w:lineRule="auto"/>
        <w:jc w:val="center"/>
        <w:rPr>
          <w:rFonts w:ascii="Times New Roman" w:eastAsia="Times New Roman" w:hAnsi="Times New Roman" w:cs="Times New Roman"/>
          <w:sz w:val="24"/>
          <w:szCs w:val="24"/>
        </w:rPr>
      </w:pPr>
    </w:p>
    <w:p w14:paraId="3F30E80A" w14:textId="77777777" w:rsidR="007373F6" w:rsidRPr="002148A8" w:rsidRDefault="00000000">
      <w:pPr>
        <w:shd w:val="clear" w:color="auto" w:fill="FFFFFF"/>
        <w:jc w:val="center"/>
        <w:rPr>
          <w:rFonts w:ascii="Times New Roman" w:eastAsia="Times New Roman" w:hAnsi="Times New Roman" w:cs="Times New Roman"/>
        </w:rPr>
      </w:pPr>
      <w:r w:rsidRPr="002148A8">
        <w:rPr>
          <w:rFonts w:ascii="Times New Roman" w:eastAsia="Times New Roman" w:hAnsi="Times New Roman" w:cs="Times New Roman"/>
          <w:b/>
          <w:sz w:val="24"/>
          <w:szCs w:val="24"/>
        </w:rPr>
        <w:t>Binh The Vu</w:t>
      </w:r>
      <w:r w:rsidRPr="002148A8">
        <w:rPr>
          <w:rFonts w:ascii="Times New Roman" w:eastAsia="Times New Roman" w:hAnsi="Times New Roman" w:cs="Times New Roman"/>
          <w:sz w:val="24"/>
          <w:szCs w:val="24"/>
        </w:rPr>
        <w:t>, VNU University of Economics and Business, Vietnam (</w:t>
      </w:r>
      <w:hyperlink r:id="rId212">
        <w:r w:rsidR="007373F6" w:rsidRPr="002148A8">
          <w:rPr>
            <w:rFonts w:ascii="Times New Roman" w:eastAsia="Times New Roman" w:hAnsi="Times New Roman" w:cs="Times New Roman"/>
          </w:rPr>
          <w:t>vuthebinh@vnu.edu.vn</w:t>
        </w:r>
      </w:hyperlink>
      <w:r w:rsidRPr="002148A8">
        <w:rPr>
          <w:rFonts w:ascii="Times New Roman" w:eastAsia="Times New Roman" w:hAnsi="Times New Roman" w:cs="Times New Roman"/>
        </w:rPr>
        <w:t>)</w:t>
      </w:r>
    </w:p>
    <w:p w14:paraId="52429E66" w14:textId="77777777" w:rsidR="007373F6" w:rsidRPr="002148A8" w:rsidRDefault="00000000">
      <w:pPr>
        <w:shd w:val="clear" w:color="auto" w:fill="FFFFFF"/>
        <w:jc w:val="center"/>
        <w:rPr>
          <w:rFonts w:ascii="Times New Roman" w:eastAsia="Times New Roman" w:hAnsi="Times New Roman" w:cs="Times New Roman"/>
          <w:sz w:val="24"/>
          <w:szCs w:val="24"/>
        </w:rPr>
      </w:pPr>
      <w:r w:rsidRPr="002148A8">
        <w:rPr>
          <w:rFonts w:ascii="Times New Roman" w:eastAsia="Times New Roman" w:hAnsi="Times New Roman" w:cs="Times New Roman"/>
          <w:b/>
          <w:sz w:val="24"/>
          <w:szCs w:val="24"/>
        </w:rPr>
        <w:t>Chi Phuong Bui*</w:t>
      </w:r>
      <w:r w:rsidRPr="002148A8">
        <w:rPr>
          <w:rFonts w:ascii="Times New Roman" w:eastAsia="Times New Roman" w:hAnsi="Times New Roman" w:cs="Times New Roman"/>
          <w:sz w:val="24"/>
          <w:szCs w:val="24"/>
        </w:rPr>
        <w:t>, VNU University of Economics and Business, Vietnam (</w:t>
      </w:r>
      <w:hyperlink r:id="rId213">
        <w:r w:rsidR="007373F6" w:rsidRPr="002148A8">
          <w:rPr>
            <w:rFonts w:ascii="Times New Roman" w:eastAsia="Times New Roman" w:hAnsi="Times New Roman" w:cs="Times New Roman"/>
            <w:sz w:val="24"/>
            <w:szCs w:val="24"/>
          </w:rPr>
          <w:t>chibui@vnu.edu.vn</w:t>
        </w:r>
      </w:hyperlink>
      <w:r w:rsidRPr="002148A8">
        <w:rPr>
          <w:rFonts w:ascii="Times New Roman" w:eastAsia="Times New Roman" w:hAnsi="Times New Roman" w:cs="Times New Roman"/>
          <w:sz w:val="24"/>
          <w:szCs w:val="24"/>
        </w:rPr>
        <w:t>)</w:t>
      </w:r>
    </w:p>
    <w:p w14:paraId="60C395EE" w14:textId="77777777" w:rsidR="007373F6" w:rsidRDefault="007373F6">
      <w:pPr>
        <w:jc w:val="center"/>
      </w:pPr>
    </w:p>
    <w:p w14:paraId="4A5BB45C" w14:textId="77777777" w:rsidR="007373F6"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ABSTRACT</w:t>
      </w:r>
    </w:p>
    <w:p w14:paraId="3B2312A7" w14:textId="47B5B970" w:rsidR="007373F6" w:rsidRDefault="00000000">
      <w:pPr>
        <w:jc w:val="both"/>
        <w:rPr>
          <w:rFonts w:ascii="Times New Roman" w:eastAsia="Times New Roman" w:hAnsi="Times New Roman" w:cs="Times New Roman"/>
          <w:b/>
          <w:i/>
          <w:color w:val="000000"/>
          <w:sz w:val="24"/>
          <w:szCs w:val="24"/>
          <w:highlight w:val="white"/>
        </w:rPr>
      </w:pPr>
      <w:r>
        <w:rPr>
          <w:rFonts w:ascii="Times New Roman" w:eastAsia="Times New Roman" w:hAnsi="Times New Roman" w:cs="Times New Roman"/>
          <w:color w:val="000000"/>
          <w:sz w:val="24"/>
          <w:szCs w:val="24"/>
          <w:highlight w:val="white"/>
        </w:rPr>
        <w:t xml:space="preserve">Financial statement fraud remains a pervasive and critical issue worldwide, with particularly acute implications in emerging markets such as Vietnam, where internal controls, regulatory oversight, and audit quality are often underdeveloped or inconsistently enforced. This study addresses several key limitations in existing financial statement fraud (FSF) detection models within the Vietnamese context, which are frequently overly descriptive, lack robust theoretical grounding, omit important qualitative dimensions, and fail to consider potential interaction effects among explanatory variables. Building upon the Fraud Triangle Theory and its extensions (Fraud Diamond and Fraud Hexagon), this research develops a comprehensive predictive financial statement fraud model that combines conventional financial indicators with context-specific qualitative measures to improve detection accuracy. The study adopts a quantitative research design, utilizing an extensive panel dataset comprising 5,363 firm-year observations from non-financial companies listed on the Vietnam Stock Exchange between 2015 and 2024. Logistic regression analysis is applied, with the </w:t>
      </w:r>
      <w:proofErr w:type="spellStart"/>
      <w:r>
        <w:rPr>
          <w:rFonts w:ascii="Times New Roman" w:eastAsia="Times New Roman" w:hAnsi="Times New Roman" w:cs="Times New Roman"/>
          <w:color w:val="000000"/>
          <w:sz w:val="24"/>
          <w:szCs w:val="24"/>
          <w:highlight w:val="white"/>
        </w:rPr>
        <w:t>Beneish</w:t>
      </w:r>
      <w:proofErr w:type="spellEnd"/>
      <w:r>
        <w:rPr>
          <w:rFonts w:ascii="Times New Roman" w:eastAsia="Times New Roman" w:hAnsi="Times New Roman" w:cs="Times New Roman"/>
          <w:color w:val="000000"/>
          <w:sz w:val="24"/>
          <w:szCs w:val="24"/>
          <w:highlight w:val="white"/>
        </w:rPr>
        <w:t xml:space="preserve"> M-score serving as the dependent variable to identify fraudulent financial reporting. The empirical results reveal that high revenue growth, low profitability, weak operating cash flows, and the interaction between cash flow and Big 4 audit firms are statistically significant predictors of financial statement fraud. These findings provide valuable implications for regulators, auditors, corporate managers, and investors in enhancing fraud risk assessment frameworks and strengthening the overall integrity, transparency, and credibility of financial reporting in Vietnam.</w:t>
      </w:r>
      <w:r>
        <w:rPr>
          <w:rFonts w:ascii="Times New Roman" w:eastAsia="Times New Roman" w:hAnsi="Times New Roman" w:cs="Times New Roman"/>
          <w:sz w:val="24"/>
          <w:szCs w:val="24"/>
        </w:rPr>
        <w:br/>
      </w:r>
      <w:r>
        <w:rPr>
          <w:rFonts w:ascii="Times New Roman" w:eastAsia="Times New Roman" w:hAnsi="Times New Roman" w:cs="Times New Roman"/>
          <w:b/>
          <w:i/>
          <w:color w:val="000000"/>
          <w:sz w:val="24"/>
          <w:szCs w:val="24"/>
          <w:highlight w:val="white"/>
        </w:rPr>
        <w:t xml:space="preserve">Keywords: </w:t>
      </w:r>
      <w:r w:rsidR="002148A8">
        <w:rPr>
          <w:rFonts w:ascii="Times New Roman" w:eastAsia="Times New Roman" w:hAnsi="Times New Roman" w:cs="Times New Roman"/>
          <w:i/>
          <w:color w:val="000000"/>
          <w:sz w:val="24"/>
          <w:szCs w:val="24"/>
          <w:highlight w:val="white"/>
        </w:rPr>
        <w:t>Financial Statement Fraud; Corporate Governance; Fraud Triangle; Audit Quality; Earnings Management</w:t>
      </w:r>
      <w:r w:rsidR="002148A8">
        <w:rPr>
          <w:rFonts w:ascii="Times New Roman" w:eastAsia="Times New Roman" w:hAnsi="Times New Roman" w:cs="Times New Roman"/>
          <w:b/>
          <w:i/>
          <w:color w:val="000000"/>
          <w:sz w:val="24"/>
          <w:szCs w:val="24"/>
          <w:highlight w:val="white"/>
        </w:rPr>
        <w:t xml:space="preserve"> </w:t>
      </w:r>
    </w:p>
    <w:p w14:paraId="4B8F535B" w14:textId="77777777" w:rsidR="007373F6" w:rsidRDefault="00000000">
      <w:pPr>
        <w:spacing w:line="240" w:lineRule="auto"/>
        <w:jc w:val="center"/>
        <w:rPr>
          <w:rFonts w:ascii="Times New Roman" w:eastAsia="Times New Roman" w:hAnsi="Times New Roman" w:cs="Times New Roman"/>
          <w:b/>
          <w:color w:val="28333D"/>
          <w:sz w:val="24"/>
          <w:szCs w:val="24"/>
        </w:rPr>
      </w:pPr>
      <w:r>
        <w:rPr>
          <w:rFonts w:ascii="Times New Roman" w:eastAsia="Times New Roman" w:hAnsi="Times New Roman" w:cs="Times New Roman"/>
          <w:b/>
          <w:color w:val="28333D"/>
          <w:sz w:val="24"/>
          <w:szCs w:val="24"/>
        </w:rPr>
        <w:t>EXECUTIVE SUMMARY</w:t>
      </w:r>
    </w:p>
    <w:p w14:paraId="547D96DC"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Financial statement fraud (FSF) is a critical global concern that undermines investor confidence and erodes the transparency of capital markets (Rezaee, 2005). In Vietnam, FSF risks are further aggravated by underdeveloped legal frameworks, fragmented enforcement mechanisms, and uneven audit quality (Minh &amp; Ai, 2022). Prior studies in this context have often been descriptive, relying heavily on a narrow set of financial indicators while neglecting </w:t>
      </w:r>
      <w:r>
        <w:rPr>
          <w:rFonts w:ascii="Times New Roman" w:eastAsia="Times New Roman" w:hAnsi="Times New Roman" w:cs="Times New Roman"/>
          <w:sz w:val="24"/>
          <w:szCs w:val="24"/>
        </w:rPr>
        <w:lastRenderedPageBreak/>
        <w:t xml:space="preserve">qualitative dimensions such as auditor changes or governance structures, as well as interaction effects among variables (Nguyen, Huynh, &amp; Nguyen, 2018; </w:t>
      </w:r>
      <w:proofErr w:type="spellStart"/>
      <w:r>
        <w:rPr>
          <w:rFonts w:ascii="Times New Roman" w:eastAsia="Times New Roman" w:hAnsi="Times New Roman" w:cs="Times New Roman"/>
          <w:sz w:val="24"/>
          <w:szCs w:val="24"/>
        </w:rPr>
        <w:t>Rasyidah</w:t>
      </w:r>
      <w:proofErr w:type="spellEnd"/>
      <w:r>
        <w:rPr>
          <w:rFonts w:ascii="Times New Roman" w:eastAsia="Times New Roman" w:hAnsi="Times New Roman" w:cs="Times New Roman"/>
          <w:sz w:val="24"/>
          <w:szCs w:val="24"/>
        </w:rPr>
        <w:t>, Anwar, &amp; Hamzah, 2024). These limitations highlight the need for a more rigorous, theory-based approach that accounts for Vietnam’s institutional complexities. Against this backdrop, the study pursues three primary objectives: (1) To empirically investigate the impact of both financial and qualitative factors on the likelihood of financial statement fraud, (2) To develop a predictive model with strong accuracy and practical relevance for auditors and regulators, (3) To propose recommendations for improving fraud risk assessment practices in Vietnam’s listed corporate sector.</w:t>
      </w:r>
    </w:p>
    <w:p w14:paraId="711156BA"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Financial statement fraud (FSF) is broadly defined as the deliberate misrepresentation of financial information to deceive stakeholders, with severe consequences for investors and markets (Bell &amp; </w:t>
      </w:r>
      <w:proofErr w:type="spellStart"/>
      <w:r>
        <w:rPr>
          <w:rFonts w:ascii="Times New Roman" w:eastAsia="Times New Roman" w:hAnsi="Times New Roman" w:cs="Times New Roman"/>
          <w:sz w:val="24"/>
          <w:szCs w:val="24"/>
        </w:rPr>
        <w:t>Carcello</w:t>
      </w:r>
      <w:proofErr w:type="spellEnd"/>
      <w:r>
        <w:rPr>
          <w:rFonts w:ascii="Times New Roman" w:eastAsia="Times New Roman" w:hAnsi="Times New Roman" w:cs="Times New Roman"/>
          <w:sz w:val="24"/>
          <w:szCs w:val="24"/>
        </w:rPr>
        <w:t xml:space="preserve">, 2000; Rezaee, 2005). Prior studies identify financial pressures, weak internal controls, and managerial incentives as key drivers (Achmad, </w:t>
      </w:r>
      <w:proofErr w:type="spellStart"/>
      <w:r>
        <w:rPr>
          <w:rFonts w:ascii="Times New Roman" w:eastAsia="Times New Roman" w:hAnsi="Times New Roman" w:cs="Times New Roman"/>
          <w:sz w:val="24"/>
          <w:szCs w:val="24"/>
        </w:rPr>
        <w:t>Ghozali</w:t>
      </w:r>
      <w:proofErr w:type="spellEnd"/>
      <w:r>
        <w:rPr>
          <w:rFonts w:ascii="Times New Roman" w:eastAsia="Times New Roman" w:hAnsi="Times New Roman" w:cs="Times New Roman"/>
          <w:sz w:val="24"/>
          <w:szCs w:val="24"/>
        </w:rPr>
        <w:t xml:space="preserve">, &amp; </w:t>
      </w:r>
      <w:proofErr w:type="spellStart"/>
      <w:r>
        <w:rPr>
          <w:rFonts w:ascii="Times New Roman" w:eastAsia="Times New Roman" w:hAnsi="Times New Roman" w:cs="Times New Roman"/>
          <w:sz w:val="24"/>
          <w:szCs w:val="24"/>
        </w:rPr>
        <w:t>Pamungkas</w:t>
      </w:r>
      <w:proofErr w:type="spellEnd"/>
      <w:r>
        <w:rPr>
          <w:rFonts w:ascii="Times New Roman" w:eastAsia="Times New Roman" w:hAnsi="Times New Roman" w:cs="Times New Roman"/>
          <w:sz w:val="24"/>
          <w:szCs w:val="24"/>
        </w:rPr>
        <w:t xml:space="preserve">, 2022). Detection approaches such as the </w:t>
      </w:r>
      <w:proofErr w:type="spellStart"/>
      <w:r>
        <w:rPr>
          <w:rFonts w:ascii="Times New Roman" w:eastAsia="Times New Roman" w:hAnsi="Times New Roman" w:cs="Times New Roman"/>
          <w:sz w:val="24"/>
          <w:szCs w:val="24"/>
        </w:rPr>
        <w:t>Beneish</w:t>
      </w:r>
      <w:proofErr w:type="spellEnd"/>
      <w:r>
        <w:rPr>
          <w:rFonts w:ascii="Times New Roman" w:eastAsia="Times New Roman" w:hAnsi="Times New Roman" w:cs="Times New Roman"/>
          <w:sz w:val="24"/>
          <w:szCs w:val="24"/>
        </w:rPr>
        <w:t xml:space="preserve"> M-score are widely applied Kaminski, Sterling Wetzel and Guan (2004) while theoretical frameworks like the Fraud Triangle Cressey (1953) and its extensions emphasize three elements such as pressure, opportunity, and rationalization, as the foundation of fraud risk.</w:t>
      </w:r>
    </w:p>
    <w:p w14:paraId="4139117C"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Vietnam, however, existing research remains largely descriptive, focusing mainly on financial ratios while neglecting qualitative factors (Nguyen, Huynh, &amp; Nguyen, 2018). The role of Big 4 auditors also remains debated: while they are assumed to provide superior oversight, evidence shows their effectiveness depends on institutional environments (Francis &amp; Wang, 2008; Le &amp; Moore, 2023). These gaps highlight the need for a more theory-driven, context-specific model.</w:t>
      </w:r>
    </w:p>
    <w:p w14:paraId="45609BE3"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Based on this framework, the study proposes the following hypotheses:</w:t>
      </w:r>
    </w:p>
    <w:p w14:paraId="26492523" w14:textId="77777777" w:rsidR="007373F6" w:rsidRPr="002148A8" w:rsidRDefault="00000000" w:rsidP="002148A8">
      <w:pPr>
        <w:spacing w:after="0" w:line="240" w:lineRule="auto"/>
        <w:ind w:firstLine="425"/>
        <w:jc w:val="both"/>
        <w:rPr>
          <w:rFonts w:ascii="Times New Roman" w:eastAsia="Times New Roman" w:hAnsi="Times New Roman" w:cs="Times New Roman"/>
          <w:iCs/>
        </w:rPr>
      </w:pPr>
      <w:r>
        <w:rPr>
          <w:rFonts w:ascii="Times New Roman" w:eastAsia="Times New Roman" w:hAnsi="Times New Roman" w:cs="Times New Roman"/>
          <w:b/>
          <w:sz w:val="24"/>
          <w:szCs w:val="24"/>
        </w:rPr>
        <w:t>H1:</w:t>
      </w:r>
      <w:r>
        <w:rPr>
          <w:rFonts w:ascii="Times New Roman" w:eastAsia="Times New Roman" w:hAnsi="Times New Roman" w:cs="Times New Roman"/>
          <w:sz w:val="24"/>
          <w:szCs w:val="24"/>
        </w:rPr>
        <w:t xml:space="preserve"> </w:t>
      </w:r>
      <w:r w:rsidRPr="002148A8">
        <w:rPr>
          <w:rFonts w:ascii="Times New Roman" w:eastAsia="Times New Roman" w:hAnsi="Times New Roman" w:cs="Times New Roman"/>
          <w:iCs/>
        </w:rPr>
        <w:t>Financial pressure, evidenced by high revenue growth or weak operating cash flows, is associated with a higher risk of financial statement fraud.</w:t>
      </w:r>
    </w:p>
    <w:p w14:paraId="5F22891A" w14:textId="77777777" w:rsidR="007373F6" w:rsidRPr="002148A8" w:rsidRDefault="00000000" w:rsidP="002148A8">
      <w:pPr>
        <w:spacing w:after="0" w:line="240" w:lineRule="auto"/>
        <w:ind w:firstLine="425"/>
        <w:jc w:val="both"/>
        <w:rPr>
          <w:rFonts w:ascii="Times New Roman" w:eastAsia="Times New Roman" w:hAnsi="Times New Roman" w:cs="Times New Roman"/>
          <w:iCs/>
          <w:sz w:val="24"/>
          <w:szCs w:val="24"/>
        </w:rPr>
      </w:pPr>
      <w:r w:rsidRPr="002148A8">
        <w:rPr>
          <w:rFonts w:ascii="Times New Roman" w:eastAsia="Times New Roman" w:hAnsi="Times New Roman" w:cs="Times New Roman"/>
          <w:b/>
          <w:iCs/>
          <w:sz w:val="24"/>
          <w:szCs w:val="24"/>
        </w:rPr>
        <w:t>H2:</w:t>
      </w:r>
      <w:r w:rsidRPr="002148A8">
        <w:rPr>
          <w:rFonts w:ascii="Times New Roman" w:eastAsia="Times New Roman" w:hAnsi="Times New Roman" w:cs="Times New Roman"/>
          <w:iCs/>
          <w:sz w:val="24"/>
          <w:szCs w:val="24"/>
        </w:rPr>
        <w:t xml:space="preserve"> </w:t>
      </w:r>
      <w:r w:rsidRPr="002148A8">
        <w:rPr>
          <w:rFonts w:ascii="Times New Roman" w:eastAsia="Times New Roman" w:hAnsi="Times New Roman" w:cs="Times New Roman"/>
          <w:iCs/>
        </w:rPr>
        <w:t>A weak control environment, proxied by the absence of a Big 4 auditor, is positively related to the probability of financial statement fraud</w:t>
      </w:r>
      <w:r w:rsidRPr="002148A8">
        <w:rPr>
          <w:rFonts w:ascii="Times New Roman" w:eastAsia="Times New Roman" w:hAnsi="Times New Roman" w:cs="Times New Roman"/>
          <w:iCs/>
          <w:sz w:val="24"/>
          <w:szCs w:val="24"/>
        </w:rPr>
        <w:t>.</w:t>
      </w:r>
    </w:p>
    <w:p w14:paraId="4AF29F09" w14:textId="77777777" w:rsidR="007373F6" w:rsidRPr="002148A8" w:rsidRDefault="00000000" w:rsidP="002148A8">
      <w:pPr>
        <w:spacing w:after="0" w:line="240" w:lineRule="auto"/>
        <w:ind w:firstLine="425"/>
        <w:jc w:val="both"/>
        <w:rPr>
          <w:rFonts w:ascii="Times New Roman" w:eastAsia="Times New Roman" w:hAnsi="Times New Roman" w:cs="Times New Roman"/>
          <w:iCs/>
          <w:sz w:val="24"/>
          <w:szCs w:val="24"/>
        </w:rPr>
      </w:pPr>
      <w:r w:rsidRPr="002148A8">
        <w:rPr>
          <w:rFonts w:ascii="Times New Roman" w:eastAsia="Times New Roman" w:hAnsi="Times New Roman" w:cs="Times New Roman"/>
          <w:b/>
          <w:iCs/>
          <w:sz w:val="24"/>
          <w:szCs w:val="24"/>
        </w:rPr>
        <w:t>H3:</w:t>
      </w:r>
      <w:r w:rsidRPr="002148A8">
        <w:rPr>
          <w:rFonts w:ascii="Times New Roman" w:eastAsia="Times New Roman" w:hAnsi="Times New Roman" w:cs="Times New Roman"/>
          <w:iCs/>
          <w:sz w:val="24"/>
          <w:szCs w:val="24"/>
        </w:rPr>
        <w:t xml:space="preserve"> </w:t>
      </w:r>
      <w:r w:rsidRPr="002148A8">
        <w:rPr>
          <w:rFonts w:ascii="Times New Roman" w:eastAsia="Times New Roman" w:hAnsi="Times New Roman" w:cs="Times New Roman"/>
          <w:iCs/>
        </w:rPr>
        <w:t>Indicators of rationalization, such as auditor changes or persistently low profitability, are positively associated with the incidence of financial statement fraud</w:t>
      </w:r>
      <w:r w:rsidRPr="002148A8">
        <w:rPr>
          <w:rFonts w:ascii="Times New Roman" w:eastAsia="Times New Roman" w:hAnsi="Times New Roman" w:cs="Times New Roman"/>
          <w:iCs/>
          <w:sz w:val="24"/>
          <w:szCs w:val="24"/>
        </w:rPr>
        <w:t>.</w:t>
      </w:r>
    </w:p>
    <w:p w14:paraId="58CBE805" w14:textId="77777777" w:rsidR="007373F6" w:rsidRPr="002148A8" w:rsidRDefault="00000000" w:rsidP="002148A8">
      <w:pPr>
        <w:spacing w:after="0" w:line="240" w:lineRule="auto"/>
        <w:ind w:firstLine="425"/>
        <w:jc w:val="both"/>
        <w:rPr>
          <w:rFonts w:ascii="Times New Roman" w:eastAsia="Times New Roman" w:hAnsi="Times New Roman" w:cs="Times New Roman"/>
          <w:iCs/>
          <w:sz w:val="24"/>
          <w:szCs w:val="24"/>
        </w:rPr>
      </w:pPr>
      <w:r w:rsidRPr="002148A8">
        <w:rPr>
          <w:rFonts w:ascii="Times New Roman" w:eastAsia="Times New Roman" w:hAnsi="Times New Roman" w:cs="Times New Roman"/>
          <w:b/>
          <w:iCs/>
          <w:sz w:val="24"/>
          <w:szCs w:val="24"/>
        </w:rPr>
        <w:t>H4:</w:t>
      </w:r>
      <w:r w:rsidRPr="002148A8">
        <w:rPr>
          <w:rFonts w:ascii="Times New Roman" w:eastAsia="Times New Roman" w:hAnsi="Times New Roman" w:cs="Times New Roman"/>
          <w:iCs/>
          <w:sz w:val="24"/>
          <w:szCs w:val="24"/>
        </w:rPr>
        <w:t xml:space="preserve"> </w:t>
      </w:r>
      <w:r w:rsidRPr="002148A8">
        <w:rPr>
          <w:rFonts w:ascii="Times New Roman" w:eastAsia="Times New Roman" w:hAnsi="Times New Roman" w:cs="Times New Roman"/>
          <w:iCs/>
        </w:rPr>
        <w:t>The simultaneous presence of pressure, opportunity, and rationalization has a synergistic effect, significantly increasing the probability of financial statement fraud beyond the impact of any single factor.</w:t>
      </w:r>
    </w:p>
    <w:p w14:paraId="2190FA29" w14:textId="77777777" w:rsidR="007373F6" w:rsidRPr="002148A8" w:rsidRDefault="00000000" w:rsidP="002148A8">
      <w:pPr>
        <w:spacing w:after="0" w:line="240" w:lineRule="auto"/>
        <w:ind w:firstLine="425"/>
        <w:jc w:val="both"/>
        <w:rPr>
          <w:rFonts w:ascii="Times New Roman" w:eastAsia="Times New Roman" w:hAnsi="Times New Roman" w:cs="Times New Roman"/>
          <w:iCs/>
          <w:sz w:val="24"/>
          <w:szCs w:val="24"/>
        </w:rPr>
      </w:pPr>
      <w:r w:rsidRPr="002148A8">
        <w:rPr>
          <w:rFonts w:ascii="Times New Roman" w:eastAsia="Times New Roman" w:hAnsi="Times New Roman" w:cs="Times New Roman"/>
          <w:b/>
          <w:iCs/>
          <w:sz w:val="24"/>
          <w:szCs w:val="24"/>
        </w:rPr>
        <w:t>H5:</w:t>
      </w:r>
      <w:r w:rsidRPr="002148A8">
        <w:rPr>
          <w:rFonts w:ascii="Times New Roman" w:eastAsia="Times New Roman" w:hAnsi="Times New Roman" w:cs="Times New Roman"/>
          <w:iCs/>
          <w:sz w:val="24"/>
          <w:szCs w:val="24"/>
        </w:rPr>
        <w:t xml:space="preserve"> </w:t>
      </w:r>
      <w:r w:rsidRPr="002148A8">
        <w:rPr>
          <w:rFonts w:ascii="Times New Roman" w:eastAsia="Times New Roman" w:hAnsi="Times New Roman" w:cs="Times New Roman"/>
          <w:iCs/>
        </w:rPr>
        <w:t>The quality of the external auditor (proxied by a Big 4 firm) moderates the relationship between financial pressure and financial statement fraud, such that the positive association is weaker for firms audited by a Big 4 firm.</w:t>
      </w:r>
    </w:p>
    <w:p w14:paraId="51D9B16A" w14:textId="77777777" w:rsidR="007373F6" w:rsidRDefault="007373F6">
      <w:pPr>
        <w:spacing w:after="0" w:line="240" w:lineRule="auto"/>
        <w:ind w:firstLine="426"/>
        <w:jc w:val="both"/>
        <w:rPr>
          <w:rFonts w:ascii="Times New Roman" w:eastAsia="Times New Roman" w:hAnsi="Times New Roman" w:cs="Times New Roman"/>
          <w:sz w:val="24"/>
          <w:szCs w:val="24"/>
        </w:rPr>
      </w:pPr>
    </w:p>
    <w:p w14:paraId="27780407"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study employs a causal research design to test the relationship between the Fraud Triangle framework and financial statement fraud (FSF). The sample comprises 5,363 firm-year observations from non-financial companies listed on the Vietnam Stock Exchange during 2015–2024, excluding banks, insurers, and securities firms due to their distinct reporting standards (Davidson, Goodwin‐Stewart, &amp; Kent, 2005). Financial statement fraud FSF, proxied by the </w:t>
      </w:r>
      <w:proofErr w:type="spellStart"/>
      <w:r>
        <w:rPr>
          <w:rFonts w:ascii="Times New Roman" w:eastAsia="Times New Roman" w:hAnsi="Times New Roman" w:cs="Times New Roman"/>
          <w:sz w:val="24"/>
          <w:szCs w:val="24"/>
        </w:rPr>
        <w:t>Beneish</w:t>
      </w:r>
      <w:proofErr w:type="spellEnd"/>
      <w:r>
        <w:rPr>
          <w:rFonts w:ascii="Times New Roman" w:eastAsia="Times New Roman" w:hAnsi="Times New Roman" w:cs="Times New Roman"/>
          <w:sz w:val="24"/>
          <w:szCs w:val="24"/>
        </w:rPr>
        <w:t xml:space="preserve"> M-score (</w:t>
      </w:r>
      <w:proofErr w:type="spellStart"/>
      <w:r>
        <w:rPr>
          <w:rFonts w:ascii="Times New Roman" w:eastAsia="Times New Roman" w:hAnsi="Times New Roman" w:cs="Times New Roman"/>
          <w:sz w:val="24"/>
          <w:szCs w:val="24"/>
        </w:rPr>
        <w:t>Beneish</w:t>
      </w:r>
      <w:proofErr w:type="spellEnd"/>
      <w:r>
        <w:rPr>
          <w:rFonts w:ascii="Times New Roman" w:eastAsia="Times New Roman" w:hAnsi="Times New Roman" w:cs="Times New Roman"/>
          <w:sz w:val="24"/>
          <w:szCs w:val="24"/>
        </w:rPr>
        <w:t>, 1999), where firms with M-score &gt; -2.22 are classified as potential manipulators. Based on Fraud Triangle Theory (Cressey, 1953), it measures by Pressure, Opportunity and Rationalization. Pressure includes revenue growth, operating cash flow (Dechow et al., 2011; Persons, 1995). Opportunity</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includes Big 4 audit dummy, state ownership (Beasley, 1996; Firth, Fung, &amp; Rui, 2007). Rationalization</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includes ROA, auditor change (Lennox, 2000; Skousen, Smith, &amp; Wright, 2009).</w:t>
      </w:r>
    </w:p>
    <w:p w14:paraId="423F5630"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study adopts an alternative methodological approach which Principal Component Analysis (PCA) was applied to construct composite scores for the three fraud triangle </w:t>
      </w:r>
      <w:r>
        <w:rPr>
          <w:rFonts w:ascii="Times New Roman" w:eastAsia="Times New Roman" w:hAnsi="Times New Roman" w:cs="Times New Roman"/>
          <w:sz w:val="24"/>
          <w:szCs w:val="24"/>
        </w:rPr>
        <w:lastRenderedPageBreak/>
        <w:t>dimensions. Logistic regression models (robust and fixed effects) were then used to test hypotheses.</w:t>
      </w:r>
      <w:r>
        <w:rPr>
          <w:rFonts w:ascii="Times New Roman" w:eastAsia="Times New Roman" w:hAnsi="Times New Roman" w:cs="Times New Roman"/>
        </w:rPr>
        <w:t xml:space="preserve"> </w:t>
      </w:r>
      <w:r>
        <w:rPr>
          <w:rFonts w:ascii="Times New Roman" w:eastAsia="Times New Roman" w:hAnsi="Times New Roman" w:cs="Times New Roman"/>
          <w:sz w:val="24"/>
          <w:szCs w:val="24"/>
        </w:rPr>
        <w:t xml:space="preserve">Within this framework, fraudulent financial reporting was </w:t>
      </w:r>
      <w:proofErr w:type="spellStart"/>
      <w:r>
        <w:rPr>
          <w:rFonts w:ascii="Times New Roman" w:eastAsia="Times New Roman" w:hAnsi="Times New Roman" w:cs="Times New Roman"/>
          <w:sz w:val="24"/>
          <w:szCs w:val="24"/>
        </w:rPr>
        <w:t>analyzed</w:t>
      </w:r>
      <w:proofErr w:type="spellEnd"/>
      <w:r>
        <w:rPr>
          <w:rFonts w:ascii="Times New Roman" w:eastAsia="Times New Roman" w:hAnsi="Times New Roman" w:cs="Times New Roman"/>
          <w:sz w:val="24"/>
          <w:szCs w:val="24"/>
        </w:rPr>
        <w:t xml:space="preserve"> under the theoretical lens of the Fraud Triangle, and the overall research equation was specified based on the hypotheses and variable measurements developed in the study.</w:t>
      </w:r>
    </w:p>
    <w:p w14:paraId="76F89DAB" w14:textId="77777777" w:rsidR="002148A8" w:rsidRDefault="002148A8">
      <w:pPr>
        <w:spacing w:after="0" w:line="240" w:lineRule="auto"/>
        <w:ind w:firstLine="426"/>
        <w:jc w:val="both"/>
        <w:rPr>
          <w:rFonts w:ascii="Times New Roman" w:eastAsia="Times New Roman" w:hAnsi="Times New Roman" w:cs="Times New Roman"/>
          <w:sz w:val="24"/>
          <w:szCs w:val="24"/>
        </w:rPr>
      </w:pPr>
    </w:p>
    <w:p w14:paraId="12DA3A85" w14:textId="77777777" w:rsidR="007373F6" w:rsidRDefault="00000000" w:rsidP="002148A8">
      <w:pPr>
        <w:spacing w:after="0" w:line="24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Ln(Fraud/ (1 – Fraud) = β₀ + β₁ ROA + β₂ GROWTH + β₃ AUDITCHANGE + β₄ OS + β₅ BIG4+ β₆ CFO + β₇ CFO*BIG4 + e</w:t>
      </w:r>
    </w:p>
    <w:p w14:paraId="5903B3F1" w14:textId="77777777" w:rsidR="007373F6" w:rsidRDefault="00000000" w:rsidP="002148A8">
      <w:pPr>
        <w:spacing w:after="0" w:line="24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Ln(Fraud/ (1 – Fraud) = β₀ + β₁ Pressure + β₂ Opportunity + β₃ Rationalization + e</w:t>
      </w:r>
    </w:p>
    <w:p w14:paraId="7E1B0428" w14:textId="77777777" w:rsidR="007373F6" w:rsidRDefault="00000000" w:rsidP="002148A8">
      <w:pPr>
        <w:spacing w:after="0" w:line="240" w:lineRule="auto"/>
        <w:jc w:val="both"/>
        <w:rPr>
          <w:rFonts w:ascii="Times New Roman" w:eastAsia="Times New Roman" w:hAnsi="Times New Roman" w:cs="Times New Roman"/>
          <w:color w:val="28333D"/>
          <w:sz w:val="24"/>
          <w:szCs w:val="24"/>
          <w:highlight w:val="white"/>
        </w:rPr>
      </w:pPr>
      <w:r>
        <w:rPr>
          <w:rFonts w:ascii="Times New Roman" w:eastAsia="Times New Roman" w:hAnsi="Times New Roman" w:cs="Times New Roman"/>
          <w:sz w:val="24"/>
          <w:szCs w:val="24"/>
          <w:highlight w:val="white"/>
        </w:rPr>
        <w:t>Ln(Fraud/ (1 – Fraud) = β₀ + β₁Triangle + e</w:t>
      </w:r>
    </w:p>
    <w:p w14:paraId="4B4B6EEB" w14:textId="77777777" w:rsidR="002148A8" w:rsidRDefault="002148A8">
      <w:pPr>
        <w:spacing w:after="0" w:line="240" w:lineRule="auto"/>
        <w:ind w:firstLine="360"/>
        <w:jc w:val="both"/>
        <w:rPr>
          <w:rFonts w:ascii="Times New Roman" w:eastAsia="Times New Roman" w:hAnsi="Times New Roman" w:cs="Times New Roman"/>
          <w:sz w:val="24"/>
          <w:szCs w:val="24"/>
        </w:rPr>
      </w:pPr>
    </w:p>
    <w:p w14:paraId="6D7B6A0A" w14:textId="3AC5A4AE" w:rsidR="007373F6" w:rsidRDefault="00000000">
      <w:pPr>
        <w:spacing w:after="0" w:line="24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empirical analysis provides strong evidence on the determinants of financial statement fraud (FSF) in Vietnam. All results for testing the hypotheses are summarized in table below.</w:t>
      </w:r>
    </w:p>
    <w:p w14:paraId="329FF70C" w14:textId="77777777" w:rsidR="007373F6" w:rsidRDefault="007373F6">
      <w:pPr>
        <w:spacing w:after="0" w:line="240" w:lineRule="auto"/>
        <w:ind w:left="360" w:firstLine="425"/>
        <w:jc w:val="both"/>
        <w:rPr>
          <w:rFonts w:ascii="Times New Roman" w:eastAsia="Times New Roman" w:hAnsi="Times New Roman" w:cs="Times New Roman"/>
          <w:sz w:val="24"/>
          <w:szCs w:val="24"/>
          <w:highlight w:val="white"/>
        </w:rPr>
      </w:pPr>
    </w:p>
    <w:p w14:paraId="3DD5531D" w14:textId="270C17C9" w:rsidR="007373F6" w:rsidRDefault="00000000" w:rsidP="002148A8">
      <w:pPr>
        <w:spacing w:before="240" w:after="0" w:line="240" w:lineRule="auto"/>
        <w:ind w:left="360" w:firstLine="425"/>
        <w:jc w:val="center"/>
        <w:rPr>
          <w:rFonts w:ascii="Times New Roman" w:eastAsia="Times New Roman" w:hAnsi="Times New Roman" w:cs="Times New Roman"/>
          <w:sz w:val="24"/>
          <w:szCs w:val="24"/>
          <w:highlight w:val="white"/>
        </w:rPr>
      </w:pPr>
      <w:r w:rsidRPr="002148A8">
        <w:rPr>
          <w:rFonts w:ascii="Times New Roman" w:eastAsia="Times New Roman" w:hAnsi="Times New Roman" w:cs="Times New Roman"/>
          <w:b/>
          <w:bCs/>
          <w:sz w:val="24"/>
          <w:szCs w:val="24"/>
          <w:highlight w:val="white"/>
        </w:rPr>
        <w:t>Table 1</w:t>
      </w:r>
      <w:r w:rsidR="002148A8">
        <w:rPr>
          <w:rFonts w:ascii="Times New Roman" w:eastAsia="Times New Roman" w:hAnsi="Times New Roman" w:cs="Times New Roman"/>
          <w:b/>
          <w:bCs/>
          <w:sz w:val="24"/>
          <w:szCs w:val="24"/>
          <w:highlight w:val="white"/>
        </w:rPr>
        <w:t>.</w:t>
      </w:r>
      <w:r>
        <w:rPr>
          <w:rFonts w:ascii="Times New Roman" w:eastAsia="Times New Roman" w:hAnsi="Times New Roman" w:cs="Times New Roman"/>
          <w:sz w:val="24"/>
          <w:szCs w:val="24"/>
          <w:highlight w:val="white"/>
        </w:rPr>
        <w:t xml:space="preserve"> The impact direction of factors</w:t>
      </w:r>
    </w:p>
    <w:tbl>
      <w:tblPr>
        <w:tblStyle w:val="afffff0"/>
        <w:tblW w:w="5000" w:type="pct"/>
        <w:tblBorders>
          <w:insideH w:val="nil"/>
          <w:insideV w:val="nil"/>
        </w:tblBorders>
        <w:tblLook w:val="0600" w:firstRow="0" w:lastRow="0" w:firstColumn="0" w:lastColumn="0" w:noHBand="1" w:noVBand="1"/>
      </w:tblPr>
      <w:tblGrid>
        <w:gridCol w:w="887"/>
        <w:gridCol w:w="2355"/>
        <w:gridCol w:w="1486"/>
        <w:gridCol w:w="1747"/>
        <w:gridCol w:w="1298"/>
        <w:gridCol w:w="1253"/>
      </w:tblGrid>
      <w:tr w:rsidR="007373F6" w:rsidRPr="002148A8" w14:paraId="6EC22B81" w14:textId="77777777" w:rsidTr="002148A8">
        <w:trPr>
          <w:trHeight w:val="315"/>
        </w:trPr>
        <w:tc>
          <w:tcPr>
            <w:tcW w:w="491" w:type="pct"/>
            <w:tcBorders>
              <w:top w:val="single" w:sz="8" w:space="0" w:color="000000"/>
              <w:left w:val="nil"/>
              <w:bottom w:val="single" w:sz="8" w:space="0" w:color="000000"/>
              <w:right w:val="nil"/>
            </w:tcBorders>
            <w:tcMar>
              <w:top w:w="0" w:type="dxa"/>
              <w:left w:w="100" w:type="dxa"/>
              <w:bottom w:w="0" w:type="dxa"/>
              <w:right w:w="100" w:type="dxa"/>
            </w:tcMar>
          </w:tcPr>
          <w:p w14:paraId="3BE24B83" w14:textId="18387A6D" w:rsidR="007373F6" w:rsidRPr="002148A8" w:rsidRDefault="00000000">
            <w:pPr>
              <w:spacing w:after="0" w:line="240" w:lineRule="auto"/>
              <w:ind w:left="-99" w:firstLine="8"/>
              <w:jc w:val="both"/>
              <w:rPr>
                <w:rFonts w:asciiTheme="majorBidi" w:eastAsia="Times New Roman" w:hAnsiTheme="majorBidi" w:cstheme="majorBidi"/>
                <w:b/>
                <w:sz w:val="24"/>
                <w:szCs w:val="24"/>
                <w:highlight w:val="white"/>
              </w:rPr>
            </w:pPr>
            <w:r w:rsidRPr="002148A8">
              <w:rPr>
                <w:rFonts w:asciiTheme="majorBidi" w:eastAsia="Times New Roman" w:hAnsiTheme="majorBidi" w:cstheme="majorBidi"/>
                <w:b/>
                <w:sz w:val="24"/>
                <w:szCs w:val="24"/>
                <w:highlight w:val="white"/>
              </w:rPr>
              <w:t>No.</w:t>
            </w:r>
          </w:p>
        </w:tc>
        <w:tc>
          <w:tcPr>
            <w:tcW w:w="1304" w:type="pct"/>
            <w:tcBorders>
              <w:top w:val="single" w:sz="8" w:space="0" w:color="000000"/>
              <w:left w:val="nil"/>
              <w:bottom w:val="single" w:sz="8" w:space="0" w:color="000000"/>
              <w:right w:val="nil"/>
            </w:tcBorders>
            <w:tcMar>
              <w:top w:w="0" w:type="dxa"/>
              <w:left w:w="100" w:type="dxa"/>
              <w:bottom w:w="0" w:type="dxa"/>
              <w:right w:w="100" w:type="dxa"/>
            </w:tcMar>
          </w:tcPr>
          <w:p w14:paraId="7377C178" w14:textId="77777777" w:rsidR="007373F6" w:rsidRPr="002148A8" w:rsidRDefault="00000000">
            <w:pPr>
              <w:spacing w:after="0" w:line="240" w:lineRule="auto"/>
              <w:jc w:val="both"/>
              <w:rPr>
                <w:rFonts w:asciiTheme="majorBidi" w:eastAsia="Times New Roman" w:hAnsiTheme="majorBidi" w:cstheme="majorBidi"/>
                <w:b/>
                <w:sz w:val="24"/>
                <w:szCs w:val="24"/>
                <w:highlight w:val="white"/>
              </w:rPr>
            </w:pPr>
            <w:r w:rsidRPr="002148A8">
              <w:rPr>
                <w:rFonts w:asciiTheme="majorBidi" w:eastAsia="Times New Roman" w:hAnsiTheme="majorBidi" w:cstheme="majorBidi"/>
                <w:b/>
                <w:sz w:val="24"/>
                <w:szCs w:val="24"/>
                <w:highlight w:val="white"/>
              </w:rPr>
              <w:t>Variables</w:t>
            </w:r>
          </w:p>
        </w:tc>
        <w:tc>
          <w:tcPr>
            <w:tcW w:w="823" w:type="pct"/>
            <w:tcBorders>
              <w:top w:val="single" w:sz="8" w:space="0" w:color="000000"/>
              <w:left w:val="nil"/>
              <w:bottom w:val="single" w:sz="8" w:space="0" w:color="000000"/>
              <w:right w:val="nil"/>
            </w:tcBorders>
            <w:tcMar>
              <w:top w:w="0" w:type="dxa"/>
              <w:left w:w="100" w:type="dxa"/>
              <w:bottom w:w="0" w:type="dxa"/>
              <w:right w:w="100" w:type="dxa"/>
            </w:tcMar>
          </w:tcPr>
          <w:p w14:paraId="5446137A" w14:textId="77777777" w:rsidR="007373F6" w:rsidRPr="002148A8" w:rsidRDefault="00000000">
            <w:pPr>
              <w:tabs>
                <w:tab w:val="left" w:pos="1025"/>
              </w:tabs>
              <w:spacing w:after="0" w:line="240" w:lineRule="auto"/>
              <w:jc w:val="both"/>
              <w:rPr>
                <w:rFonts w:asciiTheme="majorBidi" w:eastAsia="Times New Roman" w:hAnsiTheme="majorBidi" w:cstheme="majorBidi"/>
                <w:b/>
                <w:sz w:val="24"/>
                <w:szCs w:val="24"/>
                <w:highlight w:val="white"/>
              </w:rPr>
            </w:pPr>
            <w:r w:rsidRPr="002148A8">
              <w:rPr>
                <w:rFonts w:asciiTheme="majorBidi" w:eastAsia="Times New Roman" w:hAnsiTheme="majorBidi" w:cstheme="majorBidi"/>
                <w:b/>
                <w:sz w:val="24"/>
                <w:szCs w:val="24"/>
                <w:highlight w:val="white"/>
              </w:rPr>
              <w:t>Expected</w:t>
            </w:r>
          </w:p>
        </w:tc>
        <w:tc>
          <w:tcPr>
            <w:tcW w:w="968" w:type="pct"/>
            <w:tcBorders>
              <w:top w:val="single" w:sz="8" w:space="0" w:color="000000"/>
              <w:left w:val="nil"/>
              <w:bottom w:val="single" w:sz="8" w:space="0" w:color="000000"/>
              <w:right w:val="nil"/>
            </w:tcBorders>
            <w:tcMar>
              <w:top w:w="0" w:type="dxa"/>
              <w:left w:w="100" w:type="dxa"/>
              <w:bottom w:w="0" w:type="dxa"/>
              <w:right w:w="100" w:type="dxa"/>
            </w:tcMar>
          </w:tcPr>
          <w:p w14:paraId="1F6604F7" w14:textId="77777777" w:rsidR="007373F6" w:rsidRPr="002148A8" w:rsidRDefault="00000000">
            <w:pPr>
              <w:spacing w:after="0" w:line="240" w:lineRule="auto"/>
              <w:jc w:val="both"/>
              <w:rPr>
                <w:rFonts w:asciiTheme="majorBidi" w:eastAsia="Times New Roman" w:hAnsiTheme="majorBidi" w:cstheme="majorBidi"/>
                <w:b/>
                <w:sz w:val="24"/>
                <w:szCs w:val="24"/>
                <w:highlight w:val="white"/>
              </w:rPr>
            </w:pPr>
            <w:r w:rsidRPr="002148A8">
              <w:rPr>
                <w:rFonts w:asciiTheme="majorBidi" w:eastAsia="Times New Roman" w:hAnsiTheme="majorBidi" w:cstheme="majorBidi"/>
                <w:b/>
                <w:sz w:val="24"/>
                <w:szCs w:val="24"/>
                <w:highlight w:val="white"/>
              </w:rPr>
              <w:t>Results</w:t>
            </w:r>
          </w:p>
          <w:p w14:paraId="27D942CF" w14:textId="77777777" w:rsidR="007373F6" w:rsidRPr="002148A8" w:rsidRDefault="00000000">
            <w:pPr>
              <w:spacing w:after="0" w:line="240" w:lineRule="auto"/>
              <w:jc w:val="both"/>
              <w:rPr>
                <w:rFonts w:asciiTheme="majorBidi" w:eastAsia="Times New Roman" w:hAnsiTheme="majorBidi" w:cstheme="majorBidi"/>
                <w:b/>
                <w:sz w:val="24"/>
                <w:szCs w:val="24"/>
                <w:highlight w:val="white"/>
              </w:rPr>
            </w:pPr>
            <w:r w:rsidRPr="002148A8">
              <w:rPr>
                <w:rFonts w:asciiTheme="majorBidi" w:eastAsia="Times New Roman" w:hAnsiTheme="majorBidi" w:cstheme="majorBidi"/>
                <w:b/>
                <w:sz w:val="24"/>
                <w:szCs w:val="24"/>
                <w:highlight w:val="white"/>
              </w:rPr>
              <w:t>Model 1 (Original)</w:t>
            </w:r>
          </w:p>
        </w:tc>
        <w:tc>
          <w:tcPr>
            <w:tcW w:w="719" w:type="pct"/>
            <w:tcBorders>
              <w:top w:val="single" w:sz="8" w:space="0" w:color="000000"/>
              <w:left w:val="nil"/>
              <w:bottom w:val="single" w:sz="8" w:space="0" w:color="000000"/>
              <w:right w:val="nil"/>
            </w:tcBorders>
          </w:tcPr>
          <w:p w14:paraId="54E4D930" w14:textId="77777777" w:rsidR="007373F6" w:rsidRPr="002148A8" w:rsidRDefault="00000000">
            <w:pPr>
              <w:spacing w:after="0" w:line="240" w:lineRule="auto"/>
              <w:jc w:val="both"/>
              <w:rPr>
                <w:rFonts w:asciiTheme="majorBidi" w:eastAsia="Times New Roman" w:hAnsiTheme="majorBidi" w:cstheme="majorBidi"/>
                <w:b/>
                <w:sz w:val="24"/>
                <w:szCs w:val="24"/>
                <w:highlight w:val="white"/>
              </w:rPr>
            </w:pPr>
            <w:r w:rsidRPr="002148A8">
              <w:rPr>
                <w:rFonts w:asciiTheme="majorBidi" w:eastAsia="Times New Roman" w:hAnsiTheme="majorBidi" w:cstheme="majorBidi"/>
                <w:b/>
                <w:sz w:val="24"/>
                <w:szCs w:val="24"/>
                <w:highlight w:val="white"/>
              </w:rPr>
              <w:t>Model 2 (Triangle Factors)</w:t>
            </w:r>
          </w:p>
        </w:tc>
        <w:tc>
          <w:tcPr>
            <w:tcW w:w="694" w:type="pct"/>
            <w:tcBorders>
              <w:top w:val="single" w:sz="8" w:space="0" w:color="000000"/>
              <w:left w:val="nil"/>
              <w:bottom w:val="single" w:sz="8" w:space="0" w:color="000000"/>
              <w:right w:val="nil"/>
            </w:tcBorders>
          </w:tcPr>
          <w:p w14:paraId="6A6CE60B" w14:textId="77777777" w:rsidR="007373F6" w:rsidRPr="002148A8" w:rsidRDefault="00000000">
            <w:pPr>
              <w:spacing w:after="0" w:line="240" w:lineRule="auto"/>
              <w:jc w:val="both"/>
              <w:rPr>
                <w:rFonts w:asciiTheme="majorBidi" w:eastAsia="Times New Roman" w:hAnsiTheme="majorBidi" w:cstheme="majorBidi"/>
                <w:b/>
                <w:sz w:val="24"/>
                <w:szCs w:val="24"/>
                <w:highlight w:val="white"/>
              </w:rPr>
            </w:pPr>
            <w:r w:rsidRPr="002148A8">
              <w:rPr>
                <w:rFonts w:asciiTheme="majorBidi" w:eastAsia="Times New Roman" w:hAnsiTheme="majorBidi" w:cstheme="majorBidi"/>
                <w:b/>
                <w:sz w:val="24"/>
                <w:szCs w:val="24"/>
                <w:highlight w:val="white"/>
              </w:rPr>
              <w:t>Model 3 (Triangle Score)</w:t>
            </w:r>
          </w:p>
        </w:tc>
      </w:tr>
      <w:tr w:rsidR="007373F6" w:rsidRPr="002148A8" w14:paraId="302C5D53" w14:textId="77777777" w:rsidTr="002148A8">
        <w:trPr>
          <w:trHeight w:val="270"/>
        </w:trPr>
        <w:tc>
          <w:tcPr>
            <w:tcW w:w="491" w:type="pct"/>
            <w:tcBorders>
              <w:top w:val="nil"/>
              <w:left w:val="nil"/>
              <w:bottom w:val="nil"/>
              <w:right w:val="nil"/>
            </w:tcBorders>
            <w:tcMar>
              <w:top w:w="0" w:type="dxa"/>
              <w:left w:w="100" w:type="dxa"/>
              <w:bottom w:w="0" w:type="dxa"/>
              <w:right w:w="100" w:type="dxa"/>
            </w:tcMar>
          </w:tcPr>
          <w:p w14:paraId="2A0BE934" w14:textId="77777777" w:rsidR="007373F6" w:rsidRPr="002148A8" w:rsidRDefault="00000000">
            <w:pPr>
              <w:spacing w:after="0" w:line="240" w:lineRule="auto"/>
              <w:ind w:left="-99" w:firstLine="8"/>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1</w:t>
            </w:r>
          </w:p>
        </w:tc>
        <w:tc>
          <w:tcPr>
            <w:tcW w:w="1304" w:type="pct"/>
            <w:tcBorders>
              <w:top w:val="nil"/>
              <w:left w:val="nil"/>
              <w:bottom w:val="nil"/>
              <w:right w:val="nil"/>
            </w:tcBorders>
            <w:tcMar>
              <w:top w:w="0" w:type="dxa"/>
              <w:left w:w="100" w:type="dxa"/>
              <w:bottom w:w="0" w:type="dxa"/>
              <w:right w:w="100" w:type="dxa"/>
            </w:tcMar>
          </w:tcPr>
          <w:p w14:paraId="25FE34C0" w14:textId="77777777" w:rsidR="007373F6" w:rsidRPr="002148A8" w:rsidRDefault="00000000">
            <w:pPr>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GROWTH</w:t>
            </w:r>
          </w:p>
        </w:tc>
        <w:tc>
          <w:tcPr>
            <w:tcW w:w="823" w:type="pct"/>
            <w:tcBorders>
              <w:top w:val="nil"/>
              <w:left w:val="nil"/>
              <w:bottom w:val="nil"/>
              <w:right w:val="nil"/>
            </w:tcBorders>
            <w:tcMar>
              <w:top w:w="0" w:type="dxa"/>
              <w:left w:w="100" w:type="dxa"/>
              <w:bottom w:w="0" w:type="dxa"/>
              <w:right w:w="100" w:type="dxa"/>
            </w:tcMar>
          </w:tcPr>
          <w:p w14:paraId="243A80D2" w14:textId="77777777" w:rsidR="007373F6" w:rsidRPr="002148A8" w:rsidRDefault="00000000">
            <w:pPr>
              <w:tabs>
                <w:tab w:val="left" w:pos="1025"/>
              </w:tabs>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w:t>
            </w:r>
          </w:p>
        </w:tc>
        <w:tc>
          <w:tcPr>
            <w:tcW w:w="968" w:type="pct"/>
            <w:tcBorders>
              <w:top w:val="nil"/>
              <w:left w:val="nil"/>
              <w:bottom w:val="nil"/>
              <w:right w:val="nil"/>
            </w:tcBorders>
            <w:tcMar>
              <w:top w:w="0" w:type="dxa"/>
              <w:left w:w="100" w:type="dxa"/>
              <w:bottom w:w="0" w:type="dxa"/>
              <w:right w:w="100" w:type="dxa"/>
            </w:tcMar>
          </w:tcPr>
          <w:p w14:paraId="736CAE4F" w14:textId="77777777" w:rsidR="007373F6" w:rsidRPr="002148A8" w:rsidRDefault="00000000">
            <w:pPr>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w:t>
            </w:r>
          </w:p>
        </w:tc>
        <w:tc>
          <w:tcPr>
            <w:tcW w:w="719" w:type="pct"/>
            <w:tcBorders>
              <w:top w:val="nil"/>
              <w:left w:val="nil"/>
              <w:bottom w:val="nil"/>
              <w:right w:val="nil"/>
            </w:tcBorders>
          </w:tcPr>
          <w:p w14:paraId="2B680B7B" w14:textId="77777777" w:rsidR="007373F6" w:rsidRPr="002148A8" w:rsidRDefault="007373F6">
            <w:pPr>
              <w:spacing w:after="0" w:line="240" w:lineRule="auto"/>
              <w:jc w:val="both"/>
              <w:rPr>
                <w:rFonts w:asciiTheme="majorBidi" w:eastAsia="Times New Roman" w:hAnsiTheme="majorBidi" w:cstheme="majorBidi"/>
                <w:sz w:val="24"/>
                <w:szCs w:val="24"/>
                <w:highlight w:val="white"/>
              </w:rPr>
            </w:pPr>
          </w:p>
        </w:tc>
        <w:tc>
          <w:tcPr>
            <w:tcW w:w="694" w:type="pct"/>
            <w:tcBorders>
              <w:top w:val="nil"/>
              <w:left w:val="nil"/>
              <w:bottom w:val="nil"/>
              <w:right w:val="nil"/>
            </w:tcBorders>
          </w:tcPr>
          <w:p w14:paraId="518D2E0C" w14:textId="77777777" w:rsidR="007373F6" w:rsidRPr="002148A8" w:rsidRDefault="007373F6">
            <w:pPr>
              <w:spacing w:after="0" w:line="240" w:lineRule="auto"/>
              <w:jc w:val="both"/>
              <w:rPr>
                <w:rFonts w:asciiTheme="majorBidi" w:eastAsia="Times New Roman" w:hAnsiTheme="majorBidi" w:cstheme="majorBidi"/>
                <w:sz w:val="24"/>
                <w:szCs w:val="24"/>
                <w:highlight w:val="white"/>
              </w:rPr>
            </w:pPr>
          </w:p>
        </w:tc>
      </w:tr>
      <w:tr w:rsidR="007373F6" w:rsidRPr="002148A8" w14:paraId="2BE514BC" w14:textId="77777777" w:rsidTr="002148A8">
        <w:trPr>
          <w:trHeight w:val="345"/>
        </w:trPr>
        <w:tc>
          <w:tcPr>
            <w:tcW w:w="491" w:type="pct"/>
            <w:tcBorders>
              <w:top w:val="nil"/>
              <w:left w:val="nil"/>
              <w:bottom w:val="nil"/>
              <w:right w:val="nil"/>
            </w:tcBorders>
            <w:tcMar>
              <w:top w:w="0" w:type="dxa"/>
              <w:left w:w="100" w:type="dxa"/>
              <w:bottom w:w="0" w:type="dxa"/>
              <w:right w:w="100" w:type="dxa"/>
            </w:tcMar>
          </w:tcPr>
          <w:p w14:paraId="31050043" w14:textId="77777777" w:rsidR="007373F6" w:rsidRPr="002148A8" w:rsidRDefault="00000000">
            <w:pPr>
              <w:spacing w:after="0" w:line="240" w:lineRule="auto"/>
              <w:ind w:left="-99" w:firstLine="8"/>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2</w:t>
            </w:r>
          </w:p>
        </w:tc>
        <w:tc>
          <w:tcPr>
            <w:tcW w:w="1304" w:type="pct"/>
            <w:tcBorders>
              <w:top w:val="nil"/>
              <w:left w:val="nil"/>
              <w:bottom w:val="nil"/>
              <w:right w:val="nil"/>
            </w:tcBorders>
            <w:tcMar>
              <w:top w:w="0" w:type="dxa"/>
              <w:left w:w="100" w:type="dxa"/>
              <w:bottom w:w="0" w:type="dxa"/>
              <w:right w:w="100" w:type="dxa"/>
            </w:tcMar>
          </w:tcPr>
          <w:p w14:paraId="27E7CC47" w14:textId="77777777" w:rsidR="007373F6" w:rsidRPr="002148A8" w:rsidRDefault="00000000">
            <w:pPr>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ROA</w:t>
            </w:r>
          </w:p>
        </w:tc>
        <w:tc>
          <w:tcPr>
            <w:tcW w:w="823" w:type="pct"/>
            <w:tcBorders>
              <w:top w:val="nil"/>
              <w:left w:val="nil"/>
              <w:bottom w:val="nil"/>
              <w:right w:val="nil"/>
            </w:tcBorders>
            <w:tcMar>
              <w:top w:w="0" w:type="dxa"/>
              <w:left w:w="100" w:type="dxa"/>
              <w:bottom w:w="0" w:type="dxa"/>
              <w:right w:w="100" w:type="dxa"/>
            </w:tcMar>
          </w:tcPr>
          <w:p w14:paraId="029493A4" w14:textId="77777777" w:rsidR="007373F6" w:rsidRPr="002148A8" w:rsidRDefault="00000000">
            <w:pPr>
              <w:tabs>
                <w:tab w:val="left" w:pos="1025"/>
              </w:tabs>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w:t>
            </w:r>
          </w:p>
        </w:tc>
        <w:tc>
          <w:tcPr>
            <w:tcW w:w="968" w:type="pct"/>
            <w:tcBorders>
              <w:top w:val="nil"/>
              <w:left w:val="nil"/>
              <w:bottom w:val="nil"/>
              <w:right w:val="nil"/>
            </w:tcBorders>
            <w:tcMar>
              <w:top w:w="0" w:type="dxa"/>
              <w:left w:w="100" w:type="dxa"/>
              <w:bottom w:w="0" w:type="dxa"/>
              <w:right w:w="100" w:type="dxa"/>
            </w:tcMar>
          </w:tcPr>
          <w:p w14:paraId="18F0B7DF" w14:textId="77777777" w:rsidR="007373F6" w:rsidRPr="002148A8" w:rsidRDefault="00000000">
            <w:pPr>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w:t>
            </w:r>
          </w:p>
        </w:tc>
        <w:tc>
          <w:tcPr>
            <w:tcW w:w="719" w:type="pct"/>
            <w:tcBorders>
              <w:top w:val="nil"/>
              <w:left w:val="nil"/>
              <w:bottom w:val="nil"/>
              <w:right w:val="nil"/>
            </w:tcBorders>
          </w:tcPr>
          <w:p w14:paraId="65CAAFD1" w14:textId="77777777" w:rsidR="007373F6" w:rsidRPr="002148A8" w:rsidRDefault="007373F6">
            <w:pPr>
              <w:spacing w:after="0" w:line="240" w:lineRule="auto"/>
              <w:jc w:val="both"/>
              <w:rPr>
                <w:rFonts w:asciiTheme="majorBidi" w:eastAsia="Times New Roman" w:hAnsiTheme="majorBidi" w:cstheme="majorBidi"/>
                <w:sz w:val="24"/>
                <w:szCs w:val="24"/>
                <w:highlight w:val="white"/>
              </w:rPr>
            </w:pPr>
          </w:p>
        </w:tc>
        <w:tc>
          <w:tcPr>
            <w:tcW w:w="694" w:type="pct"/>
            <w:tcBorders>
              <w:top w:val="nil"/>
              <w:left w:val="nil"/>
              <w:bottom w:val="nil"/>
              <w:right w:val="nil"/>
            </w:tcBorders>
          </w:tcPr>
          <w:p w14:paraId="2BC7D28C" w14:textId="77777777" w:rsidR="007373F6" w:rsidRPr="002148A8" w:rsidRDefault="007373F6">
            <w:pPr>
              <w:spacing w:after="0" w:line="240" w:lineRule="auto"/>
              <w:jc w:val="both"/>
              <w:rPr>
                <w:rFonts w:asciiTheme="majorBidi" w:eastAsia="Times New Roman" w:hAnsiTheme="majorBidi" w:cstheme="majorBidi"/>
                <w:sz w:val="24"/>
                <w:szCs w:val="24"/>
                <w:highlight w:val="white"/>
              </w:rPr>
            </w:pPr>
          </w:p>
        </w:tc>
      </w:tr>
      <w:tr w:rsidR="007373F6" w:rsidRPr="002148A8" w14:paraId="2D901851" w14:textId="77777777" w:rsidTr="002148A8">
        <w:trPr>
          <w:trHeight w:val="345"/>
        </w:trPr>
        <w:tc>
          <w:tcPr>
            <w:tcW w:w="491" w:type="pct"/>
            <w:tcBorders>
              <w:top w:val="nil"/>
              <w:left w:val="nil"/>
              <w:bottom w:val="nil"/>
              <w:right w:val="nil"/>
            </w:tcBorders>
            <w:tcMar>
              <w:top w:w="0" w:type="dxa"/>
              <w:left w:w="100" w:type="dxa"/>
              <w:bottom w:w="0" w:type="dxa"/>
              <w:right w:w="100" w:type="dxa"/>
            </w:tcMar>
          </w:tcPr>
          <w:p w14:paraId="0E593BE7" w14:textId="77777777" w:rsidR="007373F6" w:rsidRPr="002148A8" w:rsidRDefault="00000000">
            <w:pPr>
              <w:spacing w:after="0" w:line="240" w:lineRule="auto"/>
              <w:ind w:left="-99" w:firstLine="8"/>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3</w:t>
            </w:r>
          </w:p>
        </w:tc>
        <w:tc>
          <w:tcPr>
            <w:tcW w:w="1304" w:type="pct"/>
            <w:tcBorders>
              <w:top w:val="nil"/>
              <w:left w:val="nil"/>
              <w:bottom w:val="nil"/>
              <w:right w:val="nil"/>
            </w:tcBorders>
            <w:tcMar>
              <w:top w:w="0" w:type="dxa"/>
              <w:left w:w="100" w:type="dxa"/>
              <w:bottom w:w="0" w:type="dxa"/>
              <w:right w:w="100" w:type="dxa"/>
            </w:tcMar>
          </w:tcPr>
          <w:p w14:paraId="105BCAF6" w14:textId="77777777" w:rsidR="007373F6" w:rsidRPr="002148A8" w:rsidRDefault="00000000">
            <w:pPr>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CFO</w:t>
            </w:r>
          </w:p>
        </w:tc>
        <w:tc>
          <w:tcPr>
            <w:tcW w:w="823" w:type="pct"/>
            <w:tcBorders>
              <w:top w:val="nil"/>
              <w:left w:val="nil"/>
              <w:bottom w:val="nil"/>
              <w:right w:val="nil"/>
            </w:tcBorders>
            <w:tcMar>
              <w:top w:w="0" w:type="dxa"/>
              <w:left w:w="100" w:type="dxa"/>
              <w:bottom w:w="0" w:type="dxa"/>
              <w:right w:w="100" w:type="dxa"/>
            </w:tcMar>
          </w:tcPr>
          <w:p w14:paraId="2C860221" w14:textId="77777777" w:rsidR="007373F6" w:rsidRPr="002148A8" w:rsidRDefault="00000000">
            <w:pPr>
              <w:tabs>
                <w:tab w:val="left" w:pos="1025"/>
              </w:tabs>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w:t>
            </w:r>
          </w:p>
        </w:tc>
        <w:tc>
          <w:tcPr>
            <w:tcW w:w="968" w:type="pct"/>
            <w:tcBorders>
              <w:top w:val="nil"/>
              <w:left w:val="nil"/>
              <w:bottom w:val="nil"/>
              <w:right w:val="nil"/>
            </w:tcBorders>
            <w:tcMar>
              <w:top w:w="0" w:type="dxa"/>
              <w:left w:w="100" w:type="dxa"/>
              <w:bottom w:w="0" w:type="dxa"/>
              <w:right w:w="100" w:type="dxa"/>
            </w:tcMar>
          </w:tcPr>
          <w:p w14:paraId="2C0C7FC2" w14:textId="77777777" w:rsidR="007373F6" w:rsidRPr="002148A8" w:rsidRDefault="00000000">
            <w:pPr>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w:t>
            </w:r>
          </w:p>
        </w:tc>
        <w:tc>
          <w:tcPr>
            <w:tcW w:w="719" w:type="pct"/>
            <w:tcBorders>
              <w:top w:val="nil"/>
              <w:left w:val="nil"/>
              <w:bottom w:val="nil"/>
              <w:right w:val="nil"/>
            </w:tcBorders>
          </w:tcPr>
          <w:p w14:paraId="768E1229" w14:textId="77777777" w:rsidR="007373F6" w:rsidRPr="002148A8" w:rsidRDefault="007373F6">
            <w:pPr>
              <w:spacing w:after="0" w:line="240" w:lineRule="auto"/>
              <w:jc w:val="both"/>
              <w:rPr>
                <w:rFonts w:asciiTheme="majorBidi" w:eastAsia="Times New Roman" w:hAnsiTheme="majorBidi" w:cstheme="majorBidi"/>
                <w:sz w:val="24"/>
                <w:szCs w:val="24"/>
                <w:highlight w:val="white"/>
              </w:rPr>
            </w:pPr>
          </w:p>
        </w:tc>
        <w:tc>
          <w:tcPr>
            <w:tcW w:w="694" w:type="pct"/>
            <w:tcBorders>
              <w:top w:val="nil"/>
              <w:left w:val="nil"/>
              <w:bottom w:val="nil"/>
              <w:right w:val="nil"/>
            </w:tcBorders>
          </w:tcPr>
          <w:p w14:paraId="435BA32F" w14:textId="77777777" w:rsidR="007373F6" w:rsidRPr="002148A8" w:rsidRDefault="007373F6">
            <w:pPr>
              <w:spacing w:after="0" w:line="240" w:lineRule="auto"/>
              <w:jc w:val="both"/>
              <w:rPr>
                <w:rFonts w:asciiTheme="majorBidi" w:eastAsia="Times New Roman" w:hAnsiTheme="majorBidi" w:cstheme="majorBidi"/>
                <w:sz w:val="24"/>
                <w:szCs w:val="24"/>
                <w:highlight w:val="white"/>
              </w:rPr>
            </w:pPr>
          </w:p>
        </w:tc>
      </w:tr>
      <w:tr w:rsidR="007373F6" w:rsidRPr="002148A8" w14:paraId="6B750108" w14:textId="77777777" w:rsidTr="002148A8">
        <w:trPr>
          <w:trHeight w:val="315"/>
        </w:trPr>
        <w:tc>
          <w:tcPr>
            <w:tcW w:w="491" w:type="pct"/>
            <w:tcBorders>
              <w:top w:val="nil"/>
              <w:left w:val="nil"/>
              <w:bottom w:val="nil"/>
              <w:right w:val="nil"/>
            </w:tcBorders>
            <w:tcMar>
              <w:top w:w="0" w:type="dxa"/>
              <w:left w:w="100" w:type="dxa"/>
              <w:bottom w:w="0" w:type="dxa"/>
              <w:right w:w="100" w:type="dxa"/>
            </w:tcMar>
          </w:tcPr>
          <w:p w14:paraId="0C01B7E4" w14:textId="77777777" w:rsidR="007373F6" w:rsidRPr="002148A8" w:rsidRDefault="00000000">
            <w:pPr>
              <w:spacing w:after="0" w:line="240" w:lineRule="auto"/>
              <w:ind w:left="-99" w:firstLine="8"/>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4</w:t>
            </w:r>
          </w:p>
        </w:tc>
        <w:tc>
          <w:tcPr>
            <w:tcW w:w="1304" w:type="pct"/>
            <w:tcBorders>
              <w:top w:val="nil"/>
              <w:left w:val="nil"/>
              <w:bottom w:val="nil"/>
              <w:right w:val="nil"/>
            </w:tcBorders>
            <w:tcMar>
              <w:top w:w="0" w:type="dxa"/>
              <w:left w:w="100" w:type="dxa"/>
              <w:bottom w:w="0" w:type="dxa"/>
              <w:right w:w="100" w:type="dxa"/>
            </w:tcMar>
          </w:tcPr>
          <w:p w14:paraId="38F85ED9" w14:textId="77777777" w:rsidR="007373F6" w:rsidRPr="002148A8" w:rsidRDefault="00000000">
            <w:pPr>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OS</w:t>
            </w:r>
          </w:p>
        </w:tc>
        <w:tc>
          <w:tcPr>
            <w:tcW w:w="823" w:type="pct"/>
            <w:tcBorders>
              <w:top w:val="nil"/>
              <w:left w:val="nil"/>
              <w:bottom w:val="nil"/>
              <w:right w:val="nil"/>
            </w:tcBorders>
            <w:tcMar>
              <w:top w:w="0" w:type="dxa"/>
              <w:left w:w="100" w:type="dxa"/>
              <w:bottom w:w="0" w:type="dxa"/>
              <w:right w:w="100" w:type="dxa"/>
            </w:tcMar>
          </w:tcPr>
          <w:p w14:paraId="2B5B8D70" w14:textId="77777777" w:rsidR="007373F6" w:rsidRPr="002148A8" w:rsidRDefault="00000000">
            <w:pPr>
              <w:tabs>
                <w:tab w:val="left" w:pos="1025"/>
              </w:tabs>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w:t>
            </w:r>
          </w:p>
        </w:tc>
        <w:tc>
          <w:tcPr>
            <w:tcW w:w="968" w:type="pct"/>
            <w:tcBorders>
              <w:top w:val="nil"/>
              <w:left w:val="nil"/>
              <w:bottom w:val="nil"/>
              <w:right w:val="nil"/>
            </w:tcBorders>
            <w:tcMar>
              <w:top w:w="0" w:type="dxa"/>
              <w:left w:w="100" w:type="dxa"/>
              <w:bottom w:w="0" w:type="dxa"/>
              <w:right w:w="100" w:type="dxa"/>
            </w:tcMar>
          </w:tcPr>
          <w:p w14:paraId="724DDD06" w14:textId="77777777" w:rsidR="007373F6" w:rsidRPr="002148A8" w:rsidRDefault="00000000">
            <w:pPr>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Not meaningful</w:t>
            </w:r>
          </w:p>
        </w:tc>
        <w:tc>
          <w:tcPr>
            <w:tcW w:w="719" w:type="pct"/>
            <w:tcBorders>
              <w:top w:val="nil"/>
              <w:left w:val="nil"/>
              <w:bottom w:val="nil"/>
              <w:right w:val="nil"/>
            </w:tcBorders>
          </w:tcPr>
          <w:p w14:paraId="30251921" w14:textId="77777777" w:rsidR="007373F6" w:rsidRPr="002148A8" w:rsidRDefault="007373F6">
            <w:pPr>
              <w:spacing w:after="0" w:line="240" w:lineRule="auto"/>
              <w:jc w:val="both"/>
              <w:rPr>
                <w:rFonts w:asciiTheme="majorBidi" w:eastAsia="Times New Roman" w:hAnsiTheme="majorBidi" w:cstheme="majorBidi"/>
                <w:sz w:val="24"/>
                <w:szCs w:val="24"/>
                <w:highlight w:val="white"/>
              </w:rPr>
            </w:pPr>
          </w:p>
        </w:tc>
        <w:tc>
          <w:tcPr>
            <w:tcW w:w="694" w:type="pct"/>
            <w:tcBorders>
              <w:top w:val="nil"/>
              <w:left w:val="nil"/>
              <w:bottom w:val="nil"/>
              <w:right w:val="nil"/>
            </w:tcBorders>
          </w:tcPr>
          <w:p w14:paraId="1A41DAD6" w14:textId="77777777" w:rsidR="007373F6" w:rsidRPr="002148A8" w:rsidRDefault="007373F6">
            <w:pPr>
              <w:spacing w:after="0" w:line="240" w:lineRule="auto"/>
              <w:jc w:val="both"/>
              <w:rPr>
                <w:rFonts w:asciiTheme="majorBidi" w:eastAsia="Times New Roman" w:hAnsiTheme="majorBidi" w:cstheme="majorBidi"/>
                <w:sz w:val="24"/>
                <w:szCs w:val="24"/>
                <w:highlight w:val="white"/>
              </w:rPr>
            </w:pPr>
          </w:p>
        </w:tc>
      </w:tr>
      <w:tr w:rsidR="007373F6" w:rsidRPr="002148A8" w14:paraId="03019939" w14:textId="77777777" w:rsidTr="002148A8">
        <w:trPr>
          <w:trHeight w:val="360"/>
        </w:trPr>
        <w:tc>
          <w:tcPr>
            <w:tcW w:w="491" w:type="pct"/>
            <w:tcBorders>
              <w:top w:val="nil"/>
              <w:left w:val="nil"/>
              <w:bottom w:val="nil"/>
              <w:right w:val="nil"/>
            </w:tcBorders>
            <w:tcMar>
              <w:top w:w="0" w:type="dxa"/>
              <w:left w:w="100" w:type="dxa"/>
              <w:bottom w:w="0" w:type="dxa"/>
              <w:right w:w="100" w:type="dxa"/>
            </w:tcMar>
          </w:tcPr>
          <w:p w14:paraId="02B58014" w14:textId="77777777" w:rsidR="007373F6" w:rsidRPr="002148A8" w:rsidRDefault="00000000">
            <w:pPr>
              <w:spacing w:after="0" w:line="240" w:lineRule="auto"/>
              <w:ind w:left="-99" w:firstLine="8"/>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5</w:t>
            </w:r>
          </w:p>
        </w:tc>
        <w:tc>
          <w:tcPr>
            <w:tcW w:w="1304" w:type="pct"/>
            <w:tcBorders>
              <w:top w:val="nil"/>
              <w:left w:val="nil"/>
              <w:bottom w:val="nil"/>
              <w:right w:val="nil"/>
            </w:tcBorders>
            <w:tcMar>
              <w:top w:w="0" w:type="dxa"/>
              <w:left w:w="100" w:type="dxa"/>
              <w:bottom w:w="0" w:type="dxa"/>
              <w:right w:w="100" w:type="dxa"/>
            </w:tcMar>
          </w:tcPr>
          <w:p w14:paraId="07FF2F99" w14:textId="77777777" w:rsidR="007373F6" w:rsidRPr="002148A8" w:rsidRDefault="00000000">
            <w:pPr>
              <w:spacing w:after="0" w:line="240" w:lineRule="auto"/>
              <w:ind w:right="48"/>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AUDCHANGE</w:t>
            </w:r>
          </w:p>
        </w:tc>
        <w:tc>
          <w:tcPr>
            <w:tcW w:w="823" w:type="pct"/>
            <w:tcBorders>
              <w:top w:val="nil"/>
              <w:left w:val="nil"/>
              <w:bottom w:val="nil"/>
              <w:right w:val="nil"/>
            </w:tcBorders>
            <w:tcMar>
              <w:top w:w="0" w:type="dxa"/>
              <w:left w:w="100" w:type="dxa"/>
              <w:bottom w:w="0" w:type="dxa"/>
              <w:right w:w="100" w:type="dxa"/>
            </w:tcMar>
          </w:tcPr>
          <w:p w14:paraId="63D1BA21" w14:textId="77777777" w:rsidR="007373F6" w:rsidRPr="002148A8" w:rsidRDefault="00000000">
            <w:pPr>
              <w:tabs>
                <w:tab w:val="left" w:pos="1025"/>
              </w:tabs>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w:t>
            </w:r>
          </w:p>
        </w:tc>
        <w:tc>
          <w:tcPr>
            <w:tcW w:w="968" w:type="pct"/>
            <w:tcBorders>
              <w:top w:val="nil"/>
              <w:left w:val="nil"/>
              <w:bottom w:val="nil"/>
              <w:right w:val="nil"/>
            </w:tcBorders>
            <w:tcMar>
              <w:top w:w="0" w:type="dxa"/>
              <w:left w:w="100" w:type="dxa"/>
              <w:bottom w:w="0" w:type="dxa"/>
              <w:right w:w="100" w:type="dxa"/>
            </w:tcMar>
          </w:tcPr>
          <w:p w14:paraId="7FDE61A3" w14:textId="77777777" w:rsidR="007373F6" w:rsidRPr="002148A8" w:rsidRDefault="00000000">
            <w:pPr>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Not meaningful</w:t>
            </w:r>
          </w:p>
        </w:tc>
        <w:tc>
          <w:tcPr>
            <w:tcW w:w="719" w:type="pct"/>
            <w:tcBorders>
              <w:top w:val="nil"/>
              <w:left w:val="nil"/>
              <w:bottom w:val="nil"/>
              <w:right w:val="nil"/>
            </w:tcBorders>
          </w:tcPr>
          <w:p w14:paraId="11549D15" w14:textId="77777777" w:rsidR="007373F6" w:rsidRPr="002148A8" w:rsidRDefault="007373F6">
            <w:pPr>
              <w:spacing w:after="0" w:line="240" w:lineRule="auto"/>
              <w:jc w:val="both"/>
              <w:rPr>
                <w:rFonts w:asciiTheme="majorBidi" w:eastAsia="Times New Roman" w:hAnsiTheme="majorBidi" w:cstheme="majorBidi"/>
                <w:sz w:val="24"/>
                <w:szCs w:val="24"/>
                <w:highlight w:val="white"/>
              </w:rPr>
            </w:pPr>
          </w:p>
        </w:tc>
        <w:tc>
          <w:tcPr>
            <w:tcW w:w="694" w:type="pct"/>
            <w:tcBorders>
              <w:top w:val="nil"/>
              <w:left w:val="nil"/>
              <w:bottom w:val="nil"/>
              <w:right w:val="nil"/>
            </w:tcBorders>
          </w:tcPr>
          <w:p w14:paraId="761AF3A3" w14:textId="77777777" w:rsidR="007373F6" w:rsidRPr="002148A8" w:rsidRDefault="007373F6">
            <w:pPr>
              <w:spacing w:after="0" w:line="240" w:lineRule="auto"/>
              <w:jc w:val="both"/>
              <w:rPr>
                <w:rFonts w:asciiTheme="majorBidi" w:eastAsia="Times New Roman" w:hAnsiTheme="majorBidi" w:cstheme="majorBidi"/>
                <w:sz w:val="24"/>
                <w:szCs w:val="24"/>
                <w:highlight w:val="white"/>
              </w:rPr>
            </w:pPr>
          </w:p>
        </w:tc>
      </w:tr>
      <w:tr w:rsidR="007373F6" w:rsidRPr="002148A8" w14:paraId="0289E9C0" w14:textId="77777777" w:rsidTr="002148A8">
        <w:trPr>
          <w:trHeight w:val="315"/>
        </w:trPr>
        <w:tc>
          <w:tcPr>
            <w:tcW w:w="491" w:type="pct"/>
            <w:tcBorders>
              <w:top w:val="nil"/>
              <w:left w:val="nil"/>
              <w:bottom w:val="nil"/>
              <w:right w:val="nil"/>
            </w:tcBorders>
            <w:tcMar>
              <w:top w:w="0" w:type="dxa"/>
              <w:left w:w="100" w:type="dxa"/>
              <w:bottom w:w="0" w:type="dxa"/>
              <w:right w:w="100" w:type="dxa"/>
            </w:tcMar>
          </w:tcPr>
          <w:p w14:paraId="6F5FCD7C" w14:textId="77777777" w:rsidR="007373F6" w:rsidRPr="002148A8" w:rsidRDefault="00000000">
            <w:pPr>
              <w:spacing w:after="0" w:line="240" w:lineRule="auto"/>
              <w:ind w:left="-99" w:firstLine="8"/>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6</w:t>
            </w:r>
          </w:p>
        </w:tc>
        <w:tc>
          <w:tcPr>
            <w:tcW w:w="1304" w:type="pct"/>
            <w:tcBorders>
              <w:top w:val="nil"/>
              <w:left w:val="nil"/>
              <w:bottom w:val="nil"/>
              <w:right w:val="nil"/>
            </w:tcBorders>
            <w:tcMar>
              <w:top w:w="0" w:type="dxa"/>
              <w:left w:w="100" w:type="dxa"/>
              <w:bottom w:w="0" w:type="dxa"/>
              <w:right w:w="100" w:type="dxa"/>
            </w:tcMar>
          </w:tcPr>
          <w:p w14:paraId="495B0D94" w14:textId="77777777" w:rsidR="007373F6" w:rsidRPr="002148A8" w:rsidRDefault="00000000">
            <w:pPr>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BIG4</w:t>
            </w:r>
          </w:p>
        </w:tc>
        <w:tc>
          <w:tcPr>
            <w:tcW w:w="823" w:type="pct"/>
            <w:tcBorders>
              <w:top w:val="nil"/>
              <w:left w:val="nil"/>
              <w:bottom w:val="nil"/>
              <w:right w:val="nil"/>
            </w:tcBorders>
            <w:tcMar>
              <w:top w:w="0" w:type="dxa"/>
              <w:left w:w="100" w:type="dxa"/>
              <w:bottom w:w="0" w:type="dxa"/>
              <w:right w:w="100" w:type="dxa"/>
            </w:tcMar>
          </w:tcPr>
          <w:p w14:paraId="4524B72A" w14:textId="77777777" w:rsidR="007373F6" w:rsidRPr="002148A8" w:rsidRDefault="00000000">
            <w:pPr>
              <w:tabs>
                <w:tab w:val="left" w:pos="1025"/>
              </w:tabs>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w:t>
            </w:r>
          </w:p>
        </w:tc>
        <w:tc>
          <w:tcPr>
            <w:tcW w:w="968" w:type="pct"/>
            <w:tcBorders>
              <w:top w:val="nil"/>
              <w:left w:val="nil"/>
              <w:bottom w:val="nil"/>
              <w:right w:val="nil"/>
            </w:tcBorders>
            <w:tcMar>
              <w:top w:w="0" w:type="dxa"/>
              <w:left w:w="100" w:type="dxa"/>
              <w:bottom w:w="0" w:type="dxa"/>
              <w:right w:w="100" w:type="dxa"/>
            </w:tcMar>
          </w:tcPr>
          <w:p w14:paraId="2C939C47" w14:textId="77777777" w:rsidR="007373F6" w:rsidRPr="002148A8" w:rsidRDefault="00000000">
            <w:pPr>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Not meaningful</w:t>
            </w:r>
          </w:p>
        </w:tc>
        <w:tc>
          <w:tcPr>
            <w:tcW w:w="719" w:type="pct"/>
            <w:tcBorders>
              <w:top w:val="nil"/>
              <w:left w:val="nil"/>
              <w:bottom w:val="nil"/>
              <w:right w:val="nil"/>
            </w:tcBorders>
          </w:tcPr>
          <w:p w14:paraId="35DF175A" w14:textId="77777777" w:rsidR="007373F6" w:rsidRPr="002148A8" w:rsidRDefault="007373F6">
            <w:pPr>
              <w:spacing w:after="0" w:line="240" w:lineRule="auto"/>
              <w:jc w:val="both"/>
              <w:rPr>
                <w:rFonts w:asciiTheme="majorBidi" w:eastAsia="Times New Roman" w:hAnsiTheme="majorBidi" w:cstheme="majorBidi"/>
                <w:sz w:val="24"/>
                <w:szCs w:val="24"/>
                <w:highlight w:val="white"/>
              </w:rPr>
            </w:pPr>
          </w:p>
        </w:tc>
        <w:tc>
          <w:tcPr>
            <w:tcW w:w="694" w:type="pct"/>
            <w:tcBorders>
              <w:top w:val="nil"/>
              <w:left w:val="nil"/>
              <w:bottom w:val="nil"/>
              <w:right w:val="nil"/>
            </w:tcBorders>
          </w:tcPr>
          <w:p w14:paraId="4A8F9D14" w14:textId="77777777" w:rsidR="007373F6" w:rsidRPr="002148A8" w:rsidRDefault="007373F6">
            <w:pPr>
              <w:spacing w:after="0" w:line="240" w:lineRule="auto"/>
              <w:jc w:val="both"/>
              <w:rPr>
                <w:rFonts w:asciiTheme="majorBidi" w:eastAsia="Times New Roman" w:hAnsiTheme="majorBidi" w:cstheme="majorBidi"/>
                <w:sz w:val="24"/>
                <w:szCs w:val="24"/>
                <w:highlight w:val="white"/>
              </w:rPr>
            </w:pPr>
          </w:p>
        </w:tc>
      </w:tr>
      <w:tr w:rsidR="007373F6" w:rsidRPr="002148A8" w14:paraId="57A73B0F" w14:textId="77777777" w:rsidTr="002148A8">
        <w:trPr>
          <w:trHeight w:val="270"/>
        </w:trPr>
        <w:tc>
          <w:tcPr>
            <w:tcW w:w="491" w:type="pct"/>
            <w:tcBorders>
              <w:top w:val="nil"/>
              <w:left w:val="nil"/>
              <w:bottom w:val="nil"/>
              <w:right w:val="nil"/>
            </w:tcBorders>
            <w:tcMar>
              <w:top w:w="0" w:type="dxa"/>
              <w:left w:w="100" w:type="dxa"/>
              <w:bottom w:w="0" w:type="dxa"/>
              <w:right w:w="100" w:type="dxa"/>
            </w:tcMar>
          </w:tcPr>
          <w:p w14:paraId="7FD92A49" w14:textId="77777777" w:rsidR="007373F6" w:rsidRPr="002148A8" w:rsidRDefault="00000000">
            <w:pPr>
              <w:spacing w:after="0" w:line="240" w:lineRule="auto"/>
              <w:ind w:left="-99" w:firstLine="8"/>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7</w:t>
            </w:r>
          </w:p>
        </w:tc>
        <w:tc>
          <w:tcPr>
            <w:tcW w:w="1304" w:type="pct"/>
            <w:tcBorders>
              <w:top w:val="nil"/>
              <w:left w:val="nil"/>
              <w:bottom w:val="nil"/>
              <w:right w:val="nil"/>
            </w:tcBorders>
            <w:tcMar>
              <w:top w:w="0" w:type="dxa"/>
              <w:left w:w="100" w:type="dxa"/>
              <w:bottom w:w="0" w:type="dxa"/>
              <w:right w:w="100" w:type="dxa"/>
            </w:tcMar>
          </w:tcPr>
          <w:p w14:paraId="493833EC" w14:textId="77777777" w:rsidR="007373F6" w:rsidRPr="002148A8" w:rsidRDefault="00000000">
            <w:pPr>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CFO × BIG4</w:t>
            </w:r>
          </w:p>
        </w:tc>
        <w:tc>
          <w:tcPr>
            <w:tcW w:w="823" w:type="pct"/>
            <w:tcBorders>
              <w:top w:val="nil"/>
              <w:left w:val="nil"/>
              <w:bottom w:val="nil"/>
              <w:right w:val="nil"/>
            </w:tcBorders>
            <w:tcMar>
              <w:top w:w="0" w:type="dxa"/>
              <w:left w:w="100" w:type="dxa"/>
              <w:bottom w:w="0" w:type="dxa"/>
              <w:right w:w="100" w:type="dxa"/>
            </w:tcMar>
          </w:tcPr>
          <w:p w14:paraId="0C2CC9D1" w14:textId="77777777" w:rsidR="007373F6" w:rsidRPr="002148A8" w:rsidRDefault="00000000">
            <w:pPr>
              <w:tabs>
                <w:tab w:val="left" w:pos="1025"/>
              </w:tabs>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w:t>
            </w:r>
          </w:p>
        </w:tc>
        <w:tc>
          <w:tcPr>
            <w:tcW w:w="968" w:type="pct"/>
            <w:tcBorders>
              <w:top w:val="nil"/>
              <w:left w:val="nil"/>
              <w:bottom w:val="nil"/>
              <w:right w:val="nil"/>
            </w:tcBorders>
            <w:tcMar>
              <w:top w:w="0" w:type="dxa"/>
              <w:left w:w="100" w:type="dxa"/>
              <w:bottom w:w="0" w:type="dxa"/>
              <w:right w:w="100" w:type="dxa"/>
            </w:tcMar>
          </w:tcPr>
          <w:p w14:paraId="2D470BAD" w14:textId="77777777" w:rsidR="007373F6" w:rsidRPr="002148A8" w:rsidRDefault="00000000">
            <w:pPr>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w:t>
            </w:r>
          </w:p>
        </w:tc>
        <w:tc>
          <w:tcPr>
            <w:tcW w:w="719" w:type="pct"/>
            <w:tcBorders>
              <w:top w:val="nil"/>
              <w:left w:val="nil"/>
              <w:bottom w:val="nil"/>
              <w:right w:val="nil"/>
            </w:tcBorders>
          </w:tcPr>
          <w:p w14:paraId="1997C0E5" w14:textId="77777777" w:rsidR="007373F6" w:rsidRPr="002148A8" w:rsidRDefault="007373F6">
            <w:pPr>
              <w:spacing w:after="0" w:line="240" w:lineRule="auto"/>
              <w:jc w:val="both"/>
              <w:rPr>
                <w:rFonts w:asciiTheme="majorBidi" w:eastAsia="Times New Roman" w:hAnsiTheme="majorBidi" w:cstheme="majorBidi"/>
                <w:sz w:val="24"/>
                <w:szCs w:val="24"/>
                <w:highlight w:val="white"/>
              </w:rPr>
            </w:pPr>
          </w:p>
        </w:tc>
        <w:tc>
          <w:tcPr>
            <w:tcW w:w="694" w:type="pct"/>
            <w:tcBorders>
              <w:top w:val="nil"/>
              <w:left w:val="nil"/>
              <w:bottom w:val="nil"/>
              <w:right w:val="nil"/>
            </w:tcBorders>
          </w:tcPr>
          <w:p w14:paraId="6DCFCAE2" w14:textId="77777777" w:rsidR="007373F6" w:rsidRPr="002148A8" w:rsidRDefault="007373F6">
            <w:pPr>
              <w:spacing w:after="0" w:line="240" w:lineRule="auto"/>
              <w:jc w:val="both"/>
              <w:rPr>
                <w:rFonts w:asciiTheme="majorBidi" w:eastAsia="Times New Roman" w:hAnsiTheme="majorBidi" w:cstheme="majorBidi"/>
                <w:sz w:val="24"/>
                <w:szCs w:val="24"/>
                <w:highlight w:val="white"/>
              </w:rPr>
            </w:pPr>
          </w:p>
        </w:tc>
      </w:tr>
      <w:tr w:rsidR="007373F6" w:rsidRPr="002148A8" w14:paraId="44984D8B" w14:textId="77777777" w:rsidTr="002148A8">
        <w:trPr>
          <w:trHeight w:val="270"/>
        </w:trPr>
        <w:tc>
          <w:tcPr>
            <w:tcW w:w="491" w:type="pct"/>
            <w:tcBorders>
              <w:top w:val="nil"/>
              <w:left w:val="nil"/>
              <w:bottom w:val="nil"/>
              <w:right w:val="nil"/>
            </w:tcBorders>
            <w:tcMar>
              <w:top w:w="0" w:type="dxa"/>
              <w:left w:w="100" w:type="dxa"/>
              <w:bottom w:w="0" w:type="dxa"/>
              <w:right w:w="100" w:type="dxa"/>
            </w:tcMar>
          </w:tcPr>
          <w:p w14:paraId="45918B23" w14:textId="77777777" w:rsidR="007373F6" w:rsidRPr="002148A8" w:rsidRDefault="00000000">
            <w:pPr>
              <w:spacing w:after="0" w:line="240" w:lineRule="auto"/>
              <w:ind w:left="-99" w:firstLine="8"/>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8</w:t>
            </w:r>
          </w:p>
        </w:tc>
        <w:tc>
          <w:tcPr>
            <w:tcW w:w="1304" w:type="pct"/>
            <w:tcBorders>
              <w:top w:val="nil"/>
              <w:left w:val="nil"/>
              <w:bottom w:val="nil"/>
              <w:right w:val="nil"/>
            </w:tcBorders>
            <w:tcMar>
              <w:top w:w="0" w:type="dxa"/>
              <w:left w:w="100" w:type="dxa"/>
              <w:bottom w:w="0" w:type="dxa"/>
              <w:right w:w="100" w:type="dxa"/>
            </w:tcMar>
          </w:tcPr>
          <w:p w14:paraId="7B938BA3" w14:textId="77777777" w:rsidR="007373F6" w:rsidRPr="002148A8" w:rsidRDefault="00000000">
            <w:pPr>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Pressure</w:t>
            </w:r>
          </w:p>
        </w:tc>
        <w:tc>
          <w:tcPr>
            <w:tcW w:w="823" w:type="pct"/>
            <w:tcBorders>
              <w:top w:val="nil"/>
              <w:left w:val="nil"/>
              <w:bottom w:val="nil"/>
              <w:right w:val="nil"/>
            </w:tcBorders>
            <w:tcMar>
              <w:top w:w="0" w:type="dxa"/>
              <w:left w:w="100" w:type="dxa"/>
              <w:bottom w:w="0" w:type="dxa"/>
              <w:right w:w="100" w:type="dxa"/>
            </w:tcMar>
          </w:tcPr>
          <w:p w14:paraId="6660E8D2" w14:textId="77777777" w:rsidR="007373F6" w:rsidRPr="002148A8" w:rsidRDefault="00000000">
            <w:pPr>
              <w:tabs>
                <w:tab w:val="left" w:pos="1025"/>
              </w:tabs>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w:t>
            </w:r>
          </w:p>
        </w:tc>
        <w:tc>
          <w:tcPr>
            <w:tcW w:w="968" w:type="pct"/>
            <w:tcBorders>
              <w:top w:val="nil"/>
              <w:left w:val="nil"/>
              <w:bottom w:val="nil"/>
              <w:right w:val="nil"/>
            </w:tcBorders>
            <w:tcMar>
              <w:top w:w="0" w:type="dxa"/>
              <w:left w:w="100" w:type="dxa"/>
              <w:bottom w:w="0" w:type="dxa"/>
              <w:right w:w="100" w:type="dxa"/>
            </w:tcMar>
          </w:tcPr>
          <w:p w14:paraId="2ED09CD4" w14:textId="77777777" w:rsidR="007373F6" w:rsidRPr="002148A8" w:rsidRDefault="007373F6">
            <w:pPr>
              <w:spacing w:after="0" w:line="240" w:lineRule="auto"/>
              <w:jc w:val="both"/>
              <w:rPr>
                <w:rFonts w:asciiTheme="majorBidi" w:eastAsia="Times New Roman" w:hAnsiTheme="majorBidi" w:cstheme="majorBidi"/>
                <w:sz w:val="24"/>
                <w:szCs w:val="24"/>
                <w:highlight w:val="white"/>
              </w:rPr>
            </w:pPr>
          </w:p>
        </w:tc>
        <w:tc>
          <w:tcPr>
            <w:tcW w:w="719" w:type="pct"/>
            <w:tcBorders>
              <w:top w:val="nil"/>
              <w:left w:val="nil"/>
              <w:bottom w:val="nil"/>
              <w:right w:val="nil"/>
            </w:tcBorders>
          </w:tcPr>
          <w:p w14:paraId="141D3102" w14:textId="77777777" w:rsidR="007373F6" w:rsidRPr="002148A8" w:rsidRDefault="00000000">
            <w:pPr>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w:t>
            </w:r>
          </w:p>
        </w:tc>
        <w:tc>
          <w:tcPr>
            <w:tcW w:w="694" w:type="pct"/>
            <w:tcBorders>
              <w:top w:val="nil"/>
              <w:left w:val="nil"/>
              <w:bottom w:val="nil"/>
              <w:right w:val="nil"/>
            </w:tcBorders>
          </w:tcPr>
          <w:p w14:paraId="3EEDD1D9" w14:textId="77777777" w:rsidR="007373F6" w:rsidRPr="002148A8" w:rsidRDefault="007373F6">
            <w:pPr>
              <w:spacing w:after="0" w:line="240" w:lineRule="auto"/>
              <w:jc w:val="both"/>
              <w:rPr>
                <w:rFonts w:asciiTheme="majorBidi" w:eastAsia="Times New Roman" w:hAnsiTheme="majorBidi" w:cstheme="majorBidi"/>
                <w:sz w:val="24"/>
                <w:szCs w:val="24"/>
                <w:highlight w:val="white"/>
              </w:rPr>
            </w:pPr>
          </w:p>
        </w:tc>
      </w:tr>
      <w:tr w:rsidR="007373F6" w:rsidRPr="002148A8" w14:paraId="30533977" w14:textId="77777777" w:rsidTr="002148A8">
        <w:trPr>
          <w:trHeight w:val="270"/>
        </w:trPr>
        <w:tc>
          <w:tcPr>
            <w:tcW w:w="491" w:type="pct"/>
            <w:tcBorders>
              <w:top w:val="nil"/>
              <w:left w:val="nil"/>
              <w:bottom w:val="nil"/>
              <w:right w:val="nil"/>
            </w:tcBorders>
            <w:tcMar>
              <w:top w:w="0" w:type="dxa"/>
              <w:left w:w="100" w:type="dxa"/>
              <w:bottom w:w="0" w:type="dxa"/>
              <w:right w:w="100" w:type="dxa"/>
            </w:tcMar>
          </w:tcPr>
          <w:p w14:paraId="21E3B3ED" w14:textId="77777777" w:rsidR="007373F6" w:rsidRPr="002148A8" w:rsidRDefault="00000000">
            <w:pPr>
              <w:spacing w:after="0" w:line="240" w:lineRule="auto"/>
              <w:ind w:left="-99" w:firstLine="8"/>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9</w:t>
            </w:r>
          </w:p>
        </w:tc>
        <w:tc>
          <w:tcPr>
            <w:tcW w:w="1304" w:type="pct"/>
            <w:tcBorders>
              <w:top w:val="nil"/>
              <w:left w:val="nil"/>
              <w:bottom w:val="nil"/>
              <w:right w:val="nil"/>
            </w:tcBorders>
            <w:tcMar>
              <w:top w:w="0" w:type="dxa"/>
              <w:left w:w="100" w:type="dxa"/>
              <w:bottom w:w="0" w:type="dxa"/>
              <w:right w:w="100" w:type="dxa"/>
            </w:tcMar>
          </w:tcPr>
          <w:p w14:paraId="377A4A30" w14:textId="77777777" w:rsidR="007373F6" w:rsidRPr="002148A8" w:rsidRDefault="00000000">
            <w:pPr>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Opportunity</w:t>
            </w:r>
          </w:p>
        </w:tc>
        <w:tc>
          <w:tcPr>
            <w:tcW w:w="823" w:type="pct"/>
            <w:tcBorders>
              <w:top w:val="nil"/>
              <w:left w:val="nil"/>
              <w:bottom w:val="nil"/>
              <w:right w:val="nil"/>
            </w:tcBorders>
            <w:tcMar>
              <w:top w:w="0" w:type="dxa"/>
              <w:left w:w="100" w:type="dxa"/>
              <w:bottom w:w="0" w:type="dxa"/>
              <w:right w:w="100" w:type="dxa"/>
            </w:tcMar>
          </w:tcPr>
          <w:p w14:paraId="697CEB07" w14:textId="77777777" w:rsidR="007373F6" w:rsidRPr="002148A8" w:rsidRDefault="00000000">
            <w:pPr>
              <w:tabs>
                <w:tab w:val="left" w:pos="1025"/>
              </w:tabs>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w:t>
            </w:r>
          </w:p>
        </w:tc>
        <w:tc>
          <w:tcPr>
            <w:tcW w:w="968" w:type="pct"/>
            <w:tcBorders>
              <w:top w:val="nil"/>
              <w:left w:val="nil"/>
              <w:bottom w:val="nil"/>
              <w:right w:val="nil"/>
            </w:tcBorders>
            <w:tcMar>
              <w:top w:w="0" w:type="dxa"/>
              <w:left w:w="100" w:type="dxa"/>
              <w:bottom w:w="0" w:type="dxa"/>
              <w:right w:w="100" w:type="dxa"/>
            </w:tcMar>
          </w:tcPr>
          <w:p w14:paraId="78515257" w14:textId="77777777" w:rsidR="007373F6" w:rsidRPr="002148A8" w:rsidRDefault="007373F6">
            <w:pPr>
              <w:spacing w:after="0" w:line="240" w:lineRule="auto"/>
              <w:jc w:val="both"/>
              <w:rPr>
                <w:rFonts w:asciiTheme="majorBidi" w:eastAsia="Times New Roman" w:hAnsiTheme="majorBidi" w:cstheme="majorBidi"/>
                <w:sz w:val="24"/>
                <w:szCs w:val="24"/>
                <w:highlight w:val="white"/>
              </w:rPr>
            </w:pPr>
          </w:p>
        </w:tc>
        <w:tc>
          <w:tcPr>
            <w:tcW w:w="719" w:type="pct"/>
            <w:tcBorders>
              <w:top w:val="nil"/>
              <w:left w:val="nil"/>
              <w:bottom w:val="nil"/>
              <w:right w:val="nil"/>
            </w:tcBorders>
          </w:tcPr>
          <w:p w14:paraId="62D0DBE6" w14:textId="77777777" w:rsidR="007373F6" w:rsidRPr="002148A8" w:rsidRDefault="00000000">
            <w:pPr>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w:t>
            </w:r>
          </w:p>
        </w:tc>
        <w:tc>
          <w:tcPr>
            <w:tcW w:w="694" w:type="pct"/>
            <w:tcBorders>
              <w:top w:val="nil"/>
              <w:left w:val="nil"/>
              <w:bottom w:val="nil"/>
              <w:right w:val="nil"/>
            </w:tcBorders>
          </w:tcPr>
          <w:p w14:paraId="0190EFFC" w14:textId="77777777" w:rsidR="007373F6" w:rsidRPr="002148A8" w:rsidRDefault="007373F6">
            <w:pPr>
              <w:spacing w:after="0" w:line="240" w:lineRule="auto"/>
              <w:jc w:val="both"/>
              <w:rPr>
                <w:rFonts w:asciiTheme="majorBidi" w:eastAsia="Times New Roman" w:hAnsiTheme="majorBidi" w:cstheme="majorBidi"/>
                <w:sz w:val="24"/>
                <w:szCs w:val="24"/>
                <w:highlight w:val="white"/>
              </w:rPr>
            </w:pPr>
          </w:p>
        </w:tc>
      </w:tr>
      <w:tr w:rsidR="007373F6" w:rsidRPr="002148A8" w14:paraId="5C0C1821" w14:textId="77777777" w:rsidTr="002148A8">
        <w:trPr>
          <w:trHeight w:val="270"/>
        </w:trPr>
        <w:tc>
          <w:tcPr>
            <w:tcW w:w="491" w:type="pct"/>
            <w:tcBorders>
              <w:top w:val="nil"/>
              <w:left w:val="nil"/>
              <w:bottom w:val="nil"/>
              <w:right w:val="nil"/>
            </w:tcBorders>
            <w:tcMar>
              <w:top w:w="0" w:type="dxa"/>
              <w:left w:w="100" w:type="dxa"/>
              <w:bottom w:w="0" w:type="dxa"/>
              <w:right w:w="100" w:type="dxa"/>
            </w:tcMar>
          </w:tcPr>
          <w:p w14:paraId="03D05670" w14:textId="77777777" w:rsidR="007373F6" w:rsidRPr="002148A8" w:rsidRDefault="00000000">
            <w:pPr>
              <w:spacing w:after="0" w:line="240" w:lineRule="auto"/>
              <w:ind w:left="-99" w:firstLine="8"/>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10</w:t>
            </w:r>
          </w:p>
        </w:tc>
        <w:tc>
          <w:tcPr>
            <w:tcW w:w="1304" w:type="pct"/>
            <w:tcBorders>
              <w:top w:val="nil"/>
              <w:left w:val="nil"/>
              <w:bottom w:val="nil"/>
              <w:right w:val="nil"/>
            </w:tcBorders>
            <w:tcMar>
              <w:top w:w="0" w:type="dxa"/>
              <w:left w:w="100" w:type="dxa"/>
              <w:bottom w:w="0" w:type="dxa"/>
              <w:right w:w="100" w:type="dxa"/>
            </w:tcMar>
          </w:tcPr>
          <w:p w14:paraId="6A90BB3F" w14:textId="77777777" w:rsidR="007373F6" w:rsidRPr="002148A8" w:rsidRDefault="00000000">
            <w:pPr>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Rationalization</w:t>
            </w:r>
          </w:p>
        </w:tc>
        <w:tc>
          <w:tcPr>
            <w:tcW w:w="823" w:type="pct"/>
            <w:tcBorders>
              <w:top w:val="nil"/>
              <w:left w:val="nil"/>
              <w:bottom w:val="nil"/>
              <w:right w:val="nil"/>
            </w:tcBorders>
            <w:tcMar>
              <w:top w:w="0" w:type="dxa"/>
              <w:left w:w="100" w:type="dxa"/>
              <w:bottom w:w="0" w:type="dxa"/>
              <w:right w:w="100" w:type="dxa"/>
            </w:tcMar>
          </w:tcPr>
          <w:p w14:paraId="4D6C5D0E" w14:textId="77777777" w:rsidR="007373F6" w:rsidRPr="002148A8" w:rsidRDefault="00000000">
            <w:pPr>
              <w:tabs>
                <w:tab w:val="left" w:pos="1025"/>
              </w:tabs>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w:t>
            </w:r>
          </w:p>
        </w:tc>
        <w:tc>
          <w:tcPr>
            <w:tcW w:w="968" w:type="pct"/>
            <w:tcBorders>
              <w:top w:val="nil"/>
              <w:left w:val="nil"/>
              <w:bottom w:val="nil"/>
              <w:right w:val="nil"/>
            </w:tcBorders>
            <w:tcMar>
              <w:top w:w="0" w:type="dxa"/>
              <w:left w:w="100" w:type="dxa"/>
              <w:bottom w:w="0" w:type="dxa"/>
              <w:right w:w="100" w:type="dxa"/>
            </w:tcMar>
          </w:tcPr>
          <w:p w14:paraId="513AB94D" w14:textId="77777777" w:rsidR="007373F6" w:rsidRPr="002148A8" w:rsidRDefault="007373F6">
            <w:pPr>
              <w:spacing w:after="0" w:line="240" w:lineRule="auto"/>
              <w:jc w:val="both"/>
              <w:rPr>
                <w:rFonts w:asciiTheme="majorBidi" w:eastAsia="Times New Roman" w:hAnsiTheme="majorBidi" w:cstheme="majorBidi"/>
                <w:sz w:val="24"/>
                <w:szCs w:val="24"/>
                <w:highlight w:val="white"/>
              </w:rPr>
            </w:pPr>
          </w:p>
        </w:tc>
        <w:tc>
          <w:tcPr>
            <w:tcW w:w="719" w:type="pct"/>
            <w:tcBorders>
              <w:top w:val="nil"/>
              <w:left w:val="nil"/>
              <w:bottom w:val="nil"/>
              <w:right w:val="nil"/>
            </w:tcBorders>
          </w:tcPr>
          <w:p w14:paraId="54E3A94C" w14:textId="77777777" w:rsidR="007373F6" w:rsidRPr="002148A8" w:rsidRDefault="00000000">
            <w:pPr>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w:t>
            </w:r>
          </w:p>
        </w:tc>
        <w:tc>
          <w:tcPr>
            <w:tcW w:w="694" w:type="pct"/>
            <w:tcBorders>
              <w:top w:val="nil"/>
              <w:left w:val="nil"/>
              <w:bottom w:val="nil"/>
              <w:right w:val="nil"/>
            </w:tcBorders>
          </w:tcPr>
          <w:p w14:paraId="3CE298C8" w14:textId="77777777" w:rsidR="007373F6" w:rsidRPr="002148A8" w:rsidRDefault="007373F6">
            <w:pPr>
              <w:spacing w:after="0" w:line="240" w:lineRule="auto"/>
              <w:jc w:val="both"/>
              <w:rPr>
                <w:rFonts w:asciiTheme="majorBidi" w:eastAsia="Times New Roman" w:hAnsiTheme="majorBidi" w:cstheme="majorBidi"/>
                <w:sz w:val="24"/>
                <w:szCs w:val="24"/>
                <w:highlight w:val="white"/>
              </w:rPr>
            </w:pPr>
          </w:p>
        </w:tc>
      </w:tr>
      <w:tr w:rsidR="007373F6" w:rsidRPr="002148A8" w14:paraId="001594B9" w14:textId="77777777" w:rsidTr="002148A8">
        <w:trPr>
          <w:trHeight w:val="270"/>
        </w:trPr>
        <w:tc>
          <w:tcPr>
            <w:tcW w:w="491" w:type="pct"/>
            <w:tcBorders>
              <w:top w:val="nil"/>
              <w:left w:val="nil"/>
              <w:bottom w:val="single" w:sz="8" w:space="0" w:color="000000"/>
              <w:right w:val="nil"/>
            </w:tcBorders>
            <w:tcMar>
              <w:top w:w="0" w:type="dxa"/>
              <w:left w:w="100" w:type="dxa"/>
              <w:bottom w:w="0" w:type="dxa"/>
              <w:right w:w="100" w:type="dxa"/>
            </w:tcMar>
          </w:tcPr>
          <w:p w14:paraId="5706A445" w14:textId="77777777" w:rsidR="007373F6" w:rsidRPr="002148A8" w:rsidRDefault="00000000">
            <w:pPr>
              <w:spacing w:after="0" w:line="240" w:lineRule="auto"/>
              <w:ind w:left="-99" w:firstLine="8"/>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11</w:t>
            </w:r>
          </w:p>
        </w:tc>
        <w:tc>
          <w:tcPr>
            <w:tcW w:w="1304" w:type="pct"/>
            <w:tcBorders>
              <w:top w:val="nil"/>
              <w:left w:val="nil"/>
              <w:bottom w:val="single" w:sz="8" w:space="0" w:color="000000"/>
              <w:right w:val="nil"/>
            </w:tcBorders>
            <w:tcMar>
              <w:top w:w="0" w:type="dxa"/>
              <w:left w:w="100" w:type="dxa"/>
              <w:bottom w:w="0" w:type="dxa"/>
              <w:right w:w="100" w:type="dxa"/>
            </w:tcMar>
          </w:tcPr>
          <w:p w14:paraId="34D8D5B1" w14:textId="77777777" w:rsidR="007373F6" w:rsidRPr="002148A8" w:rsidRDefault="00000000">
            <w:pPr>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Triangle</w:t>
            </w:r>
          </w:p>
        </w:tc>
        <w:tc>
          <w:tcPr>
            <w:tcW w:w="823" w:type="pct"/>
            <w:tcBorders>
              <w:top w:val="nil"/>
              <w:left w:val="nil"/>
              <w:bottom w:val="single" w:sz="8" w:space="0" w:color="000000"/>
              <w:right w:val="nil"/>
            </w:tcBorders>
            <w:tcMar>
              <w:top w:w="0" w:type="dxa"/>
              <w:left w:w="100" w:type="dxa"/>
              <w:bottom w:w="0" w:type="dxa"/>
              <w:right w:w="100" w:type="dxa"/>
            </w:tcMar>
          </w:tcPr>
          <w:p w14:paraId="7D8AACFB" w14:textId="77777777" w:rsidR="007373F6" w:rsidRPr="002148A8" w:rsidRDefault="00000000">
            <w:pPr>
              <w:tabs>
                <w:tab w:val="left" w:pos="1025"/>
              </w:tabs>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w:t>
            </w:r>
          </w:p>
        </w:tc>
        <w:tc>
          <w:tcPr>
            <w:tcW w:w="968" w:type="pct"/>
            <w:tcBorders>
              <w:top w:val="nil"/>
              <w:left w:val="nil"/>
              <w:bottom w:val="single" w:sz="8" w:space="0" w:color="000000"/>
              <w:right w:val="nil"/>
            </w:tcBorders>
            <w:tcMar>
              <w:top w:w="0" w:type="dxa"/>
              <w:left w:w="100" w:type="dxa"/>
              <w:bottom w:w="0" w:type="dxa"/>
              <w:right w:w="100" w:type="dxa"/>
            </w:tcMar>
          </w:tcPr>
          <w:p w14:paraId="4C1B168A" w14:textId="77777777" w:rsidR="007373F6" w:rsidRPr="002148A8" w:rsidRDefault="007373F6">
            <w:pPr>
              <w:spacing w:after="0" w:line="240" w:lineRule="auto"/>
              <w:jc w:val="both"/>
              <w:rPr>
                <w:rFonts w:asciiTheme="majorBidi" w:eastAsia="Times New Roman" w:hAnsiTheme="majorBidi" w:cstheme="majorBidi"/>
                <w:sz w:val="24"/>
                <w:szCs w:val="24"/>
                <w:highlight w:val="white"/>
              </w:rPr>
            </w:pPr>
          </w:p>
        </w:tc>
        <w:tc>
          <w:tcPr>
            <w:tcW w:w="719" w:type="pct"/>
            <w:tcBorders>
              <w:top w:val="nil"/>
              <w:left w:val="nil"/>
              <w:bottom w:val="single" w:sz="8" w:space="0" w:color="000000"/>
              <w:right w:val="nil"/>
            </w:tcBorders>
          </w:tcPr>
          <w:p w14:paraId="463C81A0" w14:textId="77777777" w:rsidR="007373F6" w:rsidRPr="002148A8" w:rsidRDefault="007373F6">
            <w:pPr>
              <w:spacing w:after="0" w:line="240" w:lineRule="auto"/>
              <w:jc w:val="both"/>
              <w:rPr>
                <w:rFonts w:asciiTheme="majorBidi" w:eastAsia="Times New Roman" w:hAnsiTheme="majorBidi" w:cstheme="majorBidi"/>
                <w:sz w:val="24"/>
                <w:szCs w:val="24"/>
                <w:highlight w:val="white"/>
              </w:rPr>
            </w:pPr>
          </w:p>
        </w:tc>
        <w:tc>
          <w:tcPr>
            <w:tcW w:w="694" w:type="pct"/>
            <w:tcBorders>
              <w:top w:val="nil"/>
              <w:left w:val="nil"/>
              <w:bottom w:val="single" w:sz="8" w:space="0" w:color="000000"/>
              <w:right w:val="nil"/>
            </w:tcBorders>
          </w:tcPr>
          <w:p w14:paraId="1A45BAA2" w14:textId="15F94E2B" w:rsidR="007373F6" w:rsidRPr="002148A8" w:rsidRDefault="00000000">
            <w:pPr>
              <w:spacing w:after="0" w:line="240" w:lineRule="auto"/>
              <w:jc w:val="both"/>
              <w:rPr>
                <w:rFonts w:asciiTheme="majorBidi" w:eastAsia="Times New Roman" w:hAnsiTheme="majorBidi" w:cstheme="majorBidi"/>
                <w:sz w:val="24"/>
                <w:szCs w:val="24"/>
                <w:highlight w:val="white"/>
              </w:rPr>
            </w:pPr>
            <w:r w:rsidRPr="002148A8">
              <w:rPr>
                <w:rFonts w:asciiTheme="majorBidi" w:eastAsia="Times New Roman" w:hAnsiTheme="majorBidi" w:cstheme="majorBidi"/>
                <w:sz w:val="24"/>
                <w:szCs w:val="24"/>
                <w:highlight w:val="white"/>
              </w:rPr>
              <w:t>-</w:t>
            </w:r>
          </w:p>
        </w:tc>
      </w:tr>
    </w:tbl>
    <w:p w14:paraId="56F735B4" w14:textId="77777777" w:rsidR="007373F6" w:rsidRDefault="00000000">
      <w:pPr>
        <w:spacing w:before="240"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empirical results from the three logistic regression models provide nuanced insights into the determinants of financial statement fraud in Vietnam. Consistent with Hypothesis H1 and prior studies, revenue growth significantly increases the likelihood of fraudulent reporting, highlighting how ambitious expansion targets, particularly in the post-COVID-19 period, create strong incentives for misreporting. This finding is in line with Skousen, Smith and Wright (2009), who also document that rapid sales or revenue growth often creates pressure that fosters fraudulent activities. In contrast, ROA and CFO are negatively and significantly associated with fraud, suggesting that while firms under financial stress are pressured to manipulate earnings, closer monitoring by creditors and investors may counteract these incentives.</w:t>
      </w:r>
    </w:p>
    <w:p w14:paraId="64D41295"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analysis also reveals an unexpected role of audit quality. Contrary to Hypothesis H5, the interaction between Big 4 and CFO has a significant positive effect, indicating that even firms audited by Big 4 may engage in fraud when facing liquidity constraints. This finding challenges the assumption of Big 4 audits as an effective safeguard and reflects Vietnam’s institutional context, where auditor independence may be weakened by fee pressures, client retention concerns, and information asymmetry. Other governance proxies such as state ownership and auditor changes were not significant, further underscoring the complexity of audit effectiveness in emerging markets.</w:t>
      </w:r>
    </w:p>
    <w:p w14:paraId="36D9BD97"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Applying the Fraud Triangle framework, the results show that opportunity and rationalization are strong positive predictors of fraud, supporting Hypotheses H2 and H3. However, pressure exhibits a significant negative effect, contrary to H1. This suggests that financially pressured firms in Vietnam may actually experience greater oversight from creditors, large shareholders, and auditors, thereby reducing the scope for fraudulent activity. Extending this analysis, the composite Fraud Triangle score also yields a significant negative effect, leading to the rejection of Hypothesis H4. One plausible explanation is that firms perceived as high-risk across all three dimensions may proactively implement stronger internal controls and transparency measures to defend against reputational and regulatory risks.</w:t>
      </w:r>
    </w:p>
    <w:p w14:paraId="5A4B0D11"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Taken together, these findings confirm the relevance of the Fraud Triangle theory in Vietnam but also reveal important contextual deviations. While opportunity and rationalization remain the dominant fraud drivers, the negative role of pressure and the limited deterrent effect of Big 4 audits suggest that institutional factors, such as creditor monitoring, governance capacity, and audit market dynamics play a critical moderating role in shaping fraud risks in emerging markets.</w:t>
      </w:r>
    </w:p>
    <w:p w14:paraId="0C411C65"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study validates the Fraud Triangle model in detecting financial statement fraud within Vietnam’s market. The results confirm its applicability but highlight that Opportunity and Rationalization are the strongest predictors, reflecting weak internal controls and a permissive environment for unethical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In contrast, Pressure shows an inverse effect on fraud, suggesting that financially stressed firms may face tighter scrutiny from creditors, large shareholders, or auditors, thereby lowering fraud risk. Moreover, the unexpected interaction between audit quality and operating cash flow underscores the complexity of audit practices in Vietnam’s emerging market. Policy implications include the need to strengthen the independence and oversight of auditors (both Big Four and non–Big Four), improve corporate internal control systems, and design early warning mechanisms that combine financial and non-financial indicators based on Fraud Triangle elements. Cultivating ethical corporate culture and reinforcing accountability can also reduce rationalization for fraud.</w:t>
      </w:r>
    </w:p>
    <w:p w14:paraId="38EB12A7" w14:textId="77777777" w:rsidR="007373F6" w:rsidRDefault="00000000">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Limitations of the study lie in its reliance on the </w:t>
      </w:r>
      <w:proofErr w:type="spellStart"/>
      <w:r>
        <w:rPr>
          <w:rFonts w:ascii="Times New Roman" w:eastAsia="Times New Roman" w:hAnsi="Times New Roman" w:cs="Times New Roman"/>
          <w:sz w:val="24"/>
          <w:szCs w:val="24"/>
        </w:rPr>
        <w:t>Beneish</w:t>
      </w:r>
      <w:proofErr w:type="spellEnd"/>
      <w:r>
        <w:rPr>
          <w:rFonts w:ascii="Times New Roman" w:eastAsia="Times New Roman" w:hAnsi="Times New Roman" w:cs="Times New Roman"/>
          <w:sz w:val="24"/>
          <w:szCs w:val="24"/>
        </w:rPr>
        <w:t xml:space="preserve"> M-score as the main proxy, indirect measurement of </w:t>
      </w:r>
      <w:proofErr w:type="spellStart"/>
      <w:r>
        <w:rPr>
          <w:rFonts w:ascii="Times New Roman" w:eastAsia="Times New Roman" w:hAnsi="Times New Roman" w:cs="Times New Roman"/>
          <w:sz w:val="24"/>
          <w:szCs w:val="24"/>
        </w:rPr>
        <w:t>behavioral</w:t>
      </w:r>
      <w:proofErr w:type="spellEnd"/>
      <w:r>
        <w:rPr>
          <w:rFonts w:ascii="Times New Roman" w:eastAsia="Times New Roman" w:hAnsi="Times New Roman" w:cs="Times New Roman"/>
          <w:sz w:val="24"/>
          <w:szCs w:val="24"/>
        </w:rPr>
        <w:t xml:space="preserve"> factors, the focus on listed non-financial firms, and a dataset restricted to 2015–2024. Future research should integrate alternative detection models such as machine learning classifiers, broaden datasets to include unlisted and financial firms, and employ qualitative or mixed methods to capture governance and cultural dimensions. Comparative studies across ASEAN could test whether Vietnam’s unique negative Pressure–fraud relationship holds in other institutional settings, while examining regulatory responses would help bridge detection and prevention gaps.</w:t>
      </w:r>
    </w:p>
    <w:p w14:paraId="013BEF7E" w14:textId="77777777" w:rsidR="002148A8" w:rsidRDefault="002148A8">
      <w:pPr>
        <w:spacing w:after="0" w:line="240" w:lineRule="auto"/>
        <w:ind w:firstLine="426"/>
        <w:jc w:val="both"/>
        <w:rPr>
          <w:rFonts w:ascii="Times New Roman" w:eastAsia="Times New Roman" w:hAnsi="Times New Roman" w:cs="Times New Roman"/>
          <w:sz w:val="24"/>
          <w:szCs w:val="24"/>
        </w:rPr>
      </w:pPr>
    </w:p>
    <w:p w14:paraId="2D3760D8" w14:textId="77777777" w:rsidR="007373F6" w:rsidRDefault="00000000">
      <w:pPr>
        <w:spacing w:before="200" w:after="200" w:line="240" w:lineRule="auto"/>
        <w:jc w:val="center"/>
        <w:rPr>
          <w:rFonts w:ascii="Times New Roman" w:eastAsia="Times New Roman" w:hAnsi="Times New Roman" w:cs="Times New Roman"/>
          <w:b/>
          <w:color w:val="28333D"/>
          <w:sz w:val="24"/>
          <w:szCs w:val="24"/>
          <w:highlight w:val="white"/>
        </w:rPr>
      </w:pPr>
      <w:r>
        <w:rPr>
          <w:rFonts w:ascii="Times New Roman" w:eastAsia="Times New Roman" w:hAnsi="Times New Roman" w:cs="Times New Roman"/>
          <w:b/>
          <w:color w:val="28333D"/>
          <w:sz w:val="24"/>
          <w:szCs w:val="24"/>
          <w:highlight w:val="white"/>
        </w:rPr>
        <w:t>REFERENCES</w:t>
      </w:r>
    </w:p>
    <w:p w14:paraId="7C5C5DB0" w14:textId="77777777" w:rsidR="002148A8" w:rsidRPr="002148A8" w:rsidRDefault="002148A8">
      <w:pPr>
        <w:spacing w:after="0" w:line="240" w:lineRule="auto"/>
        <w:ind w:left="720" w:hanging="720"/>
        <w:jc w:val="both"/>
        <w:rPr>
          <w:rFonts w:ascii="Times New Roman" w:eastAsia="Times New Roman" w:hAnsi="Times New Roman" w:cs="Times New Roman"/>
          <w:sz w:val="24"/>
          <w:szCs w:val="24"/>
        </w:rPr>
      </w:pPr>
      <w:r w:rsidRPr="002148A8">
        <w:rPr>
          <w:rFonts w:ascii="Times New Roman" w:eastAsia="Times New Roman" w:hAnsi="Times New Roman" w:cs="Times New Roman"/>
          <w:sz w:val="24"/>
          <w:szCs w:val="24"/>
        </w:rPr>
        <w:t xml:space="preserve">Achmad, T., </w:t>
      </w:r>
      <w:proofErr w:type="spellStart"/>
      <w:r w:rsidRPr="002148A8">
        <w:rPr>
          <w:rFonts w:ascii="Times New Roman" w:eastAsia="Times New Roman" w:hAnsi="Times New Roman" w:cs="Times New Roman"/>
          <w:sz w:val="24"/>
          <w:szCs w:val="24"/>
        </w:rPr>
        <w:t>Ghozali</w:t>
      </w:r>
      <w:proofErr w:type="spellEnd"/>
      <w:r w:rsidRPr="002148A8">
        <w:rPr>
          <w:rFonts w:ascii="Times New Roman" w:eastAsia="Times New Roman" w:hAnsi="Times New Roman" w:cs="Times New Roman"/>
          <w:sz w:val="24"/>
          <w:szCs w:val="24"/>
        </w:rPr>
        <w:t xml:space="preserve">, I., &amp; </w:t>
      </w:r>
      <w:proofErr w:type="spellStart"/>
      <w:r w:rsidRPr="002148A8">
        <w:rPr>
          <w:rFonts w:ascii="Times New Roman" w:eastAsia="Times New Roman" w:hAnsi="Times New Roman" w:cs="Times New Roman"/>
          <w:sz w:val="24"/>
          <w:szCs w:val="24"/>
        </w:rPr>
        <w:t>Pamungkas</w:t>
      </w:r>
      <w:proofErr w:type="spellEnd"/>
      <w:r w:rsidRPr="002148A8">
        <w:rPr>
          <w:rFonts w:ascii="Times New Roman" w:eastAsia="Times New Roman" w:hAnsi="Times New Roman" w:cs="Times New Roman"/>
          <w:sz w:val="24"/>
          <w:szCs w:val="24"/>
        </w:rPr>
        <w:t xml:space="preserve">, I. D. (2022). Hexagon fraud: Detection of fraudulent financial reporting in state-owned enterprises Indonesia. </w:t>
      </w:r>
      <w:r w:rsidRPr="002148A8">
        <w:rPr>
          <w:rFonts w:ascii="Times New Roman" w:eastAsia="Times New Roman" w:hAnsi="Times New Roman" w:cs="Times New Roman"/>
          <w:i/>
          <w:sz w:val="24"/>
          <w:szCs w:val="24"/>
        </w:rPr>
        <w:t>Economies</w:t>
      </w:r>
      <w:r w:rsidRPr="002148A8">
        <w:rPr>
          <w:rFonts w:ascii="Times New Roman" w:eastAsia="Times New Roman" w:hAnsi="Times New Roman" w:cs="Times New Roman"/>
          <w:sz w:val="24"/>
          <w:szCs w:val="24"/>
        </w:rPr>
        <w:t>,</w:t>
      </w:r>
      <w:r w:rsidRPr="002148A8">
        <w:rPr>
          <w:rFonts w:ascii="Times New Roman" w:eastAsia="Times New Roman" w:hAnsi="Times New Roman" w:cs="Times New Roman"/>
          <w:i/>
          <w:sz w:val="24"/>
          <w:szCs w:val="24"/>
        </w:rPr>
        <w:t xml:space="preserve"> 10</w:t>
      </w:r>
      <w:r w:rsidRPr="002148A8">
        <w:rPr>
          <w:rFonts w:ascii="Times New Roman" w:eastAsia="Times New Roman" w:hAnsi="Times New Roman" w:cs="Times New Roman"/>
          <w:sz w:val="24"/>
          <w:szCs w:val="24"/>
        </w:rPr>
        <w:t xml:space="preserve">(1), 13. </w:t>
      </w:r>
    </w:p>
    <w:p w14:paraId="7E8330A1" w14:textId="77777777" w:rsidR="002148A8" w:rsidRPr="002148A8" w:rsidRDefault="002148A8">
      <w:pPr>
        <w:spacing w:after="0" w:line="240" w:lineRule="auto"/>
        <w:ind w:left="720" w:hanging="720"/>
        <w:jc w:val="both"/>
        <w:rPr>
          <w:rFonts w:ascii="Times New Roman" w:eastAsia="Times New Roman" w:hAnsi="Times New Roman" w:cs="Times New Roman"/>
          <w:sz w:val="24"/>
          <w:szCs w:val="24"/>
        </w:rPr>
      </w:pPr>
      <w:r w:rsidRPr="002148A8">
        <w:rPr>
          <w:rFonts w:ascii="Times New Roman" w:eastAsia="Times New Roman" w:hAnsi="Times New Roman" w:cs="Times New Roman"/>
          <w:sz w:val="24"/>
          <w:szCs w:val="24"/>
        </w:rPr>
        <w:t xml:space="preserve">Beasley, M. S. (1996). An empirical analysis of the relation between the board of director composition and financial statement fraud. </w:t>
      </w:r>
      <w:r w:rsidRPr="002148A8">
        <w:rPr>
          <w:rFonts w:ascii="Times New Roman" w:eastAsia="Times New Roman" w:hAnsi="Times New Roman" w:cs="Times New Roman"/>
          <w:i/>
          <w:sz w:val="24"/>
          <w:szCs w:val="24"/>
        </w:rPr>
        <w:t>Accounting Review</w:t>
      </w:r>
      <w:r w:rsidRPr="002148A8">
        <w:rPr>
          <w:rFonts w:ascii="Times New Roman" w:eastAsia="Times New Roman" w:hAnsi="Times New Roman" w:cs="Times New Roman"/>
          <w:sz w:val="24"/>
          <w:szCs w:val="24"/>
        </w:rPr>
        <w:t xml:space="preserve">, 443-465. </w:t>
      </w:r>
    </w:p>
    <w:p w14:paraId="09ED8EE5" w14:textId="77777777" w:rsidR="002148A8" w:rsidRPr="002148A8" w:rsidRDefault="002148A8">
      <w:pPr>
        <w:spacing w:after="0" w:line="240" w:lineRule="auto"/>
        <w:ind w:left="720" w:hanging="720"/>
        <w:jc w:val="both"/>
        <w:rPr>
          <w:rFonts w:ascii="Times New Roman" w:eastAsia="Times New Roman" w:hAnsi="Times New Roman" w:cs="Times New Roman"/>
          <w:sz w:val="24"/>
          <w:szCs w:val="24"/>
        </w:rPr>
      </w:pPr>
      <w:r w:rsidRPr="002148A8">
        <w:rPr>
          <w:rFonts w:ascii="Times New Roman" w:eastAsia="Times New Roman" w:hAnsi="Times New Roman" w:cs="Times New Roman"/>
          <w:sz w:val="24"/>
          <w:szCs w:val="24"/>
        </w:rPr>
        <w:t xml:space="preserve">Bell, T. B., &amp; </w:t>
      </w:r>
      <w:proofErr w:type="spellStart"/>
      <w:r w:rsidRPr="002148A8">
        <w:rPr>
          <w:rFonts w:ascii="Times New Roman" w:eastAsia="Times New Roman" w:hAnsi="Times New Roman" w:cs="Times New Roman"/>
          <w:sz w:val="24"/>
          <w:szCs w:val="24"/>
        </w:rPr>
        <w:t>Carcello</w:t>
      </w:r>
      <w:proofErr w:type="spellEnd"/>
      <w:r w:rsidRPr="002148A8">
        <w:rPr>
          <w:rFonts w:ascii="Times New Roman" w:eastAsia="Times New Roman" w:hAnsi="Times New Roman" w:cs="Times New Roman"/>
          <w:sz w:val="24"/>
          <w:szCs w:val="24"/>
        </w:rPr>
        <w:t xml:space="preserve">, J. V. (2000). A decision aid for assessing the likelihood of fraudulent financial reporting. </w:t>
      </w:r>
      <w:r w:rsidRPr="002148A8">
        <w:rPr>
          <w:rFonts w:ascii="Times New Roman" w:eastAsia="Times New Roman" w:hAnsi="Times New Roman" w:cs="Times New Roman"/>
          <w:i/>
          <w:sz w:val="24"/>
          <w:szCs w:val="24"/>
        </w:rPr>
        <w:t>Auditing: A Journal of Practice &amp; Theory</w:t>
      </w:r>
      <w:r w:rsidRPr="002148A8">
        <w:rPr>
          <w:rFonts w:ascii="Times New Roman" w:eastAsia="Times New Roman" w:hAnsi="Times New Roman" w:cs="Times New Roman"/>
          <w:sz w:val="24"/>
          <w:szCs w:val="24"/>
        </w:rPr>
        <w:t>,</w:t>
      </w:r>
      <w:r w:rsidRPr="002148A8">
        <w:rPr>
          <w:rFonts w:ascii="Times New Roman" w:eastAsia="Times New Roman" w:hAnsi="Times New Roman" w:cs="Times New Roman"/>
          <w:i/>
          <w:sz w:val="24"/>
          <w:szCs w:val="24"/>
        </w:rPr>
        <w:t xml:space="preserve"> 19</w:t>
      </w:r>
      <w:r w:rsidRPr="002148A8">
        <w:rPr>
          <w:rFonts w:ascii="Times New Roman" w:eastAsia="Times New Roman" w:hAnsi="Times New Roman" w:cs="Times New Roman"/>
          <w:sz w:val="24"/>
          <w:szCs w:val="24"/>
        </w:rPr>
        <w:t xml:space="preserve">(1), 169-184. </w:t>
      </w:r>
    </w:p>
    <w:p w14:paraId="798FAB26" w14:textId="77777777" w:rsidR="002148A8" w:rsidRPr="002148A8" w:rsidRDefault="002148A8">
      <w:pPr>
        <w:spacing w:after="0" w:line="240" w:lineRule="auto"/>
        <w:ind w:left="720" w:hanging="720"/>
        <w:jc w:val="both"/>
        <w:rPr>
          <w:rFonts w:ascii="Times New Roman" w:eastAsia="Times New Roman" w:hAnsi="Times New Roman" w:cs="Times New Roman"/>
          <w:sz w:val="24"/>
          <w:szCs w:val="24"/>
        </w:rPr>
      </w:pPr>
      <w:proofErr w:type="spellStart"/>
      <w:r w:rsidRPr="002148A8">
        <w:rPr>
          <w:rFonts w:ascii="Times New Roman" w:eastAsia="Times New Roman" w:hAnsi="Times New Roman" w:cs="Times New Roman"/>
          <w:sz w:val="24"/>
          <w:szCs w:val="24"/>
        </w:rPr>
        <w:t>Beneish</w:t>
      </w:r>
      <w:proofErr w:type="spellEnd"/>
      <w:r w:rsidRPr="002148A8">
        <w:rPr>
          <w:rFonts w:ascii="Times New Roman" w:eastAsia="Times New Roman" w:hAnsi="Times New Roman" w:cs="Times New Roman"/>
          <w:sz w:val="24"/>
          <w:szCs w:val="24"/>
        </w:rPr>
        <w:t xml:space="preserve">, M. D. (1999). The detection of earnings manipulation. </w:t>
      </w:r>
      <w:r w:rsidRPr="002148A8">
        <w:rPr>
          <w:rFonts w:ascii="Times New Roman" w:eastAsia="Times New Roman" w:hAnsi="Times New Roman" w:cs="Times New Roman"/>
          <w:i/>
          <w:sz w:val="24"/>
          <w:szCs w:val="24"/>
        </w:rPr>
        <w:t>Financial Analysts Journal</w:t>
      </w:r>
      <w:r w:rsidRPr="002148A8">
        <w:rPr>
          <w:rFonts w:ascii="Times New Roman" w:eastAsia="Times New Roman" w:hAnsi="Times New Roman" w:cs="Times New Roman"/>
          <w:sz w:val="24"/>
          <w:szCs w:val="24"/>
        </w:rPr>
        <w:t>,</w:t>
      </w:r>
      <w:r w:rsidRPr="002148A8">
        <w:rPr>
          <w:rFonts w:ascii="Times New Roman" w:eastAsia="Times New Roman" w:hAnsi="Times New Roman" w:cs="Times New Roman"/>
          <w:i/>
          <w:sz w:val="24"/>
          <w:szCs w:val="24"/>
        </w:rPr>
        <w:t xml:space="preserve"> 55</w:t>
      </w:r>
      <w:r w:rsidRPr="002148A8">
        <w:rPr>
          <w:rFonts w:ascii="Times New Roman" w:eastAsia="Times New Roman" w:hAnsi="Times New Roman" w:cs="Times New Roman"/>
          <w:sz w:val="24"/>
          <w:szCs w:val="24"/>
        </w:rPr>
        <w:t xml:space="preserve">(5), 24-36. </w:t>
      </w:r>
    </w:p>
    <w:p w14:paraId="17A5C758" w14:textId="77777777" w:rsidR="002148A8" w:rsidRPr="002148A8" w:rsidRDefault="002148A8">
      <w:pPr>
        <w:spacing w:after="0" w:line="240" w:lineRule="auto"/>
        <w:ind w:left="720" w:hanging="720"/>
        <w:jc w:val="both"/>
        <w:rPr>
          <w:rFonts w:ascii="Times New Roman" w:eastAsia="Times New Roman" w:hAnsi="Times New Roman" w:cs="Times New Roman"/>
          <w:sz w:val="24"/>
          <w:szCs w:val="24"/>
        </w:rPr>
      </w:pPr>
      <w:r w:rsidRPr="002148A8">
        <w:rPr>
          <w:rFonts w:ascii="Times New Roman" w:eastAsia="Times New Roman" w:hAnsi="Times New Roman" w:cs="Times New Roman"/>
          <w:sz w:val="24"/>
          <w:szCs w:val="24"/>
        </w:rPr>
        <w:t xml:space="preserve">Cressey, D. R. (1953). Other people's money; a study of the social psychology of embezzlement. </w:t>
      </w:r>
    </w:p>
    <w:p w14:paraId="4DDD3C3B" w14:textId="77777777" w:rsidR="002148A8" w:rsidRPr="002148A8" w:rsidRDefault="002148A8">
      <w:pPr>
        <w:spacing w:after="0" w:line="240" w:lineRule="auto"/>
        <w:ind w:left="720" w:hanging="720"/>
        <w:jc w:val="both"/>
        <w:rPr>
          <w:rFonts w:ascii="Times New Roman" w:eastAsia="Times New Roman" w:hAnsi="Times New Roman" w:cs="Times New Roman"/>
          <w:sz w:val="24"/>
          <w:szCs w:val="24"/>
        </w:rPr>
      </w:pPr>
      <w:r w:rsidRPr="002148A8">
        <w:rPr>
          <w:rFonts w:ascii="Times New Roman" w:eastAsia="Times New Roman" w:hAnsi="Times New Roman" w:cs="Times New Roman"/>
          <w:sz w:val="24"/>
          <w:szCs w:val="24"/>
          <w:lang w:val="de-DE"/>
        </w:rPr>
        <w:t xml:space="preserve">Davidson, R., Goodwin‐Stewart, J., &amp; Kent, P. (2005). </w:t>
      </w:r>
      <w:r w:rsidRPr="002148A8">
        <w:rPr>
          <w:rFonts w:ascii="Times New Roman" w:eastAsia="Times New Roman" w:hAnsi="Times New Roman" w:cs="Times New Roman"/>
          <w:sz w:val="24"/>
          <w:szCs w:val="24"/>
        </w:rPr>
        <w:t xml:space="preserve">Internal governance structures and earnings management. </w:t>
      </w:r>
      <w:r w:rsidRPr="002148A8">
        <w:rPr>
          <w:rFonts w:ascii="Times New Roman" w:eastAsia="Times New Roman" w:hAnsi="Times New Roman" w:cs="Times New Roman"/>
          <w:i/>
          <w:sz w:val="24"/>
          <w:szCs w:val="24"/>
        </w:rPr>
        <w:t>Accounting &amp; Finance</w:t>
      </w:r>
      <w:r w:rsidRPr="002148A8">
        <w:rPr>
          <w:rFonts w:ascii="Times New Roman" w:eastAsia="Times New Roman" w:hAnsi="Times New Roman" w:cs="Times New Roman"/>
          <w:sz w:val="24"/>
          <w:szCs w:val="24"/>
        </w:rPr>
        <w:t>,</w:t>
      </w:r>
      <w:r w:rsidRPr="002148A8">
        <w:rPr>
          <w:rFonts w:ascii="Times New Roman" w:eastAsia="Times New Roman" w:hAnsi="Times New Roman" w:cs="Times New Roman"/>
          <w:i/>
          <w:sz w:val="24"/>
          <w:szCs w:val="24"/>
        </w:rPr>
        <w:t xml:space="preserve"> 45</w:t>
      </w:r>
      <w:r w:rsidRPr="002148A8">
        <w:rPr>
          <w:rFonts w:ascii="Times New Roman" w:eastAsia="Times New Roman" w:hAnsi="Times New Roman" w:cs="Times New Roman"/>
          <w:sz w:val="24"/>
          <w:szCs w:val="24"/>
        </w:rPr>
        <w:t xml:space="preserve">(2), 241-267. </w:t>
      </w:r>
      <w:hyperlink r:id="rId214">
        <w:r w:rsidRPr="002148A8">
          <w:rPr>
            <w:rFonts w:ascii="Times New Roman" w:eastAsia="Times New Roman" w:hAnsi="Times New Roman" w:cs="Times New Roman"/>
            <w:sz w:val="24"/>
            <w:szCs w:val="24"/>
          </w:rPr>
          <w:t>https://doi.org/https://doi.org/10.1111/j.1467-629x.2004.00132.x</w:t>
        </w:r>
      </w:hyperlink>
      <w:r w:rsidRPr="002148A8">
        <w:rPr>
          <w:rFonts w:ascii="Times New Roman" w:eastAsia="Times New Roman" w:hAnsi="Times New Roman" w:cs="Times New Roman"/>
          <w:sz w:val="24"/>
          <w:szCs w:val="24"/>
        </w:rPr>
        <w:t xml:space="preserve"> </w:t>
      </w:r>
    </w:p>
    <w:p w14:paraId="3B5C854A" w14:textId="77777777" w:rsidR="002148A8" w:rsidRPr="002148A8" w:rsidRDefault="002148A8">
      <w:pPr>
        <w:spacing w:after="0" w:line="240" w:lineRule="auto"/>
        <w:ind w:left="720" w:hanging="720"/>
        <w:jc w:val="both"/>
        <w:rPr>
          <w:rFonts w:ascii="Times New Roman" w:eastAsia="Times New Roman" w:hAnsi="Times New Roman" w:cs="Times New Roman"/>
          <w:sz w:val="24"/>
          <w:szCs w:val="24"/>
        </w:rPr>
      </w:pPr>
      <w:r w:rsidRPr="002148A8">
        <w:rPr>
          <w:rFonts w:ascii="Times New Roman" w:eastAsia="Times New Roman" w:hAnsi="Times New Roman" w:cs="Times New Roman"/>
          <w:sz w:val="24"/>
          <w:szCs w:val="24"/>
        </w:rPr>
        <w:lastRenderedPageBreak/>
        <w:t xml:space="preserve">Dechow, P. M., Ge, W., Larson, C. R., &amp; Sloan, R. G. (2011). Predicting material accounting misstatements. </w:t>
      </w:r>
      <w:r w:rsidRPr="002148A8">
        <w:rPr>
          <w:rFonts w:ascii="Times New Roman" w:eastAsia="Times New Roman" w:hAnsi="Times New Roman" w:cs="Times New Roman"/>
          <w:i/>
          <w:sz w:val="24"/>
          <w:szCs w:val="24"/>
        </w:rPr>
        <w:t>Contemporary Accounting Research</w:t>
      </w:r>
      <w:r w:rsidRPr="002148A8">
        <w:rPr>
          <w:rFonts w:ascii="Times New Roman" w:eastAsia="Times New Roman" w:hAnsi="Times New Roman" w:cs="Times New Roman"/>
          <w:sz w:val="24"/>
          <w:szCs w:val="24"/>
        </w:rPr>
        <w:t>,</w:t>
      </w:r>
      <w:r w:rsidRPr="002148A8">
        <w:rPr>
          <w:rFonts w:ascii="Times New Roman" w:eastAsia="Times New Roman" w:hAnsi="Times New Roman" w:cs="Times New Roman"/>
          <w:i/>
          <w:sz w:val="24"/>
          <w:szCs w:val="24"/>
        </w:rPr>
        <w:t xml:space="preserve"> 28</w:t>
      </w:r>
      <w:r w:rsidRPr="002148A8">
        <w:rPr>
          <w:rFonts w:ascii="Times New Roman" w:eastAsia="Times New Roman" w:hAnsi="Times New Roman" w:cs="Times New Roman"/>
          <w:sz w:val="24"/>
          <w:szCs w:val="24"/>
        </w:rPr>
        <w:t xml:space="preserve">(1), 17-82. </w:t>
      </w:r>
    </w:p>
    <w:p w14:paraId="67724A43" w14:textId="77777777" w:rsidR="002148A8" w:rsidRPr="002148A8" w:rsidRDefault="002148A8">
      <w:pPr>
        <w:spacing w:after="0" w:line="240" w:lineRule="auto"/>
        <w:ind w:left="720" w:hanging="720"/>
        <w:jc w:val="both"/>
        <w:rPr>
          <w:rFonts w:ascii="Times New Roman" w:eastAsia="Times New Roman" w:hAnsi="Times New Roman" w:cs="Times New Roman"/>
          <w:sz w:val="24"/>
          <w:szCs w:val="24"/>
        </w:rPr>
      </w:pPr>
      <w:r w:rsidRPr="002148A8">
        <w:rPr>
          <w:rFonts w:ascii="Times New Roman" w:eastAsia="Times New Roman" w:hAnsi="Times New Roman" w:cs="Times New Roman"/>
          <w:sz w:val="24"/>
          <w:szCs w:val="24"/>
        </w:rPr>
        <w:t xml:space="preserve">Firth, M., Fung, P. M., &amp; Rui, O. M. (2007). Ownership, two-tier board structure, and the informativeness of earnings–Evidence from China. </w:t>
      </w:r>
      <w:r w:rsidRPr="002148A8">
        <w:rPr>
          <w:rFonts w:ascii="Times New Roman" w:eastAsia="Times New Roman" w:hAnsi="Times New Roman" w:cs="Times New Roman"/>
          <w:i/>
          <w:sz w:val="24"/>
          <w:szCs w:val="24"/>
        </w:rPr>
        <w:t>Journal of Accounting and Public Policy</w:t>
      </w:r>
      <w:r w:rsidRPr="002148A8">
        <w:rPr>
          <w:rFonts w:ascii="Times New Roman" w:eastAsia="Times New Roman" w:hAnsi="Times New Roman" w:cs="Times New Roman"/>
          <w:sz w:val="24"/>
          <w:szCs w:val="24"/>
        </w:rPr>
        <w:t>,</w:t>
      </w:r>
      <w:r w:rsidRPr="002148A8">
        <w:rPr>
          <w:rFonts w:ascii="Times New Roman" w:eastAsia="Times New Roman" w:hAnsi="Times New Roman" w:cs="Times New Roman"/>
          <w:i/>
          <w:sz w:val="24"/>
          <w:szCs w:val="24"/>
        </w:rPr>
        <w:t xml:space="preserve"> 26</w:t>
      </w:r>
      <w:r w:rsidRPr="002148A8">
        <w:rPr>
          <w:rFonts w:ascii="Times New Roman" w:eastAsia="Times New Roman" w:hAnsi="Times New Roman" w:cs="Times New Roman"/>
          <w:sz w:val="24"/>
          <w:szCs w:val="24"/>
        </w:rPr>
        <w:t xml:space="preserve">(4), 463-496. </w:t>
      </w:r>
    </w:p>
    <w:p w14:paraId="2697D923" w14:textId="77777777" w:rsidR="002148A8" w:rsidRPr="002148A8" w:rsidRDefault="002148A8">
      <w:pPr>
        <w:spacing w:after="0" w:line="240" w:lineRule="auto"/>
        <w:ind w:left="720" w:hanging="720"/>
        <w:jc w:val="both"/>
        <w:rPr>
          <w:rFonts w:ascii="Times New Roman" w:eastAsia="Times New Roman" w:hAnsi="Times New Roman" w:cs="Times New Roman"/>
          <w:sz w:val="24"/>
          <w:szCs w:val="24"/>
        </w:rPr>
      </w:pPr>
      <w:r w:rsidRPr="002148A8">
        <w:rPr>
          <w:rFonts w:ascii="Times New Roman" w:eastAsia="Times New Roman" w:hAnsi="Times New Roman" w:cs="Times New Roman"/>
          <w:sz w:val="24"/>
          <w:szCs w:val="24"/>
        </w:rPr>
        <w:t xml:space="preserve">Francis, J. R., &amp; Wang, D. (2008). The joint effect of investor protection and Big 4 audits on earnings quality around the world. </w:t>
      </w:r>
      <w:r w:rsidRPr="002148A8">
        <w:rPr>
          <w:rFonts w:ascii="Times New Roman" w:eastAsia="Times New Roman" w:hAnsi="Times New Roman" w:cs="Times New Roman"/>
          <w:i/>
          <w:sz w:val="24"/>
          <w:szCs w:val="24"/>
        </w:rPr>
        <w:t>Contemporary Accounting Research</w:t>
      </w:r>
      <w:r w:rsidRPr="002148A8">
        <w:rPr>
          <w:rFonts w:ascii="Times New Roman" w:eastAsia="Times New Roman" w:hAnsi="Times New Roman" w:cs="Times New Roman"/>
          <w:sz w:val="24"/>
          <w:szCs w:val="24"/>
        </w:rPr>
        <w:t>,</w:t>
      </w:r>
      <w:r w:rsidRPr="002148A8">
        <w:rPr>
          <w:rFonts w:ascii="Times New Roman" w:eastAsia="Times New Roman" w:hAnsi="Times New Roman" w:cs="Times New Roman"/>
          <w:i/>
          <w:sz w:val="24"/>
          <w:szCs w:val="24"/>
        </w:rPr>
        <w:t xml:space="preserve"> 25</w:t>
      </w:r>
      <w:r w:rsidRPr="002148A8">
        <w:rPr>
          <w:rFonts w:ascii="Times New Roman" w:eastAsia="Times New Roman" w:hAnsi="Times New Roman" w:cs="Times New Roman"/>
          <w:sz w:val="24"/>
          <w:szCs w:val="24"/>
        </w:rPr>
        <w:t xml:space="preserve">(1), 157-191. </w:t>
      </w:r>
    </w:p>
    <w:p w14:paraId="2A71E3AA" w14:textId="77777777" w:rsidR="002148A8" w:rsidRPr="002148A8" w:rsidRDefault="002148A8">
      <w:pPr>
        <w:spacing w:after="0" w:line="240" w:lineRule="auto"/>
        <w:ind w:left="720" w:hanging="720"/>
        <w:jc w:val="both"/>
        <w:rPr>
          <w:rFonts w:ascii="Times New Roman" w:eastAsia="Times New Roman" w:hAnsi="Times New Roman" w:cs="Times New Roman"/>
          <w:sz w:val="24"/>
          <w:szCs w:val="24"/>
        </w:rPr>
      </w:pPr>
      <w:r w:rsidRPr="002148A8">
        <w:rPr>
          <w:rFonts w:ascii="Times New Roman" w:eastAsia="Times New Roman" w:hAnsi="Times New Roman" w:cs="Times New Roman"/>
          <w:sz w:val="24"/>
          <w:szCs w:val="24"/>
        </w:rPr>
        <w:t xml:space="preserve">Kaminski, K. A., Sterling Wetzel, T., &amp; Guan, L. (2004). Can financial ratios detect fraudulent financial reporting? </w:t>
      </w:r>
      <w:r w:rsidRPr="002148A8">
        <w:rPr>
          <w:rFonts w:ascii="Times New Roman" w:eastAsia="Times New Roman" w:hAnsi="Times New Roman" w:cs="Times New Roman"/>
          <w:i/>
          <w:sz w:val="24"/>
          <w:szCs w:val="24"/>
        </w:rPr>
        <w:t>Managerial Auditing Journal</w:t>
      </w:r>
      <w:r w:rsidRPr="002148A8">
        <w:rPr>
          <w:rFonts w:ascii="Times New Roman" w:eastAsia="Times New Roman" w:hAnsi="Times New Roman" w:cs="Times New Roman"/>
          <w:sz w:val="24"/>
          <w:szCs w:val="24"/>
        </w:rPr>
        <w:t>,</w:t>
      </w:r>
      <w:r w:rsidRPr="002148A8">
        <w:rPr>
          <w:rFonts w:ascii="Times New Roman" w:eastAsia="Times New Roman" w:hAnsi="Times New Roman" w:cs="Times New Roman"/>
          <w:i/>
          <w:sz w:val="24"/>
          <w:szCs w:val="24"/>
        </w:rPr>
        <w:t xml:space="preserve"> 19</w:t>
      </w:r>
      <w:r w:rsidRPr="002148A8">
        <w:rPr>
          <w:rFonts w:ascii="Times New Roman" w:eastAsia="Times New Roman" w:hAnsi="Times New Roman" w:cs="Times New Roman"/>
          <w:sz w:val="24"/>
          <w:szCs w:val="24"/>
        </w:rPr>
        <w:t xml:space="preserve">(1), 15-28. </w:t>
      </w:r>
    </w:p>
    <w:p w14:paraId="6E37C354" w14:textId="77777777" w:rsidR="002148A8" w:rsidRPr="002148A8" w:rsidRDefault="002148A8">
      <w:pPr>
        <w:spacing w:after="0" w:line="240" w:lineRule="auto"/>
        <w:ind w:left="720" w:hanging="720"/>
        <w:jc w:val="both"/>
        <w:rPr>
          <w:rFonts w:ascii="Times New Roman" w:eastAsia="Times New Roman" w:hAnsi="Times New Roman" w:cs="Times New Roman"/>
          <w:sz w:val="24"/>
          <w:szCs w:val="24"/>
        </w:rPr>
      </w:pPr>
      <w:r w:rsidRPr="002148A8">
        <w:rPr>
          <w:rFonts w:ascii="Times New Roman" w:eastAsia="Times New Roman" w:hAnsi="Times New Roman" w:cs="Times New Roman"/>
          <w:sz w:val="24"/>
          <w:szCs w:val="24"/>
        </w:rPr>
        <w:t xml:space="preserve">Le, B., &amp; Moore, P. H. (2023). The impact of audit quality on earnings management and cost of equity capital: evidence from a developing market. </w:t>
      </w:r>
      <w:r w:rsidRPr="002148A8">
        <w:rPr>
          <w:rFonts w:ascii="Times New Roman" w:eastAsia="Times New Roman" w:hAnsi="Times New Roman" w:cs="Times New Roman"/>
          <w:i/>
          <w:sz w:val="24"/>
          <w:szCs w:val="24"/>
        </w:rPr>
        <w:t>Journal of Financial Reporting and Accounting</w:t>
      </w:r>
      <w:r w:rsidRPr="002148A8">
        <w:rPr>
          <w:rFonts w:ascii="Times New Roman" w:eastAsia="Times New Roman" w:hAnsi="Times New Roman" w:cs="Times New Roman"/>
          <w:sz w:val="24"/>
          <w:szCs w:val="24"/>
        </w:rPr>
        <w:t>,</w:t>
      </w:r>
      <w:r w:rsidRPr="002148A8">
        <w:rPr>
          <w:rFonts w:ascii="Times New Roman" w:eastAsia="Times New Roman" w:hAnsi="Times New Roman" w:cs="Times New Roman"/>
          <w:i/>
          <w:sz w:val="24"/>
          <w:szCs w:val="24"/>
        </w:rPr>
        <w:t xml:space="preserve"> 21</w:t>
      </w:r>
      <w:r w:rsidRPr="002148A8">
        <w:rPr>
          <w:rFonts w:ascii="Times New Roman" w:eastAsia="Times New Roman" w:hAnsi="Times New Roman" w:cs="Times New Roman"/>
          <w:sz w:val="24"/>
          <w:szCs w:val="24"/>
        </w:rPr>
        <w:t xml:space="preserve">(3), 695-728. </w:t>
      </w:r>
    </w:p>
    <w:p w14:paraId="6C4D4DCC" w14:textId="77777777" w:rsidR="002148A8" w:rsidRPr="002148A8" w:rsidRDefault="002148A8">
      <w:pPr>
        <w:spacing w:after="0" w:line="240" w:lineRule="auto"/>
        <w:ind w:left="720" w:hanging="720"/>
        <w:jc w:val="both"/>
        <w:rPr>
          <w:rFonts w:ascii="Times New Roman" w:eastAsia="Times New Roman" w:hAnsi="Times New Roman" w:cs="Times New Roman"/>
          <w:sz w:val="24"/>
          <w:szCs w:val="24"/>
        </w:rPr>
      </w:pPr>
      <w:r w:rsidRPr="002148A8">
        <w:rPr>
          <w:rFonts w:ascii="Times New Roman" w:eastAsia="Times New Roman" w:hAnsi="Times New Roman" w:cs="Times New Roman"/>
          <w:sz w:val="24"/>
          <w:szCs w:val="24"/>
        </w:rPr>
        <w:t xml:space="preserve">Lennox, C. (2000). Do companies successfully engage in opinion-shopping? Evidence from the UK. </w:t>
      </w:r>
      <w:r w:rsidRPr="002148A8">
        <w:rPr>
          <w:rFonts w:ascii="Times New Roman" w:eastAsia="Times New Roman" w:hAnsi="Times New Roman" w:cs="Times New Roman"/>
          <w:i/>
          <w:sz w:val="24"/>
          <w:szCs w:val="24"/>
        </w:rPr>
        <w:t>Journal of accounting and Economics</w:t>
      </w:r>
      <w:r w:rsidRPr="002148A8">
        <w:rPr>
          <w:rFonts w:ascii="Times New Roman" w:eastAsia="Times New Roman" w:hAnsi="Times New Roman" w:cs="Times New Roman"/>
          <w:sz w:val="24"/>
          <w:szCs w:val="24"/>
        </w:rPr>
        <w:t>,</w:t>
      </w:r>
      <w:r w:rsidRPr="002148A8">
        <w:rPr>
          <w:rFonts w:ascii="Times New Roman" w:eastAsia="Times New Roman" w:hAnsi="Times New Roman" w:cs="Times New Roman"/>
          <w:i/>
          <w:sz w:val="24"/>
          <w:szCs w:val="24"/>
        </w:rPr>
        <w:t xml:space="preserve"> 29</w:t>
      </w:r>
      <w:r w:rsidRPr="002148A8">
        <w:rPr>
          <w:rFonts w:ascii="Times New Roman" w:eastAsia="Times New Roman" w:hAnsi="Times New Roman" w:cs="Times New Roman"/>
          <w:sz w:val="24"/>
          <w:szCs w:val="24"/>
        </w:rPr>
        <w:t xml:space="preserve">(3), 321-337. </w:t>
      </w:r>
    </w:p>
    <w:p w14:paraId="6CAE74AE" w14:textId="77777777" w:rsidR="002148A8" w:rsidRPr="002148A8" w:rsidRDefault="002148A8">
      <w:pPr>
        <w:spacing w:after="0" w:line="240" w:lineRule="auto"/>
        <w:ind w:left="720" w:hanging="720"/>
        <w:jc w:val="both"/>
        <w:rPr>
          <w:rFonts w:ascii="Times New Roman" w:eastAsia="Times New Roman" w:hAnsi="Times New Roman" w:cs="Times New Roman"/>
          <w:sz w:val="24"/>
          <w:szCs w:val="24"/>
        </w:rPr>
      </w:pPr>
      <w:r w:rsidRPr="002148A8">
        <w:rPr>
          <w:rFonts w:ascii="Times New Roman" w:eastAsia="Times New Roman" w:hAnsi="Times New Roman" w:cs="Times New Roman"/>
          <w:sz w:val="24"/>
          <w:szCs w:val="24"/>
        </w:rPr>
        <w:t xml:space="preserve">Minh, N. L. T., &amp; Ai, T. H. (2022). Factors affecting the fraudulent financial statements of listed companies. </w:t>
      </w:r>
      <w:r w:rsidRPr="002148A8">
        <w:rPr>
          <w:rFonts w:ascii="Times New Roman" w:eastAsia="Times New Roman" w:hAnsi="Times New Roman" w:cs="Times New Roman"/>
          <w:i/>
          <w:sz w:val="24"/>
          <w:szCs w:val="24"/>
        </w:rPr>
        <w:t>In Research</w:t>
      </w:r>
      <w:r w:rsidRPr="002148A8">
        <w:rPr>
          <w:rFonts w:ascii="Times New Roman" w:eastAsia="Times New Roman" w:hAnsi="Times New Roman" w:cs="Times New Roman"/>
          <w:sz w:val="24"/>
          <w:szCs w:val="24"/>
        </w:rPr>
        <w:t xml:space="preserve">, 16. </w:t>
      </w:r>
    </w:p>
    <w:p w14:paraId="7BBF34DD" w14:textId="77777777" w:rsidR="002148A8" w:rsidRPr="002148A8" w:rsidRDefault="002148A8">
      <w:pPr>
        <w:spacing w:after="0" w:line="240" w:lineRule="auto"/>
        <w:ind w:left="720" w:hanging="720"/>
        <w:jc w:val="both"/>
        <w:rPr>
          <w:rFonts w:ascii="Times New Roman" w:eastAsia="Times New Roman" w:hAnsi="Times New Roman" w:cs="Times New Roman"/>
          <w:sz w:val="24"/>
          <w:szCs w:val="24"/>
        </w:rPr>
      </w:pPr>
      <w:r w:rsidRPr="002148A8">
        <w:rPr>
          <w:rFonts w:ascii="Times New Roman" w:eastAsia="Times New Roman" w:hAnsi="Times New Roman" w:cs="Times New Roman"/>
          <w:sz w:val="24"/>
          <w:szCs w:val="24"/>
        </w:rPr>
        <w:t xml:space="preserve">Nguyen, T. H., Huynh, V. S., &amp; Nguyen, T. D. (2018). Fraud of Financial Statements at Listed Enterprises on Ho Chi Minh City Securities Department. </w:t>
      </w:r>
      <w:r w:rsidRPr="002148A8">
        <w:rPr>
          <w:rFonts w:ascii="Times New Roman" w:eastAsia="Times New Roman" w:hAnsi="Times New Roman" w:cs="Times New Roman"/>
          <w:i/>
          <w:sz w:val="24"/>
          <w:szCs w:val="24"/>
        </w:rPr>
        <w:t>VNU Journal of Economics and Business</w:t>
      </w:r>
      <w:r w:rsidRPr="002148A8">
        <w:rPr>
          <w:rFonts w:ascii="Times New Roman" w:eastAsia="Times New Roman" w:hAnsi="Times New Roman" w:cs="Times New Roman"/>
          <w:sz w:val="24"/>
          <w:szCs w:val="24"/>
        </w:rPr>
        <w:t>,</w:t>
      </w:r>
      <w:r w:rsidRPr="002148A8">
        <w:rPr>
          <w:rFonts w:ascii="Times New Roman" w:eastAsia="Times New Roman" w:hAnsi="Times New Roman" w:cs="Times New Roman"/>
          <w:i/>
          <w:sz w:val="24"/>
          <w:szCs w:val="24"/>
        </w:rPr>
        <w:t xml:space="preserve"> 34</w:t>
      </w:r>
      <w:r w:rsidRPr="002148A8">
        <w:rPr>
          <w:rFonts w:ascii="Times New Roman" w:eastAsia="Times New Roman" w:hAnsi="Times New Roman" w:cs="Times New Roman"/>
          <w:sz w:val="24"/>
          <w:szCs w:val="24"/>
        </w:rPr>
        <w:t xml:space="preserve">(4). </w:t>
      </w:r>
    </w:p>
    <w:p w14:paraId="715BF3A6" w14:textId="77777777" w:rsidR="002148A8" w:rsidRPr="002148A8" w:rsidRDefault="002148A8">
      <w:pPr>
        <w:spacing w:after="0" w:line="240" w:lineRule="auto"/>
        <w:ind w:left="720" w:hanging="720"/>
        <w:jc w:val="both"/>
        <w:rPr>
          <w:rFonts w:ascii="Times New Roman" w:eastAsia="Times New Roman" w:hAnsi="Times New Roman" w:cs="Times New Roman"/>
          <w:sz w:val="24"/>
          <w:szCs w:val="24"/>
        </w:rPr>
      </w:pPr>
      <w:r w:rsidRPr="002148A8">
        <w:rPr>
          <w:rFonts w:ascii="Times New Roman" w:eastAsia="Times New Roman" w:hAnsi="Times New Roman" w:cs="Times New Roman"/>
          <w:sz w:val="24"/>
          <w:szCs w:val="24"/>
        </w:rPr>
        <w:t xml:space="preserve">Persons, O. S. (1995). Using financial statement data to identify factors associated with fraudulent financial reporting. </w:t>
      </w:r>
      <w:r w:rsidRPr="002148A8">
        <w:rPr>
          <w:rFonts w:ascii="Times New Roman" w:eastAsia="Times New Roman" w:hAnsi="Times New Roman" w:cs="Times New Roman"/>
          <w:i/>
          <w:sz w:val="24"/>
          <w:szCs w:val="24"/>
        </w:rPr>
        <w:t>Journal of Applied Business Research</w:t>
      </w:r>
      <w:r w:rsidRPr="002148A8">
        <w:rPr>
          <w:rFonts w:ascii="Times New Roman" w:eastAsia="Times New Roman" w:hAnsi="Times New Roman" w:cs="Times New Roman"/>
          <w:sz w:val="24"/>
          <w:szCs w:val="24"/>
        </w:rPr>
        <w:t>,</w:t>
      </w:r>
      <w:r w:rsidRPr="002148A8">
        <w:rPr>
          <w:rFonts w:ascii="Times New Roman" w:eastAsia="Times New Roman" w:hAnsi="Times New Roman" w:cs="Times New Roman"/>
          <w:i/>
          <w:sz w:val="24"/>
          <w:szCs w:val="24"/>
        </w:rPr>
        <w:t xml:space="preserve"> 11</w:t>
      </w:r>
      <w:r w:rsidRPr="002148A8">
        <w:rPr>
          <w:rFonts w:ascii="Times New Roman" w:eastAsia="Times New Roman" w:hAnsi="Times New Roman" w:cs="Times New Roman"/>
          <w:sz w:val="24"/>
          <w:szCs w:val="24"/>
        </w:rPr>
        <w:t xml:space="preserve">(3), 38. </w:t>
      </w:r>
    </w:p>
    <w:p w14:paraId="6F9F20C3" w14:textId="77777777" w:rsidR="002148A8" w:rsidRPr="002148A8" w:rsidRDefault="002148A8">
      <w:pPr>
        <w:spacing w:after="0" w:line="240" w:lineRule="auto"/>
        <w:ind w:left="720" w:hanging="720"/>
        <w:jc w:val="both"/>
        <w:rPr>
          <w:rFonts w:ascii="Times New Roman" w:eastAsia="Times New Roman" w:hAnsi="Times New Roman" w:cs="Times New Roman"/>
          <w:sz w:val="24"/>
          <w:szCs w:val="24"/>
        </w:rPr>
      </w:pPr>
      <w:proofErr w:type="spellStart"/>
      <w:r w:rsidRPr="002148A8">
        <w:rPr>
          <w:rFonts w:ascii="Times New Roman" w:eastAsia="Times New Roman" w:hAnsi="Times New Roman" w:cs="Times New Roman"/>
          <w:sz w:val="24"/>
          <w:szCs w:val="24"/>
        </w:rPr>
        <w:t>Rasyidah</w:t>
      </w:r>
      <w:proofErr w:type="spellEnd"/>
      <w:r w:rsidRPr="002148A8">
        <w:rPr>
          <w:rFonts w:ascii="Times New Roman" w:eastAsia="Times New Roman" w:hAnsi="Times New Roman" w:cs="Times New Roman"/>
          <w:sz w:val="24"/>
          <w:szCs w:val="24"/>
        </w:rPr>
        <w:t xml:space="preserve">, R., Anwar, A., &amp; Hamzah, H. (2024). Analysis of Detecting Potential Financial Statement Fraud in State-Owned Enterprises (SOEs) Using the Fraud Hexagon. </w:t>
      </w:r>
      <w:r w:rsidRPr="002148A8">
        <w:rPr>
          <w:rFonts w:ascii="Times New Roman" w:eastAsia="Times New Roman" w:hAnsi="Times New Roman" w:cs="Times New Roman"/>
          <w:i/>
          <w:sz w:val="24"/>
          <w:szCs w:val="24"/>
        </w:rPr>
        <w:t xml:space="preserve">Invoice: Journal </w:t>
      </w:r>
      <w:proofErr w:type="spellStart"/>
      <w:r w:rsidRPr="002148A8">
        <w:rPr>
          <w:rFonts w:ascii="Times New Roman" w:eastAsia="Times New Roman" w:hAnsi="Times New Roman" w:cs="Times New Roman"/>
          <w:i/>
          <w:sz w:val="24"/>
          <w:szCs w:val="24"/>
        </w:rPr>
        <w:t>Ilmu</w:t>
      </w:r>
      <w:proofErr w:type="spellEnd"/>
      <w:r w:rsidRPr="002148A8">
        <w:rPr>
          <w:rFonts w:ascii="Times New Roman" w:eastAsia="Times New Roman" w:hAnsi="Times New Roman" w:cs="Times New Roman"/>
          <w:i/>
          <w:sz w:val="24"/>
          <w:szCs w:val="24"/>
        </w:rPr>
        <w:t xml:space="preserve"> </w:t>
      </w:r>
      <w:proofErr w:type="spellStart"/>
      <w:r w:rsidRPr="002148A8">
        <w:rPr>
          <w:rFonts w:ascii="Times New Roman" w:eastAsia="Times New Roman" w:hAnsi="Times New Roman" w:cs="Times New Roman"/>
          <w:i/>
          <w:sz w:val="24"/>
          <w:szCs w:val="24"/>
        </w:rPr>
        <w:t>Akuntansi</w:t>
      </w:r>
      <w:proofErr w:type="spellEnd"/>
      <w:r w:rsidRPr="002148A8">
        <w:rPr>
          <w:rFonts w:ascii="Times New Roman" w:eastAsia="Times New Roman" w:hAnsi="Times New Roman" w:cs="Times New Roman"/>
          <w:sz w:val="24"/>
          <w:szCs w:val="24"/>
        </w:rPr>
        <w:t>,</w:t>
      </w:r>
      <w:r w:rsidRPr="002148A8">
        <w:rPr>
          <w:rFonts w:ascii="Times New Roman" w:eastAsia="Times New Roman" w:hAnsi="Times New Roman" w:cs="Times New Roman"/>
          <w:i/>
          <w:sz w:val="24"/>
          <w:szCs w:val="24"/>
        </w:rPr>
        <w:t xml:space="preserve"> 6</w:t>
      </w:r>
      <w:r w:rsidRPr="002148A8">
        <w:rPr>
          <w:rFonts w:ascii="Times New Roman" w:eastAsia="Times New Roman" w:hAnsi="Times New Roman" w:cs="Times New Roman"/>
          <w:sz w:val="24"/>
          <w:szCs w:val="24"/>
        </w:rPr>
        <w:t xml:space="preserve">(2), 278-290. </w:t>
      </w:r>
    </w:p>
    <w:p w14:paraId="46B8C39D" w14:textId="77777777" w:rsidR="002148A8" w:rsidRPr="002148A8" w:rsidRDefault="002148A8">
      <w:pPr>
        <w:spacing w:after="0" w:line="240" w:lineRule="auto"/>
        <w:ind w:left="720" w:hanging="720"/>
        <w:jc w:val="both"/>
        <w:rPr>
          <w:rFonts w:ascii="Times New Roman" w:eastAsia="Times New Roman" w:hAnsi="Times New Roman" w:cs="Times New Roman"/>
          <w:sz w:val="24"/>
          <w:szCs w:val="24"/>
        </w:rPr>
      </w:pPr>
      <w:r w:rsidRPr="002148A8">
        <w:rPr>
          <w:rFonts w:ascii="Times New Roman" w:eastAsia="Times New Roman" w:hAnsi="Times New Roman" w:cs="Times New Roman"/>
          <w:sz w:val="24"/>
          <w:szCs w:val="24"/>
        </w:rPr>
        <w:t xml:space="preserve">Rezaee, Z. (2005). Causes, consequences, and </w:t>
      </w:r>
      <w:proofErr w:type="spellStart"/>
      <w:r w:rsidRPr="002148A8">
        <w:rPr>
          <w:rFonts w:ascii="Times New Roman" w:eastAsia="Times New Roman" w:hAnsi="Times New Roman" w:cs="Times New Roman"/>
          <w:sz w:val="24"/>
          <w:szCs w:val="24"/>
        </w:rPr>
        <w:t>deterence</w:t>
      </w:r>
      <w:proofErr w:type="spellEnd"/>
      <w:r w:rsidRPr="002148A8">
        <w:rPr>
          <w:rFonts w:ascii="Times New Roman" w:eastAsia="Times New Roman" w:hAnsi="Times New Roman" w:cs="Times New Roman"/>
          <w:sz w:val="24"/>
          <w:szCs w:val="24"/>
        </w:rPr>
        <w:t xml:space="preserve"> of financial statement fraud. </w:t>
      </w:r>
      <w:r w:rsidRPr="002148A8">
        <w:rPr>
          <w:rFonts w:ascii="Times New Roman" w:eastAsia="Times New Roman" w:hAnsi="Times New Roman" w:cs="Times New Roman"/>
          <w:i/>
          <w:sz w:val="24"/>
          <w:szCs w:val="24"/>
        </w:rPr>
        <w:t>Critical Perspectives on Accounting</w:t>
      </w:r>
      <w:r w:rsidRPr="002148A8">
        <w:rPr>
          <w:rFonts w:ascii="Times New Roman" w:eastAsia="Times New Roman" w:hAnsi="Times New Roman" w:cs="Times New Roman"/>
          <w:sz w:val="24"/>
          <w:szCs w:val="24"/>
        </w:rPr>
        <w:t>,</w:t>
      </w:r>
      <w:r w:rsidRPr="002148A8">
        <w:rPr>
          <w:rFonts w:ascii="Times New Roman" w:eastAsia="Times New Roman" w:hAnsi="Times New Roman" w:cs="Times New Roman"/>
          <w:i/>
          <w:sz w:val="24"/>
          <w:szCs w:val="24"/>
        </w:rPr>
        <w:t xml:space="preserve"> 16</w:t>
      </w:r>
      <w:r w:rsidRPr="002148A8">
        <w:rPr>
          <w:rFonts w:ascii="Times New Roman" w:eastAsia="Times New Roman" w:hAnsi="Times New Roman" w:cs="Times New Roman"/>
          <w:sz w:val="24"/>
          <w:szCs w:val="24"/>
        </w:rPr>
        <w:t>(3), 277-298.</w:t>
      </w:r>
    </w:p>
    <w:p w14:paraId="393531BB" w14:textId="77777777" w:rsidR="002148A8" w:rsidRPr="002148A8" w:rsidRDefault="002148A8">
      <w:pPr>
        <w:spacing w:after="0" w:line="240" w:lineRule="auto"/>
        <w:ind w:left="720" w:hanging="720"/>
        <w:jc w:val="both"/>
        <w:rPr>
          <w:rFonts w:ascii="Times New Roman" w:eastAsia="Times New Roman" w:hAnsi="Times New Roman" w:cs="Times New Roman"/>
          <w:b/>
          <w:sz w:val="24"/>
          <w:szCs w:val="24"/>
          <w:highlight w:val="white"/>
        </w:rPr>
        <w:sectPr w:rsidR="002148A8" w:rsidRPr="002148A8" w:rsidSect="002148A8">
          <w:pgSz w:w="11906" w:h="16838"/>
          <w:pgMar w:top="1440" w:right="1440" w:bottom="1440" w:left="1440" w:header="708" w:footer="708" w:gutter="0"/>
          <w:cols w:space="720"/>
        </w:sectPr>
      </w:pPr>
      <w:r w:rsidRPr="002148A8">
        <w:rPr>
          <w:rFonts w:ascii="Times New Roman" w:eastAsia="Times New Roman" w:hAnsi="Times New Roman" w:cs="Times New Roman"/>
          <w:sz w:val="24"/>
          <w:szCs w:val="24"/>
        </w:rPr>
        <w:t xml:space="preserve">Skousen, C. J., Smith, K. R., &amp; Wright, C. J. (2009). Detecting and predicting financial statement fraud: The effectiveness of the fraud triangle and SAS No. 99. </w:t>
      </w:r>
      <w:r w:rsidRPr="002148A8">
        <w:rPr>
          <w:rFonts w:ascii="Times New Roman" w:eastAsia="Times New Roman" w:hAnsi="Times New Roman" w:cs="Times New Roman"/>
          <w:i/>
          <w:sz w:val="24"/>
          <w:szCs w:val="24"/>
        </w:rPr>
        <w:t>Corporate Governance and Firm Performance</w:t>
      </w:r>
      <w:r w:rsidRPr="002148A8">
        <w:rPr>
          <w:rFonts w:ascii="Times New Roman" w:eastAsia="Times New Roman" w:hAnsi="Times New Roman" w:cs="Times New Roman"/>
          <w:sz w:val="24"/>
          <w:szCs w:val="24"/>
        </w:rPr>
        <w:t xml:space="preserve"> (pp. 53-81). Emerald Group Publishing Limited.</w:t>
      </w:r>
    </w:p>
    <w:p w14:paraId="2BA57B02" w14:textId="77777777" w:rsidR="007373F6" w:rsidRDefault="00000000">
      <w:pPr>
        <w:pStyle w:val="Heading1"/>
      </w:pPr>
      <w:bookmarkStart w:id="112" w:name="_Toc211808168"/>
      <w:r>
        <w:lastRenderedPageBreak/>
        <w:t>Paper ID 73</w:t>
      </w:r>
      <w:bookmarkEnd w:id="112"/>
    </w:p>
    <w:p w14:paraId="066CD379" w14:textId="77777777" w:rsidR="007373F6" w:rsidRDefault="00000000">
      <w:pPr>
        <w:pStyle w:val="Heading2"/>
        <w:spacing w:after="0" w:line="240" w:lineRule="auto"/>
      </w:pPr>
      <w:bookmarkStart w:id="113" w:name="_Toc211808169"/>
      <w:r>
        <w:t>EFFECTIVENESS OF COMPENSATION COMMITTEES IN CANADIAN BANKS: AN ASSESSMENT OF BOARD GOVERNANCE DISCLOSURES</w:t>
      </w:r>
      <w:bookmarkEnd w:id="113"/>
    </w:p>
    <w:p w14:paraId="17F970F9" w14:textId="77777777" w:rsidR="007373F6" w:rsidRDefault="007373F6">
      <w:pPr>
        <w:spacing w:after="0" w:line="240" w:lineRule="auto"/>
        <w:jc w:val="center"/>
        <w:rPr>
          <w:rFonts w:ascii="Times New Roman" w:eastAsia="Times New Roman" w:hAnsi="Times New Roman" w:cs="Times New Roman"/>
          <w:b/>
          <w:sz w:val="26"/>
          <w:szCs w:val="26"/>
        </w:rPr>
      </w:pPr>
    </w:p>
    <w:p w14:paraId="576FB3C8" w14:textId="77777777" w:rsidR="007373F6" w:rsidRDefault="00000000">
      <w:pPr>
        <w:shd w:val="clear" w:color="auto" w:fill="FFFFFF"/>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 xml:space="preserve">Md. </w:t>
      </w:r>
      <w:proofErr w:type="spellStart"/>
      <w:r>
        <w:rPr>
          <w:rFonts w:ascii="Times New Roman" w:eastAsia="Times New Roman" w:hAnsi="Times New Roman" w:cs="Times New Roman"/>
          <w:b/>
          <w:color w:val="222222"/>
          <w:sz w:val="24"/>
          <w:szCs w:val="24"/>
        </w:rPr>
        <w:t>Bazlur</w:t>
      </w:r>
      <w:proofErr w:type="spellEnd"/>
      <w:r>
        <w:rPr>
          <w:rFonts w:ascii="Times New Roman" w:eastAsia="Times New Roman" w:hAnsi="Times New Roman" w:cs="Times New Roman"/>
          <w:b/>
          <w:color w:val="222222"/>
          <w:sz w:val="24"/>
          <w:szCs w:val="24"/>
        </w:rPr>
        <w:t xml:space="preserve"> Rahman*</w:t>
      </w:r>
      <w:r>
        <w:rPr>
          <w:rFonts w:ascii="Times New Roman" w:eastAsia="Times New Roman" w:hAnsi="Times New Roman" w:cs="Times New Roman"/>
          <w:color w:val="222222"/>
          <w:sz w:val="24"/>
          <w:szCs w:val="24"/>
        </w:rPr>
        <w:t>, Department of Marketing, University of Chittagong, Chittagong, Bangladesh (bazlur@cu.ac.bd)</w:t>
      </w:r>
    </w:p>
    <w:p w14:paraId="7350E9C0" w14:textId="77777777" w:rsidR="007373F6" w:rsidRDefault="00000000">
      <w:pPr>
        <w:shd w:val="clear" w:color="auto" w:fill="FFFFFF"/>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Dr. Mohammad Tayub Chowdhury</w:t>
      </w:r>
      <w:r>
        <w:rPr>
          <w:rFonts w:ascii="Times New Roman" w:eastAsia="Times New Roman" w:hAnsi="Times New Roman" w:cs="Times New Roman"/>
          <w:color w:val="222222"/>
          <w:sz w:val="24"/>
          <w:szCs w:val="24"/>
        </w:rPr>
        <w:t>, Department of Marketing, University of Chittagong, Chittagong, Bangladesh (proftayub@yahoo.com)</w:t>
      </w:r>
    </w:p>
    <w:p w14:paraId="022472C0" w14:textId="77777777" w:rsidR="007373F6" w:rsidRDefault="00000000">
      <w:pPr>
        <w:shd w:val="clear" w:color="auto" w:fill="FFFFFF"/>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Sadaka Tamanna</w:t>
      </w:r>
      <w:r>
        <w:rPr>
          <w:rFonts w:ascii="Times New Roman" w:eastAsia="Times New Roman" w:hAnsi="Times New Roman" w:cs="Times New Roman"/>
          <w:color w:val="222222"/>
          <w:sz w:val="24"/>
          <w:szCs w:val="24"/>
        </w:rPr>
        <w:t>, Department of Anthropology, University of Chittagong, Chittagong, Bangladesh (sadakatamanna@cu.ac.bd)</w:t>
      </w:r>
    </w:p>
    <w:p w14:paraId="4B52D6F0" w14:textId="77777777" w:rsidR="007373F6" w:rsidRDefault="007373F6">
      <w:pPr>
        <w:shd w:val="clear" w:color="auto" w:fill="FFFFFF"/>
        <w:jc w:val="center"/>
        <w:rPr>
          <w:rFonts w:ascii="Times New Roman" w:eastAsia="Times New Roman" w:hAnsi="Times New Roman" w:cs="Times New Roman"/>
          <w:color w:val="222222"/>
          <w:sz w:val="24"/>
          <w:szCs w:val="24"/>
        </w:rPr>
      </w:pPr>
    </w:p>
    <w:p w14:paraId="440C8EF4" w14:textId="77777777" w:rsidR="007373F6"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ABSTRACT</w:t>
      </w:r>
    </w:p>
    <w:p w14:paraId="30D50859"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aftermath of the 2008 financial crisis, particularly, the structure of bank executive compensation has received considerable attention due to its perceived contribution to the banking turbulence in North America. Consequently, recent policy changes and securities legislation in the US and Canada have re-focused attention on corporate governance to make executive pay more transparent and accountable. As a result, the existence of an executive compensation committee in board governance and its practical oversight functions became critical to corporate governance in financial institutions. Therefore, this paper aims to assess how the compensation committee effectively oversees compensation policies and functions in compliance with the new regulatory framework. To assess the status of efficiency and functionality, we have </w:t>
      </w:r>
      <w:proofErr w:type="spellStart"/>
      <w:r>
        <w:rPr>
          <w:rFonts w:ascii="Times New Roman" w:eastAsia="Times New Roman" w:hAnsi="Times New Roman" w:cs="Times New Roman"/>
          <w:sz w:val="24"/>
          <w:szCs w:val="24"/>
        </w:rPr>
        <w:t>analyzed</w:t>
      </w:r>
      <w:proofErr w:type="spellEnd"/>
      <w:r>
        <w:rPr>
          <w:rFonts w:ascii="Times New Roman" w:eastAsia="Times New Roman" w:hAnsi="Times New Roman" w:cs="Times New Roman"/>
          <w:sz w:val="24"/>
          <w:szCs w:val="24"/>
        </w:rPr>
        <w:t xml:space="preserve"> the compensation committees of the six largest Canadian banks from 2012 to 2022 using a qualitative analytical model that considers both procedural and compositional aspects. The assessment, carried out according to the content analysis method, which aims to give an "effectiveness rating", was based on checking for the presence (or absence), within the committees </w:t>
      </w:r>
      <w:proofErr w:type="spellStart"/>
      <w:r>
        <w:rPr>
          <w:rFonts w:ascii="Times New Roman" w:eastAsia="Times New Roman" w:hAnsi="Times New Roman" w:cs="Times New Roman"/>
          <w:sz w:val="24"/>
          <w:szCs w:val="24"/>
        </w:rPr>
        <w:t>analyzed</w:t>
      </w:r>
      <w:proofErr w:type="spellEnd"/>
      <w:r>
        <w:rPr>
          <w:rFonts w:ascii="Times New Roman" w:eastAsia="Times New Roman" w:hAnsi="Times New Roman" w:cs="Times New Roman"/>
          <w:sz w:val="24"/>
          <w:szCs w:val="24"/>
        </w:rPr>
        <w:t>, of the characteristics included in the qualitative model and selected assuming the existence of an "ideal compensation committee". We found that the degree of effectiveness of the Big Six banks increased considerably from year to year, while the effectiveness score of each bank's compensation committees also increased yearly. However, Canadian banks do not have separate committees that function solely for compensation governance. The committees perform other human resource-related functions in their compensation governance. The study results hold important implications for policymakers, regulators, governments, corporate boards, and shareholders, emphasizing the need for tailored policies to enhance corporate performance.</w:t>
      </w:r>
    </w:p>
    <w:p w14:paraId="77AE12C6" w14:textId="77777777" w:rsidR="007373F6" w:rsidRDefault="007373F6">
      <w:pPr>
        <w:spacing w:after="0" w:line="240" w:lineRule="auto"/>
        <w:jc w:val="both"/>
        <w:rPr>
          <w:rFonts w:ascii="Times New Roman" w:eastAsia="Times New Roman" w:hAnsi="Times New Roman" w:cs="Times New Roman"/>
          <w:sz w:val="24"/>
          <w:szCs w:val="24"/>
        </w:rPr>
      </w:pPr>
    </w:p>
    <w:p w14:paraId="6C132AF7" w14:textId="77777777" w:rsidR="007373F6" w:rsidRDefault="00000000">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Keywords: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Corporate Boards, Compensation Committee, Voluntary Disclosure, Committee Effectiveness, Canadian Banks, Regulation </w:t>
      </w:r>
    </w:p>
    <w:p w14:paraId="36643B72" w14:textId="77777777" w:rsidR="007373F6" w:rsidRDefault="007373F6">
      <w:pPr>
        <w:spacing w:after="0" w:line="240" w:lineRule="auto"/>
        <w:jc w:val="both"/>
        <w:rPr>
          <w:rFonts w:ascii="Times New Roman" w:eastAsia="Times New Roman" w:hAnsi="Times New Roman" w:cs="Times New Roman"/>
          <w:i/>
          <w:sz w:val="24"/>
          <w:szCs w:val="24"/>
        </w:rPr>
      </w:pPr>
    </w:p>
    <w:p w14:paraId="3E4945AD" w14:textId="77777777" w:rsidR="007373F6" w:rsidRDefault="00000000" w:rsidP="00856618">
      <w:pPr>
        <w:numPr>
          <w:ilvl w:val="0"/>
          <w:numId w:val="3"/>
        </w:numPr>
        <w:spacing w:after="120" w:line="240" w:lineRule="auto"/>
        <w:ind w:left="0" w:firstLine="0"/>
        <w:jc w:val="center"/>
        <w:rPr>
          <w:rFonts w:ascii="Times New Roman" w:eastAsia="Times New Roman" w:hAnsi="Times New Roman" w:cs="Times New Roman"/>
          <w:b/>
        </w:rPr>
      </w:pPr>
      <w:r>
        <w:rPr>
          <w:rFonts w:ascii="Times New Roman" w:eastAsia="Times New Roman" w:hAnsi="Times New Roman" w:cs="Times New Roman"/>
          <w:b/>
        </w:rPr>
        <w:t>INTRODUCTION</w:t>
      </w:r>
    </w:p>
    <w:p w14:paraId="1C02DFB5"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stability of the banking sector is a major concern of banking regulators, deposit insurers, and the public at large because of potential contagion across the financial sector and the possible consequent meltdown of the financial system, clearly manifested in the financial crisis of 2007-2009 (Bai &amp; </w:t>
      </w:r>
      <w:proofErr w:type="spellStart"/>
      <w:r>
        <w:rPr>
          <w:rFonts w:ascii="Times New Roman" w:eastAsia="Times New Roman" w:hAnsi="Times New Roman" w:cs="Times New Roman"/>
          <w:sz w:val="24"/>
          <w:szCs w:val="24"/>
        </w:rPr>
        <w:t>Elyasiani</w:t>
      </w:r>
      <w:proofErr w:type="spellEnd"/>
      <w:r>
        <w:rPr>
          <w:rFonts w:ascii="Times New Roman" w:eastAsia="Times New Roman" w:hAnsi="Times New Roman" w:cs="Times New Roman"/>
          <w:sz w:val="24"/>
          <w:szCs w:val="24"/>
        </w:rPr>
        <w:t xml:space="preserve">, 2013). Stability is the prerequisite for a bank’s performance, which includes the growth of asset value, net income, and total shareholder return while managing risks. Moreover, stability is the outcome of the integrated process of </w:t>
      </w:r>
      <w:r>
        <w:rPr>
          <w:rFonts w:ascii="Times New Roman" w:eastAsia="Times New Roman" w:hAnsi="Times New Roman" w:cs="Times New Roman"/>
          <w:sz w:val="24"/>
          <w:szCs w:val="24"/>
        </w:rPr>
        <w:lastRenderedPageBreak/>
        <w:t xml:space="preserve">governance, regulatory compliance, board oversight, and board committees’ effectiveness. Like other companies, financial institutions emphasize executive compensation as a major driver of strategic performance. As a result, a trend in substantially larger pay-for-performance sensitivities in the last 20 years contributed to the increasing trends of compensation (Bannister, Cho, &amp; Newman, 2010; </w:t>
      </w:r>
      <w:proofErr w:type="spellStart"/>
      <w:r>
        <w:rPr>
          <w:rFonts w:ascii="Times New Roman" w:eastAsia="Times New Roman" w:hAnsi="Times New Roman" w:cs="Times New Roman"/>
          <w:sz w:val="24"/>
          <w:szCs w:val="24"/>
        </w:rPr>
        <w:t>Harjoto</w:t>
      </w:r>
      <w:proofErr w:type="spellEnd"/>
      <w:r>
        <w:rPr>
          <w:rFonts w:ascii="Times New Roman" w:eastAsia="Times New Roman" w:hAnsi="Times New Roman" w:cs="Times New Roman"/>
          <w:sz w:val="24"/>
          <w:szCs w:val="24"/>
        </w:rPr>
        <w:t xml:space="preserve"> &amp; Mullineaux, 2003) while the wealth of the companies also increased considerably. Therefore, the more compensation is aligned with the bank’s performance, the more shareholders’ value is expected to increase.</w:t>
      </w:r>
    </w:p>
    <w:p w14:paraId="354CDEC6"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the contrary, the more alignment of compensation without effective governance leads to excessive risk-taking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which was evident in the financial crisis 2008. In the aftermath of the financial crisis, in particular, the structure of bank executive compensation has received much attention because of its perceived contribution to the banking turbulence. Consequently, recent policy changes and securities legislation in the US and Canada have re-focused attention on corporate governance to make executive pay more transparent and accountable (</w:t>
      </w:r>
      <w:proofErr w:type="spellStart"/>
      <w:r>
        <w:rPr>
          <w:rFonts w:ascii="Times New Roman" w:eastAsia="Times New Roman" w:hAnsi="Times New Roman" w:cs="Times New Roman"/>
          <w:sz w:val="24"/>
          <w:szCs w:val="24"/>
        </w:rPr>
        <w:t>Conyon</w:t>
      </w:r>
      <w:proofErr w:type="spellEnd"/>
      <w:r>
        <w:rPr>
          <w:rFonts w:ascii="Times New Roman" w:eastAsia="Times New Roman" w:hAnsi="Times New Roman" w:cs="Times New Roman"/>
          <w:sz w:val="24"/>
          <w:szCs w:val="24"/>
        </w:rPr>
        <w:t xml:space="preserve">, 2013). The Dodd-Frank Act 2010, for instance, arising in the wake of the financial crisis, is a big attempt to fix ‘too big to fail’ and other corporate governance problems. Among its many provisions, Dodd-Frank tries to give owners more control over executive pay and to make boards of directors and their compensation committees more independent and accountable. Moreover, the Sarbanes-Oxley Act 2002, the Financial Stability Board (FSB) guideline 2009, the Office of the Superintendent of Financial Institutions (OSFI) guidelines 2013, Basel Committee on Banking Supervision 2011, and the Securities Exchange Commission (SEC) Act show the importance of addressing compensation governance and needs to calibrate the calculation methods. These acts and guidelines also focus the attention of compensation committees of Canadian banks, emphasizing their roles and strategic importance and good practices related to executive pay. Furthermore, regulators provide detailed guidance on their compensation and operating procedures, which is necessary to carry out the compensation committee tasks consistently and efficiently. </w:t>
      </w:r>
    </w:p>
    <w:p w14:paraId="610B185C"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Based on these considerations, it was valuable to </w:t>
      </w:r>
      <w:proofErr w:type="spellStart"/>
      <w:r>
        <w:rPr>
          <w:rFonts w:ascii="Times New Roman" w:eastAsia="Times New Roman" w:hAnsi="Times New Roman" w:cs="Times New Roman"/>
          <w:sz w:val="24"/>
          <w:szCs w:val="24"/>
        </w:rPr>
        <w:t>analyze</w:t>
      </w:r>
      <w:proofErr w:type="spellEnd"/>
      <w:r>
        <w:rPr>
          <w:rFonts w:ascii="Times New Roman" w:eastAsia="Times New Roman" w:hAnsi="Times New Roman" w:cs="Times New Roman"/>
          <w:sz w:val="24"/>
          <w:szCs w:val="24"/>
        </w:rPr>
        <w:t xml:space="preserve"> the effectiveness of compensation governance in Canadian banks and the relationship between compensation governance effectiveness and risk. To this end, the research questions are the following:</w:t>
      </w:r>
    </w:p>
    <w:p w14:paraId="01B277BD"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RQ1. What are the requirements and the best practices for the compensation committee to be effective, i.e., is it possible to identify an “ideal” banking compensation committee?</w:t>
      </w:r>
    </w:p>
    <w:p w14:paraId="36A839DE"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RQ2. What is the degree of effectiveness of the committees in a sample of the big six Canadian banks?</w:t>
      </w:r>
    </w:p>
    <w:p w14:paraId="6EC0D9EE"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this paper, an analytical model was used to examine the compensation committee effectiveness, efficiency, and functionality of a sample of Canadian banks from 2012 to 2022. We found that the degree of effectiveness of the Big Six banks was considerably upward from year to year, while the effectiveness score of the compensation committees of each bank also increased every year. Also, the study results reveal that the Canadian banks do not have separate committees that function solely for compensation governance because the compensation committees perform other human resource-related functions in their compensation governance. This paper will be the first study to evaluate the effectiveness of compensation committees of Canadian banks, focusing on the regulations, guidelines, and best practices. The rest of the paper includes a review of previous research, the methodology of the study, empirical results, a discussion of overall and individual items of the model, a critical analysis, and a conclusion. </w:t>
      </w:r>
    </w:p>
    <w:p w14:paraId="77757FF6" w14:textId="77777777" w:rsidR="007373F6" w:rsidRDefault="007373F6" w:rsidP="002148A8">
      <w:pPr>
        <w:spacing w:after="0" w:line="240" w:lineRule="auto"/>
        <w:ind w:firstLine="426"/>
        <w:jc w:val="both"/>
        <w:rPr>
          <w:rFonts w:ascii="Times New Roman" w:eastAsia="Times New Roman" w:hAnsi="Times New Roman" w:cs="Times New Roman"/>
          <w:b/>
          <w:sz w:val="24"/>
          <w:szCs w:val="24"/>
        </w:rPr>
      </w:pPr>
    </w:p>
    <w:p w14:paraId="71BAEDFC" w14:textId="77777777" w:rsidR="007373F6" w:rsidRDefault="00000000" w:rsidP="00856618">
      <w:pPr>
        <w:numPr>
          <w:ilvl w:val="0"/>
          <w:numId w:val="3"/>
        </w:numPr>
        <w:spacing w:after="0" w:line="240" w:lineRule="auto"/>
        <w:ind w:left="0" w:firstLine="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LITERATURE REVIEW</w:t>
      </w:r>
    </w:p>
    <w:p w14:paraId="32D64C6D" w14:textId="77777777" w:rsidR="002148A8" w:rsidRDefault="002148A8" w:rsidP="002148A8">
      <w:pPr>
        <w:spacing w:after="0" w:line="240" w:lineRule="auto"/>
        <w:rPr>
          <w:rFonts w:ascii="Times New Roman" w:eastAsia="Times New Roman" w:hAnsi="Times New Roman" w:cs="Times New Roman"/>
          <w:b/>
          <w:sz w:val="24"/>
          <w:szCs w:val="24"/>
        </w:rPr>
      </w:pPr>
    </w:p>
    <w:p w14:paraId="2B48D2DC"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Numerous studies have demonstrated the alignment of executive compensation with company performance and risk, as well as the effectiveness of its governance. We reviewed </w:t>
      </w:r>
      <w:r>
        <w:rPr>
          <w:rFonts w:ascii="Times New Roman" w:eastAsia="Times New Roman" w:hAnsi="Times New Roman" w:cs="Times New Roman"/>
          <w:sz w:val="24"/>
          <w:szCs w:val="24"/>
        </w:rPr>
        <w:lastRenderedPageBreak/>
        <w:t xml:space="preserve">previous studies focusing on compensation governance, the components of an effective compensation committee, and the impact of compensation committee effectiveness on bank performance. </w:t>
      </w:r>
    </w:p>
    <w:p w14:paraId="23CE1492"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main purpose of the compensation contract is to reward executives so that they </w:t>
      </w:r>
      <w:proofErr w:type="spellStart"/>
      <w:r>
        <w:rPr>
          <w:rFonts w:ascii="Times New Roman" w:eastAsia="Times New Roman" w:hAnsi="Times New Roman" w:cs="Times New Roman"/>
          <w:sz w:val="24"/>
          <w:szCs w:val="24"/>
        </w:rPr>
        <w:t>endeavor</w:t>
      </w:r>
      <w:proofErr w:type="spellEnd"/>
      <w:r>
        <w:rPr>
          <w:rFonts w:ascii="Times New Roman" w:eastAsia="Times New Roman" w:hAnsi="Times New Roman" w:cs="Times New Roman"/>
          <w:sz w:val="24"/>
          <w:szCs w:val="24"/>
        </w:rPr>
        <w:t xml:space="preserve"> to maximize firm performance so that both executives and shareholders can meet their expectations (Zhou, Georgakopoulos, Sotiropoulos, &amp; Vasileiou, 2011). Similarly, Merchant and Van der Stede (2012) emphasized executive compensation as performance-based rewards that provide the impetus for aligning executives' natural self-interest with the organization's objectives. However, specific executive compensation structures and lack of compensation governance cause short-termism (myopia), which puts the company at risk. Bolton, </w:t>
      </w:r>
      <w:proofErr w:type="spellStart"/>
      <w:r>
        <w:rPr>
          <w:rFonts w:ascii="Times New Roman" w:eastAsia="Times New Roman" w:hAnsi="Times New Roman" w:cs="Times New Roman"/>
          <w:sz w:val="24"/>
          <w:szCs w:val="24"/>
        </w:rPr>
        <w:t>Scheinkman</w:t>
      </w:r>
      <w:proofErr w:type="spellEnd"/>
      <w:r>
        <w:rPr>
          <w:rFonts w:ascii="Times New Roman" w:eastAsia="Times New Roman" w:hAnsi="Times New Roman" w:cs="Times New Roman"/>
          <w:sz w:val="24"/>
          <w:szCs w:val="24"/>
        </w:rPr>
        <w:t xml:space="preserve">, and Xiong (2006) showed that optimal compensation contracts may emphasize short-term stock performance at the expense of long-run fundamental value as an incentive to induce executives to pursue actions that increase the speculative components in the stock price. On the other hand, many studies show that managers exhibit fewer instances of opportunistic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in firms with better governance. Better governance helps align the interests of managers and shareholders, boosting the firm's financial value and positively impacting the structure of managerial compensation (Acharya &amp; </w:t>
      </w:r>
      <w:proofErr w:type="spellStart"/>
      <w:r>
        <w:rPr>
          <w:rFonts w:ascii="Times New Roman" w:eastAsia="Times New Roman" w:hAnsi="Times New Roman" w:cs="Times New Roman"/>
          <w:sz w:val="24"/>
          <w:szCs w:val="24"/>
        </w:rPr>
        <w:t>Volpin</w:t>
      </w:r>
      <w:proofErr w:type="spellEnd"/>
      <w:r>
        <w:rPr>
          <w:rFonts w:ascii="Times New Roman" w:eastAsia="Times New Roman" w:hAnsi="Times New Roman" w:cs="Times New Roman"/>
          <w:sz w:val="24"/>
          <w:szCs w:val="24"/>
        </w:rPr>
        <w:t>, 2010). Moreover, in the case of banks, good governance allows such firms to "allocate capital efficiently and less likely to fail" (</w:t>
      </w:r>
      <w:proofErr w:type="spellStart"/>
      <w:r>
        <w:rPr>
          <w:rFonts w:ascii="Times New Roman" w:eastAsia="Times New Roman" w:hAnsi="Times New Roman" w:cs="Times New Roman"/>
          <w:sz w:val="24"/>
          <w:szCs w:val="24"/>
        </w:rPr>
        <w:t>Mullineux</w:t>
      </w:r>
      <w:proofErr w:type="spellEnd"/>
      <w:r>
        <w:rPr>
          <w:rFonts w:ascii="Times New Roman" w:eastAsia="Times New Roman" w:hAnsi="Times New Roman" w:cs="Times New Roman"/>
          <w:sz w:val="24"/>
          <w:szCs w:val="24"/>
        </w:rPr>
        <w:t xml:space="preserve">, 2006). Canadian banks, for instance, are regulated and well-protected sectors, making Canadians inclined to believe that a bank cannot fail (Breton &amp; Cote, 2006). </w:t>
      </w:r>
    </w:p>
    <w:p w14:paraId="33F7E5EE"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Among the variables of governance that most affect the drawing up of compensation policies, the compensation committees, responsible for the design, management, and monitoring of executive compensation, play a central role (Atti, </w:t>
      </w:r>
      <w:proofErr w:type="spellStart"/>
      <w:r>
        <w:rPr>
          <w:rFonts w:ascii="Times New Roman" w:eastAsia="Times New Roman" w:hAnsi="Times New Roman" w:cs="Times New Roman"/>
          <w:sz w:val="24"/>
          <w:szCs w:val="24"/>
        </w:rPr>
        <w:t>Intonti</w:t>
      </w:r>
      <w:proofErr w:type="spellEnd"/>
      <w:r>
        <w:rPr>
          <w:rFonts w:ascii="Times New Roman" w:eastAsia="Times New Roman" w:hAnsi="Times New Roman" w:cs="Times New Roman"/>
          <w:sz w:val="24"/>
          <w:szCs w:val="24"/>
        </w:rPr>
        <w:t xml:space="preserve">, &amp; Iannuzzi, 2013). Improving the quality of such bodies can positively influence the pay packages, especially regarding incentive schemes, mitigating agency problems, and increasing the alignment of interests between executives and shareholders. In turn, this circumstance is reflected positively in the firm's performance: if executive compensation can reduce agency costs, the company's financial performance can improve (Waweru, Gelinas, &amp; Uliana, 2009). These reflections are the primary motivation for several investigations into compensation committees in Canadian banks. However, a similar study was done on the effectiveness of compensation committees in European banks in 2013. Moreover, other studies on compensation committees focus primarily on Anglo-American and non-financial firms (Atti et al., 2013). </w:t>
      </w:r>
    </w:p>
    <w:p w14:paraId="483C9A7A"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first empirical studies, more specifically, on compensation committees date back to the 1990s (Atti, et al., 2013). The literature was first concentrated on the factors affecting the composition of committees (Kesner, 1988; Main &amp; Johnston, 1993; Bilimoria &amp; Pidert, 1994; Newman, 2000; </w:t>
      </w:r>
      <w:proofErr w:type="spellStart"/>
      <w:r>
        <w:rPr>
          <w:rFonts w:ascii="Times New Roman" w:eastAsia="Times New Roman" w:hAnsi="Times New Roman" w:cs="Times New Roman"/>
          <w:sz w:val="24"/>
          <w:szCs w:val="24"/>
        </w:rPr>
        <w:t>Vafeas</w:t>
      </w:r>
      <w:proofErr w:type="spellEnd"/>
      <w:r>
        <w:rPr>
          <w:rFonts w:ascii="Times New Roman" w:eastAsia="Times New Roman" w:hAnsi="Times New Roman" w:cs="Times New Roman"/>
          <w:sz w:val="24"/>
          <w:szCs w:val="24"/>
        </w:rPr>
        <w:t xml:space="preserve">, 2000; Carson, 2002) and how they affect the firm performance (Main &amp; Johnston, 1993; Klein, 1998; Weir &amp; Laing, 2000). On the other hand, some authors emphasized the efficiency of the committees, investigating the relationships between their relevant qualitative and quantitative characteristics, such as the percentage of participating independent directors (Cyert, Kang, Kumar, &amp; Shah, 1997; </w:t>
      </w:r>
      <w:proofErr w:type="spellStart"/>
      <w:r>
        <w:rPr>
          <w:rFonts w:ascii="Times New Roman" w:eastAsia="Times New Roman" w:hAnsi="Times New Roman" w:cs="Times New Roman"/>
          <w:sz w:val="24"/>
          <w:szCs w:val="24"/>
        </w:rPr>
        <w:t>Conyon</w:t>
      </w:r>
      <w:proofErr w:type="spellEnd"/>
      <w:r>
        <w:rPr>
          <w:rFonts w:ascii="Times New Roman" w:eastAsia="Times New Roman" w:hAnsi="Times New Roman" w:cs="Times New Roman"/>
          <w:sz w:val="24"/>
          <w:szCs w:val="24"/>
        </w:rPr>
        <w:t xml:space="preserve"> &amp; Peck, 1998; Anderson &amp; Bizjak, 2003; </w:t>
      </w:r>
      <w:proofErr w:type="spellStart"/>
      <w:r>
        <w:rPr>
          <w:rFonts w:ascii="Times New Roman" w:eastAsia="Times New Roman" w:hAnsi="Times New Roman" w:cs="Times New Roman"/>
          <w:sz w:val="24"/>
          <w:szCs w:val="24"/>
        </w:rPr>
        <w:t>Vafeas</w:t>
      </w:r>
      <w:proofErr w:type="spellEnd"/>
      <w:r>
        <w:rPr>
          <w:rFonts w:ascii="Times New Roman" w:eastAsia="Times New Roman" w:hAnsi="Times New Roman" w:cs="Times New Roman"/>
          <w:sz w:val="24"/>
          <w:szCs w:val="24"/>
        </w:rPr>
        <w:t xml:space="preserve">, 2003; </w:t>
      </w:r>
      <w:proofErr w:type="spellStart"/>
      <w:r>
        <w:rPr>
          <w:rFonts w:ascii="Times New Roman" w:eastAsia="Times New Roman" w:hAnsi="Times New Roman" w:cs="Times New Roman"/>
          <w:sz w:val="24"/>
          <w:szCs w:val="24"/>
        </w:rPr>
        <w:t>Conyon</w:t>
      </w:r>
      <w:proofErr w:type="spellEnd"/>
      <w:r>
        <w:rPr>
          <w:rFonts w:ascii="Times New Roman" w:eastAsia="Times New Roman" w:hAnsi="Times New Roman" w:cs="Times New Roman"/>
          <w:sz w:val="24"/>
          <w:szCs w:val="24"/>
        </w:rPr>
        <w:t xml:space="preserve"> &amp; He, 2004), or the audit committee members (</w:t>
      </w:r>
      <w:proofErr w:type="spellStart"/>
      <w:r>
        <w:rPr>
          <w:rFonts w:ascii="Times New Roman" w:eastAsia="Times New Roman" w:hAnsi="Times New Roman" w:cs="Times New Roman"/>
          <w:sz w:val="24"/>
          <w:szCs w:val="24"/>
        </w:rPr>
        <w:t>Hoitash</w:t>
      </w:r>
      <w:proofErr w:type="spellEnd"/>
      <w:r>
        <w:rPr>
          <w:rFonts w:ascii="Times New Roman" w:eastAsia="Times New Roman" w:hAnsi="Times New Roman" w:cs="Times New Roman"/>
          <w:sz w:val="24"/>
          <w:szCs w:val="24"/>
        </w:rPr>
        <w:t xml:space="preserve"> &amp; </w:t>
      </w:r>
      <w:proofErr w:type="spellStart"/>
      <w:r>
        <w:rPr>
          <w:rFonts w:ascii="Times New Roman" w:eastAsia="Times New Roman" w:hAnsi="Times New Roman" w:cs="Times New Roman"/>
          <w:sz w:val="24"/>
          <w:szCs w:val="24"/>
        </w:rPr>
        <w:t>Hoitash</w:t>
      </w:r>
      <w:proofErr w:type="spellEnd"/>
      <w:r>
        <w:rPr>
          <w:rFonts w:ascii="Times New Roman" w:eastAsia="Times New Roman" w:hAnsi="Times New Roman" w:cs="Times New Roman"/>
          <w:sz w:val="24"/>
          <w:szCs w:val="24"/>
        </w:rPr>
        <w:t xml:space="preserve">, 2009; Zheng &amp; Cullinan, 2010), and the collaboration with independent consultants (Sapp, 2008; Hermanson, Tompkins, </w:t>
      </w:r>
      <w:proofErr w:type="spellStart"/>
      <w:r>
        <w:rPr>
          <w:rFonts w:ascii="Times New Roman" w:eastAsia="Times New Roman" w:hAnsi="Times New Roman" w:cs="Times New Roman"/>
          <w:sz w:val="24"/>
          <w:szCs w:val="24"/>
        </w:rPr>
        <w:t>Veliyath</w:t>
      </w:r>
      <w:proofErr w:type="spellEnd"/>
      <w:r>
        <w:rPr>
          <w:rFonts w:ascii="Times New Roman" w:eastAsia="Times New Roman" w:hAnsi="Times New Roman" w:cs="Times New Roman"/>
          <w:sz w:val="24"/>
          <w:szCs w:val="24"/>
        </w:rPr>
        <w:t>, &amp; Ye, 2011). Literature also concentrates on the independence of the compensation committees with a majority of non-executive members of the committee (</w:t>
      </w:r>
      <w:proofErr w:type="spellStart"/>
      <w:r>
        <w:rPr>
          <w:rFonts w:ascii="Times New Roman" w:eastAsia="Times New Roman" w:hAnsi="Times New Roman" w:cs="Times New Roman"/>
          <w:sz w:val="24"/>
          <w:szCs w:val="24"/>
        </w:rPr>
        <w:t>Conyon</w:t>
      </w:r>
      <w:proofErr w:type="spellEnd"/>
      <w:r>
        <w:rPr>
          <w:rFonts w:ascii="Times New Roman" w:eastAsia="Times New Roman" w:hAnsi="Times New Roman" w:cs="Times New Roman"/>
          <w:sz w:val="24"/>
          <w:szCs w:val="24"/>
        </w:rPr>
        <w:t xml:space="preserve"> &amp; Peck, 1998; Newman &amp; Mozes, 1999; Bannister &amp; Newman, 2006; Piot, 2006). However, Daily, Johnson, </w:t>
      </w:r>
      <w:proofErr w:type="spellStart"/>
      <w:r>
        <w:rPr>
          <w:rFonts w:ascii="Times New Roman" w:eastAsia="Times New Roman" w:hAnsi="Times New Roman" w:cs="Times New Roman"/>
          <w:sz w:val="24"/>
          <w:szCs w:val="24"/>
        </w:rPr>
        <w:t>Ellstrand</w:t>
      </w:r>
      <w:proofErr w:type="spellEnd"/>
      <w:r>
        <w:rPr>
          <w:rFonts w:ascii="Times New Roman" w:eastAsia="Times New Roman" w:hAnsi="Times New Roman" w:cs="Times New Roman"/>
          <w:sz w:val="24"/>
          <w:szCs w:val="24"/>
        </w:rPr>
        <w:t xml:space="preserve">, and Dalton (1998), Anderson and Bizjak (2003), </w:t>
      </w:r>
      <w:proofErr w:type="spellStart"/>
      <w:r>
        <w:rPr>
          <w:rFonts w:ascii="Times New Roman" w:eastAsia="Times New Roman" w:hAnsi="Times New Roman" w:cs="Times New Roman"/>
          <w:sz w:val="24"/>
          <w:szCs w:val="24"/>
        </w:rPr>
        <w:t>Vafeas</w:t>
      </w:r>
      <w:proofErr w:type="spellEnd"/>
      <w:r>
        <w:rPr>
          <w:rFonts w:ascii="Times New Roman" w:eastAsia="Times New Roman" w:hAnsi="Times New Roman" w:cs="Times New Roman"/>
          <w:sz w:val="24"/>
          <w:szCs w:val="24"/>
        </w:rPr>
        <w:t xml:space="preserve"> (2003), </w:t>
      </w:r>
      <w:proofErr w:type="spellStart"/>
      <w:r>
        <w:rPr>
          <w:rFonts w:ascii="Times New Roman" w:eastAsia="Times New Roman" w:hAnsi="Times New Roman" w:cs="Times New Roman"/>
          <w:sz w:val="24"/>
          <w:szCs w:val="24"/>
        </w:rPr>
        <w:t>Conyon</w:t>
      </w:r>
      <w:proofErr w:type="spellEnd"/>
      <w:r>
        <w:rPr>
          <w:rFonts w:ascii="Times New Roman" w:eastAsia="Times New Roman" w:hAnsi="Times New Roman" w:cs="Times New Roman"/>
          <w:sz w:val="24"/>
          <w:szCs w:val="24"/>
        </w:rPr>
        <w:t xml:space="preserve"> (2006), and Smith (2011) found that the committee independence is not always significantly correlated with the level and structure of compensation for named executives. </w:t>
      </w:r>
    </w:p>
    <w:p w14:paraId="57FF0AF1"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Also, </w:t>
      </w:r>
      <w:proofErr w:type="spellStart"/>
      <w:r>
        <w:rPr>
          <w:rFonts w:ascii="Times New Roman" w:eastAsia="Times New Roman" w:hAnsi="Times New Roman" w:cs="Times New Roman"/>
          <w:sz w:val="24"/>
          <w:szCs w:val="24"/>
        </w:rPr>
        <w:t>Vafeas</w:t>
      </w:r>
      <w:proofErr w:type="spellEnd"/>
      <w:r>
        <w:rPr>
          <w:rFonts w:ascii="Times New Roman" w:eastAsia="Times New Roman" w:hAnsi="Times New Roman" w:cs="Times New Roman"/>
          <w:sz w:val="24"/>
          <w:szCs w:val="24"/>
        </w:rPr>
        <w:t xml:space="preserve"> (2000), Piot (2006), and Sun and Cahan (2009) mentioned that higher compensation committee quality is an important tool for reducing agency costs. On the other hand, Sun, Cahan, and Emanuel (2009), show that the quality of the compensation committees, measured using six committee metrics, is positively associated with a higher correlation between firm performance and executives' equity incentives. This result occurs because greater compensation committee efficiency improves incentive alignment, and as a consequence, rent extraction by the executives is likely to be reduced. Although a significant number of researches were conducted on the compensation committees' effectiveness in different sectors, and some research was also done on the governance issues of Canadian banks, no studies have been done on the effectiveness and governance of compensation committees of Canadian banks in the last ten years. This study, therefore, is unique in assessing the compensation committee effectiveness of Canadian banks and the impact of compensation committee effectiveness on the bank risk.</w:t>
      </w:r>
    </w:p>
    <w:p w14:paraId="6E53AA79" w14:textId="77777777" w:rsidR="007373F6" w:rsidRDefault="007373F6" w:rsidP="002148A8">
      <w:pPr>
        <w:spacing w:after="120" w:line="240" w:lineRule="auto"/>
        <w:ind w:firstLine="426"/>
        <w:jc w:val="both"/>
        <w:rPr>
          <w:rFonts w:ascii="Times New Roman" w:eastAsia="Times New Roman" w:hAnsi="Times New Roman" w:cs="Times New Roman"/>
          <w:b/>
          <w:sz w:val="24"/>
          <w:szCs w:val="24"/>
        </w:rPr>
      </w:pPr>
    </w:p>
    <w:p w14:paraId="1ABFC584" w14:textId="77777777" w:rsidR="007373F6" w:rsidRDefault="00000000" w:rsidP="00856618">
      <w:pPr>
        <w:numPr>
          <w:ilvl w:val="0"/>
          <w:numId w:val="3"/>
        </w:numPr>
        <w:spacing w:after="0" w:line="240" w:lineRule="auto"/>
        <w:ind w:left="0" w:firstLine="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METHODOLOGY</w:t>
      </w:r>
    </w:p>
    <w:p w14:paraId="63F2A504" w14:textId="77777777" w:rsidR="002148A8" w:rsidRDefault="002148A8" w:rsidP="002148A8">
      <w:pPr>
        <w:spacing w:after="0" w:line="240" w:lineRule="auto"/>
        <w:rPr>
          <w:rFonts w:ascii="Times New Roman" w:eastAsia="Times New Roman" w:hAnsi="Times New Roman" w:cs="Times New Roman"/>
          <w:b/>
          <w:sz w:val="24"/>
          <w:szCs w:val="24"/>
        </w:rPr>
      </w:pPr>
    </w:p>
    <w:p w14:paraId="4A091F9C"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study aims to answer the research questions: What are the requirements for the compensation committee to be effective; what is the degree of effectiveness of the committees in a sample of Canadian Banks, and is any impact of the committee effectiveness on the bank risk? The analysis of this study used the same approach as that taken by Sun et al. (2009). The study was carried out by elaborating a qualitative analysis model based on the recent regulations and guidelines that consider both the procedural and the compositional aspects of compensation committees (Carretta, Farina, &amp; Schwizer, 2010). We used the Analytical Model (Exhibit 1) formed by Atti et al. (2013) as a benchmark for assessing the effectiveness of the compensation committees of the six largest Canadian banks (Table 1). We selected these six banks for the most representation of data because they account for more than 90 percent of the total assets of the Canadian banking industry (Hyman, Pennycook, Vesey &amp; Williams, 2015).</w:t>
      </w:r>
    </w:p>
    <w:p w14:paraId="5B0E8886" w14:textId="77777777" w:rsidR="007373F6" w:rsidRDefault="00000000" w:rsidP="002148A8">
      <w:pPr>
        <w:spacing w:after="12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Furthermore, this study focuses on these six largest banks to obtain more meaningful and comparable results with other studies. This assessment, carried out according to the content analysis method (Krippendorf, 2004) which aims to give an “effectiveness rating”, was based on checking for the presence (or absence), within the committees </w:t>
      </w:r>
      <w:proofErr w:type="spellStart"/>
      <w:r>
        <w:rPr>
          <w:rFonts w:ascii="Times New Roman" w:eastAsia="Times New Roman" w:hAnsi="Times New Roman" w:cs="Times New Roman"/>
          <w:sz w:val="24"/>
          <w:szCs w:val="24"/>
        </w:rPr>
        <w:t>analyzed</w:t>
      </w:r>
      <w:proofErr w:type="spellEnd"/>
      <w:r>
        <w:rPr>
          <w:rFonts w:ascii="Times New Roman" w:eastAsia="Times New Roman" w:hAnsi="Times New Roman" w:cs="Times New Roman"/>
          <w:sz w:val="24"/>
          <w:szCs w:val="24"/>
        </w:rPr>
        <w:t>, of the characteristics included in the qualitative model and selected assuming the existence of an “ideal compensation committee”. We collected the required information for each bank from 2012 to 2022 because the banks adopted new standards and guidelines in recent years, which evolved after the financial crisis of 2008. The sources for the empirical analysis were the corporate documents published periodically by the intermediaries, e.g., annual reports, proxy circulars, and other disclosures.</w:t>
      </w:r>
    </w:p>
    <w:p w14:paraId="57986940" w14:textId="77777777" w:rsidR="007373F6" w:rsidRDefault="00000000">
      <w:pPr>
        <w:spacing w:after="0" w:line="240" w:lineRule="auto"/>
        <w:jc w:val="both"/>
        <w:rPr>
          <w:rFonts w:ascii="Times New Roman" w:eastAsia="Times New Roman" w:hAnsi="Times New Roman" w:cs="Times New Roman"/>
          <w:b/>
          <w:sz w:val="24"/>
          <w:szCs w:val="24"/>
        </w:rPr>
      </w:pPr>
      <w:r>
        <w:br w:type="page"/>
      </w:r>
    </w:p>
    <w:p w14:paraId="0D0A9DA9" w14:textId="7A94A9C0" w:rsidR="007373F6" w:rsidRDefault="00000000" w:rsidP="002148A8">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Table 1</w:t>
      </w:r>
      <w:r w:rsidR="002148A8">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 xml:space="preserve"> </w:t>
      </w:r>
      <w:r w:rsidRPr="002148A8">
        <w:rPr>
          <w:rFonts w:ascii="Times New Roman" w:eastAsia="Times New Roman" w:hAnsi="Times New Roman" w:cs="Times New Roman"/>
          <w:bCs/>
          <w:sz w:val="24"/>
          <w:szCs w:val="24"/>
        </w:rPr>
        <w:t>The Sample: Six Largest Canadian Banks by Total Market Capitalization in 2022</w:t>
      </w:r>
    </w:p>
    <w:tbl>
      <w:tblPr>
        <w:tblStyle w:val="afffff1"/>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823"/>
        <w:gridCol w:w="3193"/>
      </w:tblGrid>
      <w:tr w:rsidR="007373F6" w:rsidRPr="002148A8" w14:paraId="1C36D07D" w14:textId="77777777" w:rsidTr="002148A8">
        <w:trPr>
          <w:jc w:val="center"/>
        </w:trPr>
        <w:tc>
          <w:tcPr>
            <w:tcW w:w="3229" w:type="pct"/>
          </w:tcPr>
          <w:p w14:paraId="6B4F14F7" w14:textId="412E1A6D" w:rsidR="007373F6" w:rsidRPr="002148A8" w:rsidRDefault="00000000" w:rsidP="002148A8">
            <w:pPr>
              <w:spacing w:after="0" w:line="240" w:lineRule="auto"/>
              <w:jc w:val="center"/>
              <w:rPr>
                <w:rFonts w:ascii="Times New Roman" w:eastAsia="Times New Roman" w:hAnsi="Times New Roman" w:cs="Times New Roman"/>
                <w:b/>
                <w:bCs/>
                <w:sz w:val="24"/>
                <w:szCs w:val="24"/>
              </w:rPr>
            </w:pPr>
            <w:r w:rsidRPr="002148A8">
              <w:rPr>
                <w:rFonts w:ascii="Times New Roman" w:eastAsia="Times New Roman" w:hAnsi="Times New Roman" w:cs="Times New Roman"/>
                <w:b/>
                <w:bCs/>
                <w:sz w:val="24"/>
                <w:szCs w:val="24"/>
              </w:rPr>
              <w:t>Bank</w:t>
            </w:r>
          </w:p>
        </w:tc>
        <w:tc>
          <w:tcPr>
            <w:tcW w:w="1771" w:type="pct"/>
          </w:tcPr>
          <w:p w14:paraId="53E426E3" w14:textId="77777777" w:rsidR="007373F6" w:rsidRPr="002148A8" w:rsidRDefault="00000000" w:rsidP="002148A8">
            <w:pPr>
              <w:spacing w:after="0" w:line="240" w:lineRule="auto"/>
              <w:jc w:val="center"/>
              <w:rPr>
                <w:rFonts w:ascii="Times New Roman" w:eastAsia="Times New Roman" w:hAnsi="Times New Roman" w:cs="Times New Roman"/>
                <w:b/>
                <w:bCs/>
                <w:sz w:val="24"/>
                <w:szCs w:val="24"/>
              </w:rPr>
            </w:pPr>
            <w:r w:rsidRPr="002148A8">
              <w:rPr>
                <w:rFonts w:ascii="Times New Roman" w:eastAsia="Times New Roman" w:hAnsi="Times New Roman" w:cs="Times New Roman"/>
                <w:b/>
                <w:bCs/>
                <w:sz w:val="24"/>
                <w:szCs w:val="24"/>
              </w:rPr>
              <w:t>Market Capitalization as of June, 2022</w:t>
            </w:r>
          </w:p>
          <w:p w14:paraId="72B4C6AD" w14:textId="20B8AF27" w:rsidR="007373F6" w:rsidRPr="002148A8" w:rsidRDefault="00000000" w:rsidP="002148A8">
            <w:pPr>
              <w:spacing w:after="0" w:line="240" w:lineRule="auto"/>
              <w:jc w:val="center"/>
              <w:rPr>
                <w:rFonts w:ascii="Times New Roman" w:eastAsia="Times New Roman" w:hAnsi="Times New Roman" w:cs="Times New Roman"/>
                <w:b/>
                <w:bCs/>
                <w:sz w:val="24"/>
                <w:szCs w:val="24"/>
              </w:rPr>
            </w:pPr>
            <w:r w:rsidRPr="002148A8">
              <w:rPr>
                <w:rFonts w:ascii="Times New Roman" w:eastAsia="Times New Roman" w:hAnsi="Times New Roman" w:cs="Times New Roman"/>
                <w:b/>
                <w:bCs/>
                <w:sz w:val="24"/>
                <w:szCs w:val="24"/>
              </w:rPr>
              <w:t>(CAD$ in Billion)</w:t>
            </w:r>
          </w:p>
        </w:tc>
      </w:tr>
      <w:tr w:rsidR="007373F6" w14:paraId="719D5231" w14:textId="77777777" w:rsidTr="002148A8">
        <w:trPr>
          <w:jc w:val="center"/>
        </w:trPr>
        <w:tc>
          <w:tcPr>
            <w:tcW w:w="3229" w:type="pct"/>
          </w:tcPr>
          <w:p w14:paraId="7DE905C7"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Royal Bank of Canada (RBC)</w:t>
            </w:r>
          </w:p>
        </w:tc>
        <w:tc>
          <w:tcPr>
            <w:tcW w:w="1771" w:type="pct"/>
          </w:tcPr>
          <w:p w14:paraId="6F8F903C"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176.68</w:t>
            </w:r>
          </w:p>
        </w:tc>
      </w:tr>
      <w:tr w:rsidR="007373F6" w14:paraId="642A96B7" w14:textId="77777777" w:rsidTr="002148A8">
        <w:trPr>
          <w:jc w:val="center"/>
        </w:trPr>
        <w:tc>
          <w:tcPr>
            <w:tcW w:w="3229" w:type="pct"/>
          </w:tcPr>
          <w:p w14:paraId="3B672081"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Toronto Dominion Bank (TD)</w:t>
            </w:r>
          </w:p>
        </w:tc>
        <w:tc>
          <w:tcPr>
            <w:tcW w:w="1771" w:type="pct"/>
          </w:tcPr>
          <w:p w14:paraId="7E56D4B1"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153.52</w:t>
            </w:r>
          </w:p>
        </w:tc>
      </w:tr>
      <w:tr w:rsidR="007373F6" w14:paraId="31AD9CF4" w14:textId="77777777" w:rsidTr="002148A8">
        <w:trPr>
          <w:jc w:val="center"/>
        </w:trPr>
        <w:tc>
          <w:tcPr>
            <w:tcW w:w="3229" w:type="pct"/>
          </w:tcPr>
          <w:p w14:paraId="50E4D39B"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Bank of Nova Scotia (BNS)</w:t>
            </w:r>
          </w:p>
        </w:tc>
        <w:tc>
          <w:tcPr>
            <w:tcW w:w="1771" w:type="pct"/>
          </w:tcPr>
          <w:p w14:paraId="7596B513"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91.75</w:t>
            </w:r>
          </w:p>
        </w:tc>
      </w:tr>
      <w:tr w:rsidR="007373F6" w14:paraId="22D1A7BA" w14:textId="77777777" w:rsidTr="002148A8">
        <w:trPr>
          <w:jc w:val="center"/>
        </w:trPr>
        <w:tc>
          <w:tcPr>
            <w:tcW w:w="3229" w:type="pct"/>
          </w:tcPr>
          <w:p w14:paraId="6C6B0AA3"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Bank of Montreal (BMO)</w:t>
            </w:r>
          </w:p>
        </w:tc>
        <w:tc>
          <w:tcPr>
            <w:tcW w:w="1771" w:type="pct"/>
          </w:tcPr>
          <w:p w14:paraId="618412CA"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83.14</w:t>
            </w:r>
          </w:p>
        </w:tc>
      </w:tr>
      <w:tr w:rsidR="007373F6" w14:paraId="347ECDA9" w14:textId="77777777" w:rsidTr="002148A8">
        <w:trPr>
          <w:jc w:val="center"/>
        </w:trPr>
        <w:tc>
          <w:tcPr>
            <w:tcW w:w="3229" w:type="pct"/>
          </w:tcPr>
          <w:p w14:paraId="601C43F7"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Canadian Imperial Bank of Commerce (CIBC)</w:t>
            </w:r>
          </w:p>
        </w:tc>
        <w:tc>
          <w:tcPr>
            <w:tcW w:w="1771" w:type="pct"/>
          </w:tcPr>
          <w:p w14:paraId="376839D1"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56.46</w:t>
            </w:r>
          </w:p>
        </w:tc>
      </w:tr>
      <w:tr w:rsidR="007373F6" w14:paraId="24C8DBE0" w14:textId="77777777" w:rsidTr="002148A8">
        <w:trPr>
          <w:jc w:val="center"/>
        </w:trPr>
        <w:tc>
          <w:tcPr>
            <w:tcW w:w="3229" w:type="pct"/>
          </w:tcPr>
          <w:p w14:paraId="7FA491D9"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National Bank of Canada (NBC)</w:t>
            </w:r>
          </w:p>
        </w:tc>
        <w:tc>
          <w:tcPr>
            <w:tcW w:w="1771" w:type="pct"/>
          </w:tcPr>
          <w:p w14:paraId="677C40A5" w14:textId="34411E24"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28.38</w:t>
            </w:r>
          </w:p>
        </w:tc>
      </w:tr>
    </w:tbl>
    <w:p w14:paraId="48A7E35C"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Source: Trading economics</w:t>
      </w:r>
    </w:p>
    <w:p w14:paraId="6BCA2918" w14:textId="77777777" w:rsidR="007373F6" w:rsidRDefault="007373F6">
      <w:pPr>
        <w:spacing w:after="0" w:line="240" w:lineRule="auto"/>
        <w:jc w:val="both"/>
        <w:rPr>
          <w:rFonts w:ascii="Times New Roman" w:eastAsia="Times New Roman" w:hAnsi="Times New Roman" w:cs="Times New Roman"/>
          <w:sz w:val="24"/>
          <w:szCs w:val="24"/>
        </w:rPr>
      </w:pPr>
    </w:p>
    <w:p w14:paraId="45977468" w14:textId="77777777" w:rsidR="007373F6" w:rsidRDefault="00000000" w:rsidP="002148A8">
      <w:pPr>
        <w:spacing w:after="0" w:line="240" w:lineRule="auto"/>
        <w:ind w:firstLine="426"/>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The Analytical Model (Exhibit 1) consists of 21 items clustering into three broad areas related, respectively, to compensation committee composition, to their functional characteristics, and to disclosure of information provided by carrying out its functions.</w:t>
      </w:r>
    </w:p>
    <w:p w14:paraId="5E5988D4" w14:textId="77777777" w:rsidR="007373F6" w:rsidRDefault="007373F6">
      <w:pPr>
        <w:spacing w:after="0" w:line="240" w:lineRule="auto"/>
        <w:jc w:val="both"/>
        <w:rPr>
          <w:rFonts w:ascii="Times New Roman" w:eastAsia="Times New Roman" w:hAnsi="Times New Roman" w:cs="Times New Roman"/>
          <w:b/>
          <w:sz w:val="24"/>
          <w:szCs w:val="24"/>
        </w:rPr>
      </w:pPr>
    </w:p>
    <w:p w14:paraId="2BE31F0F" w14:textId="77777777" w:rsidR="007373F6" w:rsidRDefault="00000000" w:rsidP="00A40E81">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Exhibit 1: </w:t>
      </w:r>
      <w:r w:rsidRPr="002148A8">
        <w:rPr>
          <w:rFonts w:ascii="Times New Roman" w:eastAsia="Times New Roman" w:hAnsi="Times New Roman" w:cs="Times New Roman"/>
          <w:bCs/>
          <w:sz w:val="24"/>
          <w:szCs w:val="24"/>
        </w:rPr>
        <w:t>The Analytical Model</w:t>
      </w:r>
    </w:p>
    <w:p w14:paraId="432B4775" w14:textId="77777777" w:rsidR="007373F6" w:rsidRDefault="007373F6">
      <w:pPr>
        <w:spacing w:after="0" w:line="240" w:lineRule="auto"/>
        <w:jc w:val="both"/>
        <w:rPr>
          <w:rFonts w:ascii="Times New Roman" w:eastAsia="Times New Roman" w:hAnsi="Times New Roman" w:cs="Times New Roman"/>
          <w:b/>
          <w:sz w:val="24"/>
          <w:szCs w:val="24"/>
        </w:rPr>
      </w:pPr>
    </w:p>
    <w:tbl>
      <w:tblPr>
        <w:tblStyle w:val="afffff2"/>
        <w:tblW w:w="9242" w:type="dxa"/>
        <w:tblInd w:w="-108" w:type="dxa"/>
        <w:tblBorders>
          <w:top w:val="single" w:sz="4" w:space="0" w:color="auto"/>
          <w:bottom w:val="single" w:sz="4" w:space="0" w:color="auto"/>
          <w:insideH w:val="single" w:sz="4" w:space="0" w:color="auto"/>
        </w:tblBorders>
        <w:tblLayout w:type="fixed"/>
        <w:tblLook w:val="0400" w:firstRow="0" w:lastRow="0" w:firstColumn="0" w:lastColumn="0" w:noHBand="0" w:noVBand="1"/>
      </w:tblPr>
      <w:tblGrid>
        <w:gridCol w:w="4633"/>
        <w:gridCol w:w="4609"/>
      </w:tblGrid>
      <w:tr w:rsidR="007373F6" w:rsidRPr="002148A8" w14:paraId="7A3EC0C0" w14:textId="77777777" w:rsidTr="002148A8">
        <w:trPr>
          <w:tblHeader/>
        </w:trPr>
        <w:tc>
          <w:tcPr>
            <w:tcW w:w="4633" w:type="dxa"/>
          </w:tcPr>
          <w:p w14:paraId="6E613881" w14:textId="0DD54B4E" w:rsidR="007373F6" w:rsidRPr="002148A8" w:rsidRDefault="00000000" w:rsidP="002148A8">
            <w:pPr>
              <w:spacing w:after="0" w:line="240" w:lineRule="auto"/>
              <w:jc w:val="center"/>
              <w:rPr>
                <w:rFonts w:ascii="Times New Roman" w:eastAsia="Times New Roman" w:hAnsi="Times New Roman" w:cs="Times New Roman"/>
                <w:b/>
                <w:bCs/>
                <w:sz w:val="24"/>
                <w:szCs w:val="24"/>
              </w:rPr>
            </w:pPr>
            <w:r w:rsidRPr="002148A8">
              <w:rPr>
                <w:rFonts w:ascii="Times New Roman" w:eastAsia="Times New Roman" w:hAnsi="Times New Roman" w:cs="Times New Roman"/>
                <w:b/>
                <w:bCs/>
                <w:sz w:val="24"/>
                <w:szCs w:val="24"/>
              </w:rPr>
              <w:t>Items</w:t>
            </w:r>
          </w:p>
        </w:tc>
        <w:tc>
          <w:tcPr>
            <w:tcW w:w="4609" w:type="dxa"/>
          </w:tcPr>
          <w:p w14:paraId="22C1A760" w14:textId="77777777" w:rsidR="007373F6" w:rsidRPr="002148A8" w:rsidRDefault="00000000" w:rsidP="002148A8">
            <w:pPr>
              <w:spacing w:after="0" w:line="240" w:lineRule="auto"/>
              <w:jc w:val="center"/>
              <w:rPr>
                <w:rFonts w:ascii="Times New Roman" w:eastAsia="Times New Roman" w:hAnsi="Times New Roman" w:cs="Times New Roman"/>
                <w:b/>
                <w:bCs/>
                <w:sz w:val="24"/>
                <w:szCs w:val="24"/>
              </w:rPr>
            </w:pPr>
            <w:r w:rsidRPr="002148A8">
              <w:rPr>
                <w:rFonts w:ascii="Times New Roman" w:eastAsia="Times New Roman" w:hAnsi="Times New Roman" w:cs="Times New Roman"/>
                <w:b/>
                <w:bCs/>
                <w:sz w:val="24"/>
                <w:szCs w:val="24"/>
              </w:rPr>
              <w:t>Score Distribution</w:t>
            </w:r>
          </w:p>
        </w:tc>
      </w:tr>
      <w:tr w:rsidR="007373F6" w14:paraId="3B46907A" w14:textId="77777777" w:rsidTr="002148A8">
        <w:tc>
          <w:tcPr>
            <w:tcW w:w="4633" w:type="dxa"/>
          </w:tcPr>
          <w:p w14:paraId="54756C67"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Composition</w:t>
            </w:r>
          </w:p>
        </w:tc>
        <w:tc>
          <w:tcPr>
            <w:tcW w:w="4609" w:type="dxa"/>
          </w:tcPr>
          <w:p w14:paraId="37CC7F90" w14:textId="77777777" w:rsidR="007373F6" w:rsidRDefault="007373F6">
            <w:pPr>
              <w:spacing w:after="0" w:line="240" w:lineRule="auto"/>
              <w:jc w:val="both"/>
              <w:rPr>
                <w:rFonts w:ascii="Times New Roman" w:eastAsia="Times New Roman" w:hAnsi="Times New Roman" w:cs="Times New Roman"/>
                <w:sz w:val="24"/>
                <w:szCs w:val="24"/>
              </w:rPr>
            </w:pPr>
          </w:p>
        </w:tc>
      </w:tr>
      <w:tr w:rsidR="007373F6" w14:paraId="1432A01B" w14:textId="77777777" w:rsidTr="002148A8">
        <w:tc>
          <w:tcPr>
            <w:tcW w:w="4633" w:type="dxa"/>
          </w:tcPr>
          <w:p w14:paraId="1D217802"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Institution</w:t>
            </w:r>
          </w:p>
        </w:tc>
        <w:tc>
          <w:tcPr>
            <w:tcW w:w="4609" w:type="dxa"/>
          </w:tcPr>
          <w:p w14:paraId="2805967B"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if only Compensation Committee (CC)</w:t>
            </w:r>
          </w:p>
          <w:p w14:paraId="796AB789"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if committee performs other functions</w:t>
            </w:r>
          </w:p>
          <w:p w14:paraId="0E0FEE38"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 if absent</w:t>
            </w:r>
          </w:p>
        </w:tc>
      </w:tr>
      <w:tr w:rsidR="007373F6" w14:paraId="1939BB0D" w14:textId="77777777" w:rsidTr="002148A8">
        <w:tc>
          <w:tcPr>
            <w:tcW w:w="4633" w:type="dxa"/>
          </w:tcPr>
          <w:p w14:paraId="7534E367"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Year of Establishment</w:t>
            </w:r>
          </w:p>
        </w:tc>
        <w:tc>
          <w:tcPr>
            <w:tcW w:w="4609" w:type="dxa"/>
          </w:tcPr>
          <w:p w14:paraId="0904DE15"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if established since at least 2005</w:t>
            </w:r>
          </w:p>
          <w:p w14:paraId="1AC88241"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 if established after 2005</w:t>
            </w:r>
          </w:p>
        </w:tc>
      </w:tr>
      <w:tr w:rsidR="007373F6" w14:paraId="1CAE4E65" w14:textId="77777777" w:rsidTr="002148A8">
        <w:tc>
          <w:tcPr>
            <w:tcW w:w="4633" w:type="dxa"/>
          </w:tcPr>
          <w:p w14:paraId="56C9A77B"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Presence of independent directors</w:t>
            </w:r>
          </w:p>
        </w:tc>
        <w:tc>
          <w:tcPr>
            <w:tcW w:w="4609" w:type="dxa"/>
          </w:tcPr>
          <w:p w14:paraId="112AF7A6"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if all members are independent</w:t>
            </w:r>
          </w:p>
          <w:p w14:paraId="386B463D"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if independents &gt;50%</w:t>
            </w:r>
          </w:p>
          <w:p w14:paraId="06726F13"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0.5 if independents &lt;50%</w:t>
            </w:r>
          </w:p>
          <w:p w14:paraId="6F1BE85E"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 absence of independents</w:t>
            </w:r>
          </w:p>
        </w:tc>
      </w:tr>
      <w:tr w:rsidR="007373F6" w14:paraId="79146DD6" w14:textId="77777777" w:rsidTr="002148A8">
        <w:tc>
          <w:tcPr>
            <w:tcW w:w="4633" w:type="dxa"/>
          </w:tcPr>
          <w:p w14:paraId="66023010"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Presence of women</w:t>
            </w:r>
          </w:p>
        </w:tc>
        <w:tc>
          <w:tcPr>
            <w:tcW w:w="4609" w:type="dxa"/>
          </w:tcPr>
          <w:p w14:paraId="7CFAB891"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if there are two women or if the only</w:t>
            </w:r>
          </w:p>
          <w:p w14:paraId="39877BF3"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woman is also president of the CC</w:t>
            </w:r>
          </w:p>
          <w:p w14:paraId="1DAAFB10"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if only one woman</w:t>
            </w:r>
          </w:p>
          <w:p w14:paraId="436E49DD"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 if no women</w:t>
            </w:r>
          </w:p>
        </w:tc>
      </w:tr>
      <w:tr w:rsidR="007373F6" w14:paraId="00C78A55" w14:textId="77777777" w:rsidTr="002148A8">
        <w:tc>
          <w:tcPr>
            <w:tcW w:w="4633" w:type="dxa"/>
          </w:tcPr>
          <w:p w14:paraId="1FC6A0AE"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Odd composition</w:t>
            </w:r>
          </w:p>
        </w:tc>
        <w:tc>
          <w:tcPr>
            <w:tcW w:w="4609" w:type="dxa"/>
          </w:tcPr>
          <w:p w14:paraId="220F0975"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if total number of members is odd</w:t>
            </w:r>
          </w:p>
          <w:p w14:paraId="35EA839A"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 if total number of members is even</w:t>
            </w:r>
          </w:p>
        </w:tc>
      </w:tr>
      <w:tr w:rsidR="007373F6" w14:paraId="6E88DC15" w14:textId="77777777" w:rsidTr="002148A8">
        <w:tc>
          <w:tcPr>
            <w:tcW w:w="4633" w:type="dxa"/>
          </w:tcPr>
          <w:p w14:paraId="02129B20"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 Number of members (at least five)</w:t>
            </w:r>
          </w:p>
        </w:tc>
        <w:tc>
          <w:tcPr>
            <w:tcW w:w="4609" w:type="dxa"/>
          </w:tcPr>
          <w:p w14:paraId="1ED5CF9A"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if &gt; or = 5 members</w:t>
            </w:r>
          </w:p>
          <w:p w14:paraId="0B8A1609"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if &gt; or = 3 members</w:t>
            </w:r>
          </w:p>
          <w:p w14:paraId="4B7BFC3F"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 if &lt; 3 members</w:t>
            </w:r>
          </w:p>
        </w:tc>
      </w:tr>
      <w:tr w:rsidR="007373F6" w14:paraId="180772C6" w14:textId="77777777" w:rsidTr="002148A8">
        <w:tc>
          <w:tcPr>
            <w:tcW w:w="4633" w:type="dxa"/>
          </w:tcPr>
          <w:p w14:paraId="136FF609"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 Presence of at least one member with documented experience in management compensation (according to Resumes)</w:t>
            </w:r>
          </w:p>
        </w:tc>
        <w:tc>
          <w:tcPr>
            <w:tcW w:w="4609" w:type="dxa"/>
          </w:tcPr>
          <w:p w14:paraId="493E7A08"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if more than one member</w:t>
            </w:r>
          </w:p>
          <w:p w14:paraId="7CDC58AC"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if the item is present</w:t>
            </w:r>
          </w:p>
          <w:p w14:paraId="2C42C189"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 if absent</w:t>
            </w:r>
          </w:p>
        </w:tc>
      </w:tr>
      <w:tr w:rsidR="007373F6" w14:paraId="4AB714AF" w14:textId="77777777" w:rsidTr="002148A8">
        <w:tc>
          <w:tcPr>
            <w:tcW w:w="4633" w:type="dxa"/>
          </w:tcPr>
          <w:p w14:paraId="70CACCC6"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Procedural Aspects</w:t>
            </w:r>
          </w:p>
        </w:tc>
        <w:tc>
          <w:tcPr>
            <w:tcW w:w="4609" w:type="dxa"/>
          </w:tcPr>
          <w:p w14:paraId="2F1EC6A3" w14:textId="77777777" w:rsidR="007373F6" w:rsidRDefault="007373F6">
            <w:pPr>
              <w:spacing w:after="0" w:line="240" w:lineRule="auto"/>
              <w:jc w:val="both"/>
              <w:rPr>
                <w:rFonts w:ascii="Times New Roman" w:eastAsia="Times New Roman" w:hAnsi="Times New Roman" w:cs="Times New Roman"/>
                <w:sz w:val="24"/>
                <w:szCs w:val="24"/>
              </w:rPr>
            </w:pPr>
          </w:p>
        </w:tc>
      </w:tr>
      <w:tr w:rsidR="007373F6" w14:paraId="7327DD45" w14:textId="77777777" w:rsidTr="002148A8">
        <w:tc>
          <w:tcPr>
            <w:tcW w:w="4633" w:type="dxa"/>
          </w:tcPr>
          <w:p w14:paraId="6CA163A0"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 Extent of decision-making powers (two criteria: (a) all forms of compensation and (b) all participants (administrators, risk takers, control functions, etc.)</w:t>
            </w:r>
          </w:p>
        </w:tc>
        <w:tc>
          <w:tcPr>
            <w:tcW w:w="4609" w:type="dxa"/>
          </w:tcPr>
          <w:p w14:paraId="0677DA1A"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if both criteria are present</w:t>
            </w:r>
          </w:p>
          <w:p w14:paraId="3EF6DD5B"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if only one criterion is present</w:t>
            </w:r>
          </w:p>
          <w:p w14:paraId="1F96B198"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 if both criteria are absent</w:t>
            </w:r>
          </w:p>
        </w:tc>
      </w:tr>
      <w:tr w:rsidR="007373F6" w14:paraId="75E61311" w14:textId="77777777" w:rsidTr="002148A8">
        <w:tc>
          <w:tcPr>
            <w:tcW w:w="4633" w:type="dxa"/>
          </w:tcPr>
          <w:p w14:paraId="5B60A417"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 Board supervises executive compensation decisions (checks proportionality of compensation)</w:t>
            </w:r>
          </w:p>
        </w:tc>
        <w:tc>
          <w:tcPr>
            <w:tcW w:w="4609" w:type="dxa"/>
          </w:tcPr>
          <w:p w14:paraId="2583E24B"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if the item is present</w:t>
            </w:r>
          </w:p>
          <w:p w14:paraId="4F8D2C37"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 if absent</w:t>
            </w:r>
          </w:p>
        </w:tc>
      </w:tr>
      <w:tr w:rsidR="007373F6" w14:paraId="70A7E96D" w14:textId="77777777" w:rsidTr="002148A8">
        <w:tc>
          <w:tcPr>
            <w:tcW w:w="4633" w:type="dxa"/>
          </w:tcPr>
          <w:p w14:paraId="16767242"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10. Collaboration with an independent professional advisor (i.e. external consultants should not provide similar services to the human resources department or to the board)</w:t>
            </w:r>
          </w:p>
        </w:tc>
        <w:tc>
          <w:tcPr>
            <w:tcW w:w="4609" w:type="dxa"/>
          </w:tcPr>
          <w:p w14:paraId="590A03D9"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if the item is present</w:t>
            </w:r>
          </w:p>
          <w:p w14:paraId="70428CAC"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if present but not indication of independence</w:t>
            </w:r>
          </w:p>
          <w:p w14:paraId="441B9174"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 if absent</w:t>
            </w:r>
          </w:p>
        </w:tc>
      </w:tr>
      <w:tr w:rsidR="007373F6" w14:paraId="74CE6CB3" w14:textId="77777777" w:rsidTr="002148A8">
        <w:tc>
          <w:tcPr>
            <w:tcW w:w="4633" w:type="dxa"/>
          </w:tcPr>
          <w:p w14:paraId="74B2F614"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 Periodical review (at least annual) of compensation policy and its implementation</w:t>
            </w:r>
          </w:p>
        </w:tc>
        <w:tc>
          <w:tcPr>
            <w:tcW w:w="4609" w:type="dxa"/>
          </w:tcPr>
          <w:p w14:paraId="1097444C"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if the item is present</w:t>
            </w:r>
          </w:p>
          <w:p w14:paraId="1623C1CC"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 if absent</w:t>
            </w:r>
          </w:p>
        </w:tc>
      </w:tr>
      <w:tr w:rsidR="007373F6" w14:paraId="215521DE" w14:textId="77777777" w:rsidTr="002148A8">
        <w:tc>
          <w:tcPr>
            <w:tcW w:w="4633" w:type="dxa"/>
          </w:tcPr>
          <w:p w14:paraId="2E2CF4B5"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 Attendance at the annual general meeting</w:t>
            </w:r>
          </w:p>
        </w:tc>
        <w:tc>
          <w:tcPr>
            <w:tcW w:w="4609" w:type="dxa"/>
          </w:tcPr>
          <w:p w14:paraId="0DB489F7"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if the item is present</w:t>
            </w:r>
          </w:p>
          <w:p w14:paraId="621D83C6"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 if absent</w:t>
            </w:r>
          </w:p>
        </w:tc>
      </w:tr>
      <w:tr w:rsidR="007373F6" w14:paraId="4B3D439F" w14:textId="77777777" w:rsidTr="002148A8">
        <w:tc>
          <w:tcPr>
            <w:tcW w:w="4633" w:type="dxa"/>
          </w:tcPr>
          <w:p w14:paraId="5A00FA71"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 Adoption of internal rules</w:t>
            </w:r>
          </w:p>
        </w:tc>
        <w:tc>
          <w:tcPr>
            <w:tcW w:w="4609" w:type="dxa"/>
          </w:tcPr>
          <w:p w14:paraId="7294B51D"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if the item is present</w:t>
            </w:r>
          </w:p>
          <w:p w14:paraId="4DF5013C"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 if absent</w:t>
            </w:r>
          </w:p>
        </w:tc>
      </w:tr>
      <w:tr w:rsidR="007373F6" w14:paraId="315BA932" w14:textId="77777777" w:rsidTr="002148A8">
        <w:tc>
          <w:tcPr>
            <w:tcW w:w="4633" w:type="dxa"/>
          </w:tcPr>
          <w:p w14:paraId="08580906"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 Annual frequency of meetings (minimum four, maximum eight)</w:t>
            </w:r>
          </w:p>
        </w:tc>
        <w:tc>
          <w:tcPr>
            <w:tcW w:w="4609" w:type="dxa"/>
          </w:tcPr>
          <w:p w14:paraId="345EF1FD"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if more than four annual meetings </w:t>
            </w:r>
          </w:p>
          <w:p w14:paraId="39764356"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if two to four annual meetings</w:t>
            </w:r>
          </w:p>
          <w:p w14:paraId="09021E93"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 if one annual meeting</w:t>
            </w:r>
          </w:p>
        </w:tc>
      </w:tr>
      <w:tr w:rsidR="007373F6" w14:paraId="1DAA2920" w14:textId="77777777" w:rsidTr="002148A8">
        <w:tc>
          <w:tcPr>
            <w:tcW w:w="4633" w:type="dxa"/>
          </w:tcPr>
          <w:p w14:paraId="2476BB0F"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 Duration of each meeting</w:t>
            </w:r>
          </w:p>
        </w:tc>
        <w:tc>
          <w:tcPr>
            <w:tcW w:w="4609" w:type="dxa"/>
          </w:tcPr>
          <w:p w14:paraId="79F2E465"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if &gt; or = 2 hours</w:t>
            </w:r>
          </w:p>
          <w:p w14:paraId="7630EE80"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if &gt; or = 1 hour</w:t>
            </w:r>
          </w:p>
          <w:p w14:paraId="4E3A8F6C"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 if &lt; or = a half an hour or no</w:t>
            </w:r>
          </w:p>
          <w:p w14:paraId="379D03DE"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information</w:t>
            </w:r>
          </w:p>
        </w:tc>
      </w:tr>
      <w:tr w:rsidR="007373F6" w14:paraId="344474DE" w14:textId="77777777" w:rsidTr="002148A8">
        <w:tc>
          <w:tcPr>
            <w:tcW w:w="4633" w:type="dxa"/>
          </w:tcPr>
          <w:p w14:paraId="23F8836C"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 Cooperation/collaboration with risk management or other corporate functions (such as human resources, etc.)</w:t>
            </w:r>
          </w:p>
        </w:tc>
        <w:tc>
          <w:tcPr>
            <w:tcW w:w="4609" w:type="dxa"/>
          </w:tcPr>
          <w:p w14:paraId="0FD69510"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if the item is present</w:t>
            </w:r>
          </w:p>
          <w:p w14:paraId="36213D96"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 if absent</w:t>
            </w:r>
          </w:p>
        </w:tc>
      </w:tr>
      <w:tr w:rsidR="007373F6" w14:paraId="3ACCC379" w14:textId="77777777" w:rsidTr="002148A8">
        <w:tc>
          <w:tcPr>
            <w:tcW w:w="4633" w:type="dxa"/>
          </w:tcPr>
          <w:p w14:paraId="4144262A"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17. Expression of opinions/actions on the achievement of performance targets and other conditions underlying the incentive plans</w:t>
            </w:r>
          </w:p>
        </w:tc>
        <w:tc>
          <w:tcPr>
            <w:tcW w:w="4609" w:type="dxa"/>
          </w:tcPr>
          <w:p w14:paraId="6E78F7F7"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if the item is present</w:t>
            </w:r>
          </w:p>
          <w:p w14:paraId="31CDAF59"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 if absent</w:t>
            </w:r>
          </w:p>
        </w:tc>
      </w:tr>
      <w:tr w:rsidR="007373F6" w14:paraId="3A09B719" w14:textId="77777777" w:rsidTr="002148A8">
        <w:tc>
          <w:tcPr>
            <w:tcW w:w="4633" w:type="dxa"/>
          </w:tcPr>
          <w:p w14:paraId="5C73C023"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18. Assignment of budget (commission pays costs associated with the use of experts on pay)</w:t>
            </w:r>
          </w:p>
        </w:tc>
        <w:tc>
          <w:tcPr>
            <w:tcW w:w="4609" w:type="dxa"/>
          </w:tcPr>
          <w:p w14:paraId="5F9EEDFB"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if the item is present</w:t>
            </w:r>
          </w:p>
          <w:p w14:paraId="6F1CAC45"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 if absent</w:t>
            </w:r>
          </w:p>
        </w:tc>
      </w:tr>
      <w:tr w:rsidR="007373F6" w14:paraId="197BE19A" w14:textId="77777777" w:rsidTr="002148A8">
        <w:tc>
          <w:tcPr>
            <w:tcW w:w="4633" w:type="dxa"/>
          </w:tcPr>
          <w:p w14:paraId="21C20071"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Disclosure</w:t>
            </w:r>
          </w:p>
        </w:tc>
        <w:tc>
          <w:tcPr>
            <w:tcW w:w="4609" w:type="dxa"/>
          </w:tcPr>
          <w:p w14:paraId="2A97B808" w14:textId="77777777" w:rsidR="007373F6" w:rsidRDefault="007373F6">
            <w:pPr>
              <w:spacing w:after="0" w:line="240" w:lineRule="auto"/>
              <w:jc w:val="both"/>
              <w:rPr>
                <w:rFonts w:ascii="Times New Roman" w:eastAsia="Times New Roman" w:hAnsi="Times New Roman" w:cs="Times New Roman"/>
                <w:sz w:val="24"/>
                <w:szCs w:val="24"/>
              </w:rPr>
            </w:pPr>
          </w:p>
        </w:tc>
      </w:tr>
      <w:tr w:rsidR="007373F6" w14:paraId="107F9223" w14:textId="77777777" w:rsidTr="002148A8">
        <w:tc>
          <w:tcPr>
            <w:tcW w:w="4633" w:type="dxa"/>
          </w:tcPr>
          <w:p w14:paraId="408A8A7E"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 Independent report to annual meeting (or to any other corporate body) on activities carried out</w:t>
            </w:r>
          </w:p>
        </w:tc>
        <w:tc>
          <w:tcPr>
            <w:tcW w:w="4609" w:type="dxa"/>
          </w:tcPr>
          <w:p w14:paraId="1DEFCA6F"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if the item is present</w:t>
            </w:r>
          </w:p>
          <w:p w14:paraId="1335C2D1"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 if absent</w:t>
            </w:r>
          </w:p>
        </w:tc>
      </w:tr>
      <w:tr w:rsidR="007373F6" w14:paraId="2620150A" w14:textId="77777777" w:rsidTr="002148A8">
        <w:tc>
          <w:tcPr>
            <w:tcW w:w="4633" w:type="dxa"/>
          </w:tcPr>
          <w:p w14:paraId="091603C3"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 Minutes of the meeting or presence of secretary</w:t>
            </w:r>
          </w:p>
        </w:tc>
        <w:tc>
          <w:tcPr>
            <w:tcW w:w="4609" w:type="dxa"/>
          </w:tcPr>
          <w:p w14:paraId="2C9B086A"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if the item is present</w:t>
            </w:r>
          </w:p>
          <w:p w14:paraId="529E834D"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 if absent</w:t>
            </w:r>
          </w:p>
        </w:tc>
      </w:tr>
      <w:tr w:rsidR="007373F6" w14:paraId="704035A8" w14:textId="77777777" w:rsidTr="002148A8">
        <w:tc>
          <w:tcPr>
            <w:tcW w:w="4633" w:type="dxa"/>
          </w:tcPr>
          <w:p w14:paraId="37D3E1F9"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 Dissemination/publication of its decisions in corporate documents (annual reports, CG report, compensation report, etc.)</w:t>
            </w:r>
          </w:p>
        </w:tc>
        <w:tc>
          <w:tcPr>
            <w:tcW w:w="4609" w:type="dxa"/>
          </w:tcPr>
          <w:p w14:paraId="5690CFEB"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if the item is present</w:t>
            </w:r>
          </w:p>
          <w:p w14:paraId="0C8548A2" w14:textId="32EB7431"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 if absent</w:t>
            </w:r>
          </w:p>
        </w:tc>
      </w:tr>
    </w:tbl>
    <w:p w14:paraId="6A5760D2"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Source: The Adapted Analytical Model Developed by Atti et al. (2013).</w:t>
      </w:r>
    </w:p>
    <w:p w14:paraId="352A3C9E" w14:textId="77777777" w:rsidR="007373F6" w:rsidRDefault="007373F6">
      <w:pPr>
        <w:spacing w:after="0" w:line="240" w:lineRule="auto"/>
        <w:jc w:val="both"/>
        <w:rPr>
          <w:rFonts w:ascii="Times New Roman" w:eastAsia="Times New Roman" w:hAnsi="Times New Roman" w:cs="Times New Roman"/>
          <w:sz w:val="24"/>
          <w:szCs w:val="24"/>
        </w:rPr>
      </w:pPr>
    </w:p>
    <w:p w14:paraId="30645B8E"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We assessed compensation governance and effectiveness according to the criteria of the analytical model. We, then, allocated scores given in the model for each criterion and evaluated the effectiveness of compensation committees of each bank.</w:t>
      </w:r>
    </w:p>
    <w:p w14:paraId="0218DAA3" w14:textId="77777777" w:rsidR="007373F6" w:rsidRDefault="007373F6" w:rsidP="002148A8">
      <w:pPr>
        <w:spacing w:after="0" w:line="240" w:lineRule="auto"/>
        <w:jc w:val="both"/>
        <w:rPr>
          <w:rFonts w:ascii="Times New Roman" w:eastAsia="Times New Roman" w:hAnsi="Times New Roman" w:cs="Times New Roman"/>
          <w:b/>
          <w:sz w:val="24"/>
          <w:szCs w:val="24"/>
        </w:rPr>
      </w:pPr>
    </w:p>
    <w:p w14:paraId="0E884A4D" w14:textId="5BA5B200" w:rsidR="007373F6" w:rsidRPr="002148A8" w:rsidRDefault="00000000" w:rsidP="00856618">
      <w:pPr>
        <w:pStyle w:val="ListParagraph"/>
        <w:numPr>
          <w:ilvl w:val="0"/>
          <w:numId w:val="3"/>
        </w:numPr>
        <w:spacing w:after="120" w:line="240" w:lineRule="auto"/>
        <w:ind w:left="284" w:hanging="284"/>
        <w:jc w:val="center"/>
        <w:rPr>
          <w:rFonts w:ascii="Times New Roman" w:eastAsia="Times New Roman" w:hAnsi="Times New Roman" w:cs="Times New Roman"/>
          <w:b/>
          <w:sz w:val="24"/>
          <w:szCs w:val="24"/>
        </w:rPr>
      </w:pPr>
      <w:r w:rsidRPr="002148A8">
        <w:rPr>
          <w:rFonts w:ascii="Times New Roman" w:eastAsia="Times New Roman" w:hAnsi="Times New Roman" w:cs="Times New Roman"/>
          <w:b/>
          <w:sz w:val="24"/>
          <w:szCs w:val="24"/>
        </w:rPr>
        <w:t>EMPIRICAL RESULTS</w:t>
      </w:r>
    </w:p>
    <w:p w14:paraId="1D973076"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a complement to the aggregate analysis, we assessed each item in the analytical model for each survey year (2012-2022) by consulting the publications and disclosures available on each bank's corporate websites. This exercise led to the construction of a single bank rating, an expression of the compensation committees' efficiency level.</w:t>
      </w:r>
    </w:p>
    <w:p w14:paraId="4C2AEA18" w14:textId="77777777" w:rsidR="007373F6" w:rsidRDefault="007373F6">
      <w:pPr>
        <w:spacing w:after="0" w:line="240" w:lineRule="auto"/>
        <w:jc w:val="both"/>
        <w:rPr>
          <w:rFonts w:ascii="Times New Roman" w:eastAsia="Times New Roman" w:hAnsi="Times New Roman" w:cs="Times New Roman"/>
          <w:b/>
          <w:sz w:val="24"/>
          <w:szCs w:val="24"/>
        </w:rPr>
      </w:pPr>
    </w:p>
    <w:p w14:paraId="561AEEB3" w14:textId="77777777" w:rsidR="002148A8" w:rsidRDefault="002148A8">
      <w:pPr>
        <w:spacing w:after="0" w:line="240" w:lineRule="auto"/>
        <w:jc w:val="both"/>
        <w:rPr>
          <w:rFonts w:ascii="Times New Roman" w:eastAsia="Times New Roman" w:hAnsi="Times New Roman" w:cs="Times New Roman"/>
          <w:b/>
          <w:sz w:val="24"/>
          <w:szCs w:val="24"/>
        </w:rPr>
      </w:pPr>
    </w:p>
    <w:p w14:paraId="256382A5" w14:textId="6DFCCDA9" w:rsidR="007373F6" w:rsidRDefault="00000000" w:rsidP="002148A8">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Table 2</w:t>
      </w:r>
      <w:r w:rsidR="002148A8">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 xml:space="preserve"> </w:t>
      </w:r>
      <w:r w:rsidRPr="002148A8">
        <w:rPr>
          <w:rFonts w:ascii="Times New Roman" w:eastAsia="Times New Roman" w:hAnsi="Times New Roman" w:cs="Times New Roman"/>
          <w:bCs/>
          <w:sz w:val="24"/>
          <w:szCs w:val="24"/>
        </w:rPr>
        <w:t>Compensation Committee Effectiveness Rating</w:t>
      </w:r>
    </w:p>
    <w:tbl>
      <w:tblPr>
        <w:tblStyle w:val="afffff3"/>
        <w:tblW w:w="5000" w:type="pct"/>
        <w:jc w:val="center"/>
        <w:tblBorders>
          <w:top w:val="single" w:sz="4" w:space="0" w:color="auto"/>
          <w:bottom w:val="single" w:sz="4" w:space="0" w:color="auto"/>
          <w:insideH w:val="single" w:sz="4" w:space="0" w:color="auto"/>
        </w:tblBorders>
        <w:tblLook w:val="0400" w:firstRow="0" w:lastRow="0" w:firstColumn="0" w:lastColumn="0" w:noHBand="0" w:noVBand="1"/>
      </w:tblPr>
      <w:tblGrid>
        <w:gridCol w:w="1395"/>
        <w:gridCol w:w="695"/>
        <w:gridCol w:w="700"/>
        <w:gridCol w:w="700"/>
        <w:gridCol w:w="700"/>
        <w:gridCol w:w="697"/>
        <w:gridCol w:w="681"/>
        <w:gridCol w:w="681"/>
        <w:gridCol w:w="738"/>
        <w:gridCol w:w="681"/>
        <w:gridCol w:w="681"/>
        <w:gridCol w:w="677"/>
      </w:tblGrid>
      <w:tr w:rsidR="007373F6" w:rsidRPr="002148A8" w14:paraId="2A5E4762" w14:textId="77777777" w:rsidTr="002148A8">
        <w:trPr>
          <w:jc w:val="center"/>
        </w:trPr>
        <w:tc>
          <w:tcPr>
            <w:tcW w:w="773" w:type="pct"/>
          </w:tcPr>
          <w:p w14:paraId="7597CB4E" w14:textId="159D505B" w:rsidR="007373F6" w:rsidRPr="002148A8" w:rsidRDefault="00000000" w:rsidP="002148A8">
            <w:pPr>
              <w:spacing w:after="0" w:line="240" w:lineRule="auto"/>
              <w:jc w:val="center"/>
              <w:rPr>
                <w:rFonts w:asciiTheme="majorBidi" w:eastAsia="Times New Roman" w:hAnsiTheme="majorBidi" w:cstheme="majorBidi"/>
                <w:b/>
                <w:bCs/>
              </w:rPr>
            </w:pPr>
            <w:r w:rsidRPr="002148A8">
              <w:rPr>
                <w:rFonts w:asciiTheme="majorBidi" w:eastAsia="Times New Roman" w:hAnsiTheme="majorBidi" w:cstheme="majorBidi"/>
                <w:b/>
                <w:bCs/>
              </w:rPr>
              <w:t>Bank</w:t>
            </w:r>
          </w:p>
        </w:tc>
        <w:tc>
          <w:tcPr>
            <w:tcW w:w="385" w:type="pct"/>
          </w:tcPr>
          <w:p w14:paraId="5B5F6798" w14:textId="77777777" w:rsidR="007373F6" w:rsidRPr="002148A8" w:rsidRDefault="00000000" w:rsidP="002148A8">
            <w:pPr>
              <w:spacing w:after="0" w:line="240" w:lineRule="auto"/>
              <w:jc w:val="center"/>
              <w:rPr>
                <w:rFonts w:asciiTheme="majorBidi" w:eastAsia="Times New Roman" w:hAnsiTheme="majorBidi" w:cstheme="majorBidi"/>
                <w:b/>
                <w:bCs/>
              </w:rPr>
            </w:pPr>
            <w:r w:rsidRPr="002148A8">
              <w:rPr>
                <w:rFonts w:asciiTheme="majorBidi" w:eastAsia="Times New Roman" w:hAnsiTheme="majorBidi" w:cstheme="majorBidi"/>
                <w:b/>
                <w:bCs/>
              </w:rPr>
              <w:t>2012 (%)</w:t>
            </w:r>
          </w:p>
        </w:tc>
        <w:tc>
          <w:tcPr>
            <w:tcW w:w="388" w:type="pct"/>
          </w:tcPr>
          <w:p w14:paraId="76162096" w14:textId="77777777" w:rsidR="007373F6" w:rsidRPr="002148A8" w:rsidRDefault="00000000" w:rsidP="002148A8">
            <w:pPr>
              <w:spacing w:after="0" w:line="240" w:lineRule="auto"/>
              <w:jc w:val="center"/>
              <w:rPr>
                <w:rFonts w:asciiTheme="majorBidi" w:eastAsia="Times New Roman" w:hAnsiTheme="majorBidi" w:cstheme="majorBidi"/>
                <w:b/>
                <w:bCs/>
              </w:rPr>
            </w:pPr>
            <w:r w:rsidRPr="002148A8">
              <w:rPr>
                <w:rFonts w:asciiTheme="majorBidi" w:eastAsia="Times New Roman" w:hAnsiTheme="majorBidi" w:cstheme="majorBidi"/>
                <w:b/>
                <w:bCs/>
              </w:rPr>
              <w:t>2013 (%)</w:t>
            </w:r>
          </w:p>
        </w:tc>
        <w:tc>
          <w:tcPr>
            <w:tcW w:w="388" w:type="pct"/>
          </w:tcPr>
          <w:p w14:paraId="49ED09AF" w14:textId="77777777" w:rsidR="007373F6" w:rsidRPr="002148A8" w:rsidRDefault="00000000" w:rsidP="002148A8">
            <w:pPr>
              <w:spacing w:after="0" w:line="240" w:lineRule="auto"/>
              <w:jc w:val="center"/>
              <w:rPr>
                <w:rFonts w:asciiTheme="majorBidi" w:eastAsia="Times New Roman" w:hAnsiTheme="majorBidi" w:cstheme="majorBidi"/>
                <w:b/>
                <w:bCs/>
              </w:rPr>
            </w:pPr>
            <w:r w:rsidRPr="002148A8">
              <w:rPr>
                <w:rFonts w:asciiTheme="majorBidi" w:eastAsia="Times New Roman" w:hAnsiTheme="majorBidi" w:cstheme="majorBidi"/>
                <w:b/>
                <w:bCs/>
              </w:rPr>
              <w:t>2014 (%)</w:t>
            </w:r>
          </w:p>
        </w:tc>
        <w:tc>
          <w:tcPr>
            <w:tcW w:w="388" w:type="pct"/>
          </w:tcPr>
          <w:p w14:paraId="25996DB2" w14:textId="77777777" w:rsidR="007373F6" w:rsidRPr="002148A8" w:rsidRDefault="00000000" w:rsidP="002148A8">
            <w:pPr>
              <w:spacing w:after="0" w:line="240" w:lineRule="auto"/>
              <w:jc w:val="center"/>
              <w:rPr>
                <w:rFonts w:asciiTheme="majorBidi" w:eastAsia="Times New Roman" w:hAnsiTheme="majorBidi" w:cstheme="majorBidi"/>
                <w:b/>
                <w:bCs/>
              </w:rPr>
            </w:pPr>
            <w:r w:rsidRPr="002148A8">
              <w:rPr>
                <w:rFonts w:asciiTheme="majorBidi" w:eastAsia="Times New Roman" w:hAnsiTheme="majorBidi" w:cstheme="majorBidi"/>
                <w:b/>
                <w:bCs/>
              </w:rPr>
              <w:t>2015 (%)</w:t>
            </w:r>
          </w:p>
        </w:tc>
        <w:tc>
          <w:tcPr>
            <w:tcW w:w="386" w:type="pct"/>
          </w:tcPr>
          <w:p w14:paraId="0A120774" w14:textId="77777777" w:rsidR="007373F6" w:rsidRPr="002148A8" w:rsidRDefault="00000000" w:rsidP="002148A8">
            <w:pPr>
              <w:spacing w:after="0" w:line="240" w:lineRule="auto"/>
              <w:jc w:val="center"/>
              <w:rPr>
                <w:rFonts w:asciiTheme="majorBidi" w:eastAsia="Times New Roman" w:hAnsiTheme="majorBidi" w:cstheme="majorBidi"/>
                <w:b/>
                <w:bCs/>
              </w:rPr>
            </w:pPr>
            <w:r w:rsidRPr="002148A8">
              <w:rPr>
                <w:rFonts w:asciiTheme="majorBidi" w:eastAsia="Times New Roman" w:hAnsiTheme="majorBidi" w:cstheme="majorBidi"/>
                <w:b/>
                <w:bCs/>
              </w:rPr>
              <w:t>2016</w:t>
            </w:r>
          </w:p>
          <w:p w14:paraId="70B4B30C" w14:textId="77777777" w:rsidR="007373F6" w:rsidRPr="002148A8" w:rsidRDefault="00000000" w:rsidP="002148A8">
            <w:pPr>
              <w:spacing w:after="0" w:line="240" w:lineRule="auto"/>
              <w:jc w:val="center"/>
              <w:rPr>
                <w:rFonts w:asciiTheme="majorBidi" w:eastAsia="Times New Roman" w:hAnsiTheme="majorBidi" w:cstheme="majorBidi"/>
                <w:b/>
                <w:bCs/>
              </w:rPr>
            </w:pPr>
            <w:r w:rsidRPr="002148A8">
              <w:rPr>
                <w:rFonts w:asciiTheme="majorBidi" w:eastAsia="Times New Roman" w:hAnsiTheme="majorBidi" w:cstheme="majorBidi"/>
                <w:b/>
                <w:bCs/>
              </w:rPr>
              <w:t>(%)</w:t>
            </w:r>
          </w:p>
        </w:tc>
        <w:tc>
          <w:tcPr>
            <w:tcW w:w="377" w:type="pct"/>
          </w:tcPr>
          <w:p w14:paraId="5F45BF41" w14:textId="77777777" w:rsidR="007373F6" w:rsidRPr="002148A8" w:rsidRDefault="00000000" w:rsidP="002148A8">
            <w:pPr>
              <w:spacing w:after="0" w:line="240" w:lineRule="auto"/>
              <w:jc w:val="center"/>
              <w:rPr>
                <w:rFonts w:asciiTheme="majorBidi" w:eastAsia="Times New Roman" w:hAnsiTheme="majorBidi" w:cstheme="majorBidi"/>
                <w:b/>
                <w:bCs/>
              </w:rPr>
            </w:pPr>
            <w:r w:rsidRPr="002148A8">
              <w:rPr>
                <w:rFonts w:asciiTheme="majorBidi" w:eastAsia="Times New Roman" w:hAnsiTheme="majorBidi" w:cstheme="majorBidi"/>
                <w:b/>
                <w:bCs/>
              </w:rPr>
              <w:t>2017</w:t>
            </w:r>
          </w:p>
          <w:p w14:paraId="11C71009" w14:textId="77777777" w:rsidR="007373F6" w:rsidRPr="002148A8" w:rsidRDefault="00000000" w:rsidP="002148A8">
            <w:pPr>
              <w:spacing w:after="0" w:line="240" w:lineRule="auto"/>
              <w:jc w:val="center"/>
              <w:rPr>
                <w:rFonts w:asciiTheme="majorBidi" w:eastAsia="Times New Roman" w:hAnsiTheme="majorBidi" w:cstheme="majorBidi"/>
                <w:b/>
                <w:bCs/>
              </w:rPr>
            </w:pPr>
            <w:r w:rsidRPr="002148A8">
              <w:rPr>
                <w:rFonts w:asciiTheme="majorBidi" w:eastAsia="Times New Roman" w:hAnsiTheme="majorBidi" w:cstheme="majorBidi"/>
                <w:b/>
                <w:bCs/>
              </w:rPr>
              <w:t>(%)</w:t>
            </w:r>
          </w:p>
        </w:tc>
        <w:tc>
          <w:tcPr>
            <w:tcW w:w="377" w:type="pct"/>
          </w:tcPr>
          <w:p w14:paraId="1CBEE092" w14:textId="77777777" w:rsidR="007373F6" w:rsidRPr="002148A8" w:rsidRDefault="00000000" w:rsidP="002148A8">
            <w:pPr>
              <w:spacing w:after="0" w:line="240" w:lineRule="auto"/>
              <w:jc w:val="center"/>
              <w:rPr>
                <w:rFonts w:asciiTheme="majorBidi" w:eastAsia="Times New Roman" w:hAnsiTheme="majorBidi" w:cstheme="majorBidi"/>
                <w:b/>
                <w:bCs/>
              </w:rPr>
            </w:pPr>
            <w:r w:rsidRPr="002148A8">
              <w:rPr>
                <w:rFonts w:asciiTheme="majorBidi" w:eastAsia="Times New Roman" w:hAnsiTheme="majorBidi" w:cstheme="majorBidi"/>
                <w:b/>
                <w:bCs/>
              </w:rPr>
              <w:t>2018</w:t>
            </w:r>
          </w:p>
          <w:p w14:paraId="61B9F676" w14:textId="77777777" w:rsidR="007373F6" w:rsidRPr="002148A8" w:rsidRDefault="00000000" w:rsidP="002148A8">
            <w:pPr>
              <w:spacing w:after="0" w:line="240" w:lineRule="auto"/>
              <w:jc w:val="center"/>
              <w:rPr>
                <w:rFonts w:asciiTheme="majorBidi" w:eastAsia="Times New Roman" w:hAnsiTheme="majorBidi" w:cstheme="majorBidi"/>
                <w:b/>
                <w:bCs/>
              </w:rPr>
            </w:pPr>
            <w:r w:rsidRPr="002148A8">
              <w:rPr>
                <w:rFonts w:asciiTheme="majorBidi" w:eastAsia="Times New Roman" w:hAnsiTheme="majorBidi" w:cstheme="majorBidi"/>
                <w:b/>
                <w:bCs/>
              </w:rPr>
              <w:t>(%)</w:t>
            </w:r>
          </w:p>
        </w:tc>
        <w:tc>
          <w:tcPr>
            <w:tcW w:w="409" w:type="pct"/>
          </w:tcPr>
          <w:p w14:paraId="3630FA43" w14:textId="77777777" w:rsidR="007373F6" w:rsidRPr="002148A8" w:rsidRDefault="00000000" w:rsidP="002148A8">
            <w:pPr>
              <w:spacing w:after="0" w:line="240" w:lineRule="auto"/>
              <w:jc w:val="center"/>
              <w:rPr>
                <w:rFonts w:asciiTheme="majorBidi" w:eastAsia="Times New Roman" w:hAnsiTheme="majorBidi" w:cstheme="majorBidi"/>
                <w:b/>
                <w:bCs/>
              </w:rPr>
            </w:pPr>
            <w:r w:rsidRPr="002148A8">
              <w:rPr>
                <w:rFonts w:asciiTheme="majorBidi" w:eastAsia="Times New Roman" w:hAnsiTheme="majorBidi" w:cstheme="majorBidi"/>
                <w:b/>
                <w:bCs/>
              </w:rPr>
              <w:t>2019</w:t>
            </w:r>
          </w:p>
          <w:p w14:paraId="0FFDBDAD" w14:textId="77777777" w:rsidR="007373F6" w:rsidRPr="002148A8" w:rsidRDefault="00000000" w:rsidP="002148A8">
            <w:pPr>
              <w:spacing w:after="0" w:line="240" w:lineRule="auto"/>
              <w:jc w:val="center"/>
              <w:rPr>
                <w:rFonts w:asciiTheme="majorBidi" w:eastAsia="Times New Roman" w:hAnsiTheme="majorBidi" w:cstheme="majorBidi"/>
                <w:b/>
                <w:bCs/>
              </w:rPr>
            </w:pPr>
            <w:r w:rsidRPr="002148A8">
              <w:rPr>
                <w:rFonts w:asciiTheme="majorBidi" w:eastAsia="Times New Roman" w:hAnsiTheme="majorBidi" w:cstheme="majorBidi"/>
                <w:b/>
                <w:bCs/>
              </w:rPr>
              <w:t>(%)</w:t>
            </w:r>
          </w:p>
        </w:tc>
        <w:tc>
          <w:tcPr>
            <w:tcW w:w="377" w:type="pct"/>
          </w:tcPr>
          <w:p w14:paraId="14624774" w14:textId="77777777" w:rsidR="007373F6" w:rsidRPr="002148A8" w:rsidRDefault="00000000" w:rsidP="002148A8">
            <w:pPr>
              <w:spacing w:after="0" w:line="240" w:lineRule="auto"/>
              <w:jc w:val="center"/>
              <w:rPr>
                <w:rFonts w:asciiTheme="majorBidi" w:eastAsia="Times New Roman" w:hAnsiTheme="majorBidi" w:cstheme="majorBidi"/>
                <w:b/>
                <w:bCs/>
              </w:rPr>
            </w:pPr>
            <w:r w:rsidRPr="002148A8">
              <w:rPr>
                <w:rFonts w:asciiTheme="majorBidi" w:eastAsia="Times New Roman" w:hAnsiTheme="majorBidi" w:cstheme="majorBidi"/>
                <w:b/>
                <w:bCs/>
              </w:rPr>
              <w:t>2020</w:t>
            </w:r>
          </w:p>
          <w:p w14:paraId="195BEA0F" w14:textId="77777777" w:rsidR="007373F6" w:rsidRPr="002148A8" w:rsidRDefault="00000000" w:rsidP="002148A8">
            <w:pPr>
              <w:spacing w:after="0" w:line="240" w:lineRule="auto"/>
              <w:jc w:val="center"/>
              <w:rPr>
                <w:rFonts w:asciiTheme="majorBidi" w:eastAsia="Times New Roman" w:hAnsiTheme="majorBidi" w:cstheme="majorBidi"/>
                <w:b/>
                <w:bCs/>
              </w:rPr>
            </w:pPr>
            <w:r w:rsidRPr="002148A8">
              <w:rPr>
                <w:rFonts w:asciiTheme="majorBidi" w:eastAsia="Times New Roman" w:hAnsiTheme="majorBidi" w:cstheme="majorBidi"/>
                <w:b/>
                <w:bCs/>
              </w:rPr>
              <w:t>(%)</w:t>
            </w:r>
          </w:p>
        </w:tc>
        <w:tc>
          <w:tcPr>
            <w:tcW w:w="377" w:type="pct"/>
          </w:tcPr>
          <w:p w14:paraId="762F0EC6" w14:textId="77777777" w:rsidR="007373F6" w:rsidRPr="002148A8" w:rsidRDefault="00000000" w:rsidP="002148A8">
            <w:pPr>
              <w:spacing w:after="0" w:line="240" w:lineRule="auto"/>
              <w:jc w:val="center"/>
              <w:rPr>
                <w:rFonts w:asciiTheme="majorBidi" w:eastAsia="Times New Roman" w:hAnsiTheme="majorBidi" w:cstheme="majorBidi"/>
                <w:b/>
                <w:bCs/>
              </w:rPr>
            </w:pPr>
            <w:r w:rsidRPr="002148A8">
              <w:rPr>
                <w:rFonts w:asciiTheme="majorBidi" w:eastAsia="Times New Roman" w:hAnsiTheme="majorBidi" w:cstheme="majorBidi"/>
                <w:b/>
                <w:bCs/>
              </w:rPr>
              <w:t>2021</w:t>
            </w:r>
          </w:p>
          <w:p w14:paraId="0656AD28" w14:textId="76B8980C" w:rsidR="007373F6" w:rsidRPr="002148A8" w:rsidRDefault="00000000" w:rsidP="002148A8">
            <w:pPr>
              <w:spacing w:after="0" w:line="240" w:lineRule="auto"/>
              <w:jc w:val="center"/>
              <w:rPr>
                <w:rFonts w:asciiTheme="majorBidi" w:eastAsia="Times New Roman" w:hAnsiTheme="majorBidi" w:cstheme="majorBidi"/>
                <w:b/>
                <w:bCs/>
              </w:rPr>
            </w:pPr>
            <w:r w:rsidRPr="002148A8">
              <w:rPr>
                <w:rFonts w:asciiTheme="majorBidi" w:eastAsia="Times New Roman" w:hAnsiTheme="majorBidi" w:cstheme="majorBidi"/>
                <w:b/>
                <w:bCs/>
              </w:rPr>
              <w:t>(%)</w:t>
            </w:r>
          </w:p>
        </w:tc>
        <w:tc>
          <w:tcPr>
            <w:tcW w:w="377" w:type="pct"/>
          </w:tcPr>
          <w:p w14:paraId="463D884F" w14:textId="77777777" w:rsidR="007373F6" w:rsidRPr="002148A8" w:rsidRDefault="00000000" w:rsidP="002148A8">
            <w:pPr>
              <w:spacing w:after="0" w:line="240" w:lineRule="auto"/>
              <w:jc w:val="center"/>
              <w:rPr>
                <w:rFonts w:asciiTheme="majorBidi" w:eastAsia="Times New Roman" w:hAnsiTheme="majorBidi" w:cstheme="majorBidi"/>
                <w:b/>
                <w:bCs/>
              </w:rPr>
            </w:pPr>
            <w:r w:rsidRPr="002148A8">
              <w:rPr>
                <w:rFonts w:asciiTheme="majorBidi" w:eastAsia="Times New Roman" w:hAnsiTheme="majorBidi" w:cstheme="majorBidi"/>
                <w:b/>
                <w:bCs/>
              </w:rPr>
              <w:t>2022</w:t>
            </w:r>
          </w:p>
          <w:p w14:paraId="41A3220E" w14:textId="22ADFCC5" w:rsidR="007373F6" w:rsidRPr="002148A8" w:rsidRDefault="00000000" w:rsidP="002148A8">
            <w:pPr>
              <w:spacing w:after="0" w:line="240" w:lineRule="auto"/>
              <w:jc w:val="center"/>
              <w:rPr>
                <w:rFonts w:asciiTheme="majorBidi" w:eastAsia="Times New Roman" w:hAnsiTheme="majorBidi" w:cstheme="majorBidi"/>
                <w:b/>
                <w:bCs/>
              </w:rPr>
            </w:pPr>
            <w:r w:rsidRPr="002148A8">
              <w:rPr>
                <w:rFonts w:asciiTheme="majorBidi" w:eastAsia="Times New Roman" w:hAnsiTheme="majorBidi" w:cstheme="majorBidi"/>
                <w:b/>
                <w:bCs/>
              </w:rPr>
              <w:t>(%)</w:t>
            </w:r>
          </w:p>
        </w:tc>
      </w:tr>
      <w:tr w:rsidR="007373F6" w:rsidRPr="002148A8" w14:paraId="4C2D42AE" w14:textId="77777777" w:rsidTr="002148A8">
        <w:trPr>
          <w:jc w:val="center"/>
        </w:trPr>
        <w:tc>
          <w:tcPr>
            <w:tcW w:w="773" w:type="pct"/>
          </w:tcPr>
          <w:p w14:paraId="7DE53B56" w14:textId="77777777" w:rsidR="007373F6" w:rsidRPr="002148A8" w:rsidRDefault="00000000">
            <w:pPr>
              <w:spacing w:after="0" w:line="240" w:lineRule="auto"/>
              <w:jc w:val="both"/>
              <w:rPr>
                <w:rFonts w:asciiTheme="majorBidi" w:eastAsia="Times New Roman" w:hAnsiTheme="majorBidi" w:cstheme="majorBidi"/>
              </w:rPr>
            </w:pPr>
            <w:r w:rsidRPr="002148A8">
              <w:rPr>
                <w:rFonts w:asciiTheme="majorBidi" w:eastAsia="Times New Roman" w:hAnsiTheme="majorBidi" w:cstheme="majorBidi"/>
              </w:rPr>
              <w:t>Royal Bank of Canada (RBC)</w:t>
            </w:r>
          </w:p>
        </w:tc>
        <w:tc>
          <w:tcPr>
            <w:tcW w:w="385" w:type="pct"/>
          </w:tcPr>
          <w:p w14:paraId="5E22500C"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56.7</w:t>
            </w:r>
          </w:p>
        </w:tc>
        <w:tc>
          <w:tcPr>
            <w:tcW w:w="388" w:type="pct"/>
          </w:tcPr>
          <w:p w14:paraId="6565B54C"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70</w:t>
            </w:r>
          </w:p>
        </w:tc>
        <w:tc>
          <w:tcPr>
            <w:tcW w:w="388" w:type="pct"/>
          </w:tcPr>
          <w:p w14:paraId="09E915C1"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80</w:t>
            </w:r>
          </w:p>
        </w:tc>
        <w:tc>
          <w:tcPr>
            <w:tcW w:w="388" w:type="pct"/>
          </w:tcPr>
          <w:p w14:paraId="4DF44B3A"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83.3</w:t>
            </w:r>
          </w:p>
        </w:tc>
        <w:tc>
          <w:tcPr>
            <w:tcW w:w="386" w:type="pct"/>
          </w:tcPr>
          <w:p w14:paraId="2FF6E02A"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90</w:t>
            </w:r>
          </w:p>
        </w:tc>
        <w:tc>
          <w:tcPr>
            <w:tcW w:w="377" w:type="pct"/>
          </w:tcPr>
          <w:p w14:paraId="2D027AE8"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80</w:t>
            </w:r>
          </w:p>
        </w:tc>
        <w:tc>
          <w:tcPr>
            <w:tcW w:w="377" w:type="pct"/>
          </w:tcPr>
          <w:p w14:paraId="5331F357"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83.3</w:t>
            </w:r>
          </w:p>
        </w:tc>
        <w:tc>
          <w:tcPr>
            <w:tcW w:w="409" w:type="pct"/>
          </w:tcPr>
          <w:p w14:paraId="3E51415F"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83.3</w:t>
            </w:r>
          </w:p>
        </w:tc>
        <w:tc>
          <w:tcPr>
            <w:tcW w:w="377" w:type="pct"/>
          </w:tcPr>
          <w:p w14:paraId="4E45C183"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80</w:t>
            </w:r>
          </w:p>
        </w:tc>
        <w:tc>
          <w:tcPr>
            <w:tcW w:w="377" w:type="pct"/>
          </w:tcPr>
          <w:p w14:paraId="651D9CEC"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80</w:t>
            </w:r>
          </w:p>
        </w:tc>
        <w:tc>
          <w:tcPr>
            <w:tcW w:w="377" w:type="pct"/>
          </w:tcPr>
          <w:p w14:paraId="3C19FDE0"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86.7</w:t>
            </w:r>
          </w:p>
        </w:tc>
      </w:tr>
      <w:tr w:rsidR="007373F6" w:rsidRPr="002148A8" w14:paraId="25830CC4" w14:textId="77777777" w:rsidTr="002148A8">
        <w:trPr>
          <w:jc w:val="center"/>
        </w:trPr>
        <w:tc>
          <w:tcPr>
            <w:tcW w:w="773" w:type="pct"/>
          </w:tcPr>
          <w:p w14:paraId="7F63F1E9" w14:textId="77777777" w:rsidR="007373F6" w:rsidRPr="002148A8" w:rsidRDefault="00000000">
            <w:pPr>
              <w:spacing w:after="0" w:line="240" w:lineRule="auto"/>
              <w:jc w:val="both"/>
              <w:rPr>
                <w:rFonts w:asciiTheme="majorBidi" w:eastAsia="Times New Roman" w:hAnsiTheme="majorBidi" w:cstheme="majorBidi"/>
              </w:rPr>
            </w:pPr>
            <w:r w:rsidRPr="002148A8">
              <w:rPr>
                <w:rFonts w:asciiTheme="majorBidi" w:eastAsia="Times New Roman" w:hAnsiTheme="majorBidi" w:cstheme="majorBidi"/>
              </w:rPr>
              <w:t>Toronto Dominion Bank (TD)</w:t>
            </w:r>
          </w:p>
        </w:tc>
        <w:tc>
          <w:tcPr>
            <w:tcW w:w="385" w:type="pct"/>
          </w:tcPr>
          <w:p w14:paraId="38447CA5"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60</w:t>
            </w:r>
          </w:p>
        </w:tc>
        <w:tc>
          <w:tcPr>
            <w:tcW w:w="388" w:type="pct"/>
          </w:tcPr>
          <w:p w14:paraId="366E894E"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73.3</w:t>
            </w:r>
          </w:p>
        </w:tc>
        <w:tc>
          <w:tcPr>
            <w:tcW w:w="388" w:type="pct"/>
          </w:tcPr>
          <w:p w14:paraId="49963420"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76.7</w:t>
            </w:r>
          </w:p>
        </w:tc>
        <w:tc>
          <w:tcPr>
            <w:tcW w:w="388" w:type="pct"/>
          </w:tcPr>
          <w:p w14:paraId="225A91B5"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83.3</w:t>
            </w:r>
          </w:p>
        </w:tc>
        <w:tc>
          <w:tcPr>
            <w:tcW w:w="386" w:type="pct"/>
          </w:tcPr>
          <w:p w14:paraId="07949DAE"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86.7</w:t>
            </w:r>
          </w:p>
        </w:tc>
        <w:tc>
          <w:tcPr>
            <w:tcW w:w="377" w:type="pct"/>
          </w:tcPr>
          <w:p w14:paraId="6B71D647"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86.7</w:t>
            </w:r>
          </w:p>
        </w:tc>
        <w:tc>
          <w:tcPr>
            <w:tcW w:w="377" w:type="pct"/>
          </w:tcPr>
          <w:p w14:paraId="0936593B"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86.7</w:t>
            </w:r>
          </w:p>
        </w:tc>
        <w:tc>
          <w:tcPr>
            <w:tcW w:w="409" w:type="pct"/>
          </w:tcPr>
          <w:p w14:paraId="0509F498"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83.3</w:t>
            </w:r>
          </w:p>
        </w:tc>
        <w:tc>
          <w:tcPr>
            <w:tcW w:w="377" w:type="pct"/>
          </w:tcPr>
          <w:p w14:paraId="69F91B9F"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83.3</w:t>
            </w:r>
          </w:p>
        </w:tc>
        <w:tc>
          <w:tcPr>
            <w:tcW w:w="377" w:type="pct"/>
          </w:tcPr>
          <w:p w14:paraId="14A589A4"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90</w:t>
            </w:r>
          </w:p>
        </w:tc>
        <w:tc>
          <w:tcPr>
            <w:tcW w:w="377" w:type="pct"/>
          </w:tcPr>
          <w:p w14:paraId="2D9E1B1E"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90</w:t>
            </w:r>
          </w:p>
        </w:tc>
      </w:tr>
      <w:tr w:rsidR="007373F6" w:rsidRPr="002148A8" w14:paraId="4ACACAEC" w14:textId="77777777" w:rsidTr="002148A8">
        <w:trPr>
          <w:jc w:val="center"/>
        </w:trPr>
        <w:tc>
          <w:tcPr>
            <w:tcW w:w="773" w:type="pct"/>
          </w:tcPr>
          <w:p w14:paraId="2F8D7DE4" w14:textId="77777777" w:rsidR="007373F6" w:rsidRPr="002148A8" w:rsidRDefault="00000000">
            <w:pPr>
              <w:spacing w:after="0" w:line="240" w:lineRule="auto"/>
              <w:jc w:val="both"/>
              <w:rPr>
                <w:rFonts w:asciiTheme="majorBidi" w:eastAsia="Times New Roman" w:hAnsiTheme="majorBidi" w:cstheme="majorBidi"/>
              </w:rPr>
            </w:pPr>
            <w:r w:rsidRPr="002148A8">
              <w:rPr>
                <w:rFonts w:asciiTheme="majorBidi" w:eastAsia="Times New Roman" w:hAnsiTheme="majorBidi" w:cstheme="majorBidi"/>
              </w:rPr>
              <w:t>Bank of Nova Scotia (BNS)</w:t>
            </w:r>
          </w:p>
        </w:tc>
        <w:tc>
          <w:tcPr>
            <w:tcW w:w="385" w:type="pct"/>
          </w:tcPr>
          <w:p w14:paraId="622360A1"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50</w:t>
            </w:r>
          </w:p>
        </w:tc>
        <w:tc>
          <w:tcPr>
            <w:tcW w:w="388" w:type="pct"/>
          </w:tcPr>
          <w:p w14:paraId="023EE14D"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56.7</w:t>
            </w:r>
          </w:p>
        </w:tc>
        <w:tc>
          <w:tcPr>
            <w:tcW w:w="388" w:type="pct"/>
          </w:tcPr>
          <w:p w14:paraId="4155EE29"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70</w:t>
            </w:r>
          </w:p>
        </w:tc>
        <w:tc>
          <w:tcPr>
            <w:tcW w:w="388" w:type="pct"/>
          </w:tcPr>
          <w:p w14:paraId="189E74AA"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76.7</w:t>
            </w:r>
          </w:p>
        </w:tc>
        <w:tc>
          <w:tcPr>
            <w:tcW w:w="386" w:type="pct"/>
          </w:tcPr>
          <w:p w14:paraId="11EE591B"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83.3</w:t>
            </w:r>
          </w:p>
        </w:tc>
        <w:tc>
          <w:tcPr>
            <w:tcW w:w="377" w:type="pct"/>
          </w:tcPr>
          <w:p w14:paraId="7FDD0EE3"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76.7</w:t>
            </w:r>
          </w:p>
        </w:tc>
        <w:tc>
          <w:tcPr>
            <w:tcW w:w="377" w:type="pct"/>
          </w:tcPr>
          <w:p w14:paraId="5E910F80"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83.3</w:t>
            </w:r>
          </w:p>
        </w:tc>
        <w:tc>
          <w:tcPr>
            <w:tcW w:w="409" w:type="pct"/>
          </w:tcPr>
          <w:p w14:paraId="7E0C9735"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70</w:t>
            </w:r>
          </w:p>
        </w:tc>
        <w:tc>
          <w:tcPr>
            <w:tcW w:w="377" w:type="pct"/>
          </w:tcPr>
          <w:p w14:paraId="4411DA2B"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86.7</w:t>
            </w:r>
          </w:p>
        </w:tc>
        <w:tc>
          <w:tcPr>
            <w:tcW w:w="377" w:type="pct"/>
          </w:tcPr>
          <w:p w14:paraId="7BEB7EA8"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83.3</w:t>
            </w:r>
          </w:p>
        </w:tc>
        <w:tc>
          <w:tcPr>
            <w:tcW w:w="377" w:type="pct"/>
          </w:tcPr>
          <w:p w14:paraId="1466E779"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80</w:t>
            </w:r>
          </w:p>
        </w:tc>
      </w:tr>
      <w:tr w:rsidR="007373F6" w:rsidRPr="002148A8" w14:paraId="03830C15" w14:textId="77777777" w:rsidTr="002148A8">
        <w:trPr>
          <w:jc w:val="center"/>
        </w:trPr>
        <w:tc>
          <w:tcPr>
            <w:tcW w:w="773" w:type="pct"/>
          </w:tcPr>
          <w:p w14:paraId="60D7A1E4" w14:textId="77777777" w:rsidR="007373F6" w:rsidRPr="002148A8" w:rsidRDefault="00000000">
            <w:pPr>
              <w:spacing w:after="0" w:line="240" w:lineRule="auto"/>
              <w:jc w:val="both"/>
              <w:rPr>
                <w:rFonts w:asciiTheme="majorBidi" w:eastAsia="Times New Roman" w:hAnsiTheme="majorBidi" w:cstheme="majorBidi"/>
              </w:rPr>
            </w:pPr>
            <w:r w:rsidRPr="002148A8">
              <w:rPr>
                <w:rFonts w:asciiTheme="majorBidi" w:eastAsia="Times New Roman" w:hAnsiTheme="majorBidi" w:cstheme="majorBidi"/>
              </w:rPr>
              <w:t>Bank of Montreal (BMO)</w:t>
            </w:r>
          </w:p>
        </w:tc>
        <w:tc>
          <w:tcPr>
            <w:tcW w:w="385" w:type="pct"/>
          </w:tcPr>
          <w:p w14:paraId="4B6A7FB8"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60</w:t>
            </w:r>
          </w:p>
        </w:tc>
        <w:tc>
          <w:tcPr>
            <w:tcW w:w="388" w:type="pct"/>
          </w:tcPr>
          <w:p w14:paraId="4FB29228"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63.3</w:t>
            </w:r>
          </w:p>
        </w:tc>
        <w:tc>
          <w:tcPr>
            <w:tcW w:w="388" w:type="pct"/>
          </w:tcPr>
          <w:p w14:paraId="109DD9FB"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66.7</w:t>
            </w:r>
          </w:p>
        </w:tc>
        <w:tc>
          <w:tcPr>
            <w:tcW w:w="388" w:type="pct"/>
          </w:tcPr>
          <w:p w14:paraId="12C036AC"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76.7</w:t>
            </w:r>
          </w:p>
        </w:tc>
        <w:tc>
          <w:tcPr>
            <w:tcW w:w="386" w:type="pct"/>
          </w:tcPr>
          <w:p w14:paraId="72FE18B5"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83.3</w:t>
            </w:r>
          </w:p>
        </w:tc>
        <w:tc>
          <w:tcPr>
            <w:tcW w:w="377" w:type="pct"/>
          </w:tcPr>
          <w:p w14:paraId="1906C8C0"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76.7</w:t>
            </w:r>
          </w:p>
        </w:tc>
        <w:tc>
          <w:tcPr>
            <w:tcW w:w="377" w:type="pct"/>
          </w:tcPr>
          <w:p w14:paraId="34501DEE"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73.3</w:t>
            </w:r>
          </w:p>
        </w:tc>
        <w:tc>
          <w:tcPr>
            <w:tcW w:w="409" w:type="pct"/>
          </w:tcPr>
          <w:p w14:paraId="00990570"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73.3</w:t>
            </w:r>
          </w:p>
        </w:tc>
        <w:tc>
          <w:tcPr>
            <w:tcW w:w="377" w:type="pct"/>
          </w:tcPr>
          <w:p w14:paraId="0972423A"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73.3</w:t>
            </w:r>
          </w:p>
        </w:tc>
        <w:tc>
          <w:tcPr>
            <w:tcW w:w="377" w:type="pct"/>
          </w:tcPr>
          <w:p w14:paraId="7F6368CF"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76.7</w:t>
            </w:r>
          </w:p>
        </w:tc>
        <w:tc>
          <w:tcPr>
            <w:tcW w:w="377" w:type="pct"/>
          </w:tcPr>
          <w:p w14:paraId="23B8CC51"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80</w:t>
            </w:r>
          </w:p>
        </w:tc>
      </w:tr>
      <w:tr w:rsidR="007373F6" w:rsidRPr="002148A8" w14:paraId="6654B0BD" w14:textId="77777777" w:rsidTr="002148A8">
        <w:trPr>
          <w:jc w:val="center"/>
        </w:trPr>
        <w:tc>
          <w:tcPr>
            <w:tcW w:w="773" w:type="pct"/>
          </w:tcPr>
          <w:p w14:paraId="55732E23" w14:textId="77777777" w:rsidR="007373F6" w:rsidRPr="002148A8" w:rsidRDefault="00000000">
            <w:pPr>
              <w:spacing w:after="0" w:line="240" w:lineRule="auto"/>
              <w:jc w:val="both"/>
              <w:rPr>
                <w:rFonts w:asciiTheme="majorBidi" w:eastAsia="Times New Roman" w:hAnsiTheme="majorBidi" w:cstheme="majorBidi"/>
              </w:rPr>
            </w:pPr>
            <w:r w:rsidRPr="002148A8">
              <w:rPr>
                <w:rFonts w:asciiTheme="majorBidi" w:eastAsia="Times New Roman" w:hAnsiTheme="majorBidi" w:cstheme="majorBidi"/>
              </w:rPr>
              <w:t>Canadian Imperial Bank of Commerce (CIBC)</w:t>
            </w:r>
          </w:p>
        </w:tc>
        <w:tc>
          <w:tcPr>
            <w:tcW w:w="385" w:type="pct"/>
          </w:tcPr>
          <w:p w14:paraId="3EBDCA82"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60</w:t>
            </w:r>
          </w:p>
        </w:tc>
        <w:tc>
          <w:tcPr>
            <w:tcW w:w="388" w:type="pct"/>
          </w:tcPr>
          <w:p w14:paraId="120EB63F"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70</w:t>
            </w:r>
          </w:p>
        </w:tc>
        <w:tc>
          <w:tcPr>
            <w:tcW w:w="388" w:type="pct"/>
          </w:tcPr>
          <w:p w14:paraId="59723A45"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80</w:t>
            </w:r>
          </w:p>
        </w:tc>
        <w:tc>
          <w:tcPr>
            <w:tcW w:w="388" w:type="pct"/>
          </w:tcPr>
          <w:p w14:paraId="0E32496D"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83.3</w:t>
            </w:r>
          </w:p>
        </w:tc>
        <w:tc>
          <w:tcPr>
            <w:tcW w:w="386" w:type="pct"/>
          </w:tcPr>
          <w:p w14:paraId="3A37A4B4"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86.7</w:t>
            </w:r>
          </w:p>
        </w:tc>
        <w:tc>
          <w:tcPr>
            <w:tcW w:w="377" w:type="pct"/>
          </w:tcPr>
          <w:p w14:paraId="03B65986"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83.3</w:t>
            </w:r>
          </w:p>
        </w:tc>
        <w:tc>
          <w:tcPr>
            <w:tcW w:w="377" w:type="pct"/>
          </w:tcPr>
          <w:p w14:paraId="05950BC7"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76.7</w:t>
            </w:r>
          </w:p>
        </w:tc>
        <w:tc>
          <w:tcPr>
            <w:tcW w:w="409" w:type="pct"/>
          </w:tcPr>
          <w:p w14:paraId="41F17735"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76.7</w:t>
            </w:r>
          </w:p>
        </w:tc>
        <w:tc>
          <w:tcPr>
            <w:tcW w:w="377" w:type="pct"/>
          </w:tcPr>
          <w:p w14:paraId="677702A5"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83.3</w:t>
            </w:r>
          </w:p>
        </w:tc>
        <w:tc>
          <w:tcPr>
            <w:tcW w:w="377" w:type="pct"/>
          </w:tcPr>
          <w:p w14:paraId="5BAD5E57"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83.3</w:t>
            </w:r>
          </w:p>
        </w:tc>
        <w:tc>
          <w:tcPr>
            <w:tcW w:w="377" w:type="pct"/>
          </w:tcPr>
          <w:p w14:paraId="250906C0"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73.3</w:t>
            </w:r>
          </w:p>
        </w:tc>
      </w:tr>
      <w:tr w:rsidR="007373F6" w:rsidRPr="002148A8" w14:paraId="158E7B83" w14:textId="77777777" w:rsidTr="002148A8">
        <w:trPr>
          <w:jc w:val="center"/>
        </w:trPr>
        <w:tc>
          <w:tcPr>
            <w:tcW w:w="773" w:type="pct"/>
          </w:tcPr>
          <w:p w14:paraId="5A0D3D51" w14:textId="77777777" w:rsidR="007373F6" w:rsidRPr="002148A8" w:rsidRDefault="00000000">
            <w:pPr>
              <w:spacing w:after="0" w:line="240" w:lineRule="auto"/>
              <w:jc w:val="both"/>
              <w:rPr>
                <w:rFonts w:asciiTheme="majorBidi" w:eastAsia="Times New Roman" w:hAnsiTheme="majorBidi" w:cstheme="majorBidi"/>
              </w:rPr>
            </w:pPr>
            <w:r w:rsidRPr="002148A8">
              <w:rPr>
                <w:rFonts w:asciiTheme="majorBidi" w:eastAsia="Times New Roman" w:hAnsiTheme="majorBidi" w:cstheme="majorBidi"/>
              </w:rPr>
              <w:t>National Bank of Canada (NBC)</w:t>
            </w:r>
          </w:p>
        </w:tc>
        <w:tc>
          <w:tcPr>
            <w:tcW w:w="385" w:type="pct"/>
          </w:tcPr>
          <w:p w14:paraId="48F63387"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63.3</w:t>
            </w:r>
          </w:p>
        </w:tc>
        <w:tc>
          <w:tcPr>
            <w:tcW w:w="388" w:type="pct"/>
          </w:tcPr>
          <w:p w14:paraId="2823997C"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66.7</w:t>
            </w:r>
          </w:p>
        </w:tc>
        <w:tc>
          <w:tcPr>
            <w:tcW w:w="388" w:type="pct"/>
          </w:tcPr>
          <w:p w14:paraId="78C402E9"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73.3</w:t>
            </w:r>
          </w:p>
        </w:tc>
        <w:tc>
          <w:tcPr>
            <w:tcW w:w="388" w:type="pct"/>
          </w:tcPr>
          <w:p w14:paraId="12B08ED2"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80</w:t>
            </w:r>
          </w:p>
        </w:tc>
        <w:tc>
          <w:tcPr>
            <w:tcW w:w="386" w:type="pct"/>
          </w:tcPr>
          <w:p w14:paraId="1A63D09A"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86.7</w:t>
            </w:r>
          </w:p>
        </w:tc>
        <w:tc>
          <w:tcPr>
            <w:tcW w:w="377" w:type="pct"/>
          </w:tcPr>
          <w:p w14:paraId="02467446"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83.3</w:t>
            </w:r>
          </w:p>
        </w:tc>
        <w:tc>
          <w:tcPr>
            <w:tcW w:w="377" w:type="pct"/>
          </w:tcPr>
          <w:p w14:paraId="63E74A1D"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83.3</w:t>
            </w:r>
          </w:p>
        </w:tc>
        <w:tc>
          <w:tcPr>
            <w:tcW w:w="409" w:type="pct"/>
          </w:tcPr>
          <w:p w14:paraId="3B132C94"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83.3</w:t>
            </w:r>
          </w:p>
        </w:tc>
        <w:tc>
          <w:tcPr>
            <w:tcW w:w="377" w:type="pct"/>
          </w:tcPr>
          <w:p w14:paraId="69A205C6"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80</w:t>
            </w:r>
          </w:p>
        </w:tc>
        <w:tc>
          <w:tcPr>
            <w:tcW w:w="377" w:type="pct"/>
          </w:tcPr>
          <w:p w14:paraId="07C47F3C"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83.3</w:t>
            </w:r>
          </w:p>
        </w:tc>
        <w:tc>
          <w:tcPr>
            <w:tcW w:w="377" w:type="pct"/>
          </w:tcPr>
          <w:p w14:paraId="1851CF68" w14:textId="77777777" w:rsidR="007373F6" w:rsidRPr="002148A8" w:rsidRDefault="00000000" w:rsidP="002148A8">
            <w:pPr>
              <w:spacing w:after="0" w:line="240" w:lineRule="auto"/>
              <w:jc w:val="center"/>
              <w:rPr>
                <w:rFonts w:asciiTheme="majorBidi" w:eastAsia="Times New Roman" w:hAnsiTheme="majorBidi" w:cstheme="majorBidi"/>
              </w:rPr>
            </w:pPr>
            <w:r w:rsidRPr="002148A8">
              <w:rPr>
                <w:rFonts w:asciiTheme="majorBidi" w:eastAsia="Times New Roman" w:hAnsiTheme="majorBidi" w:cstheme="majorBidi"/>
              </w:rPr>
              <w:t>83.3</w:t>
            </w:r>
          </w:p>
        </w:tc>
      </w:tr>
      <w:tr w:rsidR="007373F6" w:rsidRPr="002148A8" w14:paraId="08F202F6" w14:textId="77777777" w:rsidTr="002148A8">
        <w:trPr>
          <w:jc w:val="center"/>
        </w:trPr>
        <w:tc>
          <w:tcPr>
            <w:tcW w:w="773" w:type="pct"/>
          </w:tcPr>
          <w:p w14:paraId="162502F2" w14:textId="77777777" w:rsidR="007373F6" w:rsidRPr="002148A8" w:rsidRDefault="00000000">
            <w:pPr>
              <w:spacing w:after="0" w:line="240" w:lineRule="auto"/>
              <w:jc w:val="both"/>
              <w:rPr>
                <w:rFonts w:asciiTheme="majorBidi" w:eastAsia="Times New Roman" w:hAnsiTheme="majorBidi" w:cstheme="majorBidi"/>
              </w:rPr>
            </w:pPr>
            <w:r w:rsidRPr="002148A8">
              <w:rPr>
                <w:rFonts w:asciiTheme="majorBidi" w:eastAsia="Times New Roman" w:hAnsiTheme="majorBidi" w:cstheme="majorBidi"/>
              </w:rPr>
              <w:t>Mean Value</w:t>
            </w:r>
          </w:p>
        </w:tc>
        <w:tc>
          <w:tcPr>
            <w:tcW w:w="385" w:type="pct"/>
          </w:tcPr>
          <w:p w14:paraId="24EEB3CA" w14:textId="77777777" w:rsidR="007373F6" w:rsidRPr="002148A8" w:rsidRDefault="00000000" w:rsidP="002148A8">
            <w:pPr>
              <w:spacing w:after="0" w:line="240" w:lineRule="auto"/>
              <w:jc w:val="center"/>
              <w:rPr>
                <w:rFonts w:asciiTheme="majorBidi" w:eastAsia="Times New Roman" w:hAnsiTheme="majorBidi" w:cstheme="majorBidi"/>
                <w:b/>
              </w:rPr>
            </w:pPr>
            <w:r w:rsidRPr="002148A8">
              <w:rPr>
                <w:rFonts w:asciiTheme="majorBidi" w:eastAsia="Times New Roman" w:hAnsiTheme="majorBidi" w:cstheme="majorBidi"/>
                <w:b/>
              </w:rPr>
              <w:t>58.3</w:t>
            </w:r>
          </w:p>
        </w:tc>
        <w:tc>
          <w:tcPr>
            <w:tcW w:w="388" w:type="pct"/>
          </w:tcPr>
          <w:p w14:paraId="747416DC" w14:textId="77777777" w:rsidR="007373F6" w:rsidRPr="002148A8" w:rsidRDefault="00000000" w:rsidP="002148A8">
            <w:pPr>
              <w:spacing w:after="0" w:line="240" w:lineRule="auto"/>
              <w:jc w:val="center"/>
              <w:rPr>
                <w:rFonts w:asciiTheme="majorBidi" w:eastAsia="Times New Roman" w:hAnsiTheme="majorBidi" w:cstheme="majorBidi"/>
                <w:b/>
              </w:rPr>
            </w:pPr>
            <w:r w:rsidRPr="002148A8">
              <w:rPr>
                <w:rFonts w:asciiTheme="majorBidi" w:eastAsia="Times New Roman" w:hAnsiTheme="majorBidi" w:cstheme="majorBidi"/>
                <w:b/>
              </w:rPr>
              <w:t>66.7</w:t>
            </w:r>
          </w:p>
        </w:tc>
        <w:tc>
          <w:tcPr>
            <w:tcW w:w="388" w:type="pct"/>
          </w:tcPr>
          <w:p w14:paraId="249DE4E5" w14:textId="77777777" w:rsidR="007373F6" w:rsidRPr="002148A8" w:rsidRDefault="00000000" w:rsidP="002148A8">
            <w:pPr>
              <w:spacing w:after="0" w:line="240" w:lineRule="auto"/>
              <w:jc w:val="center"/>
              <w:rPr>
                <w:rFonts w:asciiTheme="majorBidi" w:eastAsia="Times New Roman" w:hAnsiTheme="majorBidi" w:cstheme="majorBidi"/>
                <w:b/>
              </w:rPr>
            </w:pPr>
            <w:r w:rsidRPr="002148A8">
              <w:rPr>
                <w:rFonts w:asciiTheme="majorBidi" w:eastAsia="Times New Roman" w:hAnsiTheme="majorBidi" w:cstheme="majorBidi"/>
                <w:b/>
              </w:rPr>
              <w:t>74.5</w:t>
            </w:r>
          </w:p>
        </w:tc>
        <w:tc>
          <w:tcPr>
            <w:tcW w:w="388" w:type="pct"/>
          </w:tcPr>
          <w:p w14:paraId="5862D91E" w14:textId="77777777" w:rsidR="007373F6" w:rsidRPr="002148A8" w:rsidRDefault="00000000" w:rsidP="002148A8">
            <w:pPr>
              <w:spacing w:after="0" w:line="240" w:lineRule="auto"/>
              <w:jc w:val="center"/>
              <w:rPr>
                <w:rFonts w:asciiTheme="majorBidi" w:eastAsia="Times New Roman" w:hAnsiTheme="majorBidi" w:cstheme="majorBidi"/>
                <w:b/>
              </w:rPr>
            </w:pPr>
            <w:r w:rsidRPr="002148A8">
              <w:rPr>
                <w:rFonts w:asciiTheme="majorBidi" w:eastAsia="Times New Roman" w:hAnsiTheme="majorBidi" w:cstheme="majorBidi"/>
                <w:b/>
              </w:rPr>
              <w:t>80.6</w:t>
            </w:r>
          </w:p>
        </w:tc>
        <w:tc>
          <w:tcPr>
            <w:tcW w:w="386" w:type="pct"/>
          </w:tcPr>
          <w:p w14:paraId="63302904" w14:textId="77777777" w:rsidR="007373F6" w:rsidRPr="002148A8" w:rsidRDefault="00000000" w:rsidP="002148A8">
            <w:pPr>
              <w:spacing w:after="0" w:line="240" w:lineRule="auto"/>
              <w:jc w:val="center"/>
              <w:rPr>
                <w:rFonts w:asciiTheme="majorBidi" w:eastAsia="Times New Roman" w:hAnsiTheme="majorBidi" w:cstheme="majorBidi"/>
                <w:b/>
              </w:rPr>
            </w:pPr>
            <w:r w:rsidRPr="002148A8">
              <w:rPr>
                <w:rFonts w:asciiTheme="majorBidi" w:eastAsia="Times New Roman" w:hAnsiTheme="majorBidi" w:cstheme="majorBidi"/>
                <w:b/>
              </w:rPr>
              <w:t>86.1</w:t>
            </w:r>
          </w:p>
        </w:tc>
        <w:tc>
          <w:tcPr>
            <w:tcW w:w="377" w:type="pct"/>
          </w:tcPr>
          <w:p w14:paraId="49A2657B" w14:textId="77777777" w:rsidR="007373F6" w:rsidRPr="002148A8" w:rsidRDefault="00000000" w:rsidP="002148A8">
            <w:pPr>
              <w:spacing w:after="0" w:line="240" w:lineRule="auto"/>
              <w:jc w:val="center"/>
              <w:rPr>
                <w:rFonts w:asciiTheme="majorBidi" w:eastAsia="Times New Roman" w:hAnsiTheme="majorBidi" w:cstheme="majorBidi"/>
                <w:b/>
              </w:rPr>
            </w:pPr>
            <w:r w:rsidRPr="002148A8">
              <w:rPr>
                <w:rFonts w:asciiTheme="majorBidi" w:eastAsia="Times New Roman" w:hAnsiTheme="majorBidi" w:cstheme="majorBidi"/>
                <w:b/>
              </w:rPr>
              <w:t>81.1</w:t>
            </w:r>
          </w:p>
        </w:tc>
        <w:tc>
          <w:tcPr>
            <w:tcW w:w="377" w:type="pct"/>
          </w:tcPr>
          <w:p w14:paraId="761BF027" w14:textId="77777777" w:rsidR="007373F6" w:rsidRPr="002148A8" w:rsidRDefault="00000000" w:rsidP="002148A8">
            <w:pPr>
              <w:spacing w:after="0" w:line="240" w:lineRule="auto"/>
              <w:jc w:val="center"/>
              <w:rPr>
                <w:rFonts w:asciiTheme="majorBidi" w:eastAsia="Times New Roman" w:hAnsiTheme="majorBidi" w:cstheme="majorBidi"/>
                <w:b/>
              </w:rPr>
            </w:pPr>
            <w:r w:rsidRPr="002148A8">
              <w:rPr>
                <w:rFonts w:asciiTheme="majorBidi" w:eastAsia="Times New Roman" w:hAnsiTheme="majorBidi" w:cstheme="majorBidi"/>
                <w:b/>
              </w:rPr>
              <w:t>81.1</w:t>
            </w:r>
          </w:p>
        </w:tc>
        <w:tc>
          <w:tcPr>
            <w:tcW w:w="409" w:type="pct"/>
          </w:tcPr>
          <w:p w14:paraId="28D90B85" w14:textId="77777777" w:rsidR="007373F6" w:rsidRPr="002148A8" w:rsidRDefault="00000000" w:rsidP="002148A8">
            <w:pPr>
              <w:spacing w:after="0" w:line="240" w:lineRule="auto"/>
              <w:jc w:val="center"/>
              <w:rPr>
                <w:rFonts w:asciiTheme="majorBidi" w:eastAsia="Times New Roman" w:hAnsiTheme="majorBidi" w:cstheme="majorBidi"/>
                <w:b/>
              </w:rPr>
            </w:pPr>
            <w:r w:rsidRPr="002148A8">
              <w:rPr>
                <w:rFonts w:asciiTheme="majorBidi" w:eastAsia="Times New Roman" w:hAnsiTheme="majorBidi" w:cstheme="majorBidi"/>
                <w:b/>
              </w:rPr>
              <w:t>78.32</w:t>
            </w:r>
          </w:p>
        </w:tc>
        <w:tc>
          <w:tcPr>
            <w:tcW w:w="377" w:type="pct"/>
          </w:tcPr>
          <w:p w14:paraId="299BB0D4" w14:textId="77777777" w:rsidR="007373F6" w:rsidRPr="002148A8" w:rsidRDefault="00000000" w:rsidP="002148A8">
            <w:pPr>
              <w:spacing w:after="0" w:line="240" w:lineRule="auto"/>
              <w:jc w:val="center"/>
              <w:rPr>
                <w:rFonts w:asciiTheme="majorBidi" w:eastAsia="Times New Roman" w:hAnsiTheme="majorBidi" w:cstheme="majorBidi"/>
                <w:b/>
              </w:rPr>
            </w:pPr>
            <w:r w:rsidRPr="002148A8">
              <w:rPr>
                <w:rFonts w:asciiTheme="majorBidi" w:eastAsia="Times New Roman" w:hAnsiTheme="majorBidi" w:cstheme="majorBidi"/>
                <w:b/>
              </w:rPr>
              <w:t>81.1</w:t>
            </w:r>
          </w:p>
        </w:tc>
        <w:tc>
          <w:tcPr>
            <w:tcW w:w="377" w:type="pct"/>
          </w:tcPr>
          <w:p w14:paraId="54DB81BE" w14:textId="77777777" w:rsidR="007373F6" w:rsidRPr="002148A8" w:rsidRDefault="00000000" w:rsidP="002148A8">
            <w:pPr>
              <w:spacing w:after="0" w:line="240" w:lineRule="auto"/>
              <w:jc w:val="center"/>
              <w:rPr>
                <w:rFonts w:asciiTheme="majorBidi" w:eastAsia="Times New Roman" w:hAnsiTheme="majorBidi" w:cstheme="majorBidi"/>
                <w:b/>
              </w:rPr>
            </w:pPr>
            <w:r w:rsidRPr="002148A8">
              <w:rPr>
                <w:rFonts w:asciiTheme="majorBidi" w:eastAsia="Times New Roman" w:hAnsiTheme="majorBidi" w:cstheme="majorBidi"/>
                <w:b/>
              </w:rPr>
              <w:t>82</w:t>
            </w:r>
          </w:p>
        </w:tc>
        <w:tc>
          <w:tcPr>
            <w:tcW w:w="377" w:type="pct"/>
          </w:tcPr>
          <w:p w14:paraId="040D2FDE" w14:textId="166AADE1" w:rsidR="007373F6" w:rsidRPr="002148A8" w:rsidRDefault="00000000" w:rsidP="002148A8">
            <w:pPr>
              <w:spacing w:after="0" w:line="240" w:lineRule="auto"/>
              <w:jc w:val="center"/>
              <w:rPr>
                <w:rFonts w:asciiTheme="majorBidi" w:eastAsia="Times New Roman" w:hAnsiTheme="majorBidi" w:cstheme="majorBidi"/>
                <w:b/>
              </w:rPr>
            </w:pPr>
            <w:r w:rsidRPr="002148A8">
              <w:rPr>
                <w:rFonts w:asciiTheme="majorBidi" w:eastAsia="Times New Roman" w:hAnsiTheme="majorBidi" w:cstheme="majorBidi"/>
                <w:b/>
              </w:rPr>
              <w:t>82</w:t>
            </w:r>
          </w:p>
        </w:tc>
      </w:tr>
    </w:tbl>
    <w:p w14:paraId="47684A65"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Source: Authors’ Figures</w:t>
      </w:r>
    </w:p>
    <w:p w14:paraId="06FAD2EC" w14:textId="77777777" w:rsidR="007373F6" w:rsidRDefault="007373F6">
      <w:pPr>
        <w:spacing w:after="0" w:line="240" w:lineRule="auto"/>
        <w:jc w:val="both"/>
        <w:rPr>
          <w:rFonts w:ascii="Times New Roman" w:eastAsia="Times New Roman" w:hAnsi="Times New Roman" w:cs="Times New Roman"/>
          <w:sz w:val="24"/>
          <w:szCs w:val="24"/>
        </w:rPr>
      </w:pPr>
    </w:p>
    <w:p w14:paraId="5F7A4D1F"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Table 2 shows the quality rating for compensation committees of all banks surveyed. The rating scores mostly concentrated in the range from 56.7% to 90%, which reveals that compensation governance is almost identical in Canadian banks. The reason for this same practice of compensation governance in the banks is to adopt new regulations on compensation governance. It is also revealed that the banks have a tendency to adopt rules and guidelines to increase their effectiveness in compensation governance. </w:t>
      </w:r>
    </w:p>
    <w:p w14:paraId="71ED9099"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Compensation committee effectiveness rating scores show that the six banks are considerably improving their compensation effectiveness. In 2012, the average effectiveness was 58.3%, which increased to 82% in 2022. Similarly, the effectiveness score of the compensation committees of each bank also increased every year, but the effectiveness score also fluctuated sometimes. Overall, the effectiveness rating for each bank is improving if we compare from the starting point to now. Regarding effectiveness, the compensation committee of RBC is the most effective bank. It is notable that the Bank of Nova Scotia (BNS) improved 33.3% effectiveness in ten years, although it was the lowest scorer in 2012.</w:t>
      </w:r>
    </w:p>
    <w:p w14:paraId="41D144D4" w14:textId="77777777" w:rsidR="007373F6" w:rsidRDefault="007373F6">
      <w:pPr>
        <w:spacing w:after="0" w:line="240" w:lineRule="auto"/>
        <w:jc w:val="both"/>
        <w:rPr>
          <w:rFonts w:ascii="Times New Roman" w:eastAsia="Times New Roman" w:hAnsi="Times New Roman" w:cs="Times New Roman"/>
          <w:sz w:val="24"/>
          <w:szCs w:val="24"/>
        </w:rPr>
      </w:pPr>
    </w:p>
    <w:p w14:paraId="144A4D9D"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32A447B6" wp14:editId="635FCE7B">
            <wp:extent cx="5727700" cy="2743697"/>
            <wp:effectExtent l="0" t="0" r="0" b="0"/>
            <wp:docPr id="193106201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15"/>
                    <a:srcRect/>
                    <a:stretch>
                      <a:fillRect/>
                    </a:stretch>
                  </pic:blipFill>
                  <pic:spPr>
                    <a:xfrm>
                      <a:off x="0" y="0"/>
                      <a:ext cx="5727700" cy="2743697"/>
                    </a:xfrm>
                    <a:prstGeom prst="rect">
                      <a:avLst/>
                    </a:prstGeom>
                    <a:ln/>
                  </pic:spPr>
                </pic:pic>
              </a:graphicData>
            </a:graphic>
          </wp:inline>
        </w:drawing>
      </w:r>
    </w:p>
    <w:p w14:paraId="0190364A"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Source: Authors’ Figures</w:t>
      </w:r>
    </w:p>
    <w:p w14:paraId="147F557B" w14:textId="77777777" w:rsidR="007373F6" w:rsidRDefault="007373F6">
      <w:pPr>
        <w:spacing w:after="0" w:line="240" w:lineRule="auto"/>
        <w:jc w:val="both"/>
        <w:rPr>
          <w:rFonts w:ascii="Times New Roman" w:eastAsia="Times New Roman" w:hAnsi="Times New Roman" w:cs="Times New Roman"/>
          <w:sz w:val="24"/>
          <w:szCs w:val="24"/>
        </w:rPr>
      </w:pPr>
    </w:p>
    <w:p w14:paraId="73FF03AF"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figure 1 illustrates a bar chart showing effectiveness ratings across 11 years. The trend shows a steady increase in ratings from point year 1(2012) to year 5 (2016), peaking at year 5. After that, the ratings remain relatively stable with slight fluctuations between year 6 and 11, maintaining scores around the 80%. Figure shows a clustered bar chart comparing the effectiveness ratings of six Canadian banks such as RBC, TD, BNS, BMO, CIBC, and NBC over an 11-year period. Overall, all banks show a general increase in effectiveness from 2012 to 2022, with most ratings stabilizing above 80% in recent years. TD and RBC consistently achieve the highest effectiveness ratings across the years, often near or at 90%. On the other hand, BMO and CIBC have slightly lower ratings compared to other banks, especially in earlier years. The ratings become more closely grouped after 2015, indicating convergence in performance levels. In 2022 all banks show strong effectiveness ratings, with TD and RBC again reaching peak levels.</w:t>
      </w:r>
    </w:p>
    <w:p w14:paraId="193D382A" w14:textId="77777777" w:rsidR="007373F6" w:rsidRDefault="007373F6" w:rsidP="002148A8">
      <w:pPr>
        <w:spacing w:after="0" w:line="240" w:lineRule="auto"/>
        <w:ind w:firstLine="426"/>
        <w:jc w:val="both"/>
        <w:rPr>
          <w:rFonts w:ascii="Times New Roman" w:eastAsia="Times New Roman" w:hAnsi="Times New Roman" w:cs="Times New Roman"/>
          <w:sz w:val="24"/>
          <w:szCs w:val="24"/>
        </w:rPr>
      </w:pPr>
    </w:p>
    <w:p w14:paraId="5CA06E8F"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chart reflects continuous improvement and competitive alignment among the banks over the decade.</w:t>
      </w:r>
    </w:p>
    <w:p w14:paraId="11BE52D9"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6D813BD1" wp14:editId="11E0B9CA">
            <wp:extent cx="5639337" cy="3485662"/>
            <wp:effectExtent l="0" t="0" r="0" b="0"/>
            <wp:docPr id="193106202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16"/>
                    <a:srcRect/>
                    <a:stretch>
                      <a:fillRect/>
                    </a:stretch>
                  </pic:blipFill>
                  <pic:spPr>
                    <a:xfrm>
                      <a:off x="0" y="0"/>
                      <a:ext cx="5639337" cy="3485662"/>
                    </a:xfrm>
                    <a:prstGeom prst="rect">
                      <a:avLst/>
                    </a:prstGeom>
                    <a:ln/>
                  </pic:spPr>
                </pic:pic>
              </a:graphicData>
            </a:graphic>
          </wp:inline>
        </w:drawing>
      </w:r>
    </w:p>
    <w:p w14:paraId="4D7CFBB7"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Source: Authors’ Figures</w:t>
      </w:r>
    </w:p>
    <w:p w14:paraId="4ED16DC0" w14:textId="77777777" w:rsidR="007373F6" w:rsidRDefault="007373F6">
      <w:pPr>
        <w:spacing w:after="0" w:line="240" w:lineRule="auto"/>
        <w:jc w:val="both"/>
        <w:rPr>
          <w:rFonts w:ascii="Times New Roman" w:eastAsia="Times New Roman" w:hAnsi="Times New Roman" w:cs="Times New Roman"/>
          <w:b/>
          <w:sz w:val="24"/>
          <w:szCs w:val="24"/>
        </w:rPr>
      </w:pPr>
    </w:p>
    <w:p w14:paraId="536C4986"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2 illustrates the effectiveness trends of six central Canadian banks, including RBC, TD, BNS, BMO, CIBC, and NBC, over the 11 years from 2012 to 2022. The y-axis represents effectiveness percentages, ranging from 0% to 100%, while the x-axis shows the corresponding years. All six banks demonstrate a general increase in effectiveness from 2012 to 2022. While some fluctuations are observed, the overall direction of progress is positive. TD (red bars) consistently shows strong performance, peaking at around 90% in both 2016 and 2021. RBC (blue bars) also displays a notable upward trajectory, reaching 90% in 2016 and again in 2022. NBC (orange bars) maintains steady growth, consistently achieving high effectiveness in the 80–85% range since 2016. BNS (green bars) shows significant improvement from 2012 (50%) to 2020 (around 88%), followed by a slight dip toward 2022. CIBC (purple bars) has shown steady growth but lags slightly behind RBC and TD, maintaining effectiveness levels in the 70–80% range since 2016. BMO (light blue bars) exhibits some variability, with a high peak in 2016, followed by a noticeable drop between 2017 and 2019, before stabilizing around the mid-80% range in 2022. By 2022, most banks are expected to have converged around the 80–90% effectiveness range, indicating industry-wide improvements and the potential for standardization of best practices or technologies. Over the past 11 years, all banks have made notable strides in improving their effectiveness, with TD and RBC emerging as consistent leaders. </w:t>
      </w:r>
    </w:p>
    <w:p w14:paraId="7C4D6D4C" w14:textId="77777777" w:rsidR="007373F6" w:rsidRDefault="007373F6" w:rsidP="002148A8">
      <w:pPr>
        <w:spacing w:after="0" w:line="240" w:lineRule="auto"/>
        <w:ind w:firstLine="426"/>
        <w:jc w:val="both"/>
        <w:rPr>
          <w:rFonts w:ascii="Times New Roman" w:eastAsia="Times New Roman" w:hAnsi="Times New Roman" w:cs="Times New Roman"/>
          <w:b/>
          <w:sz w:val="24"/>
          <w:szCs w:val="24"/>
        </w:rPr>
      </w:pPr>
    </w:p>
    <w:p w14:paraId="25541C74" w14:textId="5C4F1387" w:rsidR="007373F6" w:rsidRDefault="00000000" w:rsidP="00856618">
      <w:pPr>
        <w:pStyle w:val="ListParagraph"/>
        <w:numPr>
          <w:ilvl w:val="0"/>
          <w:numId w:val="3"/>
        </w:numPr>
        <w:spacing w:after="0" w:line="240" w:lineRule="auto"/>
        <w:ind w:left="426" w:hanging="426"/>
        <w:jc w:val="center"/>
        <w:rPr>
          <w:rFonts w:ascii="Times New Roman" w:eastAsia="Times New Roman" w:hAnsi="Times New Roman" w:cs="Times New Roman"/>
          <w:b/>
          <w:sz w:val="24"/>
          <w:szCs w:val="24"/>
        </w:rPr>
      </w:pPr>
      <w:r w:rsidRPr="002148A8">
        <w:rPr>
          <w:rFonts w:ascii="Times New Roman" w:eastAsia="Times New Roman" w:hAnsi="Times New Roman" w:cs="Times New Roman"/>
          <w:b/>
          <w:sz w:val="24"/>
          <w:szCs w:val="24"/>
        </w:rPr>
        <w:t>ANALYSIS OF EACH ITEM</w:t>
      </w:r>
    </w:p>
    <w:p w14:paraId="0ED90BF6" w14:textId="77777777" w:rsidR="002748F8" w:rsidRPr="002148A8" w:rsidRDefault="002748F8" w:rsidP="002748F8">
      <w:pPr>
        <w:pStyle w:val="ListParagraph"/>
        <w:spacing w:after="0" w:line="240" w:lineRule="auto"/>
        <w:ind w:left="426"/>
        <w:rPr>
          <w:rFonts w:ascii="Times New Roman" w:eastAsia="Times New Roman" w:hAnsi="Times New Roman" w:cs="Times New Roman"/>
          <w:b/>
          <w:sz w:val="24"/>
          <w:szCs w:val="24"/>
        </w:rPr>
      </w:pPr>
    </w:p>
    <w:p w14:paraId="26D4443E"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Further evidence was sought by classifying items by macro-area to which each belongs (composition, procedural, and disclosures) to clarify the interpretation of study results. The first area of this analytical model is related to the composition of the compensation committee, which includes seven items. Table 3 shows the individual scores of items of the analytical model. </w:t>
      </w:r>
    </w:p>
    <w:p w14:paraId="384AB78B"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sample banks do not have any separate compensation committees to govern compensation-related matters for executives. Banks have human resource committees </w:t>
      </w:r>
      <w:r>
        <w:rPr>
          <w:rFonts w:ascii="Times New Roman" w:eastAsia="Times New Roman" w:hAnsi="Times New Roman" w:cs="Times New Roman"/>
          <w:sz w:val="24"/>
          <w:szCs w:val="24"/>
        </w:rPr>
        <w:lastRenderedPageBreak/>
        <w:t>governing compensation and other human resources-related issues. Also, the presence of independent directors is 100% of all banks’ compensation committees in 2022. On the other hand, the presence of women in the compensation committees was 100% till 2018, and in 2019, banks appointed more men than women, which indicates the percentage of presence of women in the compensation committees is considerably higher.</w:t>
      </w:r>
    </w:p>
    <w:p w14:paraId="2570321B"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Regarding the odd composition of the committees, only 50% of the banks have an odd number of members till 2015. In 2016, it was 100%. Later, this odd composition fluctuates and does not show a stable percentage of the odd composition of the committees. On the other hand, not all banks have at least one member with documented experience in management compensation in the committees. Finally, the number of members (at least five) was 100% till 2017. Later, it was 92% in 2018 and 2019, and from 2020, it shows the number of members (at least five) is upward, and the percentage is 100%.</w:t>
      </w:r>
    </w:p>
    <w:p w14:paraId="5C3EEAC8" w14:textId="77777777" w:rsidR="007373F6" w:rsidRDefault="007373F6">
      <w:pPr>
        <w:spacing w:after="0" w:line="240" w:lineRule="auto"/>
        <w:ind w:left="360"/>
        <w:jc w:val="both"/>
        <w:rPr>
          <w:rFonts w:ascii="Times New Roman" w:eastAsia="Times New Roman" w:hAnsi="Times New Roman" w:cs="Times New Roman"/>
          <w:sz w:val="24"/>
          <w:szCs w:val="24"/>
        </w:rPr>
      </w:pPr>
    </w:p>
    <w:p w14:paraId="74C1E49A" w14:textId="17D6D2EA" w:rsidR="007373F6" w:rsidRDefault="00000000" w:rsidP="002148A8">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Table 3</w:t>
      </w:r>
      <w:r w:rsidR="002148A8">
        <w:rPr>
          <w:rFonts w:ascii="Times New Roman" w:eastAsia="Times New Roman" w:hAnsi="Times New Roman" w:cs="Times New Roman"/>
          <w:b/>
          <w:sz w:val="24"/>
          <w:szCs w:val="24"/>
        </w:rPr>
        <w:t xml:space="preserve">. </w:t>
      </w:r>
      <w:r w:rsidRPr="002148A8">
        <w:rPr>
          <w:rFonts w:ascii="Times New Roman" w:eastAsia="Times New Roman" w:hAnsi="Times New Roman" w:cs="Times New Roman"/>
          <w:bCs/>
          <w:sz w:val="24"/>
          <w:szCs w:val="24"/>
        </w:rPr>
        <w:t>Compensation Committee Composition Items</w:t>
      </w:r>
    </w:p>
    <w:tbl>
      <w:tblPr>
        <w:tblStyle w:val="afffff4"/>
        <w:tblW w:w="9242" w:type="dxa"/>
        <w:jc w:val="center"/>
        <w:tblBorders>
          <w:top w:val="single" w:sz="4" w:space="0" w:color="auto"/>
          <w:bottom w:val="single" w:sz="4" w:space="0" w:color="auto"/>
          <w:insideH w:val="single" w:sz="4" w:space="0" w:color="auto"/>
        </w:tblBorders>
        <w:tblLayout w:type="fixed"/>
        <w:tblLook w:val="0400" w:firstRow="0" w:lastRow="0" w:firstColumn="0" w:lastColumn="0" w:noHBand="0" w:noVBand="1"/>
      </w:tblPr>
      <w:tblGrid>
        <w:gridCol w:w="1419"/>
        <w:gridCol w:w="712"/>
        <w:gridCol w:w="712"/>
        <w:gridCol w:w="711"/>
        <w:gridCol w:w="711"/>
        <w:gridCol w:w="711"/>
        <w:gridCol w:w="711"/>
        <w:gridCol w:w="711"/>
        <w:gridCol w:w="711"/>
        <w:gridCol w:w="711"/>
        <w:gridCol w:w="711"/>
        <w:gridCol w:w="711"/>
      </w:tblGrid>
      <w:tr w:rsidR="007373F6" w:rsidRPr="002148A8" w14:paraId="38B0FBA0" w14:textId="77777777" w:rsidTr="002148A8">
        <w:trPr>
          <w:jc w:val="center"/>
        </w:trPr>
        <w:tc>
          <w:tcPr>
            <w:tcW w:w="1419" w:type="dxa"/>
          </w:tcPr>
          <w:p w14:paraId="4D6BE201" w14:textId="12B66C2B" w:rsidR="007373F6" w:rsidRPr="002148A8" w:rsidRDefault="00000000" w:rsidP="002148A8">
            <w:pPr>
              <w:spacing w:after="0" w:line="240" w:lineRule="auto"/>
              <w:jc w:val="center"/>
              <w:rPr>
                <w:rFonts w:ascii="Times New Roman" w:eastAsia="Times New Roman" w:hAnsi="Times New Roman" w:cs="Times New Roman"/>
                <w:b/>
                <w:bCs/>
              </w:rPr>
            </w:pPr>
            <w:r w:rsidRPr="002148A8">
              <w:rPr>
                <w:rFonts w:ascii="Times New Roman" w:eastAsia="Times New Roman" w:hAnsi="Times New Roman" w:cs="Times New Roman"/>
                <w:b/>
                <w:bCs/>
              </w:rPr>
              <w:t>Composition</w:t>
            </w:r>
          </w:p>
        </w:tc>
        <w:tc>
          <w:tcPr>
            <w:tcW w:w="712" w:type="dxa"/>
          </w:tcPr>
          <w:p w14:paraId="3ECA1628" w14:textId="77777777" w:rsidR="007373F6" w:rsidRPr="002148A8" w:rsidRDefault="00000000" w:rsidP="002148A8">
            <w:pPr>
              <w:spacing w:after="0" w:line="240" w:lineRule="auto"/>
              <w:jc w:val="center"/>
              <w:rPr>
                <w:rFonts w:ascii="Times New Roman" w:eastAsia="Times New Roman" w:hAnsi="Times New Roman" w:cs="Times New Roman"/>
                <w:b/>
                <w:bCs/>
              </w:rPr>
            </w:pPr>
            <w:r w:rsidRPr="002148A8">
              <w:rPr>
                <w:rFonts w:ascii="Times New Roman" w:eastAsia="Times New Roman" w:hAnsi="Times New Roman" w:cs="Times New Roman"/>
                <w:b/>
                <w:bCs/>
              </w:rPr>
              <w:t>2012</w:t>
            </w:r>
          </w:p>
        </w:tc>
        <w:tc>
          <w:tcPr>
            <w:tcW w:w="712" w:type="dxa"/>
          </w:tcPr>
          <w:p w14:paraId="69C0D58B" w14:textId="77777777" w:rsidR="007373F6" w:rsidRPr="002148A8" w:rsidRDefault="00000000" w:rsidP="002148A8">
            <w:pPr>
              <w:spacing w:after="0" w:line="240" w:lineRule="auto"/>
              <w:jc w:val="center"/>
              <w:rPr>
                <w:rFonts w:ascii="Times New Roman" w:eastAsia="Times New Roman" w:hAnsi="Times New Roman" w:cs="Times New Roman"/>
                <w:b/>
                <w:bCs/>
              </w:rPr>
            </w:pPr>
            <w:r w:rsidRPr="002148A8">
              <w:rPr>
                <w:rFonts w:ascii="Times New Roman" w:eastAsia="Times New Roman" w:hAnsi="Times New Roman" w:cs="Times New Roman"/>
                <w:b/>
                <w:bCs/>
              </w:rPr>
              <w:t>2013</w:t>
            </w:r>
          </w:p>
        </w:tc>
        <w:tc>
          <w:tcPr>
            <w:tcW w:w="711" w:type="dxa"/>
          </w:tcPr>
          <w:p w14:paraId="25CD2D9C" w14:textId="77777777" w:rsidR="007373F6" w:rsidRPr="002148A8" w:rsidRDefault="00000000" w:rsidP="002148A8">
            <w:pPr>
              <w:spacing w:after="0" w:line="240" w:lineRule="auto"/>
              <w:jc w:val="center"/>
              <w:rPr>
                <w:rFonts w:ascii="Times New Roman" w:eastAsia="Times New Roman" w:hAnsi="Times New Roman" w:cs="Times New Roman"/>
                <w:b/>
                <w:bCs/>
              </w:rPr>
            </w:pPr>
            <w:r w:rsidRPr="002148A8">
              <w:rPr>
                <w:rFonts w:ascii="Times New Roman" w:eastAsia="Times New Roman" w:hAnsi="Times New Roman" w:cs="Times New Roman"/>
                <w:b/>
                <w:bCs/>
              </w:rPr>
              <w:t>2014</w:t>
            </w:r>
          </w:p>
        </w:tc>
        <w:tc>
          <w:tcPr>
            <w:tcW w:w="711" w:type="dxa"/>
          </w:tcPr>
          <w:p w14:paraId="4B5B73AA" w14:textId="77777777" w:rsidR="007373F6" w:rsidRPr="002148A8" w:rsidRDefault="00000000" w:rsidP="002148A8">
            <w:pPr>
              <w:spacing w:after="0" w:line="240" w:lineRule="auto"/>
              <w:jc w:val="center"/>
              <w:rPr>
                <w:rFonts w:ascii="Times New Roman" w:eastAsia="Times New Roman" w:hAnsi="Times New Roman" w:cs="Times New Roman"/>
                <w:b/>
                <w:bCs/>
              </w:rPr>
            </w:pPr>
            <w:r w:rsidRPr="002148A8">
              <w:rPr>
                <w:rFonts w:ascii="Times New Roman" w:eastAsia="Times New Roman" w:hAnsi="Times New Roman" w:cs="Times New Roman"/>
                <w:b/>
                <w:bCs/>
              </w:rPr>
              <w:t>2015</w:t>
            </w:r>
          </w:p>
        </w:tc>
        <w:tc>
          <w:tcPr>
            <w:tcW w:w="711" w:type="dxa"/>
          </w:tcPr>
          <w:p w14:paraId="0E71313B" w14:textId="77777777" w:rsidR="007373F6" w:rsidRPr="002148A8" w:rsidRDefault="00000000" w:rsidP="002148A8">
            <w:pPr>
              <w:spacing w:after="0" w:line="240" w:lineRule="auto"/>
              <w:jc w:val="center"/>
              <w:rPr>
                <w:rFonts w:ascii="Times New Roman" w:eastAsia="Times New Roman" w:hAnsi="Times New Roman" w:cs="Times New Roman"/>
                <w:b/>
                <w:bCs/>
              </w:rPr>
            </w:pPr>
            <w:r w:rsidRPr="002148A8">
              <w:rPr>
                <w:rFonts w:ascii="Times New Roman" w:eastAsia="Times New Roman" w:hAnsi="Times New Roman" w:cs="Times New Roman"/>
                <w:b/>
                <w:bCs/>
              </w:rPr>
              <w:t>2016</w:t>
            </w:r>
          </w:p>
        </w:tc>
        <w:tc>
          <w:tcPr>
            <w:tcW w:w="711" w:type="dxa"/>
          </w:tcPr>
          <w:p w14:paraId="277A4A33" w14:textId="77777777" w:rsidR="007373F6" w:rsidRPr="002148A8" w:rsidRDefault="00000000" w:rsidP="002148A8">
            <w:pPr>
              <w:spacing w:after="0" w:line="240" w:lineRule="auto"/>
              <w:jc w:val="center"/>
              <w:rPr>
                <w:rFonts w:ascii="Times New Roman" w:eastAsia="Times New Roman" w:hAnsi="Times New Roman" w:cs="Times New Roman"/>
                <w:b/>
                <w:bCs/>
              </w:rPr>
            </w:pPr>
            <w:r w:rsidRPr="002148A8">
              <w:rPr>
                <w:rFonts w:ascii="Times New Roman" w:eastAsia="Times New Roman" w:hAnsi="Times New Roman" w:cs="Times New Roman"/>
                <w:b/>
                <w:bCs/>
              </w:rPr>
              <w:t>2017</w:t>
            </w:r>
          </w:p>
        </w:tc>
        <w:tc>
          <w:tcPr>
            <w:tcW w:w="711" w:type="dxa"/>
          </w:tcPr>
          <w:p w14:paraId="197D4EFC" w14:textId="77777777" w:rsidR="007373F6" w:rsidRPr="002148A8" w:rsidRDefault="00000000" w:rsidP="002148A8">
            <w:pPr>
              <w:spacing w:after="0" w:line="240" w:lineRule="auto"/>
              <w:jc w:val="center"/>
              <w:rPr>
                <w:rFonts w:ascii="Times New Roman" w:eastAsia="Times New Roman" w:hAnsi="Times New Roman" w:cs="Times New Roman"/>
                <w:b/>
                <w:bCs/>
              </w:rPr>
            </w:pPr>
            <w:r w:rsidRPr="002148A8">
              <w:rPr>
                <w:rFonts w:ascii="Times New Roman" w:eastAsia="Times New Roman" w:hAnsi="Times New Roman" w:cs="Times New Roman"/>
                <w:b/>
                <w:bCs/>
              </w:rPr>
              <w:t>2018</w:t>
            </w:r>
          </w:p>
        </w:tc>
        <w:tc>
          <w:tcPr>
            <w:tcW w:w="711" w:type="dxa"/>
          </w:tcPr>
          <w:p w14:paraId="774BE5D2" w14:textId="77777777" w:rsidR="007373F6" w:rsidRPr="002148A8" w:rsidRDefault="00000000" w:rsidP="002148A8">
            <w:pPr>
              <w:spacing w:after="0" w:line="240" w:lineRule="auto"/>
              <w:jc w:val="center"/>
              <w:rPr>
                <w:rFonts w:ascii="Times New Roman" w:eastAsia="Times New Roman" w:hAnsi="Times New Roman" w:cs="Times New Roman"/>
                <w:b/>
                <w:bCs/>
              </w:rPr>
            </w:pPr>
            <w:r w:rsidRPr="002148A8">
              <w:rPr>
                <w:rFonts w:ascii="Times New Roman" w:eastAsia="Times New Roman" w:hAnsi="Times New Roman" w:cs="Times New Roman"/>
                <w:b/>
                <w:bCs/>
              </w:rPr>
              <w:t>2019</w:t>
            </w:r>
          </w:p>
        </w:tc>
        <w:tc>
          <w:tcPr>
            <w:tcW w:w="711" w:type="dxa"/>
          </w:tcPr>
          <w:p w14:paraId="35BCA60C" w14:textId="77777777" w:rsidR="007373F6" w:rsidRPr="002148A8" w:rsidRDefault="00000000" w:rsidP="002148A8">
            <w:pPr>
              <w:spacing w:after="0" w:line="240" w:lineRule="auto"/>
              <w:jc w:val="center"/>
              <w:rPr>
                <w:rFonts w:ascii="Times New Roman" w:eastAsia="Times New Roman" w:hAnsi="Times New Roman" w:cs="Times New Roman"/>
                <w:b/>
                <w:bCs/>
              </w:rPr>
            </w:pPr>
            <w:r w:rsidRPr="002148A8">
              <w:rPr>
                <w:rFonts w:ascii="Times New Roman" w:eastAsia="Times New Roman" w:hAnsi="Times New Roman" w:cs="Times New Roman"/>
                <w:b/>
                <w:bCs/>
              </w:rPr>
              <w:t>2020</w:t>
            </w:r>
          </w:p>
        </w:tc>
        <w:tc>
          <w:tcPr>
            <w:tcW w:w="711" w:type="dxa"/>
          </w:tcPr>
          <w:p w14:paraId="213ADE79" w14:textId="77777777" w:rsidR="007373F6" w:rsidRPr="002148A8" w:rsidRDefault="00000000" w:rsidP="002148A8">
            <w:pPr>
              <w:spacing w:after="0" w:line="240" w:lineRule="auto"/>
              <w:jc w:val="center"/>
              <w:rPr>
                <w:rFonts w:ascii="Times New Roman" w:eastAsia="Times New Roman" w:hAnsi="Times New Roman" w:cs="Times New Roman"/>
                <w:b/>
                <w:bCs/>
              </w:rPr>
            </w:pPr>
            <w:r w:rsidRPr="002148A8">
              <w:rPr>
                <w:rFonts w:ascii="Times New Roman" w:eastAsia="Times New Roman" w:hAnsi="Times New Roman" w:cs="Times New Roman"/>
                <w:b/>
                <w:bCs/>
              </w:rPr>
              <w:t>2021</w:t>
            </w:r>
          </w:p>
        </w:tc>
        <w:tc>
          <w:tcPr>
            <w:tcW w:w="711" w:type="dxa"/>
          </w:tcPr>
          <w:p w14:paraId="6A757FB4" w14:textId="77777777" w:rsidR="007373F6" w:rsidRPr="002148A8" w:rsidRDefault="00000000" w:rsidP="002148A8">
            <w:pPr>
              <w:spacing w:after="0" w:line="240" w:lineRule="auto"/>
              <w:jc w:val="center"/>
              <w:rPr>
                <w:rFonts w:ascii="Times New Roman" w:eastAsia="Times New Roman" w:hAnsi="Times New Roman" w:cs="Times New Roman"/>
                <w:b/>
                <w:bCs/>
              </w:rPr>
            </w:pPr>
            <w:r w:rsidRPr="002148A8">
              <w:rPr>
                <w:rFonts w:ascii="Times New Roman" w:eastAsia="Times New Roman" w:hAnsi="Times New Roman" w:cs="Times New Roman"/>
                <w:b/>
                <w:bCs/>
              </w:rPr>
              <w:t>2022</w:t>
            </w:r>
          </w:p>
        </w:tc>
      </w:tr>
      <w:tr w:rsidR="007373F6" w14:paraId="5D63F597" w14:textId="77777777" w:rsidTr="002148A8">
        <w:trPr>
          <w:jc w:val="center"/>
        </w:trPr>
        <w:tc>
          <w:tcPr>
            <w:tcW w:w="1419" w:type="dxa"/>
          </w:tcPr>
          <w:p w14:paraId="78B1FDCA"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 Institution (Presence of compensation committee)</w:t>
            </w:r>
          </w:p>
        </w:tc>
        <w:tc>
          <w:tcPr>
            <w:tcW w:w="712" w:type="dxa"/>
          </w:tcPr>
          <w:p w14:paraId="5F623853"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50%</w:t>
            </w:r>
          </w:p>
        </w:tc>
        <w:tc>
          <w:tcPr>
            <w:tcW w:w="712" w:type="dxa"/>
          </w:tcPr>
          <w:p w14:paraId="5617B16D"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50%</w:t>
            </w:r>
          </w:p>
        </w:tc>
        <w:tc>
          <w:tcPr>
            <w:tcW w:w="711" w:type="dxa"/>
          </w:tcPr>
          <w:p w14:paraId="65FE844D"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50%</w:t>
            </w:r>
          </w:p>
        </w:tc>
        <w:tc>
          <w:tcPr>
            <w:tcW w:w="711" w:type="dxa"/>
          </w:tcPr>
          <w:p w14:paraId="702678C7"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50%</w:t>
            </w:r>
          </w:p>
        </w:tc>
        <w:tc>
          <w:tcPr>
            <w:tcW w:w="711" w:type="dxa"/>
          </w:tcPr>
          <w:p w14:paraId="0EF45F56"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50%</w:t>
            </w:r>
          </w:p>
        </w:tc>
        <w:tc>
          <w:tcPr>
            <w:tcW w:w="711" w:type="dxa"/>
          </w:tcPr>
          <w:p w14:paraId="4FFA0F3A"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50%</w:t>
            </w:r>
          </w:p>
        </w:tc>
        <w:tc>
          <w:tcPr>
            <w:tcW w:w="711" w:type="dxa"/>
          </w:tcPr>
          <w:p w14:paraId="47270B9F"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50%</w:t>
            </w:r>
          </w:p>
        </w:tc>
        <w:tc>
          <w:tcPr>
            <w:tcW w:w="711" w:type="dxa"/>
          </w:tcPr>
          <w:p w14:paraId="3FF5ADA6"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50%</w:t>
            </w:r>
          </w:p>
        </w:tc>
        <w:tc>
          <w:tcPr>
            <w:tcW w:w="711" w:type="dxa"/>
          </w:tcPr>
          <w:p w14:paraId="4F139FCE"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50%</w:t>
            </w:r>
          </w:p>
        </w:tc>
        <w:tc>
          <w:tcPr>
            <w:tcW w:w="711" w:type="dxa"/>
          </w:tcPr>
          <w:p w14:paraId="3EE68E42"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50%</w:t>
            </w:r>
          </w:p>
        </w:tc>
        <w:tc>
          <w:tcPr>
            <w:tcW w:w="711" w:type="dxa"/>
          </w:tcPr>
          <w:p w14:paraId="2DEC4D73"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50%</w:t>
            </w:r>
          </w:p>
        </w:tc>
      </w:tr>
      <w:tr w:rsidR="007373F6" w14:paraId="5585A099" w14:textId="77777777" w:rsidTr="002148A8">
        <w:trPr>
          <w:jc w:val="center"/>
        </w:trPr>
        <w:tc>
          <w:tcPr>
            <w:tcW w:w="1419" w:type="dxa"/>
          </w:tcPr>
          <w:p w14:paraId="5ED18043"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2. Year of Establishment (before 2005)</w:t>
            </w:r>
          </w:p>
        </w:tc>
        <w:tc>
          <w:tcPr>
            <w:tcW w:w="712" w:type="dxa"/>
          </w:tcPr>
          <w:p w14:paraId="26328573"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2" w:type="dxa"/>
          </w:tcPr>
          <w:p w14:paraId="7B3650F5"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6DCCD271"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65B23A9A"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017F0209"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007DCFD1"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759A2F69"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3719B41C"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701F631F"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7F2A8B01"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1E239130"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r>
      <w:tr w:rsidR="007373F6" w14:paraId="1F2DE6F4" w14:textId="77777777" w:rsidTr="002148A8">
        <w:trPr>
          <w:jc w:val="center"/>
        </w:trPr>
        <w:tc>
          <w:tcPr>
            <w:tcW w:w="1419" w:type="dxa"/>
          </w:tcPr>
          <w:p w14:paraId="026EF656"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3. Presence of independent directors</w:t>
            </w:r>
          </w:p>
        </w:tc>
        <w:tc>
          <w:tcPr>
            <w:tcW w:w="712" w:type="dxa"/>
          </w:tcPr>
          <w:p w14:paraId="75ECF22B"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75%</w:t>
            </w:r>
          </w:p>
        </w:tc>
        <w:tc>
          <w:tcPr>
            <w:tcW w:w="712" w:type="dxa"/>
          </w:tcPr>
          <w:p w14:paraId="1E134CEB"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92%</w:t>
            </w:r>
          </w:p>
        </w:tc>
        <w:tc>
          <w:tcPr>
            <w:tcW w:w="711" w:type="dxa"/>
          </w:tcPr>
          <w:p w14:paraId="657A9023"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92%</w:t>
            </w:r>
          </w:p>
        </w:tc>
        <w:tc>
          <w:tcPr>
            <w:tcW w:w="711" w:type="dxa"/>
          </w:tcPr>
          <w:p w14:paraId="29F87478"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3B98ECB2"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74BD3EFB"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1B26069E"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1CD89060"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3B277676"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73F8608F"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1A9D4A08"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r>
      <w:tr w:rsidR="007373F6" w14:paraId="6F9B55B5" w14:textId="77777777" w:rsidTr="002148A8">
        <w:trPr>
          <w:jc w:val="center"/>
        </w:trPr>
        <w:tc>
          <w:tcPr>
            <w:tcW w:w="1419" w:type="dxa"/>
          </w:tcPr>
          <w:p w14:paraId="3F01F482"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4. Presence of women</w:t>
            </w:r>
          </w:p>
        </w:tc>
        <w:tc>
          <w:tcPr>
            <w:tcW w:w="712" w:type="dxa"/>
          </w:tcPr>
          <w:p w14:paraId="490DFF36"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42%</w:t>
            </w:r>
          </w:p>
        </w:tc>
        <w:tc>
          <w:tcPr>
            <w:tcW w:w="712" w:type="dxa"/>
          </w:tcPr>
          <w:p w14:paraId="3904883E"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50%</w:t>
            </w:r>
          </w:p>
        </w:tc>
        <w:tc>
          <w:tcPr>
            <w:tcW w:w="711" w:type="dxa"/>
          </w:tcPr>
          <w:p w14:paraId="7DEB9341"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67%</w:t>
            </w:r>
          </w:p>
        </w:tc>
        <w:tc>
          <w:tcPr>
            <w:tcW w:w="711" w:type="dxa"/>
          </w:tcPr>
          <w:p w14:paraId="517D118F"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83%</w:t>
            </w:r>
          </w:p>
        </w:tc>
        <w:tc>
          <w:tcPr>
            <w:tcW w:w="711" w:type="dxa"/>
          </w:tcPr>
          <w:p w14:paraId="461778FC"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0D8933D1"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63958B5A"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7B0FDEE6"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92%</w:t>
            </w:r>
          </w:p>
        </w:tc>
        <w:tc>
          <w:tcPr>
            <w:tcW w:w="711" w:type="dxa"/>
          </w:tcPr>
          <w:p w14:paraId="2AE70A47"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7C820ED8"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2480787F"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r>
      <w:tr w:rsidR="007373F6" w14:paraId="039B2CD6" w14:textId="77777777" w:rsidTr="002148A8">
        <w:trPr>
          <w:jc w:val="center"/>
        </w:trPr>
        <w:tc>
          <w:tcPr>
            <w:tcW w:w="1419" w:type="dxa"/>
          </w:tcPr>
          <w:p w14:paraId="3533FC16"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5. Odd composition</w:t>
            </w:r>
          </w:p>
        </w:tc>
        <w:tc>
          <w:tcPr>
            <w:tcW w:w="712" w:type="dxa"/>
          </w:tcPr>
          <w:p w14:paraId="265AB13C"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0%</w:t>
            </w:r>
          </w:p>
        </w:tc>
        <w:tc>
          <w:tcPr>
            <w:tcW w:w="712" w:type="dxa"/>
          </w:tcPr>
          <w:p w14:paraId="004E0B17"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50%</w:t>
            </w:r>
          </w:p>
        </w:tc>
        <w:tc>
          <w:tcPr>
            <w:tcW w:w="711" w:type="dxa"/>
          </w:tcPr>
          <w:p w14:paraId="4D0C1EFD"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50%</w:t>
            </w:r>
          </w:p>
        </w:tc>
        <w:tc>
          <w:tcPr>
            <w:tcW w:w="711" w:type="dxa"/>
          </w:tcPr>
          <w:p w14:paraId="650D9B23"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50%</w:t>
            </w:r>
          </w:p>
        </w:tc>
        <w:tc>
          <w:tcPr>
            <w:tcW w:w="711" w:type="dxa"/>
          </w:tcPr>
          <w:p w14:paraId="56058407"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2CA6D31E"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50%</w:t>
            </w:r>
          </w:p>
        </w:tc>
        <w:tc>
          <w:tcPr>
            <w:tcW w:w="711" w:type="dxa"/>
          </w:tcPr>
          <w:p w14:paraId="16FDDFD2"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67%</w:t>
            </w:r>
          </w:p>
        </w:tc>
        <w:tc>
          <w:tcPr>
            <w:tcW w:w="711" w:type="dxa"/>
          </w:tcPr>
          <w:p w14:paraId="24803E6D"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50%</w:t>
            </w:r>
          </w:p>
        </w:tc>
        <w:tc>
          <w:tcPr>
            <w:tcW w:w="711" w:type="dxa"/>
          </w:tcPr>
          <w:p w14:paraId="66E7ABD8"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83%</w:t>
            </w:r>
          </w:p>
        </w:tc>
        <w:tc>
          <w:tcPr>
            <w:tcW w:w="711" w:type="dxa"/>
          </w:tcPr>
          <w:p w14:paraId="60B86BE9"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67%</w:t>
            </w:r>
          </w:p>
        </w:tc>
        <w:tc>
          <w:tcPr>
            <w:tcW w:w="711" w:type="dxa"/>
          </w:tcPr>
          <w:p w14:paraId="1E10BFCF"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50%</w:t>
            </w:r>
          </w:p>
        </w:tc>
      </w:tr>
      <w:tr w:rsidR="007373F6" w14:paraId="582BF86A" w14:textId="77777777" w:rsidTr="002148A8">
        <w:trPr>
          <w:jc w:val="center"/>
        </w:trPr>
        <w:tc>
          <w:tcPr>
            <w:tcW w:w="1419" w:type="dxa"/>
          </w:tcPr>
          <w:p w14:paraId="7313CFE7"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6. Number of members (at least five)</w:t>
            </w:r>
          </w:p>
        </w:tc>
        <w:tc>
          <w:tcPr>
            <w:tcW w:w="712" w:type="dxa"/>
          </w:tcPr>
          <w:p w14:paraId="5A1BB9AB"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2" w:type="dxa"/>
          </w:tcPr>
          <w:p w14:paraId="74AEAC8F"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6C1EE92D"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78E44DAB"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69848FBB"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1D8AE775"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74DE23E8"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92%</w:t>
            </w:r>
          </w:p>
        </w:tc>
        <w:tc>
          <w:tcPr>
            <w:tcW w:w="711" w:type="dxa"/>
          </w:tcPr>
          <w:p w14:paraId="09146229"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92%</w:t>
            </w:r>
          </w:p>
        </w:tc>
        <w:tc>
          <w:tcPr>
            <w:tcW w:w="711" w:type="dxa"/>
          </w:tcPr>
          <w:p w14:paraId="6E068181"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0AA31E10"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2EC50A61"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r>
      <w:tr w:rsidR="007373F6" w14:paraId="36CA8B67" w14:textId="77777777" w:rsidTr="002148A8">
        <w:trPr>
          <w:jc w:val="center"/>
        </w:trPr>
        <w:tc>
          <w:tcPr>
            <w:tcW w:w="1419" w:type="dxa"/>
          </w:tcPr>
          <w:p w14:paraId="29E5D7CC"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7. Presence of at least one member with documented experience in management compensation (according to Resumes)</w:t>
            </w:r>
          </w:p>
        </w:tc>
        <w:tc>
          <w:tcPr>
            <w:tcW w:w="712" w:type="dxa"/>
          </w:tcPr>
          <w:p w14:paraId="7194660D"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42%</w:t>
            </w:r>
          </w:p>
        </w:tc>
        <w:tc>
          <w:tcPr>
            <w:tcW w:w="712" w:type="dxa"/>
          </w:tcPr>
          <w:p w14:paraId="651C02B9"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58%</w:t>
            </w:r>
          </w:p>
        </w:tc>
        <w:tc>
          <w:tcPr>
            <w:tcW w:w="711" w:type="dxa"/>
          </w:tcPr>
          <w:p w14:paraId="7EA152BD"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75%</w:t>
            </w:r>
          </w:p>
        </w:tc>
        <w:tc>
          <w:tcPr>
            <w:tcW w:w="711" w:type="dxa"/>
          </w:tcPr>
          <w:p w14:paraId="0DF00D35"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75%</w:t>
            </w:r>
          </w:p>
        </w:tc>
        <w:tc>
          <w:tcPr>
            <w:tcW w:w="711" w:type="dxa"/>
          </w:tcPr>
          <w:p w14:paraId="4D375723"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92%</w:t>
            </w:r>
          </w:p>
        </w:tc>
        <w:tc>
          <w:tcPr>
            <w:tcW w:w="711" w:type="dxa"/>
          </w:tcPr>
          <w:p w14:paraId="5F16ABFC"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03D0CD53"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92%</w:t>
            </w:r>
          </w:p>
        </w:tc>
        <w:tc>
          <w:tcPr>
            <w:tcW w:w="711" w:type="dxa"/>
          </w:tcPr>
          <w:p w14:paraId="7C619668"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75%</w:t>
            </w:r>
          </w:p>
        </w:tc>
        <w:tc>
          <w:tcPr>
            <w:tcW w:w="711" w:type="dxa"/>
          </w:tcPr>
          <w:p w14:paraId="46D408E5"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83%</w:t>
            </w:r>
          </w:p>
        </w:tc>
        <w:tc>
          <w:tcPr>
            <w:tcW w:w="711" w:type="dxa"/>
          </w:tcPr>
          <w:p w14:paraId="4F660F6F" w14:textId="77777777"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c>
          <w:tcPr>
            <w:tcW w:w="711" w:type="dxa"/>
          </w:tcPr>
          <w:p w14:paraId="196AF1CA" w14:textId="27661814" w:rsidR="007373F6" w:rsidRDefault="00000000">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100%</w:t>
            </w:r>
          </w:p>
        </w:tc>
      </w:tr>
    </w:tbl>
    <w:p w14:paraId="1352D107"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Source: Authors’ Figures</w:t>
      </w:r>
    </w:p>
    <w:p w14:paraId="6B29AE84" w14:textId="77777777" w:rsidR="007373F6" w:rsidRDefault="007373F6">
      <w:pPr>
        <w:spacing w:after="0" w:line="240" w:lineRule="auto"/>
        <w:jc w:val="both"/>
        <w:rPr>
          <w:rFonts w:ascii="Times New Roman" w:eastAsia="Times New Roman" w:hAnsi="Times New Roman" w:cs="Times New Roman"/>
          <w:sz w:val="24"/>
          <w:szCs w:val="24"/>
        </w:rPr>
      </w:pPr>
    </w:p>
    <w:p w14:paraId="3918E7E7"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second macro-area of the analytical model is procedural aspects detailed in Table 4, which reveals a significant change that occurred over the investigation period, from 2012 to 2022. </w:t>
      </w:r>
    </w:p>
    <w:p w14:paraId="0B855CC4"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Compensation committees do not have the power to decide on compensation and related issues. However, the extent of their decision-making authority has increased over the years. The boards supervise executive compensation decisions prepared by compensation committees. On the other hand, the committees make compensation-related decisions by consulting with </w:t>
      </w:r>
      <w:r>
        <w:rPr>
          <w:rFonts w:ascii="Times New Roman" w:eastAsia="Times New Roman" w:hAnsi="Times New Roman" w:cs="Times New Roman"/>
          <w:sz w:val="24"/>
          <w:szCs w:val="24"/>
        </w:rPr>
        <w:lastRenderedPageBreak/>
        <w:t>independent professional advisors. Professional advisors, however, provide similar services to those provided by the human resources departments and the board to some extent.</w:t>
      </w:r>
    </w:p>
    <w:p w14:paraId="1644887F"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Almost all banks in Canada review the compensation policy and its implementation at least once annually. Similarly, all banks adopted internal rules of compensation, demonstrating increased effectiveness, efficiency, and accountability. On the other hand, almost all compensation committees meet a minimum of four times annually. However, they do not disclose the duration of each meeting. Also, the compensation committees are most active in cooperation/collaboration with risk management and other corporate functions, such as human resources. Likewise, all compensation committees prepare incentive plans to motivate executives that reflect the expression of opinions/actions on the achievement of performance targets and other strategic objectives. Also, all committees have the assignment of the budget concerning commission paying the cost associated with the use of experts on pay.</w:t>
      </w:r>
    </w:p>
    <w:p w14:paraId="5E3539F1" w14:textId="77777777" w:rsidR="007373F6" w:rsidRDefault="007373F6">
      <w:pPr>
        <w:spacing w:after="0" w:line="240" w:lineRule="auto"/>
        <w:jc w:val="both"/>
        <w:rPr>
          <w:rFonts w:ascii="Times New Roman" w:eastAsia="Times New Roman" w:hAnsi="Times New Roman" w:cs="Times New Roman"/>
          <w:b/>
          <w:sz w:val="24"/>
          <w:szCs w:val="24"/>
        </w:rPr>
      </w:pPr>
    </w:p>
    <w:p w14:paraId="3AFCA92B" w14:textId="226872BD" w:rsidR="007373F6" w:rsidRDefault="00000000" w:rsidP="002148A8">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Table 4</w:t>
      </w:r>
      <w:r w:rsidR="002148A8">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 xml:space="preserve"> </w:t>
      </w:r>
      <w:r w:rsidRPr="002148A8">
        <w:rPr>
          <w:rFonts w:ascii="Times New Roman" w:eastAsia="Times New Roman" w:hAnsi="Times New Roman" w:cs="Times New Roman"/>
          <w:bCs/>
          <w:sz w:val="24"/>
          <w:szCs w:val="24"/>
        </w:rPr>
        <w:t>Compensation Committee Procedural Items</w:t>
      </w:r>
    </w:p>
    <w:tbl>
      <w:tblPr>
        <w:tblStyle w:val="afffff5"/>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079"/>
        <w:gridCol w:w="630"/>
        <w:gridCol w:w="630"/>
        <w:gridCol w:w="630"/>
        <w:gridCol w:w="630"/>
        <w:gridCol w:w="631"/>
        <w:gridCol w:w="631"/>
        <w:gridCol w:w="631"/>
        <w:gridCol w:w="631"/>
        <w:gridCol w:w="631"/>
        <w:gridCol w:w="631"/>
        <w:gridCol w:w="631"/>
      </w:tblGrid>
      <w:tr w:rsidR="007373F6" w:rsidRPr="002148A8" w14:paraId="04E7C74C" w14:textId="77777777" w:rsidTr="002148A8">
        <w:trPr>
          <w:tblHeader/>
          <w:jc w:val="center"/>
        </w:trPr>
        <w:tc>
          <w:tcPr>
            <w:tcW w:w="1098" w:type="pct"/>
          </w:tcPr>
          <w:p w14:paraId="09F2AF91" w14:textId="42DFA8A6" w:rsidR="007373F6" w:rsidRPr="002148A8" w:rsidRDefault="00000000" w:rsidP="002148A8">
            <w:pPr>
              <w:spacing w:after="0" w:line="240" w:lineRule="auto"/>
              <w:jc w:val="center"/>
              <w:rPr>
                <w:rFonts w:ascii="Times New Roman" w:eastAsia="Times New Roman" w:hAnsi="Times New Roman" w:cs="Times New Roman"/>
                <w:b/>
                <w:bCs/>
                <w:sz w:val="20"/>
                <w:szCs w:val="20"/>
              </w:rPr>
            </w:pPr>
            <w:r w:rsidRPr="002148A8">
              <w:rPr>
                <w:rFonts w:ascii="Times New Roman" w:eastAsia="Times New Roman" w:hAnsi="Times New Roman" w:cs="Times New Roman"/>
                <w:b/>
                <w:bCs/>
                <w:sz w:val="20"/>
                <w:szCs w:val="20"/>
              </w:rPr>
              <w:t>Procedural Aspects</w:t>
            </w:r>
          </w:p>
        </w:tc>
        <w:tc>
          <w:tcPr>
            <w:tcW w:w="404" w:type="pct"/>
          </w:tcPr>
          <w:p w14:paraId="3E45F217" w14:textId="77777777" w:rsidR="007373F6" w:rsidRPr="002148A8" w:rsidRDefault="00000000" w:rsidP="002148A8">
            <w:pPr>
              <w:spacing w:after="0" w:line="240" w:lineRule="auto"/>
              <w:jc w:val="center"/>
              <w:rPr>
                <w:rFonts w:ascii="Times New Roman" w:eastAsia="Times New Roman" w:hAnsi="Times New Roman" w:cs="Times New Roman"/>
                <w:b/>
                <w:bCs/>
                <w:sz w:val="20"/>
                <w:szCs w:val="20"/>
              </w:rPr>
            </w:pPr>
            <w:r w:rsidRPr="002148A8">
              <w:rPr>
                <w:rFonts w:ascii="Times New Roman" w:eastAsia="Times New Roman" w:hAnsi="Times New Roman" w:cs="Times New Roman"/>
                <w:b/>
                <w:bCs/>
                <w:sz w:val="20"/>
                <w:szCs w:val="20"/>
              </w:rPr>
              <w:t>2012</w:t>
            </w:r>
          </w:p>
        </w:tc>
        <w:tc>
          <w:tcPr>
            <w:tcW w:w="349" w:type="pct"/>
          </w:tcPr>
          <w:p w14:paraId="1C6540D6" w14:textId="77777777" w:rsidR="007373F6" w:rsidRPr="002148A8" w:rsidRDefault="00000000" w:rsidP="002148A8">
            <w:pPr>
              <w:spacing w:after="0" w:line="240" w:lineRule="auto"/>
              <w:jc w:val="center"/>
              <w:rPr>
                <w:rFonts w:ascii="Times New Roman" w:eastAsia="Times New Roman" w:hAnsi="Times New Roman" w:cs="Times New Roman"/>
                <w:b/>
                <w:bCs/>
                <w:sz w:val="20"/>
                <w:szCs w:val="20"/>
              </w:rPr>
            </w:pPr>
            <w:r w:rsidRPr="002148A8">
              <w:rPr>
                <w:rFonts w:ascii="Times New Roman" w:eastAsia="Times New Roman" w:hAnsi="Times New Roman" w:cs="Times New Roman"/>
                <w:b/>
                <w:bCs/>
                <w:sz w:val="20"/>
                <w:szCs w:val="20"/>
              </w:rPr>
              <w:t>2013</w:t>
            </w:r>
          </w:p>
        </w:tc>
        <w:tc>
          <w:tcPr>
            <w:tcW w:w="349" w:type="pct"/>
          </w:tcPr>
          <w:p w14:paraId="73751B78" w14:textId="77777777" w:rsidR="007373F6" w:rsidRPr="002148A8" w:rsidRDefault="00000000" w:rsidP="002148A8">
            <w:pPr>
              <w:spacing w:after="0" w:line="240" w:lineRule="auto"/>
              <w:jc w:val="center"/>
              <w:rPr>
                <w:rFonts w:ascii="Times New Roman" w:eastAsia="Times New Roman" w:hAnsi="Times New Roman" w:cs="Times New Roman"/>
                <w:b/>
                <w:bCs/>
                <w:sz w:val="20"/>
                <w:szCs w:val="20"/>
              </w:rPr>
            </w:pPr>
            <w:r w:rsidRPr="002148A8">
              <w:rPr>
                <w:rFonts w:ascii="Times New Roman" w:eastAsia="Times New Roman" w:hAnsi="Times New Roman" w:cs="Times New Roman"/>
                <w:b/>
                <w:bCs/>
                <w:sz w:val="20"/>
                <w:szCs w:val="20"/>
              </w:rPr>
              <w:t>2014</w:t>
            </w:r>
          </w:p>
        </w:tc>
        <w:tc>
          <w:tcPr>
            <w:tcW w:w="349" w:type="pct"/>
          </w:tcPr>
          <w:p w14:paraId="6EABC09A" w14:textId="77777777" w:rsidR="007373F6" w:rsidRPr="002148A8" w:rsidRDefault="00000000" w:rsidP="002148A8">
            <w:pPr>
              <w:spacing w:after="0" w:line="240" w:lineRule="auto"/>
              <w:jc w:val="center"/>
              <w:rPr>
                <w:rFonts w:ascii="Times New Roman" w:eastAsia="Times New Roman" w:hAnsi="Times New Roman" w:cs="Times New Roman"/>
                <w:b/>
                <w:bCs/>
                <w:sz w:val="20"/>
                <w:szCs w:val="20"/>
              </w:rPr>
            </w:pPr>
            <w:r w:rsidRPr="002148A8">
              <w:rPr>
                <w:rFonts w:ascii="Times New Roman" w:eastAsia="Times New Roman" w:hAnsi="Times New Roman" w:cs="Times New Roman"/>
                <w:b/>
                <w:bCs/>
                <w:sz w:val="20"/>
                <w:szCs w:val="20"/>
              </w:rPr>
              <w:t>2015</w:t>
            </w:r>
          </w:p>
        </w:tc>
        <w:tc>
          <w:tcPr>
            <w:tcW w:w="350" w:type="pct"/>
          </w:tcPr>
          <w:p w14:paraId="4E08D772" w14:textId="77777777" w:rsidR="007373F6" w:rsidRPr="002148A8" w:rsidRDefault="00000000" w:rsidP="002148A8">
            <w:pPr>
              <w:spacing w:after="0" w:line="240" w:lineRule="auto"/>
              <w:jc w:val="center"/>
              <w:rPr>
                <w:rFonts w:ascii="Times New Roman" w:eastAsia="Times New Roman" w:hAnsi="Times New Roman" w:cs="Times New Roman"/>
                <w:b/>
                <w:bCs/>
                <w:sz w:val="20"/>
                <w:szCs w:val="20"/>
              </w:rPr>
            </w:pPr>
            <w:r w:rsidRPr="002148A8">
              <w:rPr>
                <w:rFonts w:ascii="Times New Roman" w:eastAsia="Times New Roman" w:hAnsi="Times New Roman" w:cs="Times New Roman"/>
                <w:b/>
                <w:bCs/>
                <w:sz w:val="20"/>
                <w:szCs w:val="20"/>
              </w:rPr>
              <w:t>2016</w:t>
            </w:r>
          </w:p>
        </w:tc>
        <w:tc>
          <w:tcPr>
            <w:tcW w:w="350" w:type="pct"/>
          </w:tcPr>
          <w:p w14:paraId="443E01DC" w14:textId="77777777" w:rsidR="007373F6" w:rsidRPr="002148A8" w:rsidRDefault="00000000" w:rsidP="002148A8">
            <w:pPr>
              <w:spacing w:after="0" w:line="240" w:lineRule="auto"/>
              <w:jc w:val="center"/>
              <w:rPr>
                <w:rFonts w:ascii="Times New Roman" w:eastAsia="Times New Roman" w:hAnsi="Times New Roman" w:cs="Times New Roman"/>
                <w:b/>
                <w:bCs/>
                <w:sz w:val="20"/>
                <w:szCs w:val="20"/>
              </w:rPr>
            </w:pPr>
            <w:r w:rsidRPr="002148A8">
              <w:rPr>
                <w:rFonts w:ascii="Times New Roman" w:eastAsia="Times New Roman" w:hAnsi="Times New Roman" w:cs="Times New Roman"/>
                <w:b/>
                <w:bCs/>
                <w:sz w:val="20"/>
                <w:szCs w:val="20"/>
              </w:rPr>
              <w:t>2017</w:t>
            </w:r>
          </w:p>
        </w:tc>
        <w:tc>
          <w:tcPr>
            <w:tcW w:w="350" w:type="pct"/>
          </w:tcPr>
          <w:p w14:paraId="19DA3FC6" w14:textId="77777777" w:rsidR="007373F6" w:rsidRPr="002148A8" w:rsidRDefault="00000000" w:rsidP="002148A8">
            <w:pPr>
              <w:spacing w:after="0" w:line="240" w:lineRule="auto"/>
              <w:jc w:val="center"/>
              <w:rPr>
                <w:rFonts w:ascii="Times New Roman" w:eastAsia="Times New Roman" w:hAnsi="Times New Roman" w:cs="Times New Roman"/>
                <w:b/>
                <w:bCs/>
                <w:sz w:val="20"/>
                <w:szCs w:val="20"/>
              </w:rPr>
            </w:pPr>
            <w:r w:rsidRPr="002148A8">
              <w:rPr>
                <w:rFonts w:ascii="Times New Roman" w:eastAsia="Times New Roman" w:hAnsi="Times New Roman" w:cs="Times New Roman"/>
                <w:b/>
                <w:bCs/>
                <w:sz w:val="20"/>
                <w:szCs w:val="20"/>
              </w:rPr>
              <w:t>2018</w:t>
            </w:r>
          </w:p>
        </w:tc>
        <w:tc>
          <w:tcPr>
            <w:tcW w:w="350" w:type="pct"/>
          </w:tcPr>
          <w:p w14:paraId="64CD4327" w14:textId="77777777" w:rsidR="007373F6" w:rsidRPr="002148A8" w:rsidRDefault="00000000" w:rsidP="002148A8">
            <w:pPr>
              <w:spacing w:after="0" w:line="240" w:lineRule="auto"/>
              <w:jc w:val="center"/>
              <w:rPr>
                <w:rFonts w:ascii="Times New Roman" w:eastAsia="Times New Roman" w:hAnsi="Times New Roman" w:cs="Times New Roman"/>
                <w:b/>
                <w:bCs/>
                <w:sz w:val="20"/>
                <w:szCs w:val="20"/>
              </w:rPr>
            </w:pPr>
            <w:r w:rsidRPr="002148A8">
              <w:rPr>
                <w:rFonts w:ascii="Times New Roman" w:eastAsia="Times New Roman" w:hAnsi="Times New Roman" w:cs="Times New Roman"/>
                <w:b/>
                <w:bCs/>
                <w:sz w:val="20"/>
                <w:szCs w:val="20"/>
              </w:rPr>
              <w:t>2019</w:t>
            </w:r>
          </w:p>
        </w:tc>
        <w:tc>
          <w:tcPr>
            <w:tcW w:w="350" w:type="pct"/>
          </w:tcPr>
          <w:p w14:paraId="31962029" w14:textId="77777777" w:rsidR="007373F6" w:rsidRPr="002148A8" w:rsidRDefault="00000000" w:rsidP="002148A8">
            <w:pPr>
              <w:spacing w:after="0" w:line="240" w:lineRule="auto"/>
              <w:jc w:val="center"/>
              <w:rPr>
                <w:rFonts w:ascii="Times New Roman" w:eastAsia="Times New Roman" w:hAnsi="Times New Roman" w:cs="Times New Roman"/>
                <w:b/>
                <w:bCs/>
                <w:sz w:val="20"/>
                <w:szCs w:val="20"/>
              </w:rPr>
            </w:pPr>
            <w:r w:rsidRPr="002148A8">
              <w:rPr>
                <w:rFonts w:ascii="Times New Roman" w:eastAsia="Times New Roman" w:hAnsi="Times New Roman" w:cs="Times New Roman"/>
                <w:b/>
                <w:bCs/>
                <w:sz w:val="20"/>
                <w:szCs w:val="20"/>
              </w:rPr>
              <w:t>2020</w:t>
            </w:r>
          </w:p>
        </w:tc>
        <w:tc>
          <w:tcPr>
            <w:tcW w:w="350" w:type="pct"/>
          </w:tcPr>
          <w:p w14:paraId="675C9B6F" w14:textId="77777777" w:rsidR="007373F6" w:rsidRPr="002148A8" w:rsidRDefault="00000000" w:rsidP="002148A8">
            <w:pPr>
              <w:spacing w:after="0" w:line="240" w:lineRule="auto"/>
              <w:jc w:val="center"/>
              <w:rPr>
                <w:rFonts w:ascii="Times New Roman" w:eastAsia="Times New Roman" w:hAnsi="Times New Roman" w:cs="Times New Roman"/>
                <w:b/>
                <w:bCs/>
                <w:sz w:val="20"/>
                <w:szCs w:val="20"/>
              </w:rPr>
            </w:pPr>
            <w:r w:rsidRPr="002148A8">
              <w:rPr>
                <w:rFonts w:ascii="Times New Roman" w:eastAsia="Times New Roman" w:hAnsi="Times New Roman" w:cs="Times New Roman"/>
                <w:b/>
                <w:bCs/>
                <w:sz w:val="20"/>
                <w:szCs w:val="20"/>
              </w:rPr>
              <w:t>2021</w:t>
            </w:r>
          </w:p>
        </w:tc>
        <w:tc>
          <w:tcPr>
            <w:tcW w:w="350" w:type="pct"/>
          </w:tcPr>
          <w:p w14:paraId="66C3E9A8" w14:textId="77777777" w:rsidR="007373F6" w:rsidRPr="002148A8" w:rsidRDefault="00000000" w:rsidP="002148A8">
            <w:pPr>
              <w:spacing w:after="0" w:line="240" w:lineRule="auto"/>
              <w:jc w:val="center"/>
              <w:rPr>
                <w:rFonts w:ascii="Times New Roman" w:eastAsia="Times New Roman" w:hAnsi="Times New Roman" w:cs="Times New Roman"/>
                <w:b/>
                <w:bCs/>
                <w:sz w:val="20"/>
                <w:szCs w:val="20"/>
              </w:rPr>
            </w:pPr>
            <w:r w:rsidRPr="002148A8">
              <w:rPr>
                <w:rFonts w:ascii="Times New Roman" w:eastAsia="Times New Roman" w:hAnsi="Times New Roman" w:cs="Times New Roman"/>
                <w:b/>
                <w:bCs/>
                <w:sz w:val="20"/>
                <w:szCs w:val="20"/>
              </w:rPr>
              <w:t>2022</w:t>
            </w:r>
          </w:p>
        </w:tc>
      </w:tr>
      <w:tr w:rsidR="007373F6" w:rsidRPr="002148A8" w14:paraId="3A8097F5" w14:textId="77777777" w:rsidTr="002148A8">
        <w:trPr>
          <w:jc w:val="center"/>
        </w:trPr>
        <w:tc>
          <w:tcPr>
            <w:tcW w:w="1098" w:type="pct"/>
          </w:tcPr>
          <w:p w14:paraId="4AD56C5A"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8. Extent of decision-making powers (two criteria: (a) all forms of compensation and (b) all participants (administrators, risk takers, control functions, etc.)</w:t>
            </w:r>
          </w:p>
        </w:tc>
        <w:tc>
          <w:tcPr>
            <w:tcW w:w="404" w:type="pct"/>
          </w:tcPr>
          <w:p w14:paraId="78AA85F1"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50%</w:t>
            </w:r>
          </w:p>
        </w:tc>
        <w:tc>
          <w:tcPr>
            <w:tcW w:w="349" w:type="pct"/>
          </w:tcPr>
          <w:p w14:paraId="40E1792B"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50%</w:t>
            </w:r>
          </w:p>
        </w:tc>
        <w:tc>
          <w:tcPr>
            <w:tcW w:w="349" w:type="pct"/>
          </w:tcPr>
          <w:p w14:paraId="24F241F6"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50%</w:t>
            </w:r>
          </w:p>
        </w:tc>
        <w:tc>
          <w:tcPr>
            <w:tcW w:w="349" w:type="pct"/>
          </w:tcPr>
          <w:p w14:paraId="7CD93DF3"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83%</w:t>
            </w:r>
          </w:p>
        </w:tc>
        <w:tc>
          <w:tcPr>
            <w:tcW w:w="350" w:type="pct"/>
          </w:tcPr>
          <w:p w14:paraId="352A8D56"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92%</w:t>
            </w:r>
          </w:p>
        </w:tc>
        <w:tc>
          <w:tcPr>
            <w:tcW w:w="350" w:type="pct"/>
          </w:tcPr>
          <w:p w14:paraId="3C7CF209"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67%</w:t>
            </w:r>
          </w:p>
        </w:tc>
        <w:tc>
          <w:tcPr>
            <w:tcW w:w="350" w:type="pct"/>
          </w:tcPr>
          <w:p w14:paraId="205E1C49"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67%</w:t>
            </w:r>
          </w:p>
        </w:tc>
        <w:tc>
          <w:tcPr>
            <w:tcW w:w="350" w:type="pct"/>
          </w:tcPr>
          <w:p w14:paraId="556FEE44"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58%</w:t>
            </w:r>
          </w:p>
        </w:tc>
        <w:tc>
          <w:tcPr>
            <w:tcW w:w="350" w:type="pct"/>
          </w:tcPr>
          <w:p w14:paraId="42148710"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58%</w:t>
            </w:r>
          </w:p>
        </w:tc>
        <w:tc>
          <w:tcPr>
            <w:tcW w:w="350" w:type="pct"/>
          </w:tcPr>
          <w:p w14:paraId="288E3AEB"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67%</w:t>
            </w:r>
          </w:p>
        </w:tc>
        <w:tc>
          <w:tcPr>
            <w:tcW w:w="350" w:type="pct"/>
          </w:tcPr>
          <w:p w14:paraId="7377157F"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75%</w:t>
            </w:r>
          </w:p>
        </w:tc>
      </w:tr>
      <w:tr w:rsidR="007373F6" w:rsidRPr="002148A8" w14:paraId="74F0DB11" w14:textId="77777777" w:rsidTr="002148A8">
        <w:trPr>
          <w:jc w:val="center"/>
        </w:trPr>
        <w:tc>
          <w:tcPr>
            <w:tcW w:w="1098" w:type="pct"/>
          </w:tcPr>
          <w:p w14:paraId="72525E5A"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9. Board supervises executive compensation decisions (checks proportionality of compensation)</w:t>
            </w:r>
          </w:p>
        </w:tc>
        <w:tc>
          <w:tcPr>
            <w:tcW w:w="404" w:type="pct"/>
          </w:tcPr>
          <w:p w14:paraId="5CFAA66B"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9" w:type="pct"/>
          </w:tcPr>
          <w:p w14:paraId="16CF3D4D"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9" w:type="pct"/>
          </w:tcPr>
          <w:p w14:paraId="276F7210"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9" w:type="pct"/>
          </w:tcPr>
          <w:p w14:paraId="7977A767"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7E5E0137"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7761A346"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77C19DDA"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59D1A3EA"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5A8A1B40"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7F445EE2"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7CF8EEDF"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r>
      <w:tr w:rsidR="007373F6" w:rsidRPr="002148A8" w14:paraId="7F533DC5" w14:textId="77777777" w:rsidTr="002148A8">
        <w:trPr>
          <w:jc w:val="center"/>
        </w:trPr>
        <w:tc>
          <w:tcPr>
            <w:tcW w:w="1098" w:type="pct"/>
          </w:tcPr>
          <w:p w14:paraId="57111755"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 Collaboration with an independent professional advisor (i.e. external consultants should not provide similar services to the human resources department or to the board)</w:t>
            </w:r>
          </w:p>
        </w:tc>
        <w:tc>
          <w:tcPr>
            <w:tcW w:w="404" w:type="pct"/>
          </w:tcPr>
          <w:p w14:paraId="45B8F0F8"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50%</w:t>
            </w:r>
          </w:p>
        </w:tc>
        <w:tc>
          <w:tcPr>
            <w:tcW w:w="349" w:type="pct"/>
          </w:tcPr>
          <w:p w14:paraId="630132CF"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50%</w:t>
            </w:r>
          </w:p>
        </w:tc>
        <w:tc>
          <w:tcPr>
            <w:tcW w:w="349" w:type="pct"/>
          </w:tcPr>
          <w:p w14:paraId="40070B70"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50%</w:t>
            </w:r>
          </w:p>
        </w:tc>
        <w:tc>
          <w:tcPr>
            <w:tcW w:w="349" w:type="pct"/>
          </w:tcPr>
          <w:p w14:paraId="694E922A"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50%</w:t>
            </w:r>
          </w:p>
        </w:tc>
        <w:tc>
          <w:tcPr>
            <w:tcW w:w="350" w:type="pct"/>
          </w:tcPr>
          <w:p w14:paraId="064A443B"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58%</w:t>
            </w:r>
          </w:p>
        </w:tc>
        <w:tc>
          <w:tcPr>
            <w:tcW w:w="350" w:type="pct"/>
          </w:tcPr>
          <w:p w14:paraId="6A283F48"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50%</w:t>
            </w:r>
          </w:p>
        </w:tc>
        <w:tc>
          <w:tcPr>
            <w:tcW w:w="350" w:type="pct"/>
          </w:tcPr>
          <w:p w14:paraId="2510A1AC"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58%</w:t>
            </w:r>
          </w:p>
        </w:tc>
        <w:tc>
          <w:tcPr>
            <w:tcW w:w="350" w:type="pct"/>
          </w:tcPr>
          <w:p w14:paraId="0A170846"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67%</w:t>
            </w:r>
          </w:p>
        </w:tc>
        <w:tc>
          <w:tcPr>
            <w:tcW w:w="350" w:type="pct"/>
          </w:tcPr>
          <w:p w14:paraId="30A50F2A"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75%</w:t>
            </w:r>
          </w:p>
        </w:tc>
        <w:tc>
          <w:tcPr>
            <w:tcW w:w="350" w:type="pct"/>
          </w:tcPr>
          <w:p w14:paraId="47439EC4"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75%</w:t>
            </w:r>
          </w:p>
        </w:tc>
        <w:tc>
          <w:tcPr>
            <w:tcW w:w="350" w:type="pct"/>
          </w:tcPr>
          <w:p w14:paraId="082E9D3F"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75%</w:t>
            </w:r>
          </w:p>
        </w:tc>
      </w:tr>
      <w:tr w:rsidR="007373F6" w:rsidRPr="002148A8" w14:paraId="45DF3EF1" w14:textId="77777777" w:rsidTr="002148A8">
        <w:trPr>
          <w:jc w:val="center"/>
        </w:trPr>
        <w:tc>
          <w:tcPr>
            <w:tcW w:w="1098" w:type="pct"/>
          </w:tcPr>
          <w:p w14:paraId="37759E23"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11. Periodical review (at least annual) of compensation policy and its implementation</w:t>
            </w:r>
          </w:p>
        </w:tc>
        <w:tc>
          <w:tcPr>
            <w:tcW w:w="404" w:type="pct"/>
          </w:tcPr>
          <w:p w14:paraId="36406A06"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50%</w:t>
            </w:r>
          </w:p>
        </w:tc>
        <w:tc>
          <w:tcPr>
            <w:tcW w:w="349" w:type="pct"/>
          </w:tcPr>
          <w:p w14:paraId="603042B1"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50%</w:t>
            </w:r>
          </w:p>
        </w:tc>
        <w:tc>
          <w:tcPr>
            <w:tcW w:w="349" w:type="pct"/>
          </w:tcPr>
          <w:p w14:paraId="367B6A53"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9" w:type="pct"/>
          </w:tcPr>
          <w:p w14:paraId="37AACCD1"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2E803F86"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0911CA1B"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0A8319CC"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62814C1F"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15523720"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83%</w:t>
            </w:r>
          </w:p>
        </w:tc>
        <w:tc>
          <w:tcPr>
            <w:tcW w:w="350" w:type="pct"/>
          </w:tcPr>
          <w:p w14:paraId="0E1995C1"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0692B966"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r>
      <w:tr w:rsidR="007373F6" w:rsidRPr="002148A8" w14:paraId="7F900D0C" w14:textId="77777777" w:rsidTr="002148A8">
        <w:trPr>
          <w:jc w:val="center"/>
        </w:trPr>
        <w:tc>
          <w:tcPr>
            <w:tcW w:w="1098" w:type="pct"/>
          </w:tcPr>
          <w:p w14:paraId="207E88EE"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12. Attendance at the annual general meeting</w:t>
            </w:r>
          </w:p>
        </w:tc>
        <w:tc>
          <w:tcPr>
            <w:tcW w:w="404" w:type="pct"/>
          </w:tcPr>
          <w:p w14:paraId="3157E316"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17%</w:t>
            </w:r>
          </w:p>
        </w:tc>
        <w:tc>
          <w:tcPr>
            <w:tcW w:w="349" w:type="pct"/>
          </w:tcPr>
          <w:p w14:paraId="13AF878E"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17%</w:t>
            </w:r>
          </w:p>
        </w:tc>
        <w:tc>
          <w:tcPr>
            <w:tcW w:w="349" w:type="pct"/>
          </w:tcPr>
          <w:p w14:paraId="4FF00DC7"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50%</w:t>
            </w:r>
          </w:p>
        </w:tc>
        <w:tc>
          <w:tcPr>
            <w:tcW w:w="349" w:type="pct"/>
          </w:tcPr>
          <w:p w14:paraId="474D782A"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0207BA2E"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7D7E1ECB"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6A7058C4"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730A5441"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6E4F47E2"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83%</w:t>
            </w:r>
          </w:p>
        </w:tc>
        <w:tc>
          <w:tcPr>
            <w:tcW w:w="350" w:type="pct"/>
          </w:tcPr>
          <w:p w14:paraId="7285961F"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09DD0832"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r>
      <w:tr w:rsidR="007373F6" w:rsidRPr="002148A8" w14:paraId="09AD803C" w14:textId="77777777" w:rsidTr="002148A8">
        <w:trPr>
          <w:jc w:val="center"/>
        </w:trPr>
        <w:tc>
          <w:tcPr>
            <w:tcW w:w="1098" w:type="pct"/>
          </w:tcPr>
          <w:p w14:paraId="54518FFA"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13. Adoption of internal rules</w:t>
            </w:r>
          </w:p>
        </w:tc>
        <w:tc>
          <w:tcPr>
            <w:tcW w:w="404" w:type="pct"/>
          </w:tcPr>
          <w:p w14:paraId="580D4528"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9" w:type="pct"/>
          </w:tcPr>
          <w:p w14:paraId="1022F97C"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9" w:type="pct"/>
          </w:tcPr>
          <w:p w14:paraId="28C9B761"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9" w:type="pct"/>
          </w:tcPr>
          <w:p w14:paraId="5D8CD9F4"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7F925E0C"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2D2EEE98"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7C83F6FC"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6DA72378"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4008B199"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28920FED"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0679CCAB"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r>
      <w:tr w:rsidR="007373F6" w:rsidRPr="002148A8" w14:paraId="5CEF4B9F" w14:textId="77777777" w:rsidTr="002148A8">
        <w:trPr>
          <w:jc w:val="center"/>
        </w:trPr>
        <w:tc>
          <w:tcPr>
            <w:tcW w:w="1098" w:type="pct"/>
          </w:tcPr>
          <w:p w14:paraId="601D358B"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14. Annual frequency of meetings (minimum four, maximum eight)</w:t>
            </w:r>
          </w:p>
        </w:tc>
        <w:tc>
          <w:tcPr>
            <w:tcW w:w="404" w:type="pct"/>
          </w:tcPr>
          <w:p w14:paraId="5B9BF4BB"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9" w:type="pct"/>
          </w:tcPr>
          <w:p w14:paraId="09087E9B"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9" w:type="pct"/>
          </w:tcPr>
          <w:p w14:paraId="25EDBD87"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92%</w:t>
            </w:r>
          </w:p>
        </w:tc>
        <w:tc>
          <w:tcPr>
            <w:tcW w:w="349" w:type="pct"/>
          </w:tcPr>
          <w:p w14:paraId="2C8CA6E1"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92%</w:t>
            </w:r>
          </w:p>
        </w:tc>
        <w:tc>
          <w:tcPr>
            <w:tcW w:w="350" w:type="pct"/>
          </w:tcPr>
          <w:p w14:paraId="2AEAE07A"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0FB280E4"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4E0752C4"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09FEFBED"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16137AF5"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0460C3E7"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92%</w:t>
            </w:r>
          </w:p>
        </w:tc>
        <w:tc>
          <w:tcPr>
            <w:tcW w:w="350" w:type="pct"/>
          </w:tcPr>
          <w:p w14:paraId="0F481F8E"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r>
      <w:tr w:rsidR="007373F6" w:rsidRPr="002148A8" w14:paraId="70ED389B" w14:textId="77777777" w:rsidTr="002148A8">
        <w:trPr>
          <w:jc w:val="center"/>
        </w:trPr>
        <w:tc>
          <w:tcPr>
            <w:tcW w:w="1098" w:type="pct"/>
          </w:tcPr>
          <w:p w14:paraId="63350613"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15. Duration of each meeting</w:t>
            </w:r>
          </w:p>
        </w:tc>
        <w:tc>
          <w:tcPr>
            <w:tcW w:w="404" w:type="pct"/>
          </w:tcPr>
          <w:p w14:paraId="0436F5A6"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0%</w:t>
            </w:r>
          </w:p>
        </w:tc>
        <w:tc>
          <w:tcPr>
            <w:tcW w:w="349" w:type="pct"/>
          </w:tcPr>
          <w:p w14:paraId="4B7AA69D"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0%</w:t>
            </w:r>
          </w:p>
        </w:tc>
        <w:tc>
          <w:tcPr>
            <w:tcW w:w="349" w:type="pct"/>
          </w:tcPr>
          <w:p w14:paraId="3B56AF8D"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0%</w:t>
            </w:r>
          </w:p>
        </w:tc>
        <w:tc>
          <w:tcPr>
            <w:tcW w:w="349" w:type="pct"/>
          </w:tcPr>
          <w:p w14:paraId="079977E3"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0%</w:t>
            </w:r>
          </w:p>
        </w:tc>
        <w:tc>
          <w:tcPr>
            <w:tcW w:w="350" w:type="pct"/>
          </w:tcPr>
          <w:p w14:paraId="2598F3C4"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0%</w:t>
            </w:r>
          </w:p>
        </w:tc>
        <w:tc>
          <w:tcPr>
            <w:tcW w:w="350" w:type="pct"/>
          </w:tcPr>
          <w:p w14:paraId="77CC77CC"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0%</w:t>
            </w:r>
          </w:p>
        </w:tc>
        <w:tc>
          <w:tcPr>
            <w:tcW w:w="350" w:type="pct"/>
          </w:tcPr>
          <w:p w14:paraId="7A1CC5E4"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0%</w:t>
            </w:r>
          </w:p>
        </w:tc>
        <w:tc>
          <w:tcPr>
            <w:tcW w:w="350" w:type="pct"/>
          </w:tcPr>
          <w:p w14:paraId="3CE0B48A"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0%</w:t>
            </w:r>
          </w:p>
        </w:tc>
        <w:tc>
          <w:tcPr>
            <w:tcW w:w="350" w:type="pct"/>
          </w:tcPr>
          <w:p w14:paraId="137ADD97"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0%</w:t>
            </w:r>
          </w:p>
        </w:tc>
        <w:tc>
          <w:tcPr>
            <w:tcW w:w="350" w:type="pct"/>
          </w:tcPr>
          <w:p w14:paraId="6B9399F5"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0%</w:t>
            </w:r>
          </w:p>
        </w:tc>
        <w:tc>
          <w:tcPr>
            <w:tcW w:w="350" w:type="pct"/>
          </w:tcPr>
          <w:p w14:paraId="18863D60"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0%</w:t>
            </w:r>
          </w:p>
        </w:tc>
      </w:tr>
      <w:tr w:rsidR="007373F6" w:rsidRPr="002148A8" w14:paraId="47B55E78" w14:textId="77777777" w:rsidTr="002148A8">
        <w:trPr>
          <w:jc w:val="center"/>
        </w:trPr>
        <w:tc>
          <w:tcPr>
            <w:tcW w:w="1098" w:type="pct"/>
          </w:tcPr>
          <w:p w14:paraId="57A17D01"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 xml:space="preserve">16. Cooperation/collaboration with risk management or other corporate functions </w:t>
            </w:r>
            <w:r w:rsidRPr="002148A8">
              <w:rPr>
                <w:rFonts w:ascii="Times New Roman" w:eastAsia="Times New Roman" w:hAnsi="Times New Roman" w:cs="Times New Roman"/>
                <w:sz w:val="20"/>
                <w:szCs w:val="20"/>
              </w:rPr>
              <w:lastRenderedPageBreak/>
              <w:t>(such as human resources, etc.)</w:t>
            </w:r>
          </w:p>
        </w:tc>
        <w:tc>
          <w:tcPr>
            <w:tcW w:w="404" w:type="pct"/>
          </w:tcPr>
          <w:p w14:paraId="69458260"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lastRenderedPageBreak/>
              <w:t>0%</w:t>
            </w:r>
          </w:p>
        </w:tc>
        <w:tc>
          <w:tcPr>
            <w:tcW w:w="349" w:type="pct"/>
          </w:tcPr>
          <w:p w14:paraId="2AA7961C"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50%</w:t>
            </w:r>
          </w:p>
        </w:tc>
        <w:tc>
          <w:tcPr>
            <w:tcW w:w="349" w:type="pct"/>
          </w:tcPr>
          <w:p w14:paraId="7A3685F6"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9" w:type="pct"/>
          </w:tcPr>
          <w:p w14:paraId="18BE2DBF"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52EDCA22"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07705AB7"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7C54C238"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5AABD0D5"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0C776A34"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83%</w:t>
            </w:r>
          </w:p>
        </w:tc>
        <w:tc>
          <w:tcPr>
            <w:tcW w:w="350" w:type="pct"/>
          </w:tcPr>
          <w:p w14:paraId="5C31F2CE"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033C9F3B"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r>
      <w:tr w:rsidR="007373F6" w:rsidRPr="002148A8" w14:paraId="72550375" w14:textId="77777777" w:rsidTr="002148A8">
        <w:trPr>
          <w:jc w:val="center"/>
        </w:trPr>
        <w:tc>
          <w:tcPr>
            <w:tcW w:w="1098" w:type="pct"/>
          </w:tcPr>
          <w:p w14:paraId="13F5F8BE"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17. Expression of opinions/actions on the achievement of performance targets and other conditions underlying the incentive plans</w:t>
            </w:r>
          </w:p>
        </w:tc>
        <w:tc>
          <w:tcPr>
            <w:tcW w:w="404" w:type="pct"/>
          </w:tcPr>
          <w:p w14:paraId="5E543EA7"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9" w:type="pct"/>
          </w:tcPr>
          <w:p w14:paraId="60F47E42"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9" w:type="pct"/>
          </w:tcPr>
          <w:p w14:paraId="1E9C91E8"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9" w:type="pct"/>
          </w:tcPr>
          <w:p w14:paraId="77962248"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55AE1C6A"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1384FCE1"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6FE60C91"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677D05CB"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425424F9"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311B3156"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7B4071A7"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r>
      <w:tr w:rsidR="007373F6" w:rsidRPr="002148A8" w14:paraId="4DDAF2A0" w14:textId="77777777" w:rsidTr="002148A8">
        <w:trPr>
          <w:jc w:val="center"/>
        </w:trPr>
        <w:tc>
          <w:tcPr>
            <w:tcW w:w="1098" w:type="pct"/>
          </w:tcPr>
          <w:p w14:paraId="4272A002"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18. Assignment of budget (commission pays costs associated with the use of experts on pay)</w:t>
            </w:r>
          </w:p>
        </w:tc>
        <w:tc>
          <w:tcPr>
            <w:tcW w:w="404" w:type="pct"/>
          </w:tcPr>
          <w:p w14:paraId="427133FC"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9" w:type="pct"/>
          </w:tcPr>
          <w:p w14:paraId="0BE41A6D"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9" w:type="pct"/>
          </w:tcPr>
          <w:p w14:paraId="48D66CD6"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9" w:type="pct"/>
          </w:tcPr>
          <w:p w14:paraId="651A3225"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39029E91"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3489F472"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2B73961A"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0C523160"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483CDFC1"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6260CB93"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50" w:type="pct"/>
          </w:tcPr>
          <w:p w14:paraId="366EA5C9" w14:textId="1C06906F"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r>
    </w:tbl>
    <w:p w14:paraId="639ABF76"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Source: Authors’ Figures</w:t>
      </w:r>
    </w:p>
    <w:p w14:paraId="42AFFBD1" w14:textId="77777777" w:rsidR="007373F6" w:rsidRDefault="007373F6">
      <w:pPr>
        <w:spacing w:after="0" w:line="240" w:lineRule="auto"/>
        <w:jc w:val="both"/>
        <w:rPr>
          <w:rFonts w:ascii="Times New Roman" w:eastAsia="Times New Roman" w:hAnsi="Times New Roman" w:cs="Times New Roman"/>
          <w:sz w:val="24"/>
          <w:szCs w:val="24"/>
        </w:rPr>
      </w:pPr>
    </w:p>
    <w:p w14:paraId="745C549E"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Finally, another important macro-area of the analytical model is the disclosure area elaborated in Table 5, which investigates the most significant considerations. The greater disclosure-related considerations from 2012 to 2022 include the following:</w:t>
      </w:r>
    </w:p>
    <w:p w14:paraId="15272D7C"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First, the Compensation committees of Canadian banks are effective in disclosure practice, and they disclose the compensation activities and decisions to the public. All committees report independently to the boards and the annual meeting for the approval of the shareholders. Second, the committees also adopted the practice of preparing and disseminating minutes of the meetings in advance among the members of the committees. Third, the committee reports are always available in banks' annual reports, corporate governance reports, and proxy circulars.</w:t>
      </w:r>
    </w:p>
    <w:p w14:paraId="1B0899BC" w14:textId="77777777" w:rsidR="007373F6" w:rsidRDefault="007373F6">
      <w:pPr>
        <w:spacing w:after="0" w:line="240" w:lineRule="auto"/>
        <w:jc w:val="both"/>
        <w:rPr>
          <w:rFonts w:ascii="Times New Roman" w:eastAsia="Times New Roman" w:hAnsi="Times New Roman" w:cs="Times New Roman"/>
          <w:sz w:val="24"/>
          <w:szCs w:val="24"/>
        </w:rPr>
      </w:pPr>
    </w:p>
    <w:p w14:paraId="33FE70CD" w14:textId="1FCA3233" w:rsidR="007373F6" w:rsidRDefault="00000000" w:rsidP="002148A8">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Table 5</w:t>
      </w:r>
      <w:r w:rsidR="002148A8">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 xml:space="preserve"> </w:t>
      </w:r>
      <w:r w:rsidRPr="002148A8">
        <w:rPr>
          <w:rFonts w:ascii="Times New Roman" w:eastAsia="Times New Roman" w:hAnsi="Times New Roman" w:cs="Times New Roman"/>
          <w:bCs/>
          <w:sz w:val="24"/>
          <w:szCs w:val="24"/>
        </w:rPr>
        <w:t>Compensation Committee Disclosure Items</w:t>
      </w:r>
    </w:p>
    <w:tbl>
      <w:tblPr>
        <w:tblStyle w:val="afffff6"/>
        <w:tblW w:w="5000" w:type="pct"/>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00" w:firstRow="0" w:lastRow="0" w:firstColumn="0" w:lastColumn="0" w:noHBand="0" w:noVBand="1"/>
      </w:tblPr>
      <w:tblGrid>
        <w:gridCol w:w="2086"/>
        <w:gridCol w:w="630"/>
        <w:gridCol w:w="630"/>
        <w:gridCol w:w="630"/>
        <w:gridCol w:w="630"/>
        <w:gridCol w:w="630"/>
        <w:gridCol w:w="630"/>
        <w:gridCol w:w="630"/>
        <w:gridCol w:w="630"/>
        <w:gridCol w:w="630"/>
        <w:gridCol w:w="630"/>
        <w:gridCol w:w="630"/>
      </w:tblGrid>
      <w:tr w:rsidR="007373F6" w:rsidRPr="002148A8" w14:paraId="1BD5AB9F" w14:textId="77777777" w:rsidTr="002148A8">
        <w:trPr>
          <w:jc w:val="center"/>
        </w:trPr>
        <w:tc>
          <w:tcPr>
            <w:tcW w:w="1207" w:type="pct"/>
          </w:tcPr>
          <w:p w14:paraId="433A4875" w14:textId="06031A4D" w:rsidR="007373F6" w:rsidRPr="002148A8" w:rsidRDefault="00000000" w:rsidP="002148A8">
            <w:pPr>
              <w:spacing w:after="0" w:line="240" w:lineRule="auto"/>
              <w:jc w:val="center"/>
              <w:rPr>
                <w:rFonts w:ascii="Times New Roman" w:eastAsia="Times New Roman" w:hAnsi="Times New Roman" w:cs="Times New Roman"/>
                <w:b/>
                <w:bCs/>
                <w:sz w:val="20"/>
                <w:szCs w:val="20"/>
              </w:rPr>
            </w:pPr>
            <w:r w:rsidRPr="002148A8">
              <w:rPr>
                <w:rFonts w:ascii="Times New Roman" w:eastAsia="Times New Roman" w:hAnsi="Times New Roman" w:cs="Times New Roman"/>
                <w:b/>
                <w:bCs/>
                <w:sz w:val="20"/>
                <w:szCs w:val="20"/>
              </w:rPr>
              <w:t>Disclosure</w:t>
            </w:r>
          </w:p>
        </w:tc>
        <w:tc>
          <w:tcPr>
            <w:tcW w:w="345" w:type="pct"/>
          </w:tcPr>
          <w:p w14:paraId="2DFA7E22" w14:textId="77777777" w:rsidR="007373F6" w:rsidRPr="002148A8" w:rsidRDefault="00000000" w:rsidP="002148A8">
            <w:pPr>
              <w:spacing w:after="0" w:line="240" w:lineRule="auto"/>
              <w:jc w:val="center"/>
              <w:rPr>
                <w:rFonts w:ascii="Times New Roman" w:eastAsia="Times New Roman" w:hAnsi="Times New Roman" w:cs="Times New Roman"/>
                <w:b/>
                <w:bCs/>
                <w:sz w:val="20"/>
                <w:szCs w:val="20"/>
              </w:rPr>
            </w:pPr>
            <w:r w:rsidRPr="002148A8">
              <w:rPr>
                <w:rFonts w:ascii="Times New Roman" w:eastAsia="Times New Roman" w:hAnsi="Times New Roman" w:cs="Times New Roman"/>
                <w:b/>
                <w:bCs/>
                <w:sz w:val="20"/>
                <w:szCs w:val="20"/>
              </w:rPr>
              <w:t>2012</w:t>
            </w:r>
          </w:p>
        </w:tc>
        <w:tc>
          <w:tcPr>
            <w:tcW w:w="345" w:type="pct"/>
          </w:tcPr>
          <w:p w14:paraId="7DC598B8" w14:textId="77777777" w:rsidR="007373F6" w:rsidRPr="002148A8" w:rsidRDefault="00000000" w:rsidP="002148A8">
            <w:pPr>
              <w:spacing w:after="0" w:line="240" w:lineRule="auto"/>
              <w:jc w:val="center"/>
              <w:rPr>
                <w:rFonts w:ascii="Times New Roman" w:eastAsia="Times New Roman" w:hAnsi="Times New Roman" w:cs="Times New Roman"/>
                <w:b/>
                <w:bCs/>
                <w:sz w:val="20"/>
                <w:szCs w:val="20"/>
              </w:rPr>
            </w:pPr>
            <w:r w:rsidRPr="002148A8">
              <w:rPr>
                <w:rFonts w:ascii="Times New Roman" w:eastAsia="Times New Roman" w:hAnsi="Times New Roman" w:cs="Times New Roman"/>
                <w:b/>
                <w:bCs/>
                <w:sz w:val="20"/>
                <w:szCs w:val="20"/>
              </w:rPr>
              <w:t>2013</w:t>
            </w:r>
          </w:p>
        </w:tc>
        <w:tc>
          <w:tcPr>
            <w:tcW w:w="345" w:type="pct"/>
          </w:tcPr>
          <w:p w14:paraId="2080B7CB" w14:textId="77777777" w:rsidR="007373F6" w:rsidRPr="002148A8" w:rsidRDefault="00000000" w:rsidP="002148A8">
            <w:pPr>
              <w:spacing w:after="0" w:line="240" w:lineRule="auto"/>
              <w:jc w:val="center"/>
              <w:rPr>
                <w:rFonts w:ascii="Times New Roman" w:eastAsia="Times New Roman" w:hAnsi="Times New Roman" w:cs="Times New Roman"/>
                <w:b/>
                <w:bCs/>
                <w:sz w:val="20"/>
                <w:szCs w:val="20"/>
              </w:rPr>
            </w:pPr>
            <w:r w:rsidRPr="002148A8">
              <w:rPr>
                <w:rFonts w:ascii="Times New Roman" w:eastAsia="Times New Roman" w:hAnsi="Times New Roman" w:cs="Times New Roman"/>
                <w:b/>
                <w:bCs/>
                <w:sz w:val="20"/>
                <w:szCs w:val="20"/>
              </w:rPr>
              <w:t>2014</w:t>
            </w:r>
          </w:p>
        </w:tc>
        <w:tc>
          <w:tcPr>
            <w:tcW w:w="345" w:type="pct"/>
          </w:tcPr>
          <w:p w14:paraId="05179E6C" w14:textId="77777777" w:rsidR="007373F6" w:rsidRPr="002148A8" w:rsidRDefault="00000000" w:rsidP="002148A8">
            <w:pPr>
              <w:spacing w:after="0" w:line="240" w:lineRule="auto"/>
              <w:jc w:val="center"/>
              <w:rPr>
                <w:rFonts w:ascii="Times New Roman" w:eastAsia="Times New Roman" w:hAnsi="Times New Roman" w:cs="Times New Roman"/>
                <w:b/>
                <w:bCs/>
                <w:sz w:val="20"/>
                <w:szCs w:val="20"/>
              </w:rPr>
            </w:pPr>
            <w:r w:rsidRPr="002148A8">
              <w:rPr>
                <w:rFonts w:ascii="Times New Roman" w:eastAsia="Times New Roman" w:hAnsi="Times New Roman" w:cs="Times New Roman"/>
                <w:b/>
                <w:bCs/>
                <w:sz w:val="20"/>
                <w:szCs w:val="20"/>
              </w:rPr>
              <w:t>2015</w:t>
            </w:r>
          </w:p>
        </w:tc>
        <w:tc>
          <w:tcPr>
            <w:tcW w:w="345" w:type="pct"/>
          </w:tcPr>
          <w:p w14:paraId="76254722" w14:textId="77777777" w:rsidR="007373F6" w:rsidRPr="002148A8" w:rsidRDefault="00000000" w:rsidP="002148A8">
            <w:pPr>
              <w:spacing w:after="0" w:line="240" w:lineRule="auto"/>
              <w:jc w:val="center"/>
              <w:rPr>
                <w:rFonts w:ascii="Times New Roman" w:eastAsia="Times New Roman" w:hAnsi="Times New Roman" w:cs="Times New Roman"/>
                <w:b/>
                <w:bCs/>
                <w:sz w:val="20"/>
                <w:szCs w:val="20"/>
              </w:rPr>
            </w:pPr>
            <w:r w:rsidRPr="002148A8">
              <w:rPr>
                <w:rFonts w:ascii="Times New Roman" w:eastAsia="Times New Roman" w:hAnsi="Times New Roman" w:cs="Times New Roman"/>
                <w:b/>
                <w:bCs/>
                <w:sz w:val="20"/>
                <w:szCs w:val="20"/>
              </w:rPr>
              <w:t>2016</w:t>
            </w:r>
          </w:p>
        </w:tc>
        <w:tc>
          <w:tcPr>
            <w:tcW w:w="345" w:type="pct"/>
          </w:tcPr>
          <w:p w14:paraId="0F26E282" w14:textId="77777777" w:rsidR="007373F6" w:rsidRPr="002148A8" w:rsidRDefault="00000000" w:rsidP="002148A8">
            <w:pPr>
              <w:spacing w:after="0" w:line="240" w:lineRule="auto"/>
              <w:jc w:val="center"/>
              <w:rPr>
                <w:rFonts w:ascii="Times New Roman" w:eastAsia="Times New Roman" w:hAnsi="Times New Roman" w:cs="Times New Roman"/>
                <w:b/>
                <w:bCs/>
                <w:sz w:val="20"/>
                <w:szCs w:val="20"/>
              </w:rPr>
            </w:pPr>
            <w:r w:rsidRPr="002148A8">
              <w:rPr>
                <w:rFonts w:ascii="Times New Roman" w:eastAsia="Times New Roman" w:hAnsi="Times New Roman" w:cs="Times New Roman"/>
                <w:b/>
                <w:bCs/>
                <w:sz w:val="20"/>
                <w:szCs w:val="20"/>
              </w:rPr>
              <w:t>2017</w:t>
            </w:r>
          </w:p>
        </w:tc>
        <w:tc>
          <w:tcPr>
            <w:tcW w:w="345" w:type="pct"/>
          </w:tcPr>
          <w:p w14:paraId="61CC5224" w14:textId="77777777" w:rsidR="007373F6" w:rsidRPr="002148A8" w:rsidRDefault="00000000" w:rsidP="002148A8">
            <w:pPr>
              <w:spacing w:after="0" w:line="240" w:lineRule="auto"/>
              <w:jc w:val="center"/>
              <w:rPr>
                <w:rFonts w:ascii="Times New Roman" w:eastAsia="Times New Roman" w:hAnsi="Times New Roman" w:cs="Times New Roman"/>
                <w:b/>
                <w:bCs/>
                <w:sz w:val="20"/>
                <w:szCs w:val="20"/>
              </w:rPr>
            </w:pPr>
            <w:r w:rsidRPr="002148A8">
              <w:rPr>
                <w:rFonts w:ascii="Times New Roman" w:eastAsia="Times New Roman" w:hAnsi="Times New Roman" w:cs="Times New Roman"/>
                <w:b/>
                <w:bCs/>
                <w:sz w:val="20"/>
                <w:szCs w:val="20"/>
              </w:rPr>
              <w:t>2018</w:t>
            </w:r>
          </w:p>
        </w:tc>
        <w:tc>
          <w:tcPr>
            <w:tcW w:w="345" w:type="pct"/>
          </w:tcPr>
          <w:p w14:paraId="767822C4" w14:textId="77777777" w:rsidR="007373F6" w:rsidRPr="002148A8" w:rsidRDefault="00000000" w:rsidP="002148A8">
            <w:pPr>
              <w:spacing w:after="0" w:line="240" w:lineRule="auto"/>
              <w:jc w:val="center"/>
              <w:rPr>
                <w:rFonts w:ascii="Times New Roman" w:eastAsia="Times New Roman" w:hAnsi="Times New Roman" w:cs="Times New Roman"/>
                <w:b/>
                <w:bCs/>
                <w:sz w:val="20"/>
                <w:szCs w:val="20"/>
              </w:rPr>
            </w:pPr>
            <w:r w:rsidRPr="002148A8">
              <w:rPr>
                <w:rFonts w:ascii="Times New Roman" w:eastAsia="Times New Roman" w:hAnsi="Times New Roman" w:cs="Times New Roman"/>
                <w:b/>
                <w:bCs/>
                <w:sz w:val="20"/>
                <w:szCs w:val="20"/>
              </w:rPr>
              <w:t>2019</w:t>
            </w:r>
          </w:p>
        </w:tc>
        <w:tc>
          <w:tcPr>
            <w:tcW w:w="345" w:type="pct"/>
          </w:tcPr>
          <w:p w14:paraId="79DAA46C" w14:textId="77777777" w:rsidR="007373F6" w:rsidRPr="002148A8" w:rsidRDefault="00000000" w:rsidP="002148A8">
            <w:pPr>
              <w:spacing w:after="0" w:line="240" w:lineRule="auto"/>
              <w:jc w:val="center"/>
              <w:rPr>
                <w:rFonts w:ascii="Times New Roman" w:eastAsia="Times New Roman" w:hAnsi="Times New Roman" w:cs="Times New Roman"/>
                <w:b/>
                <w:bCs/>
                <w:sz w:val="20"/>
                <w:szCs w:val="20"/>
              </w:rPr>
            </w:pPr>
            <w:r w:rsidRPr="002148A8">
              <w:rPr>
                <w:rFonts w:ascii="Times New Roman" w:eastAsia="Times New Roman" w:hAnsi="Times New Roman" w:cs="Times New Roman"/>
                <w:b/>
                <w:bCs/>
                <w:sz w:val="20"/>
                <w:szCs w:val="20"/>
              </w:rPr>
              <w:t>2020</w:t>
            </w:r>
          </w:p>
        </w:tc>
        <w:tc>
          <w:tcPr>
            <w:tcW w:w="345" w:type="pct"/>
          </w:tcPr>
          <w:p w14:paraId="53E2C0BD" w14:textId="77777777" w:rsidR="007373F6" w:rsidRPr="002148A8" w:rsidRDefault="00000000" w:rsidP="002148A8">
            <w:pPr>
              <w:spacing w:after="0" w:line="240" w:lineRule="auto"/>
              <w:jc w:val="center"/>
              <w:rPr>
                <w:rFonts w:ascii="Times New Roman" w:eastAsia="Times New Roman" w:hAnsi="Times New Roman" w:cs="Times New Roman"/>
                <w:b/>
                <w:bCs/>
                <w:sz w:val="20"/>
                <w:szCs w:val="20"/>
              </w:rPr>
            </w:pPr>
            <w:r w:rsidRPr="002148A8">
              <w:rPr>
                <w:rFonts w:ascii="Times New Roman" w:eastAsia="Times New Roman" w:hAnsi="Times New Roman" w:cs="Times New Roman"/>
                <w:b/>
                <w:bCs/>
                <w:sz w:val="20"/>
                <w:szCs w:val="20"/>
              </w:rPr>
              <w:t>2021</w:t>
            </w:r>
          </w:p>
        </w:tc>
        <w:tc>
          <w:tcPr>
            <w:tcW w:w="345" w:type="pct"/>
          </w:tcPr>
          <w:p w14:paraId="3D08F617" w14:textId="77777777" w:rsidR="007373F6" w:rsidRPr="002148A8" w:rsidRDefault="00000000" w:rsidP="002148A8">
            <w:pPr>
              <w:spacing w:after="0" w:line="240" w:lineRule="auto"/>
              <w:jc w:val="center"/>
              <w:rPr>
                <w:rFonts w:ascii="Times New Roman" w:eastAsia="Times New Roman" w:hAnsi="Times New Roman" w:cs="Times New Roman"/>
                <w:b/>
                <w:bCs/>
                <w:sz w:val="20"/>
                <w:szCs w:val="20"/>
              </w:rPr>
            </w:pPr>
            <w:r w:rsidRPr="002148A8">
              <w:rPr>
                <w:rFonts w:ascii="Times New Roman" w:eastAsia="Times New Roman" w:hAnsi="Times New Roman" w:cs="Times New Roman"/>
                <w:b/>
                <w:bCs/>
                <w:sz w:val="20"/>
                <w:szCs w:val="20"/>
              </w:rPr>
              <w:t>2022</w:t>
            </w:r>
          </w:p>
        </w:tc>
      </w:tr>
      <w:tr w:rsidR="007373F6" w:rsidRPr="002148A8" w14:paraId="73834CAC" w14:textId="77777777" w:rsidTr="002148A8">
        <w:trPr>
          <w:jc w:val="center"/>
        </w:trPr>
        <w:tc>
          <w:tcPr>
            <w:tcW w:w="1207" w:type="pct"/>
          </w:tcPr>
          <w:p w14:paraId="6F25AF60"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19. Independent report to annual meeting (or to any other corporate body) on activities carried out</w:t>
            </w:r>
          </w:p>
        </w:tc>
        <w:tc>
          <w:tcPr>
            <w:tcW w:w="345" w:type="pct"/>
          </w:tcPr>
          <w:p w14:paraId="13C5F40F"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50%</w:t>
            </w:r>
          </w:p>
        </w:tc>
        <w:tc>
          <w:tcPr>
            <w:tcW w:w="345" w:type="pct"/>
          </w:tcPr>
          <w:p w14:paraId="2C30926E"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5E6E5B87"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4ABA3484"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647D8A10"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3F26670C"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3F4C0C07"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63764C1F"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4C532A76"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2D90CB9B"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26DFD1E0"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r>
      <w:tr w:rsidR="007373F6" w:rsidRPr="002148A8" w14:paraId="3D88A711" w14:textId="77777777" w:rsidTr="002148A8">
        <w:trPr>
          <w:jc w:val="center"/>
        </w:trPr>
        <w:tc>
          <w:tcPr>
            <w:tcW w:w="1207" w:type="pct"/>
          </w:tcPr>
          <w:p w14:paraId="0F215B92"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20. Minutes of the meeting or presence of secretary</w:t>
            </w:r>
          </w:p>
        </w:tc>
        <w:tc>
          <w:tcPr>
            <w:tcW w:w="345" w:type="pct"/>
          </w:tcPr>
          <w:p w14:paraId="0DC2B7E6"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0%</w:t>
            </w:r>
          </w:p>
        </w:tc>
        <w:tc>
          <w:tcPr>
            <w:tcW w:w="345" w:type="pct"/>
          </w:tcPr>
          <w:p w14:paraId="0215AD74"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17%</w:t>
            </w:r>
          </w:p>
        </w:tc>
        <w:tc>
          <w:tcPr>
            <w:tcW w:w="345" w:type="pct"/>
          </w:tcPr>
          <w:p w14:paraId="14ABE5C7"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67%</w:t>
            </w:r>
          </w:p>
        </w:tc>
        <w:tc>
          <w:tcPr>
            <w:tcW w:w="345" w:type="pct"/>
          </w:tcPr>
          <w:p w14:paraId="219AC456"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496AD4D5"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2273D50F"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50C16695"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26893C92"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79E569BA"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711609B7"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757FA923"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r>
      <w:tr w:rsidR="007373F6" w:rsidRPr="002148A8" w14:paraId="15F23088" w14:textId="77777777" w:rsidTr="002148A8">
        <w:trPr>
          <w:jc w:val="center"/>
        </w:trPr>
        <w:tc>
          <w:tcPr>
            <w:tcW w:w="1207" w:type="pct"/>
          </w:tcPr>
          <w:p w14:paraId="3E7DFAB0"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21. Dissemination/publication of its decisions in corporate documents (annual reports, CG report, proxy circular, etc.)</w:t>
            </w:r>
          </w:p>
        </w:tc>
        <w:tc>
          <w:tcPr>
            <w:tcW w:w="345" w:type="pct"/>
          </w:tcPr>
          <w:p w14:paraId="0206FEAB"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61649998"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6B655441"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295E3202"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1DB13BE3"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3353400B"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1BCCB1E7"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16D19E79"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02B93A3D"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16FBE511"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c>
          <w:tcPr>
            <w:tcW w:w="345" w:type="pct"/>
          </w:tcPr>
          <w:p w14:paraId="588F8BC7" w14:textId="2AF4A24C"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100%</w:t>
            </w:r>
          </w:p>
        </w:tc>
      </w:tr>
    </w:tbl>
    <w:p w14:paraId="073C7FB7" w14:textId="77777777" w:rsidR="007373F6" w:rsidRPr="002148A8" w:rsidRDefault="00000000">
      <w:pPr>
        <w:spacing w:after="0" w:line="240" w:lineRule="auto"/>
        <w:jc w:val="both"/>
        <w:rPr>
          <w:rFonts w:ascii="Times New Roman" w:eastAsia="Times New Roman" w:hAnsi="Times New Roman" w:cs="Times New Roman"/>
          <w:sz w:val="20"/>
          <w:szCs w:val="20"/>
        </w:rPr>
      </w:pPr>
      <w:r w:rsidRPr="002148A8">
        <w:rPr>
          <w:rFonts w:ascii="Times New Roman" w:eastAsia="Times New Roman" w:hAnsi="Times New Roman" w:cs="Times New Roman"/>
          <w:sz w:val="20"/>
          <w:szCs w:val="20"/>
        </w:rPr>
        <w:t>Source: Authors’ Figures</w:t>
      </w:r>
    </w:p>
    <w:p w14:paraId="36FC4CB3" w14:textId="77777777" w:rsidR="007373F6" w:rsidRDefault="007373F6">
      <w:pPr>
        <w:spacing w:after="0" w:line="240" w:lineRule="auto"/>
        <w:jc w:val="both"/>
        <w:rPr>
          <w:rFonts w:ascii="Times New Roman" w:eastAsia="Times New Roman" w:hAnsi="Times New Roman" w:cs="Times New Roman"/>
          <w:b/>
          <w:sz w:val="24"/>
          <w:szCs w:val="24"/>
        </w:rPr>
      </w:pPr>
    </w:p>
    <w:p w14:paraId="081731DE" w14:textId="77777777" w:rsidR="007373F6" w:rsidRDefault="00000000" w:rsidP="00856618">
      <w:pPr>
        <w:numPr>
          <w:ilvl w:val="0"/>
          <w:numId w:val="3"/>
        </w:numPr>
        <w:spacing w:after="120" w:line="240" w:lineRule="auto"/>
        <w:ind w:left="426" w:hanging="426"/>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DISCUSSION</w:t>
      </w:r>
    </w:p>
    <w:p w14:paraId="7CE0C605"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analysis of overall trends and individual items over the study period highlights several positive aspects that are a clear sign of real progress in effectiveness in the function of compensation committees. However, the average values over eleven years of investigation (Table 2) and individual items’ values (Tables 3, 4, and 5) also highlight some critical issues.</w:t>
      </w:r>
    </w:p>
    <w:p w14:paraId="5619ACBE"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First, it is a red flag for Canadian banks that they have no separate committees that function only for compensation governance. The committees perform other human resource-related functions in their compensation governance.</w:t>
      </w:r>
    </w:p>
    <w:p w14:paraId="3204E9D6"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Second, no bank has gender equality on the board, i.e., the number of women directors is less than the number of male directors. Gender inequality on the board is also reflected in compensation committees. Half of the compensation committees include one woman director each, while only one is in the chair position.</w:t>
      </w:r>
    </w:p>
    <w:p w14:paraId="018B9767"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Third, regarding the skills and experience of compensation issues, very few directors with those skills are participating in compensation committees. </w:t>
      </w:r>
    </w:p>
    <w:p w14:paraId="633C0A08"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Fourth, no bank has the practice of compensation committee effectiveness and efficiency assessment and reporting system. Likewise, they do not disclose the meeting duration and agenda in publicly available reports.</w:t>
      </w:r>
    </w:p>
    <w:p w14:paraId="1159B6EB"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Fifth, some banks are not discreet enough to comprise the committee with an odd number of members. As a result, the decision-making process sometimes becomes tied by the vote of 50-50 members, which hampers committee effectiveness.</w:t>
      </w:r>
    </w:p>
    <w:p w14:paraId="39CB046D"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Sixth, the compensation committees collaborate with independent professional advisors who also provide similar services for human resources departments and the boards. It is clearly evident that there might be a conflict of interest between management and advisors. </w:t>
      </w:r>
    </w:p>
    <w:p w14:paraId="3C75A622"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Finally, the committees are not adequate in fulfilling all requirements of compensation decisions and participative decision-making.</w:t>
      </w:r>
    </w:p>
    <w:p w14:paraId="08734CB5" w14:textId="77777777" w:rsidR="007373F6" w:rsidRDefault="007373F6" w:rsidP="002148A8">
      <w:pPr>
        <w:spacing w:after="0" w:line="240" w:lineRule="auto"/>
        <w:ind w:firstLine="426"/>
        <w:jc w:val="both"/>
        <w:rPr>
          <w:rFonts w:ascii="Times New Roman" w:eastAsia="Times New Roman" w:hAnsi="Times New Roman" w:cs="Times New Roman"/>
          <w:b/>
          <w:sz w:val="24"/>
          <w:szCs w:val="24"/>
        </w:rPr>
      </w:pPr>
    </w:p>
    <w:p w14:paraId="58343416" w14:textId="77777777" w:rsidR="007373F6" w:rsidRDefault="00000000" w:rsidP="00856618">
      <w:pPr>
        <w:numPr>
          <w:ilvl w:val="0"/>
          <w:numId w:val="3"/>
        </w:numPr>
        <w:spacing w:after="120" w:line="240" w:lineRule="auto"/>
        <w:ind w:left="426" w:hanging="426"/>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CONCLUSION</w:t>
      </w:r>
    </w:p>
    <w:p w14:paraId="65BF166B"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study aimed to investigate the regulatory criteria and best practices that structure the compensation committees of Canadian banks and the effectiveness of committee governance according to those standards. Traditionally, Canadian banks are highly regulated by global and domestic regulatory bodies that shape the governance structure more effectively and efficiently. On the other hand, Canadian banks have been adopting the new regulatory framework and best practices for board committee governance while improving their efficiency, effectiveness, and functionality. Moreover, executive compensation-related issues have been substantially discussed in recent years concerning compensation governance, executive compensation structure, pay for performance, long-term value creation, and compensation alignment with risk. The global financial crisis of 2008 also resulted in a series of regulatory changes to the Canadian banking sector designed to prevent this type of risk from happening again. Consequently, the Bank of International Settlements (BIS), Basel Committee on Banking Supervision, and Financial Stability Board (FSB) provided the guidelines for the governance of banks, especially the compensation governance and risk management in banks. These global phenomena have directly influenced the compensation governance of Canadian banks. </w:t>
      </w:r>
    </w:p>
    <w:p w14:paraId="6ECBEC52"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We demonstrated, after a preliminary descriptive analysis, identifying the changes to the main structure and composition of compensation committees in Canadian banks over the past ten years (2012-2022). In this study, we developed an effectiveness rating to summarize technical and professional efficiency levels currently achieved by compensation committees in a sample of six Canadian banks by market capitalization.</w:t>
      </w:r>
    </w:p>
    <w:p w14:paraId="203603BF" w14:textId="77777777" w:rsidR="007373F6" w:rsidRDefault="00000000" w:rsidP="002148A8">
      <w:pP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this study, we found a considerable improvement in compensation committee effectiveness in Canadian banks. The average effectiveness rates of the Big Six banks were considerably upward from year to year, while the effectiveness scores of the compensation committees of each bank also increased every year. We also found that the compensation committees are composed of at least five members who are entirely independent directors. However, the presence of women directors on the committee is less than 50%. Moreover, the banks did not provide significant information regarding the duration of committee meetings. </w:t>
      </w:r>
    </w:p>
    <w:p w14:paraId="533A76E6" w14:textId="77777777" w:rsidR="007373F6" w:rsidRDefault="00000000" w:rsidP="002148A8">
      <w:pPr>
        <w:spacing w:after="120" w:line="240" w:lineRule="auto"/>
        <w:ind w:firstLine="426"/>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Finally, this study opens up many different future research lines. More specifically, the compositional features deserve further investigation. For example, </w:t>
      </w:r>
      <w:proofErr w:type="spellStart"/>
      <w:r>
        <w:rPr>
          <w:rFonts w:ascii="Times New Roman" w:eastAsia="Times New Roman" w:hAnsi="Times New Roman" w:cs="Times New Roman"/>
          <w:sz w:val="24"/>
          <w:szCs w:val="24"/>
        </w:rPr>
        <w:t>analyzing</w:t>
      </w:r>
      <w:proofErr w:type="spellEnd"/>
      <w:r>
        <w:rPr>
          <w:rFonts w:ascii="Times New Roman" w:eastAsia="Times New Roman" w:hAnsi="Times New Roman" w:cs="Times New Roman"/>
          <w:sz w:val="24"/>
          <w:szCs w:val="24"/>
        </w:rPr>
        <w:t xml:space="preserve"> each member's professional background to determine their true experience, educational qualifications, and any interlocking directorships that may negatively affect their main functions.</w:t>
      </w:r>
    </w:p>
    <w:p w14:paraId="04F03E75" w14:textId="77777777" w:rsidR="007373F6" w:rsidRDefault="007373F6">
      <w:pPr>
        <w:spacing w:after="0" w:line="240" w:lineRule="auto"/>
        <w:jc w:val="both"/>
        <w:rPr>
          <w:rFonts w:ascii="Times New Roman" w:eastAsia="Times New Roman" w:hAnsi="Times New Roman" w:cs="Times New Roman"/>
          <w:b/>
          <w:sz w:val="24"/>
          <w:szCs w:val="24"/>
        </w:rPr>
      </w:pPr>
    </w:p>
    <w:p w14:paraId="0F98CD5F" w14:textId="77777777" w:rsidR="007373F6" w:rsidRDefault="00000000">
      <w:pPr>
        <w:spacing w:after="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REFERENCES</w:t>
      </w:r>
    </w:p>
    <w:p w14:paraId="740B7832"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Acharya, V. V., &amp; </w:t>
      </w:r>
      <w:proofErr w:type="spellStart"/>
      <w:r>
        <w:rPr>
          <w:rFonts w:ascii="Times New Roman" w:eastAsia="Times New Roman" w:hAnsi="Times New Roman" w:cs="Times New Roman"/>
          <w:sz w:val="24"/>
          <w:szCs w:val="24"/>
        </w:rPr>
        <w:t>Volpin</w:t>
      </w:r>
      <w:proofErr w:type="spellEnd"/>
      <w:r>
        <w:rPr>
          <w:rFonts w:ascii="Times New Roman" w:eastAsia="Times New Roman" w:hAnsi="Times New Roman" w:cs="Times New Roman"/>
          <w:sz w:val="24"/>
          <w:szCs w:val="24"/>
        </w:rPr>
        <w:t xml:space="preserve">, P. F. (2010). Corporate governance externalities. </w:t>
      </w:r>
      <w:r>
        <w:rPr>
          <w:rFonts w:ascii="Times New Roman" w:eastAsia="Times New Roman" w:hAnsi="Times New Roman" w:cs="Times New Roman"/>
          <w:i/>
          <w:sz w:val="24"/>
          <w:szCs w:val="24"/>
        </w:rPr>
        <w:t>Review of Finance,</w:t>
      </w:r>
      <w:r>
        <w:rPr>
          <w:rFonts w:ascii="Times New Roman" w:eastAsia="Times New Roman" w:hAnsi="Times New Roman" w:cs="Times New Roman"/>
          <w:sz w:val="24"/>
          <w:szCs w:val="24"/>
        </w:rPr>
        <w:t xml:space="preserve"> 14(1), 1-33.</w:t>
      </w:r>
    </w:p>
    <w:p w14:paraId="770F0953"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Anderson, R., &amp; Bizjak, J. (2003). An empirical examination of the role of the CEO and the compensation committee in structuring executive pay. </w:t>
      </w:r>
      <w:r>
        <w:rPr>
          <w:rFonts w:ascii="Times New Roman" w:eastAsia="Times New Roman" w:hAnsi="Times New Roman" w:cs="Times New Roman"/>
          <w:i/>
          <w:sz w:val="24"/>
          <w:szCs w:val="24"/>
        </w:rPr>
        <w:t>Journal of Banking &amp; Finance, 27</w:t>
      </w:r>
      <w:r>
        <w:rPr>
          <w:rFonts w:ascii="Times New Roman" w:eastAsia="Times New Roman" w:hAnsi="Times New Roman" w:cs="Times New Roman"/>
          <w:sz w:val="24"/>
          <w:szCs w:val="24"/>
        </w:rPr>
        <w:t>(7), 1323-1348.</w:t>
      </w:r>
    </w:p>
    <w:p w14:paraId="16E5BC67"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Atti, A. D., </w:t>
      </w:r>
      <w:proofErr w:type="spellStart"/>
      <w:r>
        <w:rPr>
          <w:rFonts w:ascii="Times New Roman" w:eastAsia="Times New Roman" w:hAnsi="Times New Roman" w:cs="Times New Roman"/>
          <w:sz w:val="24"/>
          <w:szCs w:val="24"/>
        </w:rPr>
        <w:t>Intonti</w:t>
      </w:r>
      <w:proofErr w:type="spellEnd"/>
      <w:r>
        <w:rPr>
          <w:rFonts w:ascii="Times New Roman" w:eastAsia="Times New Roman" w:hAnsi="Times New Roman" w:cs="Times New Roman"/>
          <w:sz w:val="24"/>
          <w:szCs w:val="24"/>
        </w:rPr>
        <w:t xml:space="preserve">, M., &amp; Iannuzzi, A. P. (2013). The effectiveness of remuneration committees in European banks: Regulation and best practices. </w:t>
      </w:r>
      <w:r>
        <w:rPr>
          <w:rFonts w:ascii="Times New Roman" w:eastAsia="Times New Roman" w:hAnsi="Times New Roman" w:cs="Times New Roman"/>
          <w:i/>
          <w:sz w:val="24"/>
          <w:szCs w:val="24"/>
        </w:rPr>
        <w:t>Journal of Financial Regulation and Compliance, 21</w:t>
      </w:r>
      <w:r>
        <w:rPr>
          <w:rFonts w:ascii="Times New Roman" w:eastAsia="Times New Roman" w:hAnsi="Times New Roman" w:cs="Times New Roman"/>
          <w:sz w:val="24"/>
          <w:szCs w:val="24"/>
        </w:rPr>
        <w:t>(4), 373-396.</w:t>
      </w:r>
    </w:p>
    <w:p w14:paraId="067969A7"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Bai, G., &amp; </w:t>
      </w:r>
      <w:proofErr w:type="spellStart"/>
      <w:r>
        <w:rPr>
          <w:rFonts w:ascii="Times New Roman" w:eastAsia="Times New Roman" w:hAnsi="Times New Roman" w:cs="Times New Roman"/>
          <w:sz w:val="24"/>
          <w:szCs w:val="24"/>
        </w:rPr>
        <w:t>Elyasiani</w:t>
      </w:r>
      <w:proofErr w:type="spellEnd"/>
      <w:r>
        <w:rPr>
          <w:rFonts w:ascii="Times New Roman" w:eastAsia="Times New Roman" w:hAnsi="Times New Roman" w:cs="Times New Roman"/>
          <w:sz w:val="24"/>
          <w:szCs w:val="24"/>
        </w:rPr>
        <w:t xml:space="preserve">, E. (2013). Bank stability and managerial compensation. </w:t>
      </w:r>
      <w:r>
        <w:rPr>
          <w:rFonts w:ascii="Times New Roman" w:eastAsia="Times New Roman" w:hAnsi="Times New Roman" w:cs="Times New Roman"/>
          <w:i/>
          <w:sz w:val="24"/>
          <w:szCs w:val="24"/>
        </w:rPr>
        <w:t xml:space="preserve">Journal of Banking and Finance, 37, </w:t>
      </w:r>
      <w:r>
        <w:rPr>
          <w:rFonts w:ascii="Times New Roman" w:eastAsia="Times New Roman" w:hAnsi="Times New Roman" w:cs="Times New Roman"/>
          <w:sz w:val="24"/>
          <w:szCs w:val="24"/>
        </w:rPr>
        <w:t>799-813.</w:t>
      </w:r>
    </w:p>
    <w:p w14:paraId="7AD6E1EA"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Bannister, J. W., Cho, M., &amp; Newman, H. A. (2010). Temporal changes in the choice of financial performance metrics in executive compensation. </w:t>
      </w:r>
      <w:r>
        <w:rPr>
          <w:rFonts w:ascii="Times New Roman" w:eastAsia="Times New Roman" w:hAnsi="Times New Roman" w:cs="Times New Roman"/>
          <w:i/>
          <w:sz w:val="24"/>
          <w:szCs w:val="24"/>
        </w:rPr>
        <w:t>Journal of Business &amp; Economic Studies, 16</w:t>
      </w:r>
      <w:r>
        <w:rPr>
          <w:rFonts w:ascii="Times New Roman" w:eastAsia="Times New Roman" w:hAnsi="Times New Roman" w:cs="Times New Roman"/>
          <w:sz w:val="24"/>
          <w:szCs w:val="24"/>
        </w:rPr>
        <w:t>(1), 79-100.</w:t>
      </w:r>
    </w:p>
    <w:p w14:paraId="20A5BB55"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Bannister, J. W., &amp; Newman, H. A. (2006). Disclosure biases in proxy performance graphs: The influence of performance and compensation committee composition. </w:t>
      </w:r>
      <w:r>
        <w:rPr>
          <w:rFonts w:ascii="Times New Roman" w:eastAsia="Times New Roman" w:hAnsi="Times New Roman" w:cs="Times New Roman"/>
          <w:i/>
          <w:sz w:val="24"/>
          <w:szCs w:val="24"/>
        </w:rPr>
        <w:t>Review of Accounting and Finance, 5</w:t>
      </w:r>
      <w:r>
        <w:rPr>
          <w:rFonts w:ascii="Times New Roman" w:eastAsia="Times New Roman" w:hAnsi="Times New Roman" w:cs="Times New Roman"/>
          <w:sz w:val="24"/>
          <w:szCs w:val="24"/>
        </w:rPr>
        <w:t>(1), 30-44.</w:t>
      </w:r>
    </w:p>
    <w:p w14:paraId="11105FF5"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Bilimoria, D., &amp; </w:t>
      </w:r>
      <w:proofErr w:type="spellStart"/>
      <w:r>
        <w:rPr>
          <w:rFonts w:ascii="Times New Roman" w:eastAsia="Times New Roman" w:hAnsi="Times New Roman" w:cs="Times New Roman"/>
          <w:sz w:val="24"/>
          <w:szCs w:val="24"/>
        </w:rPr>
        <w:t>Pidert</w:t>
      </w:r>
      <w:proofErr w:type="spellEnd"/>
      <w:r>
        <w:rPr>
          <w:rFonts w:ascii="Times New Roman" w:eastAsia="Times New Roman" w:hAnsi="Times New Roman" w:cs="Times New Roman"/>
          <w:sz w:val="24"/>
          <w:szCs w:val="24"/>
        </w:rPr>
        <w:t xml:space="preserve">, S. K. (1994). Board committee membership: Effects of sex-based bias. </w:t>
      </w:r>
      <w:r>
        <w:rPr>
          <w:rFonts w:ascii="Times New Roman" w:eastAsia="Times New Roman" w:hAnsi="Times New Roman" w:cs="Times New Roman"/>
          <w:i/>
          <w:sz w:val="24"/>
          <w:szCs w:val="24"/>
        </w:rPr>
        <w:t>Academy of Management Journal, 37,</w:t>
      </w:r>
      <w:r>
        <w:rPr>
          <w:rFonts w:ascii="Times New Roman" w:eastAsia="Times New Roman" w:hAnsi="Times New Roman" w:cs="Times New Roman"/>
          <w:sz w:val="24"/>
          <w:szCs w:val="24"/>
        </w:rPr>
        <w:t xml:space="preserve"> 1453-1477.</w:t>
      </w:r>
    </w:p>
    <w:p w14:paraId="3C3DF6B2"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Bolton, P., Scheinkman, J., &amp; Xiong, W. (2006). Executive compensation and short-</w:t>
      </w:r>
      <w:proofErr w:type="spellStart"/>
      <w:r>
        <w:rPr>
          <w:rFonts w:ascii="Times New Roman" w:eastAsia="Times New Roman" w:hAnsi="Times New Roman" w:cs="Times New Roman"/>
          <w:sz w:val="24"/>
          <w:szCs w:val="24"/>
        </w:rPr>
        <w:t>termist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in speculative markets. </w:t>
      </w:r>
      <w:r>
        <w:rPr>
          <w:rFonts w:ascii="Times New Roman" w:eastAsia="Times New Roman" w:hAnsi="Times New Roman" w:cs="Times New Roman"/>
          <w:i/>
          <w:sz w:val="24"/>
          <w:szCs w:val="24"/>
        </w:rPr>
        <w:t>Review of Economic Studies, 73,</w:t>
      </w:r>
      <w:r>
        <w:rPr>
          <w:rFonts w:ascii="Times New Roman" w:eastAsia="Times New Roman" w:hAnsi="Times New Roman" w:cs="Times New Roman"/>
          <w:sz w:val="24"/>
          <w:szCs w:val="24"/>
        </w:rPr>
        <w:t xml:space="preserve"> 577-610.</w:t>
      </w:r>
    </w:p>
    <w:p w14:paraId="302DE973"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Breton, G., &amp; Cote, L. (2006). Profit and the legitimacy of the Canadian banking industry. </w:t>
      </w:r>
      <w:r>
        <w:rPr>
          <w:rFonts w:ascii="Times New Roman" w:eastAsia="Times New Roman" w:hAnsi="Times New Roman" w:cs="Times New Roman"/>
          <w:i/>
          <w:sz w:val="24"/>
          <w:szCs w:val="24"/>
        </w:rPr>
        <w:t>Accounting, Auditing &amp; Accountability Journal, 19</w:t>
      </w:r>
      <w:r>
        <w:rPr>
          <w:rFonts w:ascii="Times New Roman" w:eastAsia="Times New Roman" w:hAnsi="Times New Roman" w:cs="Times New Roman"/>
          <w:sz w:val="24"/>
          <w:szCs w:val="24"/>
        </w:rPr>
        <w:t>(4), 512-539.</w:t>
      </w:r>
    </w:p>
    <w:p w14:paraId="6C61B1FF"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Carretta, A., Farina, V., &amp; Schwizer, P. (2010). Assessing effectiveness and compliance of banking boards. </w:t>
      </w:r>
      <w:r>
        <w:rPr>
          <w:rFonts w:ascii="Times New Roman" w:eastAsia="Times New Roman" w:hAnsi="Times New Roman" w:cs="Times New Roman"/>
          <w:i/>
          <w:sz w:val="24"/>
          <w:szCs w:val="24"/>
        </w:rPr>
        <w:t>Journal of Financial Regulation and Compliance, 18</w:t>
      </w:r>
      <w:r>
        <w:rPr>
          <w:rFonts w:ascii="Times New Roman" w:eastAsia="Times New Roman" w:hAnsi="Times New Roman" w:cs="Times New Roman"/>
          <w:sz w:val="24"/>
          <w:szCs w:val="24"/>
        </w:rPr>
        <w:t>(4), 356-369.</w:t>
      </w:r>
    </w:p>
    <w:p w14:paraId="7AF67FF1"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Carson, E. (2002). Factors associated with the development of board sub-committees. </w:t>
      </w:r>
      <w:r>
        <w:rPr>
          <w:rFonts w:ascii="Times New Roman" w:eastAsia="Times New Roman" w:hAnsi="Times New Roman" w:cs="Times New Roman"/>
          <w:i/>
          <w:sz w:val="24"/>
          <w:szCs w:val="24"/>
        </w:rPr>
        <w:t>Corporate Governance: An International Review, 10</w:t>
      </w:r>
      <w:r>
        <w:rPr>
          <w:rFonts w:ascii="Times New Roman" w:eastAsia="Times New Roman" w:hAnsi="Times New Roman" w:cs="Times New Roman"/>
          <w:sz w:val="24"/>
          <w:szCs w:val="24"/>
        </w:rPr>
        <w:t>(1), 4-18.</w:t>
      </w:r>
    </w:p>
    <w:p w14:paraId="5D972793"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Conyon</w:t>
      </w:r>
      <w:proofErr w:type="spellEnd"/>
      <w:r>
        <w:rPr>
          <w:rFonts w:ascii="Times New Roman" w:eastAsia="Times New Roman" w:hAnsi="Times New Roman" w:cs="Times New Roman"/>
          <w:sz w:val="24"/>
          <w:szCs w:val="24"/>
        </w:rPr>
        <w:t xml:space="preserve">, M. (2006). Executive compensation and incentives. </w:t>
      </w:r>
      <w:r>
        <w:rPr>
          <w:rFonts w:ascii="Times New Roman" w:eastAsia="Times New Roman" w:hAnsi="Times New Roman" w:cs="Times New Roman"/>
          <w:i/>
          <w:sz w:val="24"/>
          <w:szCs w:val="24"/>
        </w:rPr>
        <w:t>Academy of Management Perspectives, 20</w:t>
      </w:r>
      <w:r>
        <w:rPr>
          <w:rFonts w:ascii="Times New Roman" w:eastAsia="Times New Roman" w:hAnsi="Times New Roman" w:cs="Times New Roman"/>
          <w:sz w:val="24"/>
          <w:szCs w:val="24"/>
        </w:rPr>
        <w:t>(1), 25-44.</w:t>
      </w:r>
    </w:p>
    <w:p w14:paraId="0AD62951"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Conyon</w:t>
      </w:r>
      <w:proofErr w:type="spellEnd"/>
      <w:r>
        <w:rPr>
          <w:rFonts w:ascii="Times New Roman" w:eastAsia="Times New Roman" w:hAnsi="Times New Roman" w:cs="Times New Roman"/>
          <w:sz w:val="24"/>
          <w:szCs w:val="24"/>
        </w:rPr>
        <w:t xml:space="preserve">, M., &amp; He, L. (2004). Compensation committee and CEO compensation incentives in U.S. entrepreneurial firms. </w:t>
      </w:r>
      <w:r>
        <w:rPr>
          <w:rFonts w:ascii="Times New Roman" w:eastAsia="Times New Roman" w:hAnsi="Times New Roman" w:cs="Times New Roman"/>
          <w:i/>
          <w:sz w:val="24"/>
          <w:szCs w:val="24"/>
        </w:rPr>
        <w:t>Journal of Management Accounting Research, 16</w:t>
      </w:r>
      <w:r>
        <w:rPr>
          <w:rFonts w:ascii="Times New Roman" w:eastAsia="Times New Roman" w:hAnsi="Times New Roman" w:cs="Times New Roman"/>
          <w:sz w:val="24"/>
          <w:szCs w:val="24"/>
        </w:rPr>
        <w:t>(1), 35-56.</w:t>
      </w:r>
    </w:p>
    <w:p w14:paraId="54FBC604"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Conyon</w:t>
      </w:r>
      <w:proofErr w:type="spellEnd"/>
      <w:r>
        <w:rPr>
          <w:rFonts w:ascii="Times New Roman" w:eastAsia="Times New Roman" w:hAnsi="Times New Roman" w:cs="Times New Roman"/>
          <w:sz w:val="24"/>
          <w:szCs w:val="24"/>
        </w:rPr>
        <w:t xml:space="preserve">, M., &amp; Peck, S. I. (1998). Board control, remuneration committees, and top management compensation. </w:t>
      </w:r>
      <w:r>
        <w:rPr>
          <w:rFonts w:ascii="Times New Roman" w:eastAsia="Times New Roman" w:hAnsi="Times New Roman" w:cs="Times New Roman"/>
          <w:i/>
          <w:sz w:val="24"/>
          <w:szCs w:val="24"/>
        </w:rPr>
        <w:t>Academy of Management Journal, 16</w:t>
      </w:r>
      <w:r>
        <w:rPr>
          <w:rFonts w:ascii="Times New Roman" w:eastAsia="Times New Roman" w:hAnsi="Times New Roman" w:cs="Times New Roman"/>
          <w:sz w:val="24"/>
          <w:szCs w:val="24"/>
        </w:rPr>
        <w:t>(2), 146-157.</w:t>
      </w:r>
    </w:p>
    <w:p w14:paraId="59E86D21"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Conyon</w:t>
      </w:r>
      <w:proofErr w:type="spellEnd"/>
      <w:r>
        <w:rPr>
          <w:rFonts w:ascii="Times New Roman" w:eastAsia="Times New Roman" w:hAnsi="Times New Roman" w:cs="Times New Roman"/>
          <w:sz w:val="24"/>
          <w:szCs w:val="24"/>
        </w:rPr>
        <w:t xml:space="preserve">, M. J. (2013). Executive compensation and board governance in U.S. firms. </w:t>
      </w:r>
      <w:r>
        <w:rPr>
          <w:rFonts w:ascii="Times New Roman" w:eastAsia="Times New Roman" w:hAnsi="Times New Roman" w:cs="Times New Roman"/>
          <w:i/>
          <w:sz w:val="24"/>
          <w:szCs w:val="24"/>
        </w:rPr>
        <w:t>The Economic Journal, 124</w:t>
      </w:r>
      <w:r>
        <w:rPr>
          <w:rFonts w:ascii="Times New Roman" w:eastAsia="Times New Roman" w:hAnsi="Times New Roman" w:cs="Times New Roman"/>
          <w:sz w:val="24"/>
          <w:szCs w:val="24"/>
        </w:rPr>
        <w:t>(February), F60-F89.</w:t>
      </w:r>
    </w:p>
    <w:p w14:paraId="44AF777C"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Cyert, R., Kang, S., Kumar, P., &amp; Shah, A. (1997). Corporate governance and the level of CEO compensation (Working paper). </w:t>
      </w:r>
      <w:r>
        <w:rPr>
          <w:rFonts w:ascii="Times New Roman" w:eastAsia="Times New Roman" w:hAnsi="Times New Roman" w:cs="Times New Roman"/>
          <w:i/>
          <w:sz w:val="24"/>
          <w:szCs w:val="24"/>
        </w:rPr>
        <w:t>Carnegie Mellon University, Pittsburgh, PA.</w:t>
      </w:r>
    </w:p>
    <w:p w14:paraId="1A87AA7D"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Daily, C., Johnson, J., </w:t>
      </w:r>
      <w:proofErr w:type="spellStart"/>
      <w:r>
        <w:rPr>
          <w:rFonts w:ascii="Times New Roman" w:eastAsia="Times New Roman" w:hAnsi="Times New Roman" w:cs="Times New Roman"/>
          <w:sz w:val="24"/>
          <w:szCs w:val="24"/>
        </w:rPr>
        <w:t>Ellstrand</w:t>
      </w:r>
      <w:proofErr w:type="spellEnd"/>
      <w:r>
        <w:rPr>
          <w:rFonts w:ascii="Times New Roman" w:eastAsia="Times New Roman" w:hAnsi="Times New Roman" w:cs="Times New Roman"/>
          <w:sz w:val="24"/>
          <w:szCs w:val="24"/>
        </w:rPr>
        <w:t xml:space="preserve">, A., &amp; Dalton, D. (1998). Compensation committee composition as a determinant of CEO compensation. </w:t>
      </w:r>
      <w:r>
        <w:rPr>
          <w:rFonts w:ascii="Times New Roman" w:eastAsia="Times New Roman" w:hAnsi="Times New Roman" w:cs="Times New Roman"/>
          <w:i/>
          <w:sz w:val="24"/>
          <w:szCs w:val="24"/>
        </w:rPr>
        <w:t>Academy of Management Journal, 41</w:t>
      </w:r>
      <w:r>
        <w:rPr>
          <w:rFonts w:ascii="Times New Roman" w:eastAsia="Times New Roman" w:hAnsi="Times New Roman" w:cs="Times New Roman"/>
          <w:sz w:val="24"/>
          <w:szCs w:val="24"/>
        </w:rPr>
        <w:t>(2), 209-220.</w:t>
      </w:r>
    </w:p>
    <w:p w14:paraId="61A43A1A"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Harjoto, M. A., &amp; Mullineaux, D. J. (2003). CEO compensation and the transformation of banking. </w:t>
      </w:r>
      <w:r>
        <w:rPr>
          <w:rFonts w:ascii="Times New Roman" w:eastAsia="Times New Roman" w:hAnsi="Times New Roman" w:cs="Times New Roman"/>
          <w:i/>
          <w:sz w:val="24"/>
          <w:szCs w:val="24"/>
        </w:rPr>
        <w:t>The Journal of Financial Research, 26</w:t>
      </w:r>
      <w:r>
        <w:rPr>
          <w:rFonts w:ascii="Times New Roman" w:eastAsia="Times New Roman" w:hAnsi="Times New Roman" w:cs="Times New Roman"/>
          <w:sz w:val="24"/>
          <w:szCs w:val="24"/>
        </w:rPr>
        <w:t>(3), 341-354.</w:t>
      </w:r>
    </w:p>
    <w:p w14:paraId="7455D63A"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Hermanson, D. R., Tompkins, J. G., </w:t>
      </w:r>
      <w:proofErr w:type="spellStart"/>
      <w:r>
        <w:rPr>
          <w:rFonts w:ascii="Times New Roman" w:eastAsia="Times New Roman" w:hAnsi="Times New Roman" w:cs="Times New Roman"/>
          <w:sz w:val="24"/>
          <w:szCs w:val="24"/>
          <w:highlight w:val="white"/>
        </w:rPr>
        <w:t>Veliyath</w:t>
      </w:r>
      <w:proofErr w:type="spellEnd"/>
      <w:r>
        <w:rPr>
          <w:rFonts w:ascii="Times New Roman" w:eastAsia="Times New Roman" w:hAnsi="Times New Roman" w:cs="Times New Roman"/>
          <w:sz w:val="24"/>
          <w:szCs w:val="24"/>
          <w:highlight w:val="white"/>
        </w:rPr>
        <w:t>, R., &amp; Ye, Z. (2012). The compensation committee process. </w:t>
      </w:r>
      <w:r>
        <w:rPr>
          <w:rFonts w:ascii="Times New Roman" w:eastAsia="Times New Roman" w:hAnsi="Times New Roman" w:cs="Times New Roman"/>
          <w:i/>
          <w:sz w:val="24"/>
          <w:szCs w:val="24"/>
        </w:rPr>
        <w:t>Contemporary Accounting Research</w:t>
      </w:r>
      <w:r>
        <w:rPr>
          <w:rFonts w:ascii="Times New Roman" w:eastAsia="Times New Roman" w:hAnsi="Times New Roman" w:cs="Times New Roman"/>
          <w:sz w:val="24"/>
          <w:szCs w:val="24"/>
          <w:highlight w:val="white"/>
        </w:rPr>
        <w:t>, </w:t>
      </w:r>
      <w:r>
        <w:rPr>
          <w:rFonts w:ascii="Times New Roman" w:eastAsia="Times New Roman" w:hAnsi="Times New Roman" w:cs="Times New Roman"/>
          <w:i/>
          <w:sz w:val="24"/>
          <w:szCs w:val="24"/>
        </w:rPr>
        <w:t>29</w:t>
      </w:r>
      <w:r>
        <w:rPr>
          <w:rFonts w:ascii="Times New Roman" w:eastAsia="Times New Roman" w:hAnsi="Times New Roman" w:cs="Times New Roman"/>
          <w:sz w:val="24"/>
          <w:szCs w:val="24"/>
          <w:highlight w:val="white"/>
        </w:rPr>
        <w:t>(3), 666-709.</w:t>
      </w:r>
    </w:p>
    <w:p w14:paraId="1C0866A9"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Hoitash</w:t>
      </w:r>
      <w:proofErr w:type="spellEnd"/>
      <w:r>
        <w:rPr>
          <w:rFonts w:ascii="Times New Roman" w:eastAsia="Times New Roman" w:hAnsi="Times New Roman" w:cs="Times New Roman"/>
          <w:sz w:val="24"/>
          <w:szCs w:val="24"/>
        </w:rPr>
        <w:t xml:space="preserve">, U., &amp; </w:t>
      </w:r>
      <w:proofErr w:type="spellStart"/>
      <w:r>
        <w:rPr>
          <w:rFonts w:ascii="Times New Roman" w:eastAsia="Times New Roman" w:hAnsi="Times New Roman" w:cs="Times New Roman"/>
          <w:sz w:val="24"/>
          <w:szCs w:val="24"/>
        </w:rPr>
        <w:t>Hoitash</w:t>
      </w:r>
      <w:proofErr w:type="spellEnd"/>
      <w:r>
        <w:rPr>
          <w:rFonts w:ascii="Times New Roman" w:eastAsia="Times New Roman" w:hAnsi="Times New Roman" w:cs="Times New Roman"/>
          <w:sz w:val="24"/>
          <w:szCs w:val="24"/>
        </w:rPr>
        <w:t xml:space="preserve">, R. (2009). Conflicting objectives within the board: Evidence from overlapping audit and compensation committee members. </w:t>
      </w:r>
      <w:r>
        <w:rPr>
          <w:rFonts w:ascii="Times New Roman" w:eastAsia="Times New Roman" w:hAnsi="Times New Roman" w:cs="Times New Roman"/>
          <w:i/>
          <w:sz w:val="24"/>
          <w:szCs w:val="24"/>
        </w:rPr>
        <w:t>Group Decision and Negotiation, 18</w:t>
      </w:r>
      <w:r>
        <w:rPr>
          <w:rFonts w:ascii="Times New Roman" w:eastAsia="Times New Roman" w:hAnsi="Times New Roman" w:cs="Times New Roman"/>
          <w:sz w:val="24"/>
          <w:szCs w:val="24"/>
        </w:rPr>
        <w:t>(1), 57-73.</w:t>
      </w:r>
    </w:p>
    <w:p w14:paraId="095710FA"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Kesner, I. F. (1988). Directors' characteristics and committee membership: An investigation of type occupation, tenure, and gender. </w:t>
      </w:r>
      <w:r>
        <w:rPr>
          <w:rFonts w:ascii="Times New Roman" w:eastAsia="Times New Roman" w:hAnsi="Times New Roman" w:cs="Times New Roman"/>
          <w:i/>
          <w:sz w:val="24"/>
          <w:szCs w:val="24"/>
        </w:rPr>
        <w:t>Academy of Management Journal, 31</w:t>
      </w:r>
      <w:r>
        <w:rPr>
          <w:rFonts w:ascii="Times New Roman" w:eastAsia="Times New Roman" w:hAnsi="Times New Roman" w:cs="Times New Roman"/>
          <w:sz w:val="24"/>
          <w:szCs w:val="24"/>
        </w:rPr>
        <w:t>(1), 66-84.</w:t>
      </w:r>
    </w:p>
    <w:p w14:paraId="6C330768"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Klein, A. (1998). Firm performance and board committee structure. </w:t>
      </w:r>
      <w:r>
        <w:rPr>
          <w:rFonts w:ascii="Times New Roman" w:eastAsia="Times New Roman" w:hAnsi="Times New Roman" w:cs="Times New Roman"/>
          <w:i/>
          <w:sz w:val="24"/>
          <w:szCs w:val="24"/>
        </w:rPr>
        <w:t>Journal of Law &amp; Economics, 41</w:t>
      </w:r>
      <w:r>
        <w:rPr>
          <w:rFonts w:ascii="Times New Roman" w:eastAsia="Times New Roman" w:hAnsi="Times New Roman" w:cs="Times New Roman"/>
          <w:sz w:val="24"/>
          <w:szCs w:val="24"/>
        </w:rPr>
        <w:t>(1), 275-303.</w:t>
      </w:r>
    </w:p>
    <w:p w14:paraId="7CB010A5"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Krippendorff, K. A. (2004). </w:t>
      </w:r>
      <w:r>
        <w:rPr>
          <w:rFonts w:ascii="Times New Roman" w:eastAsia="Times New Roman" w:hAnsi="Times New Roman" w:cs="Times New Roman"/>
          <w:i/>
          <w:sz w:val="24"/>
          <w:szCs w:val="24"/>
        </w:rPr>
        <w:t>Content Analysis: An Introduction to Its Methodology (2nd ed.).</w:t>
      </w:r>
      <w:r>
        <w:rPr>
          <w:rFonts w:ascii="Times New Roman" w:eastAsia="Times New Roman" w:hAnsi="Times New Roman" w:cs="Times New Roman"/>
          <w:sz w:val="24"/>
          <w:szCs w:val="24"/>
        </w:rPr>
        <w:t xml:space="preserve"> Sage Publications.</w:t>
      </w:r>
    </w:p>
    <w:p w14:paraId="097B917E"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Main, B. G. M., &amp; Johnston, J. (1993). Remuneration committee and corporate governance. </w:t>
      </w:r>
      <w:r>
        <w:rPr>
          <w:rFonts w:ascii="Times New Roman" w:eastAsia="Times New Roman" w:hAnsi="Times New Roman" w:cs="Times New Roman"/>
          <w:i/>
          <w:sz w:val="24"/>
          <w:szCs w:val="24"/>
        </w:rPr>
        <w:t>Business Research, 23</w:t>
      </w:r>
      <w:r>
        <w:rPr>
          <w:rFonts w:ascii="Times New Roman" w:eastAsia="Times New Roman" w:hAnsi="Times New Roman" w:cs="Times New Roman"/>
          <w:sz w:val="24"/>
          <w:szCs w:val="24"/>
        </w:rPr>
        <w:t>(91a), 351-362.</w:t>
      </w:r>
    </w:p>
    <w:p w14:paraId="64893283"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Merchant, K. A., &amp; Van der Stede, W. A. (2012). </w:t>
      </w:r>
      <w:r>
        <w:rPr>
          <w:rFonts w:ascii="Times New Roman" w:eastAsia="Times New Roman" w:hAnsi="Times New Roman" w:cs="Times New Roman"/>
          <w:i/>
          <w:sz w:val="24"/>
          <w:szCs w:val="24"/>
        </w:rPr>
        <w:t>Management Control Systems: Performance Measurement, Evaluation and Incentives (3rd ed.).</w:t>
      </w:r>
      <w:r>
        <w:rPr>
          <w:rFonts w:ascii="Times New Roman" w:eastAsia="Times New Roman" w:hAnsi="Times New Roman" w:cs="Times New Roman"/>
          <w:sz w:val="24"/>
          <w:szCs w:val="24"/>
        </w:rPr>
        <w:t xml:space="preserve"> Harlow, England: Pearson Education Ltd.</w:t>
      </w:r>
    </w:p>
    <w:p w14:paraId="7E63BE14"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highlight w:val="white"/>
        </w:rPr>
        <w:t>Mullineux</w:t>
      </w:r>
      <w:proofErr w:type="spellEnd"/>
      <w:r>
        <w:rPr>
          <w:rFonts w:ascii="Times New Roman" w:eastAsia="Times New Roman" w:hAnsi="Times New Roman" w:cs="Times New Roman"/>
          <w:sz w:val="24"/>
          <w:szCs w:val="24"/>
          <w:highlight w:val="white"/>
        </w:rPr>
        <w:t>, A. (2006). The corporate governance of banks. </w:t>
      </w:r>
      <w:r>
        <w:rPr>
          <w:rFonts w:ascii="Times New Roman" w:eastAsia="Times New Roman" w:hAnsi="Times New Roman" w:cs="Times New Roman"/>
          <w:i/>
          <w:sz w:val="24"/>
          <w:szCs w:val="24"/>
        </w:rPr>
        <w:t>Journal of Financial Regulation and Compliance</w:t>
      </w:r>
      <w:r>
        <w:rPr>
          <w:rFonts w:ascii="Times New Roman" w:eastAsia="Times New Roman" w:hAnsi="Times New Roman" w:cs="Times New Roman"/>
          <w:sz w:val="24"/>
          <w:szCs w:val="24"/>
          <w:highlight w:val="white"/>
        </w:rPr>
        <w:t>, </w:t>
      </w:r>
      <w:r>
        <w:rPr>
          <w:rFonts w:ascii="Times New Roman" w:eastAsia="Times New Roman" w:hAnsi="Times New Roman" w:cs="Times New Roman"/>
          <w:i/>
          <w:sz w:val="24"/>
          <w:szCs w:val="24"/>
        </w:rPr>
        <w:t>14</w:t>
      </w:r>
      <w:r>
        <w:rPr>
          <w:rFonts w:ascii="Times New Roman" w:eastAsia="Times New Roman" w:hAnsi="Times New Roman" w:cs="Times New Roman"/>
          <w:sz w:val="24"/>
          <w:szCs w:val="24"/>
          <w:highlight w:val="white"/>
        </w:rPr>
        <w:t>(4), 375-382.</w:t>
      </w:r>
    </w:p>
    <w:p w14:paraId="537FF415"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Newman, H. (2000). The impact of ownership structure on the structure of compensation. </w:t>
      </w:r>
      <w:r>
        <w:rPr>
          <w:rFonts w:ascii="Times New Roman" w:eastAsia="Times New Roman" w:hAnsi="Times New Roman" w:cs="Times New Roman"/>
          <w:i/>
          <w:sz w:val="24"/>
          <w:szCs w:val="24"/>
        </w:rPr>
        <w:t>Journal of Business Finance, 27</w:t>
      </w:r>
      <w:r>
        <w:rPr>
          <w:rFonts w:ascii="Times New Roman" w:eastAsia="Times New Roman" w:hAnsi="Times New Roman" w:cs="Times New Roman"/>
          <w:sz w:val="24"/>
          <w:szCs w:val="24"/>
        </w:rPr>
        <w:t>(5/6), 653-678.</w:t>
      </w:r>
    </w:p>
    <w:p w14:paraId="6EC3BC57"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Newman, H., &amp; Mozes, H. (1999). Does compensation committee composition influence CEO compensation practices? </w:t>
      </w:r>
      <w:r>
        <w:rPr>
          <w:rFonts w:ascii="Times New Roman" w:eastAsia="Times New Roman" w:hAnsi="Times New Roman" w:cs="Times New Roman"/>
          <w:i/>
          <w:sz w:val="24"/>
          <w:szCs w:val="24"/>
        </w:rPr>
        <w:t>Financial Management, 28,</w:t>
      </w:r>
      <w:r>
        <w:rPr>
          <w:rFonts w:ascii="Times New Roman" w:eastAsia="Times New Roman" w:hAnsi="Times New Roman" w:cs="Times New Roman"/>
          <w:sz w:val="24"/>
          <w:szCs w:val="24"/>
        </w:rPr>
        <w:t xml:space="preserve"> 41-53.</w:t>
      </w:r>
    </w:p>
    <w:p w14:paraId="661D5954"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Piot, C. (2006). Determinants of the existence and managerial independence of remuneration and nomination committees in France. </w:t>
      </w:r>
      <w:r>
        <w:rPr>
          <w:rFonts w:ascii="Times New Roman" w:eastAsia="Times New Roman" w:hAnsi="Times New Roman" w:cs="Times New Roman"/>
          <w:i/>
          <w:sz w:val="24"/>
          <w:szCs w:val="24"/>
        </w:rPr>
        <w:t xml:space="preserve">Finance Controle </w:t>
      </w:r>
      <w:proofErr w:type="spellStart"/>
      <w:r>
        <w:rPr>
          <w:rFonts w:ascii="Times New Roman" w:eastAsia="Times New Roman" w:hAnsi="Times New Roman" w:cs="Times New Roman"/>
          <w:i/>
          <w:sz w:val="24"/>
          <w:szCs w:val="24"/>
        </w:rPr>
        <w:t>Strategie</w:t>
      </w:r>
      <w:proofErr w:type="spellEnd"/>
      <w:r>
        <w:rPr>
          <w:rFonts w:ascii="Times New Roman" w:eastAsia="Times New Roman" w:hAnsi="Times New Roman" w:cs="Times New Roman"/>
          <w:i/>
          <w:sz w:val="24"/>
          <w:szCs w:val="24"/>
        </w:rPr>
        <w:t>, 9</w:t>
      </w:r>
      <w:r>
        <w:rPr>
          <w:rFonts w:ascii="Times New Roman" w:eastAsia="Times New Roman" w:hAnsi="Times New Roman" w:cs="Times New Roman"/>
          <w:sz w:val="24"/>
          <w:szCs w:val="24"/>
        </w:rPr>
        <w:t>(2), 159-185.</w:t>
      </w:r>
    </w:p>
    <w:p w14:paraId="0EF8D1F2"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PWC. (2014). Canadian Banks 2014: How strong are the Canadian banks? Retrieved from http://www.pwc.com/ca/canadianbanks</w:t>
      </w:r>
    </w:p>
    <w:p w14:paraId="7A9AF000"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PWC. (2015). Canadian Banks 2015: A new era begins. Retrieved from http://www.pwc.com/ca/canadianbanks</w:t>
      </w:r>
    </w:p>
    <w:p w14:paraId="24F62DF5"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Sapp, S. G. (2008). The impact of corporate governance on executive compensation. </w:t>
      </w:r>
      <w:r>
        <w:rPr>
          <w:rFonts w:ascii="Times New Roman" w:eastAsia="Times New Roman" w:hAnsi="Times New Roman" w:cs="Times New Roman"/>
          <w:i/>
          <w:sz w:val="24"/>
          <w:szCs w:val="24"/>
        </w:rPr>
        <w:t>European Financial Management, 14</w:t>
      </w:r>
      <w:r>
        <w:rPr>
          <w:rFonts w:ascii="Times New Roman" w:eastAsia="Times New Roman" w:hAnsi="Times New Roman" w:cs="Times New Roman"/>
          <w:sz w:val="24"/>
          <w:szCs w:val="24"/>
        </w:rPr>
        <w:t>(4), 710-746.</w:t>
      </w:r>
    </w:p>
    <w:p w14:paraId="134DD085" w14:textId="77777777" w:rsidR="007373F6" w:rsidRDefault="00000000" w:rsidP="002148A8">
      <w:pPr>
        <w:spacing w:after="0" w:line="240" w:lineRule="auto"/>
        <w:ind w:left="720" w:hanging="720"/>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Smith, G. I. (2011). Chief executive pay and remuneration committee independence. </w:t>
      </w:r>
      <w:r>
        <w:rPr>
          <w:rFonts w:ascii="Times New Roman" w:eastAsia="Times New Roman" w:hAnsi="Times New Roman" w:cs="Times New Roman"/>
          <w:i/>
          <w:sz w:val="24"/>
          <w:szCs w:val="24"/>
        </w:rPr>
        <w:t>Oxford Bulletin of Economics and Statistics.</w:t>
      </w:r>
    </w:p>
    <w:p w14:paraId="2B4540DB"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Sun, J., &amp; Cahan, S. F. (2009). The effect of compensation committee quality on the association between CEO cash compensation and accounting performance. </w:t>
      </w:r>
      <w:r>
        <w:rPr>
          <w:rFonts w:ascii="Times New Roman" w:eastAsia="Times New Roman" w:hAnsi="Times New Roman" w:cs="Times New Roman"/>
          <w:i/>
          <w:sz w:val="24"/>
          <w:szCs w:val="24"/>
        </w:rPr>
        <w:t>Corporate Governance: An International Review, 17</w:t>
      </w:r>
      <w:r>
        <w:rPr>
          <w:rFonts w:ascii="Times New Roman" w:eastAsia="Times New Roman" w:hAnsi="Times New Roman" w:cs="Times New Roman"/>
          <w:sz w:val="24"/>
          <w:szCs w:val="24"/>
        </w:rPr>
        <w:t>(2), 193-207.</w:t>
      </w:r>
    </w:p>
    <w:p w14:paraId="1AD5D06D"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Sun, J., &amp; Cahan, S. F. (2012). The economic determinant of compensation committee quality. </w:t>
      </w:r>
      <w:r>
        <w:rPr>
          <w:rFonts w:ascii="Times New Roman" w:eastAsia="Times New Roman" w:hAnsi="Times New Roman" w:cs="Times New Roman"/>
          <w:i/>
          <w:sz w:val="24"/>
          <w:szCs w:val="24"/>
        </w:rPr>
        <w:t>Managerial Finance, 38</w:t>
      </w:r>
      <w:r>
        <w:rPr>
          <w:rFonts w:ascii="Times New Roman" w:eastAsia="Times New Roman" w:hAnsi="Times New Roman" w:cs="Times New Roman"/>
          <w:sz w:val="24"/>
          <w:szCs w:val="24"/>
        </w:rPr>
        <w:t>(2), 188-205.</w:t>
      </w:r>
    </w:p>
    <w:p w14:paraId="17A9A849"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Sun, J., Cahan, S. F., &amp; Emanuel, D. (2009). Compensation committee governance quality, chief executive officer stock option grants, and future firm performance. </w:t>
      </w:r>
      <w:r>
        <w:rPr>
          <w:rFonts w:ascii="Times New Roman" w:eastAsia="Times New Roman" w:hAnsi="Times New Roman" w:cs="Times New Roman"/>
          <w:i/>
          <w:sz w:val="24"/>
          <w:szCs w:val="24"/>
        </w:rPr>
        <w:t>Journal of Banking &amp; Finance, 33</w:t>
      </w:r>
      <w:r>
        <w:rPr>
          <w:rFonts w:ascii="Times New Roman" w:eastAsia="Times New Roman" w:hAnsi="Times New Roman" w:cs="Times New Roman"/>
          <w:sz w:val="24"/>
          <w:szCs w:val="24"/>
        </w:rPr>
        <w:t>(8), 1507-1519.</w:t>
      </w:r>
    </w:p>
    <w:p w14:paraId="62A9C552"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Vafeas</w:t>
      </w:r>
      <w:proofErr w:type="spellEnd"/>
      <w:r>
        <w:rPr>
          <w:rFonts w:ascii="Times New Roman" w:eastAsia="Times New Roman" w:hAnsi="Times New Roman" w:cs="Times New Roman"/>
          <w:sz w:val="24"/>
          <w:szCs w:val="24"/>
        </w:rPr>
        <w:t xml:space="preserve">, N. (2003). Further evidence on compensation committee composition as a determinant of CEO compensation. </w:t>
      </w:r>
      <w:r>
        <w:rPr>
          <w:rFonts w:ascii="Times New Roman" w:eastAsia="Times New Roman" w:hAnsi="Times New Roman" w:cs="Times New Roman"/>
          <w:i/>
          <w:sz w:val="24"/>
          <w:szCs w:val="24"/>
        </w:rPr>
        <w:t>Financial Management, 32</w:t>
      </w:r>
      <w:r>
        <w:rPr>
          <w:rFonts w:ascii="Times New Roman" w:eastAsia="Times New Roman" w:hAnsi="Times New Roman" w:cs="Times New Roman"/>
          <w:sz w:val="24"/>
          <w:szCs w:val="24"/>
        </w:rPr>
        <w:t>(2), 53-70.</w:t>
      </w:r>
    </w:p>
    <w:p w14:paraId="2603BB99"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Waweru, N. M., Gelinas, P., &amp; Uliana, E. (2009). Executive compensation schemes in the banking industry: A comparative study between a developed country and an emerging economy. </w:t>
      </w:r>
      <w:r>
        <w:rPr>
          <w:rFonts w:ascii="Times New Roman" w:eastAsia="Times New Roman" w:hAnsi="Times New Roman" w:cs="Times New Roman"/>
          <w:i/>
          <w:sz w:val="24"/>
          <w:szCs w:val="24"/>
        </w:rPr>
        <w:t>Academy of Accounting and Finance Studies Journal, 13</w:t>
      </w:r>
      <w:r>
        <w:rPr>
          <w:rFonts w:ascii="Times New Roman" w:eastAsia="Times New Roman" w:hAnsi="Times New Roman" w:cs="Times New Roman"/>
          <w:sz w:val="24"/>
          <w:szCs w:val="24"/>
        </w:rPr>
        <w:t>(1), 13-28.</w:t>
      </w:r>
    </w:p>
    <w:p w14:paraId="7840AA21"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Weir, C., &amp; Laing, D. (2000). The performance-governance relationship: The effects of Cadbury compliance on UK quoted companies. </w:t>
      </w:r>
      <w:r>
        <w:rPr>
          <w:rFonts w:ascii="Times New Roman" w:eastAsia="Times New Roman" w:hAnsi="Times New Roman" w:cs="Times New Roman"/>
          <w:i/>
          <w:sz w:val="24"/>
          <w:szCs w:val="24"/>
        </w:rPr>
        <w:t>Journal of Management and Governance, 4</w:t>
      </w:r>
      <w:r>
        <w:rPr>
          <w:rFonts w:ascii="Times New Roman" w:eastAsia="Times New Roman" w:hAnsi="Times New Roman" w:cs="Times New Roman"/>
          <w:sz w:val="24"/>
          <w:szCs w:val="24"/>
        </w:rPr>
        <w:t>(4), 265-281.</w:t>
      </w:r>
    </w:p>
    <w:p w14:paraId="63CBB41D"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Zheng, X., &amp; Cullinan, C. (2010). Compensation/audit committee overlap and the design of compensation systems. </w:t>
      </w:r>
      <w:r>
        <w:rPr>
          <w:rFonts w:ascii="Times New Roman" w:eastAsia="Times New Roman" w:hAnsi="Times New Roman" w:cs="Times New Roman"/>
          <w:i/>
          <w:sz w:val="24"/>
          <w:szCs w:val="24"/>
        </w:rPr>
        <w:t>International Journal of Disclosure and Governance, 7</w:t>
      </w:r>
      <w:r>
        <w:rPr>
          <w:rFonts w:ascii="Times New Roman" w:eastAsia="Times New Roman" w:hAnsi="Times New Roman" w:cs="Times New Roman"/>
          <w:sz w:val="24"/>
          <w:szCs w:val="24"/>
        </w:rPr>
        <w:t>(2), 136-152.</w:t>
      </w:r>
    </w:p>
    <w:p w14:paraId="18C9ADC1" w14:textId="77777777" w:rsidR="007373F6" w:rsidRDefault="00000000" w:rsidP="002148A8">
      <w:pPr>
        <w:spacing w:after="0" w:line="240" w:lineRule="auto"/>
        <w:ind w:left="720" w:hanging="720"/>
        <w:jc w:val="both"/>
        <w:rPr>
          <w:rFonts w:ascii="Times New Roman" w:eastAsia="Times New Roman" w:hAnsi="Times New Roman" w:cs="Times New Roman"/>
          <w:sz w:val="24"/>
          <w:szCs w:val="24"/>
        </w:rPr>
        <w:sectPr w:rsidR="007373F6">
          <w:pgSz w:w="11906" w:h="16838"/>
          <w:pgMar w:top="1440" w:right="1440" w:bottom="1440" w:left="1440" w:header="708" w:footer="708" w:gutter="0"/>
          <w:cols w:space="720"/>
        </w:sectPr>
      </w:pPr>
      <w:r>
        <w:rPr>
          <w:rFonts w:ascii="Times New Roman" w:eastAsia="Times New Roman" w:hAnsi="Times New Roman" w:cs="Times New Roman"/>
          <w:sz w:val="24"/>
          <w:szCs w:val="24"/>
        </w:rPr>
        <w:t xml:space="preserve">Zhou, W., Georgakopoulos, G., Sotiropoulos, I., &amp; Vasileiou, K. Z. (2011). The impact of executive payment on firm performance of financial enterprises in China. </w:t>
      </w:r>
      <w:r>
        <w:rPr>
          <w:rFonts w:ascii="Times New Roman" w:eastAsia="Times New Roman" w:hAnsi="Times New Roman" w:cs="Times New Roman"/>
          <w:i/>
          <w:sz w:val="24"/>
          <w:szCs w:val="24"/>
        </w:rPr>
        <w:t>Asian Social Sciences, 7</w:t>
      </w:r>
      <w:r>
        <w:rPr>
          <w:rFonts w:ascii="Times New Roman" w:eastAsia="Times New Roman" w:hAnsi="Times New Roman" w:cs="Times New Roman"/>
          <w:sz w:val="24"/>
          <w:szCs w:val="24"/>
        </w:rPr>
        <w:t>(8), 65-80. Retrieved from http://www.ccsenet.com</w:t>
      </w:r>
    </w:p>
    <w:p w14:paraId="0C1B8A33" w14:textId="77777777" w:rsidR="007373F6" w:rsidRDefault="00000000">
      <w:pPr>
        <w:pStyle w:val="Heading1"/>
      </w:pPr>
      <w:bookmarkStart w:id="114" w:name="_Toc211808170"/>
      <w:r>
        <w:lastRenderedPageBreak/>
        <w:t>Paper ID 76</w:t>
      </w:r>
      <w:bookmarkEnd w:id="114"/>
    </w:p>
    <w:p w14:paraId="17918C23" w14:textId="77777777" w:rsidR="007373F6" w:rsidRDefault="00000000">
      <w:pPr>
        <w:pStyle w:val="Heading2"/>
        <w:spacing w:after="0" w:line="240" w:lineRule="auto"/>
      </w:pPr>
      <w:bookmarkStart w:id="115" w:name="_Toc211808171"/>
      <w:r>
        <w:t>THE EFFECT OF TAX PLANNING ON FINANCIAL PERFORMANCE IN VIETNAMESE CONSTRUCTION AND REAL ESTATE FIRMS</w:t>
      </w:r>
      <w:bookmarkEnd w:id="115"/>
    </w:p>
    <w:p w14:paraId="45B9EABD" w14:textId="77777777" w:rsidR="007373F6" w:rsidRDefault="007373F6">
      <w:pPr>
        <w:spacing w:after="0" w:line="240" w:lineRule="auto"/>
        <w:jc w:val="center"/>
        <w:rPr>
          <w:rFonts w:ascii="Times New Roman" w:eastAsia="Times New Roman" w:hAnsi="Times New Roman" w:cs="Times New Roman"/>
          <w:b/>
          <w:sz w:val="26"/>
          <w:szCs w:val="26"/>
        </w:rPr>
      </w:pPr>
    </w:p>
    <w:p w14:paraId="086F2E34" w14:textId="77777777" w:rsidR="007373F6" w:rsidRDefault="00000000">
      <w:pPr>
        <w:shd w:val="clear" w:color="auto" w:fill="FFFFFF"/>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Vu Thi Thanh Binh*</w:t>
      </w:r>
      <w:r>
        <w:rPr>
          <w:rFonts w:ascii="Times New Roman" w:eastAsia="Times New Roman" w:hAnsi="Times New Roman" w:cs="Times New Roman"/>
          <w:color w:val="222222"/>
          <w:sz w:val="24"/>
          <w:szCs w:val="24"/>
        </w:rPr>
        <w:t>, VNU University of Economics and Business, Hanoi, Vietnam (vttbinh@vnu.edu.vn)</w:t>
      </w:r>
    </w:p>
    <w:p w14:paraId="2C4C36B1" w14:textId="77777777" w:rsidR="007373F6" w:rsidRDefault="00000000">
      <w:pPr>
        <w:shd w:val="clear" w:color="auto" w:fill="FFFFFF"/>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Nghiem Thu Huyen</w:t>
      </w:r>
      <w:r>
        <w:rPr>
          <w:rFonts w:ascii="Times New Roman" w:eastAsia="Times New Roman" w:hAnsi="Times New Roman" w:cs="Times New Roman"/>
          <w:color w:val="222222"/>
          <w:sz w:val="24"/>
          <w:szCs w:val="24"/>
        </w:rPr>
        <w:t>, VNU University of Economics and Business, Hanoi, Vietnam (ngh.thuhuyen@gmail.com)</w:t>
      </w:r>
    </w:p>
    <w:p w14:paraId="02DAE7D1" w14:textId="77777777" w:rsidR="007373F6" w:rsidRDefault="00000000">
      <w:pPr>
        <w:shd w:val="clear" w:color="auto" w:fill="FFFFFF"/>
        <w:jc w:val="center"/>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Nguyen Thuy Linh</w:t>
      </w:r>
      <w:r>
        <w:rPr>
          <w:rFonts w:ascii="Times New Roman" w:eastAsia="Times New Roman" w:hAnsi="Times New Roman" w:cs="Times New Roman"/>
          <w:color w:val="222222"/>
          <w:sz w:val="24"/>
          <w:szCs w:val="24"/>
        </w:rPr>
        <w:t>, VNU University of Economics and Business, Hanoi, Vietnam (linhnguyenthuy6886@gmail.com)</w:t>
      </w:r>
    </w:p>
    <w:p w14:paraId="22FBE34B" w14:textId="77777777" w:rsidR="007373F6" w:rsidRDefault="00000000">
      <w:pPr>
        <w:spacing w:after="0" w:line="240" w:lineRule="auto"/>
        <w:jc w:val="center"/>
        <w:rPr>
          <w:sz w:val="24"/>
          <w:szCs w:val="24"/>
        </w:rPr>
      </w:pPr>
      <w:r>
        <w:rPr>
          <w:rFonts w:ascii="Times New Roman" w:eastAsia="Times New Roman" w:hAnsi="Times New Roman" w:cs="Times New Roman"/>
          <w:b/>
          <w:sz w:val="24"/>
          <w:szCs w:val="24"/>
        </w:rPr>
        <w:t>Le Mai Anh</w:t>
      </w:r>
      <w:r>
        <w:rPr>
          <w:rFonts w:ascii="Times New Roman" w:eastAsia="Times New Roman" w:hAnsi="Times New Roman" w:cs="Times New Roman"/>
          <w:color w:val="222222"/>
          <w:sz w:val="24"/>
          <w:szCs w:val="24"/>
        </w:rPr>
        <w:t>, VNU University of Economics and Business, Hanoi, Vietnam (anhmaile812@gmail.com)</w:t>
      </w:r>
    </w:p>
    <w:p w14:paraId="344B67BA" w14:textId="77777777" w:rsidR="007373F6" w:rsidRDefault="007373F6">
      <w:pPr>
        <w:jc w:val="center"/>
      </w:pPr>
    </w:p>
    <w:p w14:paraId="4BD70CE2" w14:textId="77777777" w:rsidR="007373F6"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ABSTRACT</w:t>
      </w:r>
    </w:p>
    <w:p w14:paraId="14160A6D" w14:textId="77777777" w:rsidR="007373F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study aims to investigate the impact of tax planning on the financial performance of listed companies in Vietnam’s construction and real estate industry. Using panel data analysis with a balanced dataset of 780 firm-year observations from 2019 to 2023, the study examines two proxies for tax planning, namely the effective tax rate and the tax-to-asset ratio and their relationship with return on equity, while controlling for firm size, leverage, operating risk, and firm age. The regression results indicate that effective tax rate and tax-to-asset ratio have no statistically significant effect on return on equity, suggesting that tax planning does not play a decisive role in shaping firm profitability within the sample period. These findings highlight that the potential benefits of tax planning may be offset by weak governance structures, agency conflicts, and the risks associated with aggressive tax strategies, which are common challenges in transition economies. The study underscores the importance for managers and policymakers to strengthen corporate governance mechanisms, ensure greater transparency, and align tax planning with long-term value creation goals rather than focusing solely on tax minimization. By providing empirical evidence, this research contributes to the literature on corporate tax management and offers practical implications for firms.</w:t>
      </w:r>
    </w:p>
    <w:p w14:paraId="2C9AC6A6" w14:textId="77777777" w:rsidR="007373F6" w:rsidRDefault="007373F6">
      <w:pPr>
        <w:spacing w:after="0" w:line="240" w:lineRule="auto"/>
        <w:jc w:val="both"/>
        <w:rPr>
          <w:rFonts w:ascii="Times New Roman" w:eastAsia="Times New Roman" w:hAnsi="Times New Roman" w:cs="Times New Roman"/>
          <w:sz w:val="24"/>
          <w:szCs w:val="24"/>
        </w:rPr>
      </w:pPr>
    </w:p>
    <w:p w14:paraId="48C399FB" w14:textId="77777777" w:rsidR="007373F6" w:rsidRDefault="00000000">
      <w:pPr>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b/>
          <w:i/>
          <w:sz w:val="24"/>
          <w:szCs w:val="24"/>
        </w:rPr>
        <w:t>Keywords: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Effective Tax Rate, Financial Performance, Tax Planning, Emerging Economy, Vietnam</w:t>
      </w:r>
    </w:p>
    <w:p w14:paraId="12F71D8F" w14:textId="77777777" w:rsidR="007373F6" w:rsidRDefault="007373F6" w:rsidP="00B10BC9"/>
    <w:p w14:paraId="2D35B597" w14:textId="77777777" w:rsidR="007373F6" w:rsidRDefault="00000000">
      <w:pPr>
        <w:spacing w:after="200" w:line="240" w:lineRule="auto"/>
        <w:ind w:right="-36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 INTRODUCTION</w:t>
      </w:r>
    </w:p>
    <w:p w14:paraId="00843601" w14:textId="77777777" w:rsidR="007373F6" w:rsidRDefault="00000000" w:rsidP="00EC0CF4">
      <w:pPr>
        <w:spacing w:after="0" w:line="240" w:lineRule="auto"/>
        <w:ind w:right="-3"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Financial performance is a key indicator of efficiency, profitability, and long-term sustainability, particularly in emerging economies where regulatory frameworks and governance systems remain underdeveloped (</w:t>
      </w:r>
      <w:proofErr w:type="spellStart"/>
      <w:r>
        <w:rPr>
          <w:rFonts w:ascii="Times New Roman" w:eastAsia="Times New Roman" w:hAnsi="Times New Roman" w:cs="Times New Roman"/>
          <w:sz w:val="24"/>
          <w:szCs w:val="24"/>
        </w:rPr>
        <w:t>Kawor</w:t>
      </w:r>
      <w:proofErr w:type="spellEnd"/>
      <w:r>
        <w:rPr>
          <w:rFonts w:ascii="Times New Roman" w:eastAsia="Times New Roman" w:hAnsi="Times New Roman" w:cs="Times New Roman"/>
          <w:sz w:val="24"/>
          <w:szCs w:val="24"/>
        </w:rPr>
        <w:t xml:space="preserve"> &amp; </w:t>
      </w:r>
      <w:proofErr w:type="spellStart"/>
      <w:r>
        <w:rPr>
          <w:rFonts w:ascii="Times New Roman" w:eastAsia="Times New Roman" w:hAnsi="Times New Roman" w:cs="Times New Roman"/>
          <w:sz w:val="24"/>
          <w:szCs w:val="24"/>
        </w:rPr>
        <w:t>Kportorgbi</w:t>
      </w:r>
      <w:proofErr w:type="spellEnd"/>
      <w:r>
        <w:rPr>
          <w:rFonts w:ascii="Times New Roman" w:eastAsia="Times New Roman" w:hAnsi="Times New Roman" w:cs="Times New Roman"/>
          <w:sz w:val="24"/>
          <w:szCs w:val="24"/>
        </w:rPr>
        <w:t xml:space="preserve">, 2014). In capital-intensive sectors such as construction and real estate, stable profitability and efficient capital allocation are essential to manage cyclical fluctuations and finance large-scale projects (Nguyen &amp; Bui, 2025). Within this context, tax planning as the strategic, legal structuring of activities to minimize tax liabilities has been recognized as an important tool for improving after-tax income, strengthening cash flows, and sustaining competitiveness (Chen, Chen, Cheng, &amp; Shevlin, 2010). However, evidence on the tax planning and performance nexus remains mixed. Most research has focused on advanced economies with stronger institutions, while firms in transition markets like Vietnam face more volatile tax regimes and agency problems that may </w:t>
      </w:r>
      <w:r>
        <w:rPr>
          <w:rFonts w:ascii="Times New Roman" w:eastAsia="Times New Roman" w:hAnsi="Times New Roman" w:cs="Times New Roman"/>
          <w:sz w:val="24"/>
          <w:szCs w:val="24"/>
        </w:rPr>
        <w:lastRenderedPageBreak/>
        <w:t>reshape outcomes (Binh &amp; Hue, 2023). Moreover, inconsistencies in measurement, whether through effective tax rates, book-tax differences, or other proxies, contribute to contradictory findings (Dao &amp; Ta, 2020). These gaps highlight the need for more context-specific studies in emerging markets.</w:t>
      </w:r>
    </w:p>
    <w:p w14:paraId="6B18772A" w14:textId="77777777" w:rsidR="007373F6" w:rsidRDefault="00000000" w:rsidP="00EC0CF4">
      <w:pPr>
        <w:spacing w:after="0" w:line="240" w:lineRule="auto"/>
        <w:ind w:right="-3" w:firstLine="426"/>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This study tests the effect of tax planning on financial performance of the construction and real estate sector in Vietnam, using panel data from 2019 to 2023. Focusing on an emerging market, the paper contributes to the literature and </w:t>
      </w:r>
      <w:proofErr w:type="spellStart"/>
      <w:r>
        <w:rPr>
          <w:rFonts w:ascii="Times New Roman" w:eastAsia="Times New Roman" w:hAnsi="Times New Roman" w:cs="Times New Roman"/>
          <w:sz w:val="24"/>
          <w:szCs w:val="24"/>
        </w:rPr>
        <w:t>privides</w:t>
      </w:r>
      <w:proofErr w:type="spellEnd"/>
      <w:r>
        <w:rPr>
          <w:rFonts w:ascii="Times New Roman" w:eastAsia="Times New Roman" w:hAnsi="Times New Roman" w:cs="Times New Roman"/>
          <w:sz w:val="24"/>
          <w:szCs w:val="24"/>
        </w:rPr>
        <w:t xml:space="preserve"> practical implications for stakeholder to enhance firms performance. The paper outline includes introduction, literature review, methodology, results and discussion, and conclusion sections.</w:t>
      </w:r>
    </w:p>
    <w:p w14:paraId="24A065F2" w14:textId="77777777" w:rsidR="007373F6" w:rsidRDefault="007373F6" w:rsidP="00EC0CF4">
      <w:pPr>
        <w:spacing w:after="0" w:line="240" w:lineRule="auto"/>
        <w:ind w:right="-3" w:firstLine="426"/>
        <w:jc w:val="both"/>
        <w:rPr>
          <w:rFonts w:ascii="Times New Roman" w:eastAsia="Times New Roman" w:hAnsi="Times New Roman" w:cs="Times New Roman"/>
          <w:sz w:val="24"/>
          <w:szCs w:val="24"/>
        </w:rPr>
      </w:pPr>
    </w:p>
    <w:p w14:paraId="3873B248" w14:textId="77777777" w:rsidR="007373F6" w:rsidRDefault="00000000" w:rsidP="00EC0CF4">
      <w:pPr>
        <w:spacing w:after="200" w:line="240" w:lineRule="auto"/>
        <w:ind w:right="-3" w:firstLine="426"/>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 LITERATURE REVIEW</w:t>
      </w:r>
    </w:p>
    <w:p w14:paraId="498B44EE" w14:textId="000BA12C" w:rsidR="007373F6" w:rsidRDefault="002148A8" w:rsidP="00EC0CF4">
      <w:pPr>
        <w:spacing w:after="0" w:line="240" w:lineRule="auto"/>
        <w:ind w:right="-3"/>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2.1 Financial Performance</w:t>
      </w:r>
    </w:p>
    <w:p w14:paraId="7EE030F4" w14:textId="77777777" w:rsidR="007373F6" w:rsidRDefault="00000000" w:rsidP="00EC0CF4">
      <w:pPr>
        <w:spacing w:after="0" w:line="240" w:lineRule="auto"/>
        <w:ind w:right="-3" w:firstLine="426"/>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Financial performance reflects how effectively firms achieve financial objectives by utilizing resources. In transitional economies, it is both a measure of profitability and an indicator of managerial efficiency and resilience, with scholars distinguishing between accounting- and market-based perspectives that together capture firm health and prospects (Delen, Kuzey, &amp; Uyar, 2013).</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Various indicators have been developed to quantify financial performance. ROE is widely used to assess the capacity to generate incomes for shareholders.</w:t>
      </w:r>
    </w:p>
    <w:p w14:paraId="79C30051" w14:textId="77777777" w:rsidR="007373F6" w:rsidRDefault="007373F6" w:rsidP="00EC0CF4">
      <w:pPr>
        <w:spacing w:after="0" w:line="240" w:lineRule="auto"/>
        <w:ind w:right="-3" w:firstLine="426"/>
        <w:jc w:val="both"/>
        <w:rPr>
          <w:rFonts w:ascii="Times New Roman" w:eastAsia="Times New Roman" w:hAnsi="Times New Roman" w:cs="Times New Roman"/>
          <w:b/>
          <w:sz w:val="24"/>
          <w:szCs w:val="24"/>
        </w:rPr>
      </w:pPr>
    </w:p>
    <w:p w14:paraId="48F0110C" w14:textId="3A7062C1" w:rsidR="007373F6" w:rsidRDefault="002148A8" w:rsidP="00EC0CF4">
      <w:pPr>
        <w:spacing w:after="0" w:line="240" w:lineRule="auto"/>
        <w:ind w:right="-3"/>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2.2 Tax Planning</w:t>
      </w:r>
    </w:p>
    <w:p w14:paraId="3CCAC94F" w14:textId="77777777" w:rsidR="007373F6" w:rsidRDefault="00000000" w:rsidP="00EC0CF4">
      <w:pPr>
        <w:spacing w:after="0" w:line="240" w:lineRule="auto"/>
        <w:ind w:right="-3" w:firstLine="426"/>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Tax planning is the lawful organization of a firm’s financial and operational activities to minimize tax obligations, often by leveraging available incentives and timing opportunities (</w:t>
      </w:r>
      <w:proofErr w:type="spellStart"/>
      <w:r>
        <w:rPr>
          <w:rFonts w:ascii="Times New Roman" w:eastAsia="Times New Roman" w:hAnsi="Times New Roman" w:cs="Times New Roman"/>
          <w:sz w:val="24"/>
          <w:szCs w:val="24"/>
        </w:rPr>
        <w:t>Thanjunpong</w:t>
      </w:r>
      <w:proofErr w:type="spellEnd"/>
      <w:r>
        <w:rPr>
          <w:rFonts w:ascii="Times New Roman" w:eastAsia="Times New Roman" w:hAnsi="Times New Roman" w:cs="Times New Roman"/>
          <w:sz w:val="24"/>
          <w:szCs w:val="24"/>
        </w:rPr>
        <w:t xml:space="preserve"> &amp; </w:t>
      </w:r>
      <w:proofErr w:type="spellStart"/>
      <w:r>
        <w:rPr>
          <w:rFonts w:ascii="Times New Roman" w:eastAsia="Times New Roman" w:hAnsi="Times New Roman" w:cs="Times New Roman"/>
          <w:sz w:val="24"/>
          <w:szCs w:val="24"/>
        </w:rPr>
        <w:t>Awirothananon</w:t>
      </w:r>
      <w:proofErr w:type="spellEnd"/>
      <w:r>
        <w:rPr>
          <w:rFonts w:ascii="Times New Roman" w:eastAsia="Times New Roman" w:hAnsi="Times New Roman" w:cs="Times New Roman"/>
          <w:sz w:val="24"/>
          <w:szCs w:val="24"/>
        </w:rPr>
        <w:t>, 2019). Unlike tax evasion or overly aggressive avoidance, it signals managerial capability to optimize resources while remaining compliant. In transitional economies, effective tax planning also demonstrates a firm’s adaptability to evolving fiscal and regulatory environments (Rahman, 2023)</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The role of tax planning is to improve the profitability by minimizing tax burdens.</w:t>
      </w:r>
    </w:p>
    <w:p w14:paraId="4A99AE45" w14:textId="77777777" w:rsidR="007373F6" w:rsidRDefault="00000000" w:rsidP="00EC0CF4">
      <w:pPr>
        <w:spacing w:after="0" w:line="240" w:lineRule="auto"/>
        <w:ind w:right="-3" w:firstLine="426"/>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Agency theory explains the link between tax planning and financial performance by highlighting potential conflicts between managers and shareholders, where tax planning can mitigate agency costs and enhance after-tax income (Jensen &amp; Meckling, 1976). In multinational and transitional economies, tax planning often involves strategies such as profit shifting and tax optimization, which can improve resource allocation but may also increase risk if pursued aggressively (Hanlon &amp; Heitzman, 2010). Prior studies show mixed evidence, partly due to different measures of tax planning, such as effective tax rates or book-tax differences, and varying institutional contexts. These inconsistencies underscore the need for context-specific research, particularly in emerging economies like Vietnam, to clarify how tax planning influences financial performance (Anh &amp; Hoa, 2021; Le, Vu, &amp; Nguyen, 2022; Pratama &amp; Muhammad, 2025).</w:t>
      </w:r>
    </w:p>
    <w:p w14:paraId="04BF6D5A" w14:textId="77777777" w:rsidR="007373F6" w:rsidRPr="002148A8" w:rsidRDefault="00000000" w:rsidP="00EC0CF4">
      <w:pPr>
        <w:spacing w:after="0" w:line="240" w:lineRule="auto"/>
        <w:ind w:right="-3" w:firstLine="426"/>
        <w:jc w:val="both"/>
        <w:rPr>
          <w:rFonts w:ascii="Times New Roman" w:eastAsia="Times New Roman" w:hAnsi="Times New Roman" w:cs="Times New Roman"/>
          <w:iCs/>
          <w:sz w:val="24"/>
          <w:szCs w:val="24"/>
        </w:rPr>
      </w:pPr>
      <w:r w:rsidRPr="002148A8">
        <w:rPr>
          <w:rFonts w:ascii="Times New Roman" w:eastAsia="Times New Roman" w:hAnsi="Times New Roman" w:cs="Times New Roman"/>
          <w:b/>
          <w:bCs/>
          <w:iCs/>
          <w:sz w:val="24"/>
          <w:szCs w:val="24"/>
        </w:rPr>
        <w:t>Hypothesis</w:t>
      </w:r>
      <w:r w:rsidRPr="002148A8">
        <w:rPr>
          <w:rFonts w:ascii="Times New Roman" w:eastAsia="Times New Roman" w:hAnsi="Times New Roman" w:cs="Times New Roman"/>
          <w:iCs/>
          <w:sz w:val="24"/>
          <w:szCs w:val="24"/>
        </w:rPr>
        <w:t>: There is a positive correlation between tax planning and financial performance in the construction and real estate sectors.</w:t>
      </w:r>
    </w:p>
    <w:p w14:paraId="432A6F92" w14:textId="1107135D" w:rsidR="007373F6" w:rsidRDefault="00000000" w:rsidP="00EC0CF4">
      <w:pPr>
        <w:spacing w:after="0" w:line="240" w:lineRule="auto"/>
        <w:ind w:right="-3" w:firstLine="426"/>
        <w:rPr>
          <w:rFonts w:ascii="Times New Roman" w:eastAsia="Times New Roman" w:hAnsi="Times New Roman" w:cs="Times New Roman"/>
          <w:b/>
          <w:sz w:val="24"/>
          <w:szCs w:val="24"/>
        </w:rPr>
      </w:pPr>
      <w:r>
        <w:rPr>
          <w:rFonts w:ascii="Times New Roman" w:eastAsia="Times New Roman" w:hAnsi="Times New Roman" w:cs="Times New Roman"/>
          <w:b/>
          <w:sz w:val="24"/>
          <w:szCs w:val="24"/>
        </w:rPr>
        <w:t>Control variables:</w:t>
      </w:r>
      <w:r w:rsidR="002A608A">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The control variables includes firm size, firm age, financial leverage </w:t>
      </w:r>
      <w:r w:rsidR="002A608A">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nd operating leverage. </w:t>
      </w:r>
    </w:p>
    <w:p w14:paraId="4E0703D6" w14:textId="77777777" w:rsidR="007373F6" w:rsidRDefault="007373F6" w:rsidP="002148A8">
      <w:pPr>
        <w:spacing w:after="0" w:line="240" w:lineRule="auto"/>
        <w:ind w:right="-360" w:firstLine="426"/>
        <w:jc w:val="both"/>
        <w:rPr>
          <w:rFonts w:ascii="Times New Roman" w:eastAsia="Times New Roman" w:hAnsi="Times New Roman" w:cs="Times New Roman"/>
          <w:sz w:val="24"/>
          <w:szCs w:val="24"/>
        </w:rPr>
      </w:pPr>
    </w:p>
    <w:p w14:paraId="7E2B13BC" w14:textId="77777777" w:rsidR="007373F6" w:rsidRDefault="00000000" w:rsidP="002148A8">
      <w:pPr>
        <w:spacing w:after="200" w:line="240" w:lineRule="auto"/>
        <w:ind w:right="-360" w:firstLine="426"/>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3. METHODOLOGY</w:t>
      </w:r>
    </w:p>
    <w:p w14:paraId="55A1222F" w14:textId="77777777" w:rsidR="007373F6" w:rsidRDefault="00000000" w:rsidP="002148A8">
      <w:pPr>
        <w:spacing w:after="0" w:line="240" w:lineRule="auto"/>
        <w:ind w:right="-36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measures of the dependent variable and its predictors are depicted in Table 1.</w:t>
      </w:r>
    </w:p>
    <w:p w14:paraId="2B296DEC" w14:textId="77777777" w:rsidR="002A608A" w:rsidRDefault="002A608A" w:rsidP="002148A8">
      <w:pPr>
        <w:spacing w:after="0" w:line="240" w:lineRule="auto"/>
        <w:ind w:right="-360" w:firstLine="426"/>
        <w:jc w:val="both"/>
        <w:rPr>
          <w:rFonts w:ascii="Times New Roman" w:eastAsia="Times New Roman" w:hAnsi="Times New Roman" w:cs="Times New Roman"/>
          <w:sz w:val="24"/>
          <w:szCs w:val="24"/>
        </w:rPr>
      </w:pPr>
    </w:p>
    <w:p w14:paraId="21A94DE7" w14:textId="77777777" w:rsidR="007373F6" w:rsidRDefault="00000000" w:rsidP="002A608A">
      <w:pPr>
        <w:spacing w:after="0" w:line="240" w:lineRule="auto"/>
        <w:ind w:right="-360"/>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Table 1.</w:t>
      </w:r>
      <w:r>
        <w:rPr>
          <w:rFonts w:ascii="Times New Roman" w:eastAsia="Times New Roman" w:hAnsi="Times New Roman" w:cs="Times New Roman"/>
          <w:sz w:val="24"/>
          <w:szCs w:val="24"/>
        </w:rPr>
        <w:t xml:space="preserve"> Variable measurement</w:t>
      </w:r>
    </w:p>
    <w:tbl>
      <w:tblPr>
        <w:tblStyle w:val="afffff7"/>
        <w:tblW w:w="8820"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3690"/>
        <w:gridCol w:w="900"/>
        <w:gridCol w:w="4230"/>
      </w:tblGrid>
      <w:tr w:rsidR="007373F6" w14:paraId="23BBF369" w14:textId="77777777" w:rsidTr="002A608A">
        <w:trPr>
          <w:tblHeader/>
        </w:trPr>
        <w:tc>
          <w:tcPr>
            <w:tcW w:w="3690" w:type="dxa"/>
            <w:tcBorders>
              <w:top w:val="single" w:sz="4" w:space="0" w:color="000000"/>
              <w:bottom w:val="single" w:sz="4" w:space="0" w:color="000000"/>
            </w:tcBorders>
            <w:vAlign w:val="center"/>
          </w:tcPr>
          <w:p w14:paraId="771E4ED0" w14:textId="6B38BDF7" w:rsidR="007373F6" w:rsidRDefault="00000000" w:rsidP="002A608A">
            <w:pPr>
              <w:spacing w:after="0"/>
              <w:ind w:right="-360"/>
              <w:jc w:val="center"/>
              <w:rPr>
                <w:rFonts w:ascii="Times New Roman" w:eastAsia="Times New Roman" w:hAnsi="Times New Roman" w:cs="Times New Roman"/>
                <w:b/>
              </w:rPr>
            </w:pPr>
            <w:r>
              <w:rPr>
                <w:rFonts w:ascii="Times New Roman" w:eastAsia="Times New Roman" w:hAnsi="Times New Roman" w:cs="Times New Roman"/>
                <w:b/>
              </w:rPr>
              <w:lastRenderedPageBreak/>
              <w:t>Variables</w:t>
            </w:r>
          </w:p>
        </w:tc>
        <w:tc>
          <w:tcPr>
            <w:tcW w:w="900" w:type="dxa"/>
            <w:tcBorders>
              <w:top w:val="single" w:sz="4" w:space="0" w:color="000000"/>
              <w:bottom w:val="single" w:sz="4" w:space="0" w:color="000000"/>
            </w:tcBorders>
            <w:vAlign w:val="center"/>
          </w:tcPr>
          <w:p w14:paraId="60C26EBB" w14:textId="77777777" w:rsidR="007373F6" w:rsidRDefault="007373F6" w:rsidP="002A608A">
            <w:pPr>
              <w:spacing w:after="0"/>
              <w:ind w:right="-360"/>
              <w:jc w:val="center"/>
              <w:rPr>
                <w:rFonts w:ascii="Times New Roman" w:eastAsia="Times New Roman" w:hAnsi="Times New Roman" w:cs="Times New Roman"/>
                <w:b/>
              </w:rPr>
            </w:pPr>
          </w:p>
        </w:tc>
        <w:tc>
          <w:tcPr>
            <w:tcW w:w="4230" w:type="dxa"/>
            <w:tcBorders>
              <w:top w:val="single" w:sz="4" w:space="0" w:color="000000"/>
              <w:bottom w:val="single" w:sz="4" w:space="0" w:color="000000"/>
            </w:tcBorders>
            <w:vAlign w:val="center"/>
          </w:tcPr>
          <w:p w14:paraId="1E1EEECD" w14:textId="77777777" w:rsidR="007373F6" w:rsidRDefault="00000000" w:rsidP="002A608A">
            <w:pPr>
              <w:spacing w:after="0"/>
              <w:ind w:right="-21"/>
              <w:jc w:val="center"/>
              <w:rPr>
                <w:rFonts w:ascii="Times New Roman" w:eastAsia="Times New Roman" w:hAnsi="Times New Roman" w:cs="Times New Roman"/>
                <w:b/>
              </w:rPr>
            </w:pPr>
            <w:r>
              <w:rPr>
                <w:rFonts w:ascii="Times New Roman" w:eastAsia="Times New Roman" w:hAnsi="Times New Roman" w:cs="Times New Roman"/>
                <w:b/>
              </w:rPr>
              <w:t>Measure</w:t>
            </w:r>
          </w:p>
        </w:tc>
      </w:tr>
      <w:tr w:rsidR="007373F6" w14:paraId="6CEA4FCD" w14:textId="77777777">
        <w:trPr>
          <w:trHeight w:val="350"/>
        </w:trPr>
        <w:tc>
          <w:tcPr>
            <w:tcW w:w="3690" w:type="dxa"/>
            <w:tcBorders>
              <w:top w:val="single" w:sz="4" w:space="0" w:color="000000"/>
              <w:bottom w:val="nil"/>
            </w:tcBorders>
            <w:vAlign w:val="center"/>
          </w:tcPr>
          <w:p w14:paraId="7C75BAD0" w14:textId="77777777" w:rsidR="007373F6"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Return on equity</w:t>
            </w:r>
          </w:p>
        </w:tc>
        <w:tc>
          <w:tcPr>
            <w:tcW w:w="900" w:type="dxa"/>
            <w:tcBorders>
              <w:top w:val="single" w:sz="4" w:space="0" w:color="000000"/>
              <w:bottom w:val="nil"/>
            </w:tcBorders>
            <w:vAlign w:val="center"/>
          </w:tcPr>
          <w:p w14:paraId="4B8CBC31" w14:textId="77777777" w:rsidR="007373F6"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ROE</w:t>
            </w:r>
          </w:p>
        </w:tc>
        <w:tc>
          <w:tcPr>
            <w:tcW w:w="4230" w:type="dxa"/>
            <w:tcBorders>
              <w:top w:val="single" w:sz="4" w:space="0" w:color="000000"/>
              <w:bottom w:val="nil"/>
            </w:tcBorders>
            <w:vAlign w:val="center"/>
          </w:tcPr>
          <w:p w14:paraId="711C7CBD" w14:textId="77777777" w:rsidR="007373F6"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Net profit/Equity</w:t>
            </w:r>
          </w:p>
        </w:tc>
      </w:tr>
      <w:tr w:rsidR="007373F6" w14:paraId="1A8F7D20" w14:textId="77777777">
        <w:tc>
          <w:tcPr>
            <w:tcW w:w="3690" w:type="dxa"/>
            <w:tcBorders>
              <w:top w:val="nil"/>
              <w:bottom w:val="nil"/>
            </w:tcBorders>
            <w:vAlign w:val="center"/>
          </w:tcPr>
          <w:p w14:paraId="74045019" w14:textId="77777777" w:rsidR="007373F6"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Effective tax rate</w:t>
            </w:r>
          </w:p>
        </w:tc>
        <w:tc>
          <w:tcPr>
            <w:tcW w:w="900" w:type="dxa"/>
            <w:tcBorders>
              <w:top w:val="nil"/>
              <w:bottom w:val="nil"/>
            </w:tcBorders>
            <w:vAlign w:val="center"/>
          </w:tcPr>
          <w:p w14:paraId="6481CD2F" w14:textId="77777777" w:rsidR="007373F6"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ETR</w:t>
            </w:r>
          </w:p>
        </w:tc>
        <w:tc>
          <w:tcPr>
            <w:tcW w:w="4230" w:type="dxa"/>
            <w:tcBorders>
              <w:top w:val="nil"/>
              <w:bottom w:val="nil"/>
            </w:tcBorders>
            <w:vAlign w:val="center"/>
          </w:tcPr>
          <w:p w14:paraId="62A978E3" w14:textId="77777777" w:rsidR="007373F6"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Corporate income tax expense/EBIT</w:t>
            </w:r>
          </w:p>
        </w:tc>
      </w:tr>
      <w:tr w:rsidR="007373F6" w14:paraId="23F9D4F5" w14:textId="77777777" w:rsidTr="002A608A">
        <w:tc>
          <w:tcPr>
            <w:tcW w:w="3690" w:type="dxa"/>
            <w:tcBorders>
              <w:top w:val="nil"/>
              <w:bottom w:val="single" w:sz="4" w:space="0" w:color="auto"/>
            </w:tcBorders>
            <w:vAlign w:val="center"/>
          </w:tcPr>
          <w:p w14:paraId="0DBFF43E" w14:textId="77777777" w:rsidR="007373F6"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Tax expenses to total assets ratio</w:t>
            </w:r>
          </w:p>
        </w:tc>
        <w:tc>
          <w:tcPr>
            <w:tcW w:w="900" w:type="dxa"/>
            <w:tcBorders>
              <w:top w:val="nil"/>
              <w:bottom w:val="single" w:sz="4" w:space="0" w:color="auto"/>
            </w:tcBorders>
            <w:vAlign w:val="center"/>
          </w:tcPr>
          <w:p w14:paraId="1809AA2B" w14:textId="77777777" w:rsidR="007373F6"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TAXA</w:t>
            </w:r>
          </w:p>
        </w:tc>
        <w:tc>
          <w:tcPr>
            <w:tcW w:w="4230" w:type="dxa"/>
            <w:tcBorders>
              <w:top w:val="nil"/>
              <w:bottom w:val="single" w:sz="4" w:space="0" w:color="auto"/>
            </w:tcBorders>
            <w:vAlign w:val="center"/>
          </w:tcPr>
          <w:p w14:paraId="45D1FD93" w14:textId="77777777" w:rsidR="007373F6" w:rsidRDefault="00000000">
            <w:pPr>
              <w:spacing w:after="0"/>
              <w:ind w:right="69"/>
              <w:jc w:val="both"/>
              <w:rPr>
                <w:rFonts w:ascii="Times New Roman" w:eastAsia="Times New Roman" w:hAnsi="Times New Roman" w:cs="Times New Roman"/>
              </w:rPr>
            </w:pPr>
            <w:r>
              <w:rPr>
                <w:rFonts w:ascii="Times New Roman" w:eastAsia="Times New Roman" w:hAnsi="Times New Roman" w:cs="Times New Roman"/>
              </w:rPr>
              <w:t>Corporate income tax expense/Total assets</w:t>
            </w:r>
          </w:p>
        </w:tc>
      </w:tr>
      <w:tr w:rsidR="007373F6" w14:paraId="6A39AB14" w14:textId="77777777" w:rsidTr="002A608A">
        <w:tc>
          <w:tcPr>
            <w:tcW w:w="3690" w:type="dxa"/>
            <w:tcBorders>
              <w:top w:val="single" w:sz="4" w:space="0" w:color="auto"/>
              <w:bottom w:val="nil"/>
            </w:tcBorders>
            <w:vAlign w:val="center"/>
          </w:tcPr>
          <w:p w14:paraId="426B8BB4" w14:textId="77777777" w:rsidR="007373F6"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Age of firm</w:t>
            </w:r>
          </w:p>
        </w:tc>
        <w:tc>
          <w:tcPr>
            <w:tcW w:w="900" w:type="dxa"/>
            <w:tcBorders>
              <w:top w:val="single" w:sz="4" w:space="0" w:color="auto"/>
              <w:bottom w:val="nil"/>
            </w:tcBorders>
            <w:vAlign w:val="center"/>
          </w:tcPr>
          <w:p w14:paraId="32DB43EB" w14:textId="77777777" w:rsidR="007373F6"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FAGE</w:t>
            </w:r>
          </w:p>
        </w:tc>
        <w:tc>
          <w:tcPr>
            <w:tcW w:w="4230" w:type="dxa"/>
            <w:tcBorders>
              <w:top w:val="single" w:sz="4" w:space="0" w:color="auto"/>
              <w:bottom w:val="nil"/>
            </w:tcBorders>
            <w:vAlign w:val="center"/>
          </w:tcPr>
          <w:p w14:paraId="20C96BCF" w14:textId="77777777" w:rsidR="007373F6"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Research year – Listed year</w:t>
            </w:r>
          </w:p>
        </w:tc>
      </w:tr>
      <w:tr w:rsidR="007373F6" w14:paraId="3E39A282" w14:textId="77777777">
        <w:tc>
          <w:tcPr>
            <w:tcW w:w="3690" w:type="dxa"/>
            <w:tcBorders>
              <w:top w:val="nil"/>
              <w:bottom w:val="nil"/>
            </w:tcBorders>
            <w:vAlign w:val="center"/>
          </w:tcPr>
          <w:p w14:paraId="41651806" w14:textId="77777777" w:rsidR="007373F6"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Size of firm</w:t>
            </w:r>
          </w:p>
        </w:tc>
        <w:tc>
          <w:tcPr>
            <w:tcW w:w="900" w:type="dxa"/>
            <w:tcBorders>
              <w:top w:val="nil"/>
              <w:bottom w:val="nil"/>
            </w:tcBorders>
            <w:vAlign w:val="center"/>
          </w:tcPr>
          <w:p w14:paraId="5E577E63" w14:textId="77777777" w:rsidR="007373F6"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FSIZE</w:t>
            </w:r>
          </w:p>
        </w:tc>
        <w:tc>
          <w:tcPr>
            <w:tcW w:w="4230" w:type="dxa"/>
            <w:tcBorders>
              <w:top w:val="nil"/>
              <w:bottom w:val="nil"/>
            </w:tcBorders>
            <w:vAlign w:val="center"/>
          </w:tcPr>
          <w:p w14:paraId="5D987E7E" w14:textId="77777777" w:rsidR="007373F6"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Ln(net revenue)</w:t>
            </w:r>
          </w:p>
        </w:tc>
      </w:tr>
      <w:tr w:rsidR="007373F6" w14:paraId="285E9DDD" w14:textId="77777777">
        <w:trPr>
          <w:trHeight w:val="324"/>
        </w:trPr>
        <w:tc>
          <w:tcPr>
            <w:tcW w:w="3690" w:type="dxa"/>
            <w:tcBorders>
              <w:top w:val="nil"/>
              <w:bottom w:val="nil"/>
            </w:tcBorders>
            <w:vAlign w:val="center"/>
          </w:tcPr>
          <w:p w14:paraId="441C1CEF" w14:textId="77777777" w:rsidR="007373F6"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Financial leverage</w:t>
            </w:r>
          </w:p>
        </w:tc>
        <w:tc>
          <w:tcPr>
            <w:tcW w:w="900" w:type="dxa"/>
            <w:tcBorders>
              <w:top w:val="nil"/>
              <w:bottom w:val="nil"/>
            </w:tcBorders>
            <w:vAlign w:val="center"/>
          </w:tcPr>
          <w:p w14:paraId="058ED026" w14:textId="77777777" w:rsidR="007373F6"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LEV</w:t>
            </w:r>
          </w:p>
        </w:tc>
        <w:tc>
          <w:tcPr>
            <w:tcW w:w="4230" w:type="dxa"/>
            <w:tcBorders>
              <w:top w:val="nil"/>
              <w:bottom w:val="nil"/>
            </w:tcBorders>
            <w:vAlign w:val="center"/>
          </w:tcPr>
          <w:p w14:paraId="52D3F4AE" w14:textId="77777777" w:rsidR="007373F6"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Total debts/Equity</w:t>
            </w:r>
          </w:p>
        </w:tc>
      </w:tr>
      <w:tr w:rsidR="007373F6" w14:paraId="6F74D17B" w14:textId="77777777">
        <w:tc>
          <w:tcPr>
            <w:tcW w:w="3690" w:type="dxa"/>
            <w:tcBorders>
              <w:top w:val="nil"/>
              <w:bottom w:val="single" w:sz="4" w:space="0" w:color="000000"/>
            </w:tcBorders>
            <w:vAlign w:val="center"/>
          </w:tcPr>
          <w:p w14:paraId="50DAFB47" w14:textId="77777777" w:rsidR="007373F6"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Operating leverage</w:t>
            </w:r>
          </w:p>
        </w:tc>
        <w:tc>
          <w:tcPr>
            <w:tcW w:w="900" w:type="dxa"/>
            <w:tcBorders>
              <w:top w:val="nil"/>
              <w:bottom w:val="single" w:sz="4" w:space="0" w:color="000000"/>
            </w:tcBorders>
            <w:vAlign w:val="center"/>
          </w:tcPr>
          <w:p w14:paraId="7BE6C462" w14:textId="77777777" w:rsidR="007373F6"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OLEV</w:t>
            </w:r>
          </w:p>
        </w:tc>
        <w:tc>
          <w:tcPr>
            <w:tcW w:w="4230" w:type="dxa"/>
            <w:tcBorders>
              <w:top w:val="nil"/>
              <w:bottom w:val="single" w:sz="4" w:space="0" w:color="000000"/>
            </w:tcBorders>
            <w:vAlign w:val="center"/>
          </w:tcPr>
          <w:p w14:paraId="5F08CB87" w14:textId="6F6AB1ED" w:rsidR="007373F6" w:rsidRDefault="00000000">
            <w:pPr>
              <w:spacing w:after="0"/>
              <w:ind w:left="-1221"/>
              <w:jc w:val="both"/>
              <w:rPr>
                <w:rFonts w:ascii="Times New Roman" w:eastAsia="Times New Roman" w:hAnsi="Times New Roman" w:cs="Times New Roman"/>
              </w:rPr>
            </w:pPr>
            <w:r>
              <w:rPr>
                <w:rFonts w:ascii="Times New Roman" w:eastAsia="Times New Roman" w:hAnsi="Times New Roman" w:cs="Times New Roman"/>
              </w:rPr>
              <w:t>Fixed assets/Total assets</w:t>
            </w:r>
          </w:p>
        </w:tc>
      </w:tr>
    </w:tbl>
    <w:p w14:paraId="6F955AE9" w14:textId="77777777" w:rsidR="007373F6" w:rsidRDefault="007373F6">
      <w:pPr>
        <w:spacing w:after="0" w:line="240" w:lineRule="auto"/>
        <w:ind w:right="-360"/>
        <w:jc w:val="both"/>
        <w:rPr>
          <w:rFonts w:ascii="Times New Roman" w:eastAsia="Times New Roman" w:hAnsi="Times New Roman" w:cs="Times New Roman"/>
          <w:sz w:val="24"/>
          <w:szCs w:val="24"/>
        </w:rPr>
      </w:pPr>
    </w:p>
    <w:p w14:paraId="4FCD86F8" w14:textId="77777777" w:rsidR="007373F6" w:rsidRDefault="00000000">
      <w:pPr>
        <w:spacing w:after="0" w:line="240" w:lineRule="auto"/>
        <w:ind w:right="-360" w:firstLine="54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Data collection and analysis</w:t>
      </w:r>
    </w:p>
    <w:p w14:paraId="1ABFA858" w14:textId="77777777" w:rsidR="007373F6" w:rsidRDefault="00000000" w:rsidP="00EC0CF4">
      <w:pPr>
        <w:spacing w:after="0" w:line="240" w:lineRule="auto"/>
        <w:ind w:right="39"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dataset included 780 observations of 156 listed construction and real estate companies on Vietnamese stock exchanges. The data was </w:t>
      </w:r>
      <w:proofErr w:type="spellStart"/>
      <w:r>
        <w:rPr>
          <w:rFonts w:ascii="Times New Roman" w:eastAsia="Times New Roman" w:hAnsi="Times New Roman" w:cs="Times New Roman"/>
          <w:sz w:val="24"/>
          <w:szCs w:val="24"/>
        </w:rPr>
        <w:t>analyzed</w:t>
      </w:r>
      <w:proofErr w:type="spellEnd"/>
      <w:r>
        <w:rPr>
          <w:rFonts w:ascii="Times New Roman" w:eastAsia="Times New Roman" w:hAnsi="Times New Roman" w:cs="Times New Roman"/>
          <w:sz w:val="24"/>
          <w:szCs w:val="24"/>
        </w:rPr>
        <w:t xml:space="preserve"> by STATA 17. This study used panel data analysis and employed Feasible Generalized Least Squares (FGLS) to estimate the research model.</w:t>
      </w:r>
    </w:p>
    <w:p w14:paraId="45AA000D" w14:textId="77777777" w:rsidR="007373F6" w:rsidRDefault="007373F6" w:rsidP="00EC0CF4">
      <w:pPr>
        <w:spacing w:after="0" w:line="240" w:lineRule="auto"/>
        <w:ind w:right="39"/>
        <w:jc w:val="both"/>
        <w:rPr>
          <w:rFonts w:ascii="Times New Roman" w:eastAsia="Times New Roman" w:hAnsi="Times New Roman" w:cs="Times New Roman"/>
          <w:sz w:val="24"/>
          <w:szCs w:val="24"/>
        </w:rPr>
      </w:pPr>
    </w:p>
    <w:p w14:paraId="25D0C286" w14:textId="77777777" w:rsidR="007373F6" w:rsidRDefault="00000000" w:rsidP="00EC0CF4">
      <w:pPr>
        <w:spacing w:after="200" w:line="240" w:lineRule="auto"/>
        <w:ind w:right="39"/>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4. RESULTS AND DISCUSSION</w:t>
      </w:r>
    </w:p>
    <w:p w14:paraId="54C35350" w14:textId="77777777" w:rsidR="007373F6" w:rsidRDefault="00000000" w:rsidP="00EC0CF4">
      <w:pPr>
        <w:spacing w:after="0" w:line="240" w:lineRule="auto"/>
        <w:ind w:right="39"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descriptive statistics indicate that ROE mean value  is 0.057921, the ETR mean is 0.20459. The mean of TAXA is 0.0065. Regarding control variable, the mean of firm size, firm age, financial leverage, and operating leverage are 26.31, 6.18, 2.38, and 0.13674, respectively. The results of correlation analysis between variables in the model reveal that the low correlation among variables.</w:t>
      </w:r>
    </w:p>
    <w:p w14:paraId="64600C96" w14:textId="2C98196D" w:rsidR="007373F6" w:rsidRDefault="00000000" w:rsidP="00EC0CF4">
      <w:pPr>
        <w:spacing w:after="0" w:line="240" w:lineRule="auto"/>
        <w:ind w:right="39"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study employed Pooled OLS, FEM, and REM to estimate the research model. The F-test and Hausman test to choose FEM as the final specification. The Wald test, </w:t>
      </w:r>
      <w:r>
        <w:rPr>
          <w:rFonts w:ascii="Times New Roman" w:eastAsia="Times New Roman" w:hAnsi="Times New Roman" w:cs="Times New Roman"/>
        </w:rPr>
        <w:t xml:space="preserve">Wooldridge test, and VIF results indicate that the existence of </w:t>
      </w:r>
      <w:r>
        <w:rPr>
          <w:rFonts w:ascii="Times New Roman" w:eastAsia="Times New Roman" w:hAnsi="Times New Roman" w:cs="Times New Roman"/>
          <w:sz w:val="24"/>
          <w:szCs w:val="24"/>
        </w:rPr>
        <w:t xml:space="preserve">heteroskedasticity and neither </w:t>
      </w:r>
      <w:r>
        <w:rPr>
          <w:rFonts w:ascii="Times New Roman" w:eastAsia="Times New Roman" w:hAnsi="Times New Roman" w:cs="Times New Roman"/>
        </w:rPr>
        <w:t>a</w:t>
      </w:r>
      <w:r>
        <w:rPr>
          <w:rFonts w:ascii="Times New Roman" w:eastAsia="Times New Roman" w:hAnsi="Times New Roman" w:cs="Times New Roman"/>
          <w:sz w:val="24"/>
          <w:szCs w:val="24"/>
        </w:rPr>
        <w:t>utocorrelation nor multicollinearity</w:t>
      </w:r>
    </w:p>
    <w:p w14:paraId="53CFBF3E" w14:textId="77777777" w:rsidR="007373F6" w:rsidRDefault="00000000" w:rsidP="00EC0CF4">
      <w:pPr>
        <w:spacing w:after="0" w:line="240" w:lineRule="auto"/>
        <w:ind w:right="39"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address the heteroskedasticity in the FEM estimation, the research employs the FGLS estimation model. The FGLS regression results show that among the variables included in the model, several variables exhibit statistically significant effects on the dependent variable, including FSIZE, FAGE, OLEV, LEV. The results indicate that neither of the two tax planning proxies has a statistically significant effect on firms’ financial performance. This result implies that, within the sample period and model specification, there is no robust evidence that tax planning activities, whether measured through ETR or tax burden relative to total assets, systematically shape ROE in construction and real estate sector in Vietnam. </w:t>
      </w:r>
    </w:p>
    <w:p w14:paraId="63E884D0" w14:textId="77777777" w:rsidR="007373F6" w:rsidRDefault="00000000" w:rsidP="00EC0CF4">
      <w:pPr>
        <w:spacing w:after="0" w:line="240" w:lineRule="auto"/>
        <w:ind w:right="39"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Overall, the results suggest that there is no conclusive empirical evidence to support the notion that tax planning alone can significantly improve financial performance in the Vietnamese construction and real estate sector. </w:t>
      </w:r>
    </w:p>
    <w:p w14:paraId="6A3C10DA" w14:textId="77777777" w:rsidR="007373F6" w:rsidRDefault="007373F6" w:rsidP="00EC0CF4">
      <w:pPr>
        <w:spacing w:after="0" w:line="240" w:lineRule="auto"/>
        <w:ind w:right="39" w:firstLine="426"/>
        <w:jc w:val="both"/>
        <w:rPr>
          <w:rFonts w:ascii="Times New Roman" w:eastAsia="Times New Roman" w:hAnsi="Times New Roman" w:cs="Times New Roman"/>
          <w:b/>
          <w:sz w:val="24"/>
          <w:szCs w:val="24"/>
        </w:rPr>
      </w:pPr>
    </w:p>
    <w:p w14:paraId="1D5F6D9D" w14:textId="77777777" w:rsidR="007373F6" w:rsidRDefault="00000000" w:rsidP="00EC0CF4">
      <w:pPr>
        <w:spacing w:after="0" w:line="240" w:lineRule="auto"/>
        <w:ind w:right="39"/>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5. CONCLUSION</w:t>
      </w:r>
    </w:p>
    <w:p w14:paraId="70FCE185" w14:textId="77777777" w:rsidR="007373F6" w:rsidRDefault="007373F6" w:rsidP="00EC0CF4">
      <w:pPr>
        <w:spacing w:after="0" w:line="240" w:lineRule="auto"/>
        <w:ind w:right="39" w:firstLine="426"/>
        <w:jc w:val="both"/>
        <w:rPr>
          <w:rFonts w:ascii="Times New Roman" w:eastAsia="Times New Roman" w:hAnsi="Times New Roman" w:cs="Times New Roman"/>
          <w:b/>
          <w:sz w:val="24"/>
          <w:szCs w:val="24"/>
        </w:rPr>
      </w:pPr>
    </w:p>
    <w:p w14:paraId="3064A214" w14:textId="77777777" w:rsidR="007373F6" w:rsidRDefault="00000000" w:rsidP="00EC0CF4">
      <w:pPr>
        <w:spacing w:after="0" w:line="240" w:lineRule="auto"/>
        <w:ind w:right="39"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study examines the effect of tax planning and financial performance within Vietnam’s construction and real estate sector, a representative segment of the country's transition economy. The findings show that both ETR and TAXA coefficients were insignificant, suggesting that tax planning may not directly enhance profitability in this context. From a practical perspective, the study offers implications for corporate managers and policymakers. Limitations include the study’s focus on a single sector and the reliance on accounting-based measures. Future research could broaden the scope across industries and adopt alternative performance metrics to validate and extend these findings.</w:t>
      </w:r>
    </w:p>
    <w:p w14:paraId="1FAAAF5C" w14:textId="77777777" w:rsidR="007373F6" w:rsidRDefault="007373F6" w:rsidP="00EC0CF4">
      <w:pPr>
        <w:spacing w:after="0" w:line="240" w:lineRule="auto"/>
        <w:ind w:right="39" w:firstLine="720"/>
        <w:jc w:val="both"/>
        <w:rPr>
          <w:rFonts w:ascii="Times New Roman" w:eastAsia="Times New Roman" w:hAnsi="Times New Roman" w:cs="Times New Roman"/>
          <w:sz w:val="24"/>
          <w:szCs w:val="24"/>
        </w:rPr>
      </w:pPr>
    </w:p>
    <w:p w14:paraId="0D4A08BE" w14:textId="77777777" w:rsidR="002A608A" w:rsidRDefault="002A608A" w:rsidP="00EC0CF4">
      <w:pPr>
        <w:spacing w:after="0" w:line="240" w:lineRule="auto"/>
        <w:ind w:right="39"/>
        <w:jc w:val="both"/>
        <w:rPr>
          <w:rFonts w:ascii="Times New Roman" w:eastAsia="Times New Roman" w:hAnsi="Times New Roman" w:cs="Times New Roman"/>
          <w:sz w:val="24"/>
          <w:szCs w:val="24"/>
        </w:rPr>
      </w:pPr>
    </w:p>
    <w:p w14:paraId="2606D444" w14:textId="77777777" w:rsidR="002A608A" w:rsidRDefault="002A608A" w:rsidP="00EC0CF4">
      <w:pPr>
        <w:spacing w:after="0" w:line="240" w:lineRule="auto"/>
        <w:ind w:right="39"/>
        <w:jc w:val="both"/>
        <w:rPr>
          <w:rFonts w:ascii="Times New Roman" w:eastAsia="Times New Roman" w:hAnsi="Times New Roman" w:cs="Times New Roman"/>
          <w:sz w:val="24"/>
          <w:szCs w:val="24"/>
        </w:rPr>
      </w:pPr>
    </w:p>
    <w:p w14:paraId="6E950AE9" w14:textId="77777777" w:rsidR="002A608A" w:rsidRDefault="002A608A" w:rsidP="00EC0CF4">
      <w:pPr>
        <w:spacing w:after="0" w:line="240" w:lineRule="auto"/>
        <w:ind w:right="39"/>
        <w:jc w:val="both"/>
        <w:rPr>
          <w:rFonts w:ascii="Times New Roman" w:eastAsia="Times New Roman" w:hAnsi="Times New Roman" w:cs="Times New Roman"/>
          <w:sz w:val="24"/>
          <w:szCs w:val="24"/>
        </w:rPr>
      </w:pPr>
    </w:p>
    <w:p w14:paraId="65516546" w14:textId="77777777" w:rsidR="002A608A" w:rsidRDefault="002A608A" w:rsidP="00EC0CF4">
      <w:pPr>
        <w:spacing w:after="0" w:line="240" w:lineRule="auto"/>
        <w:ind w:right="39"/>
        <w:jc w:val="both"/>
        <w:rPr>
          <w:rFonts w:ascii="Times New Roman" w:eastAsia="Times New Roman" w:hAnsi="Times New Roman" w:cs="Times New Roman"/>
          <w:sz w:val="24"/>
          <w:szCs w:val="24"/>
        </w:rPr>
      </w:pPr>
    </w:p>
    <w:p w14:paraId="6A901E3E" w14:textId="77777777" w:rsidR="002A608A" w:rsidRDefault="002A608A" w:rsidP="00EC0CF4">
      <w:pPr>
        <w:spacing w:after="0" w:line="240" w:lineRule="auto"/>
        <w:ind w:right="39"/>
        <w:jc w:val="both"/>
        <w:rPr>
          <w:rFonts w:ascii="Times New Roman" w:eastAsia="Times New Roman" w:hAnsi="Times New Roman" w:cs="Times New Roman"/>
          <w:sz w:val="24"/>
          <w:szCs w:val="24"/>
        </w:rPr>
      </w:pPr>
    </w:p>
    <w:p w14:paraId="3268F9D1" w14:textId="77777777" w:rsidR="002A608A" w:rsidRDefault="002A608A" w:rsidP="00EC0CF4">
      <w:pPr>
        <w:spacing w:after="0" w:line="240" w:lineRule="auto"/>
        <w:ind w:right="39"/>
        <w:jc w:val="both"/>
        <w:rPr>
          <w:rFonts w:ascii="Times New Roman" w:eastAsia="Times New Roman" w:hAnsi="Times New Roman" w:cs="Times New Roman"/>
          <w:sz w:val="24"/>
          <w:szCs w:val="24"/>
        </w:rPr>
      </w:pPr>
    </w:p>
    <w:p w14:paraId="0EC92911" w14:textId="77777777" w:rsidR="007373F6" w:rsidRDefault="00000000" w:rsidP="00EC0CF4">
      <w:pPr>
        <w:spacing w:after="0" w:line="240" w:lineRule="auto"/>
        <w:ind w:right="39"/>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REFERENCES</w:t>
      </w:r>
    </w:p>
    <w:p w14:paraId="56393429" w14:textId="77777777" w:rsidR="007373F6" w:rsidRDefault="007373F6" w:rsidP="00EC0CF4">
      <w:pPr>
        <w:spacing w:after="0" w:line="240" w:lineRule="auto"/>
        <w:ind w:right="39"/>
        <w:jc w:val="center"/>
        <w:rPr>
          <w:rFonts w:ascii="Times New Roman" w:eastAsia="Times New Roman" w:hAnsi="Times New Roman" w:cs="Times New Roman"/>
          <w:b/>
          <w:sz w:val="24"/>
          <w:szCs w:val="24"/>
        </w:rPr>
      </w:pPr>
    </w:p>
    <w:p w14:paraId="6B92F191" w14:textId="77777777" w:rsidR="007373F6" w:rsidRPr="00A40E81" w:rsidRDefault="00000000" w:rsidP="00EC0CF4">
      <w:pPr>
        <w:spacing w:after="0" w:line="240" w:lineRule="auto"/>
        <w:ind w:left="709" w:right="39" w:hanging="720"/>
        <w:jc w:val="both"/>
        <w:rPr>
          <w:rFonts w:asciiTheme="majorBidi" w:eastAsia="Times New Roman" w:hAnsiTheme="majorBidi" w:cstheme="majorBidi"/>
          <w:sz w:val="24"/>
          <w:szCs w:val="24"/>
        </w:rPr>
      </w:pPr>
      <w:r w:rsidRPr="00A40E81">
        <w:rPr>
          <w:rFonts w:asciiTheme="majorBidi" w:eastAsia="Times New Roman" w:hAnsiTheme="majorBidi" w:cstheme="majorBidi"/>
          <w:sz w:val="24"/>
          <w:szCs w:val="24"/>
        </w:rPr>
        <w:t xml:space="preserve">Anh, N. T., &amp; Hoa, T. P. (2021). The Impact of Enterprise Risk Management and Sustainability Reporting on Business Performance of Listed Enterprises on Vietnam Stock Market. </w:t>
      </w:r>
      <w:r w:rsidRPr="00A40E81">
        <w:rPr>
          <w:rFonts w:asciiTheme="majorBidi" w:eastAsia="Times New Roman" w:hAnsiTheme="majorBidi" w:cstheme="majorBidi"/>
          <w:i/>
          <w:sz w:val="24"/>
          <w:szCs w:val="24"/>
        </w:rPr>
        <w:t>VNU Journal of Economics and Business, 1</w:t>
      </w:r>
      <w:r w:rsidRPr="00A40E81">
        <w:rPr>
          <w:rFonts w:asciiTheme="majorBidi" w:eastAsia="Times New Roman" w:hAnsiTheme="majorBidi" w:cstheme="majorBidi"/>
          <w:sz w:val="24"/>
          <w:szCs w:val="24"/>
        </w:rPr>
        <w:t xml:space="preserve">(4), 91-102. </w:t>
      </w:r>
    </w:p>
    <w:p w14:paraId="7F4A3E5C" w14:textId="77777777" w:rsidR="007373F6" w:rsidRPr="00A40E81" w:rsidRDefault="00000000" w:rsidP="002A608A">
      <w:pPr>
        <w:spacing w:after="0" w:line="240" w:lineRule="auto"/>
        <w:ind w:left="709" w:hanging="720"/>
        <w:jc w:val="both"/>
        <w:rPr>
          <w:rFonts w:asciiTheme="majorBidi" w:eastAsia="Times New Roman" w:hAnsiTheme="majorBidi" w:cstheme="majorBidi"/>
          <w:sz w:val="24"/>
          <w:szCs w:val="24"/>
        </w:rPr>
      </w:pPr>
      <w:r w:rsidRPr="00EC0CF4">
        <w:rPr>
          <w:rFonts w:asciiTheme="majorBidi" w:eastAsia="Times New Roman" w:hAnsiTheme="majorBidi" w:cstheme="majorBidi"/>
          <w:sz w:val="24"/>
          <w:szCs w:val="24"/>
          <w:lang w:val="de-DE"/>
        </w:rPr>
        <w:t xml:space="preserve">Binh, V. T. T., &amp; Hue, P. M. (2023). </w:t>
      </w:r>
      <w:r w:rsidRPr="00A40E81">
        <w:rPr>
          <w:rFonts w:asciiTheme="majorBidi" w:eastAsia="Times New Roman" w:hAnsiTheme="majorBidi" w:cstheme="majorBidi"/>
          <w:i/>
          <w:sz w:val="24"/>
          <w:szCs w:val="24"/>
        </w:rPr>
        <w:t>The Effects of Tax Avoidance on Firm Performance: Evidence from Vietnamese Listed Companies.</w:t>
      </w:r>
      <w:r w:rsidRPr="00A40E81">
        <w:rPr>
          <w:rFonts w:asciiTheme="majorBidi" w:eastAsia="Times New Roman" w:hAnsiTheme="majorBidi" w:cstheme="majorBidi"/>
          <w:sz w:val="24"/>
          <w:szCs w:val="24"/>
        </w:rPr>
        <w:t xml:space="preserve"> Paper presented at the </w:t>
      </w:r>
      <w:proofErr w:type="spellStart"/>
      <w:r w:rsidRPr="00A40E81">
        <w:rPr>
          <w:rFonts w:asciiTheme="majorBidi" w:eastAsia="Times New Roman" w:hAnsiTheme="majorBidi" w:cstheme="majorBidi"/>
          <w:sz w:val="24"/>
          <w:szCs w:val="24"/>
        </w:rPr>
        <w:t>The</w:t>
      </w:r>
      <w:proofErr w:type="spellEnd"/>
      <w:r w:rsidRPr="00A40E81">
        <w:rPr>
          <w:rFonts w:asciiTheme="majorBidi" w:eastAsia="Times New Roman" w:hAnsiTheme="majorBidi" w:cstheme="majorBidi"/>
          <w:sz w:val="24"/>
          <w:szCs w:val="24"/>
        </w:rPr>
        <w:t xml:space="preserve"> 6th International Conference on Finance, Accounting, and Auditing - ICFAA 2023, National Economics University, Hanoi.</w:t>
      </w:r>
    </w:p>
    <w:p w14:paraId="5E4744D5" w14:textId="77777777" w:rsidR="007373F6" w:rsidRPr="00A40E81" w:rsidRDefault="00000000" w:rsidP="002A608A">
      <w:pPr>
        <w:spacing w:after="0" w:line="240" w:lineRule="auto"/>
        <w:ind w:left="709" w:hanging="720"/>
        <w:jc w:val="both"/>
        <w:rPr>
          <w:rFonts w:asciiTheme="majorBidi" w:eastAsia="Times New Roman" w:hAnsiTheme="majorBidi" w:cstheme="majorBidi"/>
          <w:sz w:val="24"/>
          <w:szCs w:val="24"/>
        </w:rPr>
      </w:pPr>
      <w:r w:rsidRPr="00EA1419">
        <w:rPr>
          <w:rFonts w:asciiTheme="majorBidi" w:eastAsia="Times New Roman" w:hAnsiTheme="majorBidi" w:cstheme="majorBidi"/>
          <w:sz w:val="24"/>
          <w:szCs w:val="24"/>
          <w:lang w:val="de-DE"/>
        </w:rPr>
        <w:t xml:space="preserve">Chen, S., Chen, X., Cheng, Q., &amp; Shevlin, T. (2010). </w:t>
      </w:r>
      <w:r w:rsidRPr="00A40E81">
        <w:rPr>
          <w:rFonts w:asciiTheme="majorBidi" w:eastAsia="Times New Roman" w:hAnsiTheme="majorBidi" w:cstheme="majorBidi"/>
          <w:sz w:val="24"/>
          <w:szCs w:val="24"/>
        </w:rPr>
        <w:t xml:space="preserve">Are family firms more tax aggressive than non-family firms? </w:t>
      </w:r>
      <w:r w:rsidRPr="00A40E81">
        <w:rPr>
          <w:rFonts w:asciiTheme="majorBidi" w:eastAsia="Times New Roman" w:hAnsiTheme="majorBidi" w:cstheme="majorBidi"/>
          <w:i/>
          <w:sz w:val="24"/>
          <w:szCs w:val="24"/>
        </w:rPr>
        <w:t>Journal of Financial Economics, 95</w:t>
      </w:r>
      <w:r w:rsidRPr="00A40E81">
        <w:rPr>
          <w:rFonts w:asciiTheme="majorBidi" w:eastAsia="Times New Roman" w:hAnsiTheme="majorBidi" w:cstheme="majorBidi"/>
          <w:sz w:val="24"/>
          <w:szCs w:val="24"/>
        </w:rPr>
        <w:t xml:space="preserve">(1), 41-61. </w:t>
      </w:r>
      <w:proofErr w:type="spellStart"/>
      <w:r w:rsidRPr="00A40E81">
        <w:rPr>
          <w:rFonts w:asciiTheme="majorBidi" w:eastAsia="Times New Roman" w:hAnsiTheme="majorBidi" w:cstheme="majorBidi"/>
          <w:sz w:val="24"/>
          <w:szCs w:val="24"/>
        </w:rPr>
        <w:t>doi:</w:t>
      </w:r>
      <w:hyperlink r:id="rId217">
        <w:r w:rsidR="007373F6" w:rsidRPr="00A40E81">
          <w:rPr>
            <w:rFonts w:asciiTheme="majorBidi" w:eastAsia="Times New Roman" w:hAnsiTheme="majorBidi" w:cstheme="majorBidi"/>
            <w:sz w:val="24"/>
            <w:szCs w:val="24"/>
            <w:u w:val="single"/>
          </w:rPr>
          <w:t>https</w:t>
        </w:r>
        <w:proofErr w:type="spellEnd"/>
        <w:r w:rsidR="007373F6" w:rsidRPr="00A40E81">
          <w:rPr>
            <w:rFonts w:asciiTheme="majorBidi" w:eastAsia="Times New Roman" w:hAnsiTheme="majorBidi" w:cstheme="majorBidi"/>
            <w:sz w:val="24"/>
            <w:szCs w:val="24"/>
            <w:u w:val="single"/>
          </w:rPr>
          <w:t>://doi.org/10.1016/j.jfineco.2009.02.003</w:t>
        </w:r>
      </w:hyperlink>
    </w:p>
    <w:p w14:paraId="6F28917E" w14:textId="77777777" w:rsidR="007373F6" w:rsidRPr="00A40E81" w:rsidRDefault="00000000" w:rsidP="002A608A">
      <w:pPr>
        <w:spacing w:after="0" w:line="240" w:lineRule="auto"/>
        <w:ind w:left="709" w:hanging="720"/>
        <w:jc w:val="both"/>
        <w:rPr>
          <w:rFonts w:asciiTheme="majorBidi" w:eastAsia="Times New Roman" w:hAnsiTheme="majorBidi" w:cstheme="majorBidi"/>
          <w:sz w:val="24"/>
          <w:szCs w:val="24"/>
        </w:rPr>
      </w:pPr>
      <w:r w:rsidRPr="00A40E81">
        <w:rPr>
          <w:rFonts w:asciiTheme="majorBidi" w:eastAsia="Times New Roman" w:hAnsiTheme="majorBidi" w:cstheme="majorBidi"/>
          <w:sz w:val="24"/>
          <w:szCs w:val="24"/>
        </w:rPr>
        <w:t xml:space="preserve">Dao, B. T. T., &amp; Ta, T. D. N. (2020). A meta-analysis: capital structure and firm performance. </w:t>
      </w:r>
      <w:r w:rsidRPr="00A40E81">
        <w:rPr>
          <w:rFonts w:asciiTheme="majorBidi" w:eastAsia="Times New Roman" w:hAnsiTheme="majorBidi" w:cstheme="majorBidi"/>
          <w:i/>
          <w:sz w:val="24"/>
          <w:szCs w:val="24"/>
        </w:rPr>
        <w:t>Journal of Economics and Development, 22</w:t>
      </w:r>
      <w:r w:rsidRPr="00A40E81">
        <w:rPr>
          <w:rFonts w:asciiTheme="majorBidi" w:eastAsia="Times New Roman" w:hAnsiTheme="majorBidi" w:cstheme="majorBidi"/>
          <w:sz w:val="24"/>
          <w:szCs w:val="24"/>
        </w:rPr>
        <w:t xml:space="preserve">(1), 111-129. </w:t>
      </w:r>
      <w:proofErr w:type="spellStart"/>
      <w:r w:rsidRPr="00A40E81">
        <w:rPr>
          <w:rFonts w:asciiTheme="majorBidi" w:eastAsia="Times New Roman" w:hAnsiTheme="majorBidi" w:cstheme="majorBidi"/>
          <w:sz w:val="24"/>
          <w:szCs w:val="24"/>
        </w:rPr>
        <w:t>doi:</w:t>
      </w:r>
      <w:hyperlink r:id="rId218">
        <w:r w:rsidR="007373F6" w:rsidRPr="00A40E81">
          <w:rPr>
            <w:rFonts w:asciiTheme="majorBidi" w:eastAsia="Times New Roman" w:hAnsiTheme="majorBidi" w:cstheme="majorBidi"/>
            <w:sz w:val="24"/>
            <w:szCs w:val="24"/>
            <w:u w:val="single"/>
          </w:rPr>
          <w:t>https</w:t>
        </w:r>
        <w:proofErr w:type="spellEnd"/>
        <w:r w:rsidR="007373F6" w:rsidRPr="00A40E81">
          <w:rPr>
            <w:rFonts w:asciiTheme="majorBidi" w:eastAsia="Times New Roman" w:hAnsiTheme="majorBidi" w:cstheme="majorBidi"/>
            <w:sz w:val="24"/>
            <w:szCs w:val="24"/>
            <w:u w:val="single"/>
          </w:rPr>
          <w:t>://doi.org/10.1108/JED-12-2019-0072</w:t>
        </w:r>
      </w:hyperlink>
    </w:p>
    <w:p w14:paraId="0262811E" w14:textId="77777777" w:rsidR="007373F6" w:rsidRPr="00A40E81" w:rsidRDefault="00000000" w:rsidP="002A608A">
      <w:pPr>
        <w:spacing w:after="0" w:line="240" w:lineRule="auto"/>
        <w:ind w:left="709" w:hanging="720"/>
        <w:jc w:val="both"/>
        <w:rPr>
          <w:rFonts w:asciiTheme="majorBidi" w:eastAsia="Times New Roman" w:hAnsiTheme="majorBidi" w:cstheme="majorBidi"/>
          <w:sz w:val="24"/>
          <w:szCs w:val="24"/>
        </w:rPr>
      </w:pPr>
      <w:r w:rsidRPr="00EA1419">
        <w:rPr>
          <w:rFonts w:asciiTheme="majorBidi" w:eastAsia="Times New Roman" w:hAnsiTheme="majorBidi" w:cstheme="majorBidi"/>
          <w:sz w:val="24"/>
          <w:szCs w:val="24"/>
          <w:lang w:val="de-DE"/>
        </w:rPr>
        <w:t xml:space="preserve">Delen, D., Kuzey, C., &amp; Uyar, A. (2013). </w:t>
      </w:r>
      <w:r w:rsidRPr="00A40E81">
        <w:rPr>
          <w:rFonts w:asciiTheme="majorBidi" w:eastAsia="Times New Roman" w:hAnsiTheme="majorBidi" w:cstheme="majorBidi"/>
          <w:sz w:val="24"/>
          <w:szCs w:val="24"/>
        </w:rPr>
        <w:t xml:space="preserve">Measuring firm performance using financial ratios: A decision tree approach. </w:t>
      </w:r>
      <w:r w:rsidRPr="00A40E81">
        <w:rPr>
          <w:rFonts w:asciiTheme="majorBidi" w:eastAsia="Times New Roman" w:hAnsiTheme="majorBidi" w:cstheme="majorBidi"/>
          <w:i/>
          <w:sz w:val="24"/>
          <w:szCs w:val="24"/>
        </w:rPr>
        <w:t>Expert systems with applications, 40</w:t>
      </w:r>
      <w:r w:rsidRPr="00A40E81">
        <w:rPr>
          <w:rFonts w:asciiTheme="majorBidi" w:eastAsia="Times New Roman" w:hAnsiTheme="majorBidi" w:cstheme="majorBidi"/>
          <w:sz w:val="24"/>
          <w:szCs w:val="24"/>
        </w:rPr>
        <w:t xml:space="preserve">(10), 3970-3983. </w:t>
      </w:r>
      <w:proofErr w:type="spellStart"/>
      <w:r w:rsidRPr="00A40E81">
        <w:rPr>
          <w:rFonts w:asciiTheme="majorBidi" w:eastAsia="Times New Roman" w:hAnsiTheme="majorBidi" w:cstheme="majorBidi"/>
          <w:sz w:val="24"/>
          <w:szCs w:val="24"/>
        </w:rPr>
        <w:t>doi:</w:t>
      </w:r>
      <w:hyperlink r:id="rId219">
        <w:r w:rsidR="007373F6" w:rsidRPr="00A40E81">
          <w:rPr>
            <w:rFonts w:asciiTheme="majorBidi" w:eastAsia="Times New Roman" w:hAnsiTheme="majorBidi" w:cstheme="majorBidi"/>
            <w:sz w:val="24"/>
            <w:szCs w:val="24"/>
            <w:u w:val="single"/>
          </w:rPr>
          <w:t>https</w:t>
        </w:r>
        <w:proofErr w:type="spellEnd"/>
        <w:r w:rsidR="007373F6" w:rsidRPr="00A40E81">
          <w:rPr>
            <w:rFonts w:asciiTheme="majorBidi" w:eastAsia="Times New Roman" w:hAnsiTheme="majorBidi" w:cstheme="majorBidi"/>
            <w:sz w:val="24"/>
            <w:szCs w:val="24"/>
            <w:u w:val="single"/>
          </w:rPr>
          <w:t>://doi.org/10.1016/j.eswa.2013.01.012</w:t>
        </w:r>
      </w:hyperlink>
    </w:p>
    <w:p w14:paraId="18001692" w14:textId="77777777" w:rsidR="007373F6" w:rsidRPr="00A40E81" w:rsidRDefault="00000000" w:rsidP="002A608A">
      <w:pPr>
        <w:spacing w:after="0" w:line="240" w:lineRule="auto"/>
        <w:ind w:left="709" w:hanging="720"/>
        <w:jc w:val="both"/>
        <w:rPr>
          <w:rFonts w:asciiTheme="majorBidi" w:eastAsia="Times New Roman" w:hAnsiTheme="majorBidi" w:cstheme="majorBidi"/>
          <w:sz w:val="24"/>
          <w:szCs w:val="24"/>
        </w:rPr>
      </w:pPr>
      <w:r w:rsidRPr="00A40E81">
        <w:rPr>
          <w:rFonts w:asciiTheme="majorBidi" w:eastAsia="Times New Roman" w:hAnsiTheme="majorBidi" w:cstheme="majorBidi"/>
          <w:sz w:val="24"/>
          <w:szCs w:val="24"/>
        </w:rPr>
        <w:t xml:space="preserve">Hanlon, M., &amp; Heitzman, S. (2010). A review of tax research. </w:t>
      </w:r>
      <w:r w:rsidRPr="00A40E81">
        <w:rPr>
          <w:rFonts w:asciiTheme="majorBidi" w:eastAsia="Times New Roman" w:hAnsiTheme="majorBidi" w:cstheme="majorBidi"/>
          <w:i/>
          <w:sz w:val="24"/>
          <w:szCs w:val="24"/>
        </w:rPr>
        <w:t>Journal of Accounting and Economics, 50</w:t>
      </w:r>
      <w:r w:rsidRPr="00A40E81">
        <w:rPr>
          <w:rFonts w:asciiTheme="majorBidi" w:eastAsia="Times New Roman" w:hAnsiTheme="majorBidi" w:cstheme="majorBidi"/>
          <w:sz w:val="24"/>
          <w:szCs w:val="24"/>
        </w:rPr>
        <w:t xml:space="preserve">(2-3), 127-178. </w:t>
      </w:r>
      <w:proofErr w:type="spellStart"/>
      <w:r w:rsidRPr="00A40E81">
        <w:rPr>
          <w:rFonts w:asciiTheme="majorBidi" w:eastAsia="Times New Roman" w:hAnsiTheme="majorBidi" w:cstheme="majorBidi"/>
          <w:sz w:val="24"/>
          <w:szCs w:val="24"/>
        </w:rPr>
        <w:t>doi:</w:t>
      </w:r>
      <w:hyperlink r:id="rId220">
        <w:r w:rsidR="007373F6" w:rsidRPr="00A40E81">
          <w:rPr>
            <w:rFonts w:asciiTheme="majorBidi" w:eastAsia="Times New Roman" w:hAnsiTheme="majorBidi" w:cstheme="majorBidi"/>
            <w:sz w:val="24"/>
            <w:szCs w:val="24"/>
            <w:u w:val="single"/>
          </w:rPr>
          <w:t>https</w:t>
        </w:r>
        <w:proofErr w:type="spellEnd"/>
        <w:r w:rsidR="007373F6" w:rsidRPr="00A40E81">
          <w:rPr>
            <w:rFonts w:asciiTheme="majorBidi" w:eastAsia="Times New Roman" w:hAnsiTheme="majorBidi" w:cstheme="majorBidi"/>
            <w:sz w:val="24"/>
            <w:szCs w:val="24"/>
            <w:u w:val="single"/>
          </w:rPr>
          <w:t>://doi.org/10.1016/j.jacceco.2010.09.002</w:t>
        </w:r>
      </w:hyperlink>
    </w:p>
    <w:p w14:paraId="566E9B22" w14:textId="77777777" w:rsidR="007373F6" w:rsidRPr="00A40E81" w:rsidRDefault="00000000" w:rsidP="002A608A">
      <w:pPr>
        <w:spacing w:after="0" w:line="240" w:lineRule="auto"/>
        <w:ind w:left="709" w:hanging="720"/>
        <w:jc w:val="both"/>
        <w:rPr>
          <w:rFonts w:asciiTheme="majorBidi" w:eastAsia="Times New Roman" w:hAnsiTheme="majorBidi" w:cstheme="majorBidi"/>
          <w:sz w:val="24"/>
          <w:szCs w:val="24"/>
        </w:rPr>
      </w:pPr>
      <w:r w:rsidRPr="00EA1419">
        <w:rPr>
          <w:rFonts w:asciiTheme="majorBidi" w:eastAsia="Times New Roman" w:hAnsiTheme="majorBidi" w:cstheme="majorBidi"/>
          <w:sz w:val="24"/>
          <w:szCs w:val="24"/>
          <w:lang w:val="de-DE"/>
        </w:rPr>
        <w:t xml:space="preserve">Jensen, M. C., &amp; Meckling, W. (1976). </w:t>
      </w:r>
      <w:r w:rsidRPr="00A40E81">
        <w:rPr>
          <w:rFonts w:asciiTheme="majorBidi" w:eastAsia="Times New Roman" w:hAnsiTheme="majorBidi" w:cstheme="majorBidi"/>
          <w:sz w:val="24"/>
          <w:szCs w:val="24"/>
        </w:rPr>
        <w:t xml:space="preserve">Theory of the firm: managerial </w:t>
      </w:r>
      <w:proofErr w:type="spellStart"/>
      <w:r w:rsidRPr="00A40E81">
        <w:rPr>
          <w:rFonts w:asciiTheme="majorBidi" w:eastAsia="Times New Roman" w:hAnsiTheme="majorBidi" w:cstheme="majorBidi"/>
          <w:sz w:val="24"/>
          <w:szCs w:val="24"/>
        </w:rPr>
        <w:t>behavior</w:t>
      </w:r>
      <w:proofErr w:type="spellEnd"/>
      <w:r w:rsidRPr="00A40E81">
        <w:rPr>
          <w:rFonts w:asciiTheme="majorBidi" w:eastAsia="Times New Roman" w:hAnsiTheme="majorBidi" w:cstheme="majorBidi"/>
          <w:sz w:val="24"/>
          <w:szCs w:val="24"/>
        </w:rPr>
        <w:t xml:space="preserve">, agency costs and ownership structure. </w:t>
      </w:r>
      <w:r w:rsidRPr="00A40E81">
        <w:rPr>
          <w:rFonts w:asciiTheme="majorBidi" w:eastAsia="Times New Roman" w:hAnsiTheme="majorBidi" w:cstheme="majorBidi"/>
          <w:i/>
          <w:sz w:val="24"/>
          <w:szCs w:val="24"/>
        </w:rPr>
        <w:t>Journal of Financial Economics, 3</w:t>
      </w:r>
      <w:r w:rsidRPr="00A40E81">
        <w:rPr>
          <w:rFonts w:asciiTheme="majorBidi" w:eastAsia="Times New Roman" w:hAnsiTheme="majorBidi" w:cstheme="majorBidi"/>
          <w:sz w:val="24"/>
          <w:szCs w:val="24"/>
        </w:rPr>
        <w:t xml:space="preserve">, 305–360. </w:t>
      </w:r>
    </w:p>
    <w:p w14:paraId="6C424BC1" w14:textId="77777777" w:rsidR="007373F6" w:rsidRPr="00A40E81" w:rsidRDefault="00000000" w:rsidP="002A608A">
      <w:pPr>
        <w:spacing w:after="0" w:line="240" w:lineRule="auto"/>
        <w:ind w:left="709" w:hanging="720"/>
        <w:jc w:val="both"/>
        <w:rPr>
          <w:rFonts w:asciiTheme="majorBidi" w:eastAsia="Times New Roman" w:hAnsiTheme="majorBidi" w:cstheme="majorBidi"/>
          <w:sz w:val="24"/>
          <w:szCs w:val="24"/>
        </w:rPr>
      </w:pPr>
      <w:proofErr w:type="spellStart"/>
      <w:r w:rsidRPr="00A40E81">
        <w:rPr>
          <w:rFonts w:asciiTheme="majorBidi" w:eastAsia="Times New Roman" w:hAnsiTheme="majorBidi" w:cstheme="majorBidi"/>
          <w:sz w:val="24"/>
          <w:szCs w:val="24"/>
        </w:rPr>
        <w:t>Kawor</w:t>
      </w:r>
      <w:proofErr w:type="spellEnd"/>
      <w:r w:rsidRPr="00A40E81">
        <w:rPr>
          <w:rFonts w:asciiTheme="majorBidi" w:eastAsia="Times New Roman" w:hAnsiTheme="majorBidi" w:cstheme="majorBidi"/>
          <w:sz w:val="24"/>
          <w:szCs w:val="24"/>
        </w:rPr>
        <w:t xml:space="preserve">, S., &amp; </w:t>
      </w:r>
      <w:proofErr w:type="spellStart"/>
      <w:r w:rsidRPr="00A40E81">
        <w:rPr>
          <w:rFonts w:asciiTheme="majorBidi" w:eastAsia="Times New Roman" w:hAnsiTheme="majorBidi" w:cstheme="majorBidi"/>
          <w:sz w:val="24"/>
          <w:szCs w:val="24"/>
        </w:rPr>
        <w:t>Kportorgbi</w:t>
      </w:r>
      <w:proofErr w:type="spellEnd"/>
      <w:r w:rsidRPr="00A40E81">
        <w:rPr>
          <w:rFonts w:asciiTheme="majorBidi" w:eastAsia="Times New Roman" w:hAnsiTheme="majorBidi" w:cstheme="majorBidi"/>
          <w:sz w:val="24"/>
          <w:szCs w:val="24"/>
        </w:rPr>
        <w:t xml:space="preserve">, H. K. (2014). Effect of tax planning on firms market performance: evidence from listed firms in Ghana. </w:t>
      </w:r>
      <w:r w:rsidRPr="00A40E81">
        <w:rPr>
          <w:rFonts w:asciiTheme="majorBidi" w:eastAsia="Times New Roman" w:hAnsiTheme="majorBidi" w:cstheme="majorBidi"/>
          <w:i/>
          <w:sz w:val="24"/>
          <w:szCs w:val="24"/>
        </w:rPr>
        <w:t>International Journal of Economics and Finance, 6</w:t>
      </w:r>
      <w:r w:rsidRPr="00A40E81">
        <w:rPr>
          <w:rFonts w:asciiTheme="majorBidi" w:eastAsia="Times New Roman" w:hAnsiTheme="majorBidi" w:cstheme="majorBidi"/>
          <w:sz w:val="24"/>
          <w:szCs w:val="24"/>
        </w:rPr>
        <w:t xml:space="preserve">(3), 162-168. </w:t>
      </w:r>
    </w:p>
    <w:p w14:paraId="4661143D" w14:textId="77777777" w:rsidR="007373F6" w:rsidRPr="00A40E81" w:rsidRDefault="00000000" w:rsidP="002A608A">
      <w:pPr>
        <w:spacing w:after="0" w:line="240" w:lineRule="auto"/>
        <w:ind w:left="709" w:hanging="720"/>
        <w:jc w:val="both"/>
        <w:rPr>
          <w:rFonts w:asciiTheme="majorBidi" w:eastAsia="Times New Roman" w:hAnsiTheme="majorBidi" w:cstheme="majorBidi"/>
          <w:sz w:val="24"/>
          <w:szCs w:val="24"/>
        </w:rPr>
      </w:pPr>
      <w:r w:rsidRPr="00A40E81">
        <w:rPr>
          <w:rFonts w:asciiTheme="majorBidi" w:eastAsia="Times New Roman" w:hAnsiTheme="majorBidi" w:cstheme="majorBidi"/>
          <w:sz w:val="24"/>
          <w:szCs w:val="24"/>
        </w:rPr>
        <w:t xml:space="preserve">Le, V. H., Vu, T. A. T., &amp; Nguyen, M. H. (2022). Tax planning and firm value: the case of companies with different state ownership in Vietnam. </w:t>
      </w:r>
      <w:r w:rsidRPr="00A40E81">
        <w:rPr>
          <w:rFonts w:asciiTheme="majorBidi" w:eastAsia="Times New Roman" w:hAnsiTheme="majorBidi" w:cstheme="majorBidi"/>
          <w:i/>
          <w:sz w:val="24"/>
          <w:szCs w:val="24"/>
        </w:rPr>
        <w:t>Journal of Eastern European and Central Asian Research (JEECAR), 9</w:t>
      </w:r>
      <w:r w:rsidRPr="00A40E81">
        <w:rPr>
          <w:rFonts w:asciiTheme="majorBidi" w:eastAsia="Times New Roman" w:hAnsiTheme="majorBidi" w:cstheme="majorBidi"/>
          <w:sz w:val="24"/>
          <w:szCs w:val="24"/>
        </w:rPr>
        <w:t xml:space="preserve">(2), 333-343. </w:t>
      </w:r>
      <w:proofErr w:type="spellStart"/>
      <w:r w:rsidRPr="00A40E81">
        <w:rPr>
          <w:rFonts w:asciiTheme="majorBidi" w:eastAsia="Times New Roman" w:hAnsiTheme="majorBidi" w:cstheme="majorBidi"/>
          <w:sz w:val="24"/>
          <w:szCs w:val="24"/>
        </w:rPr>
        <w:t>doi:</w:t>
      </w:r>
      <w:hyperlink r:id="rId221">
        <w:r w:rsidR="007373F6" w:rsidRPr="00A40E81">
          <w:rPr>
            <w:rFonts w:asciiTheme="majorBidi" w:eastAsia="Times New Roman" w:hAnsiTheme="majorBidi" w:cstheme="majorBidi"/>
            <w:sz w:val="24"/>
            <w:szCs w:val="24"/>
            <w:u w:val="single"/>
          </w:rPr>
          <w:t>https</w:t>
        </w:r>
        <w:proofErr w:type="spellEnd"/>
        <w:r w:rsidR="007373F6" w:rsidRPr="00A40E81">
          <w:rPr>
            <w:rFonts w:asciiTheme="majorBidi" w:eastAsia="Times New Roman" w:hAnsiTheme="majorBidi" w:cstheme="majorBidi"/>
            <w:sz w:val="24"/>
            <w:szCs w:val="24"/>
            <w:u w:val="single"/>
          </w:rPr>
          <w:t>://doi.org/10.15549/jeecar.v9i2.700</w:t>
        </w:r>
      </w:hyperlink>
    </w:p>
    <w:p w14:paraId="15523C02" w14:textId="77777777" w:rsidR="007373F6" w:rsidRPr="00A40E81" w:rsidRDefault="00000000" w:rsidP="002A608A">
      <w:pPr>
        <w:spacing w:after="0" w:line="240" w:lineRule="auto"/>
        <w:ind w:left="709" w:hanging="720"/>
        <w:jc w:val="both"/>
        <w:rPr>
          <w:rFonts w:asciiTheme="majorBidi" w:eastAsia="Times New Roman" w:hAnsiTheme="majorBidi" w:cstheme="majorBidi"/>
          <w:sz w:val="24"/>
          <w:szCs w:val="24"/>
        </w:rPr>
      </w:pPr>
      <w:r w:rsidRPr="00A40E81">
        <w:rPr>
          <w:rFonts w:asciiTheme="majorBidi" w:eastAsia="Times New Roman" w:hAnsiTheme="majorBidi" w:cstheme="majorBidi"/>
          <w:sz w:val="24"/>
          <w:szCs w:val="24"/>
        </w:rPr>
        <w:t xml:space="preserve">Nguyen, T. L. A., &amp; Bui, N. A. (2025). Tax Shields and Capital Structure of Real Estate Firms in Emerging Markets: Evidence from Vietnam. </w:t>
      </w:r>
      <w:r w:rsidRPr="00A40E81">
        <w:rPr>
          <w:rFonts w:asciiTheme="majorBidi" w:eastAsia="Times New Roman" w:hAnsiTheme="majorBidi" w:cstheme="majorBidi"/>
          <w:i/>
          <w:sz w:val="24"/>
          <w:szCs w:val="24"/>
        </w:rPr>
        <w:t>International Real Estate Review, 28</w:t>
      </w:r>
      <w:r w:rsidRPr="00A40E81">
        <w:rPr>
          <w:rFonts w:asciiTheme="majorBidi" w:eastAsia="Times New Roman" w:hAnsiTheme="majorBidi" w:cstheme="majorBidi"/>
          <w:sz w:val="24"/>
          <w:szCs w:val="24"/>
        </w:rPr>
        <w:t xml:space="preserve">(1), 91-115. </w:t>
      </w:r>
    </w:p>
    <w:p w14:paraId="0ED4D605" w14:textId="77777777" w:rsidR="007373F6" w:rsidRPr="00A40E81" w:rsidRDefault="00000000" w:rsidP="002A608A">
      <w:pPr>
        <w:spacing w:after="0" w:line="240" w:lineRule="auto"/>
        <w:ind w:left="709" w:hanging="720"/>
        <w:jc w:val="both"/>
        <w:rPr>
          <w:rFonts w:asciiTheme="majorBidi" w:eastAsia="Times New Roman" w:hAnsiTheme="majorBidi" w:cstheme="majorBidi"/>
          <w:sz w:val="24"/>
          <w:szCs w:val="24"/>
        </w:rPr>
      </w:pPr>
      <w:r w:rsidRPr="00A40E81">
        <w:rPr>
          <w:rFonts w:asciiTheme="majorBidi" w:eastAsia="Times New Roman" w:hAnsiTheme="majorBidi" w:cstheme="majorBidi"/>
          <w:sz w:val="24"/>
          <w:szCs w:val="24"/>
        </w:rPr>
        <w:t xml:space="preserve">Pratama, A., &amp; Muhammad, K. (2025). Optimizing Tax Compliance: Understanding the Link Between Company Tax Administration and Tax Avoidance (A Survey of Public Companies in Indonesia, Malaysia, Singapore, and Thailand for the 2022–2023 Period). </w:t>
      </w:r>
      <w:r w:rsidRPr="00A40E81">
        <w:rPr>
          <w:rFonts w:asciiTheme="majorBidi" w:eastAsia="Times New Roman" w:hAnsiTheme="majorBidi" w:cstheme="majorBidi"/>
          <w:i/>
          <w:sz w:val="24"/>
          <w:szCs w:val="24"/>
        </w:rPr>
        <w:t>Economies, 13</w:t>
      </w:r>
      <w:r w:rsidRPr="00A40E81">
        <w:rPr>
          <w:rFonts w:asciiTheme="majorBidi" w:eastAsia="Times New Roman" w:hAnsiTheme="majorBidi" w:cstheme="majorBidi"/>
          <w:sz w:val="24"/>
          <w:szCs w:val="24"/>
        </w:rPr>
        <w:t xml:space="preserve">(7), 194. </w:t>
      </w:r>
      <w:proofErr w:type="spellStart"/>
      <w:r w:rsidRPr="00A40E81">
        <w:rPr>
          <w:rFonts w:asciiTheme="majorBidi" w:eastAsia="Times New Roman" w:hAnsiTheme="majorBidi" w:cstheme="majorBidi"/>
          <w:sz w:val="24"/>
          <w:szCs w:val="24"/>
        </w:rPr>
        <w:t>doi:</w:t>
      </w:r>
      <w:hyperlink r:id="rId222">
        <w:r w:rsidR="007373F6" w:rsidRPr="00A40E81">
          <w:rPr>
            <w:rFonts w:asciiTheme="majorBidi" w:eastAsia="Times New Roman" w:hAnsiTheme="majorBidi" w:cstheme="majorBidi"/>
            <w:sz w:val="24"/>
            <w:szCs w:val="24"/>
            <w:u w:val="single"/>
          </w:rPr>
          <w:t>https</w:t>
        </w:r>
        <w:proofErr w:type="spellEnd"/>
        <w:r w:rsidR="007373F6" w:rsidRPr="00A40E81">
          <w:rPr>
            <w:rFonts w:asciiTheme="majorBidi" w:eastAsia="Times New Roman" w:hAnsiTheme="majorBidi" w:cstheme="majorBidi"/>
            <w:sz w:val="24"/>
            <w:szCs w:val="24"/>
            <w:u w:val="single"/>
          </w:rPr>
          <w:t>://doi.org/10.3390/economies13070194</w:t>
        </w:r>
      </w:hyperlink>
    </w:p>
    <w:p w14:paraId="162347A0" w14:textId="77777777" w:rsidR="007373F6" w:rsidRPr="00A40E81" w:rsidRDefault="00000000" w:rsidP="002A608A">
      <w:pPr>
        <w:spacing w:after="0" w:line="240" w:lineRule="auto"/>
        <w:ind w:left="709" w:hanging="720"/>
        <w:jc w:val="both"/>
        <w:rPr>
          <w:rFonts w:asciiTheme="majorBidi" w:eastAsia="Times New Roman" w:hAnsiTheme="majorBidi" w:cstheme="majorBidi"/>
          <w:sz w:val="24"/>
          <w:szCs w:val="24"/>
        </w:rPr>
      </w:pPr>
      <w:r w:rsidRPr="00A40E81">
        <w:rPr>
          <w:rFonts w:asciiTheme="majorBidi" w:eastAsia="Times New Roman" w:hAnsiTheme="majorBidi" w:cstheme="majorBidi"/>
          <w:sz w:val="24"/>
          <w:szCs w:val="24"/>
        </w:rPr>
        <w:t xml:space="preserve">Rahman, M. M. (2023). Impact of taxes on the 2030 agenda for sustainable development: evidence from organization for economic co-operation and development (OECD) countries. </w:t>
      </w:r>
      <w:r w:rsidRPr="00A40E81">
        <w:rPr>
          <w:rFonts w:asciiTheme="majorBidi" w:eastAsia="Times New Roman" w:hAnsiTheme="majorBidi" w:cstheme="majorBidi"/>
          <w:i/>
          <w:sz w:val="24"/>
          <w:szCs w:val="24"/>
        </w:rPr>
        <w:t>Regional Sustainability, 4</w:t>
      </w:r>
      <w:r w:rsidRPr="00A40E81">
        <w:rPr>
          <w:rFonts w:asciiTheme="majorBidi" w:eastAsia="Times New Roman" w:hAnsiTheme="majorBidi" w:cstheme="majorBidi"/>
          <w:sz w:val="24"/>
          <w:szCs w:val="24"/>
        </w:rPr>
        <w:t xml:space="preserve">(3), 235-248. </w:t>
      </w:r>
      <w:proofErr w:type="spellStart"/>
      <w:r w:rsidRPr="00A40E81">
        <w:rPr>
          <w:rFonts w:asciiTheme="majorBidi" w:eastAsia="Times New Roman" w:hAnsiTheme="majorBidi" w:cstheme="majorBidi"/>
          <w:sz w:val="24"/>
          <w:szCs w:val="24"/>
        </w:rPr>
        <w:t>doi:</w:t>
      </w:r>
      <w:hyperlink r:id="rId223">
        <w:r w:rsidR="007373F6" w:rsidRPr="00A40E81">
          <w:rPr>
            <w:rFonts w:asciiTheme="majorBidi" w:eastAsia="Times New Roman" w:hAnsiTheme="majorBidi" w:cstheme="majorBidi"/>
            <w:sz w:val="24"/>
            <w:szCs w:val="24"/>
            <w:u w:val="single"/>
          </w:rPr>
          <w:t>https</w:t>
        </w:r>
        <w:proofErr w:type="spellEnd"/>
        <w:r w:rsidR="007373F6" w:rsidRPr="00A40E81">
          <w:rPr>
            <w:rFonts w:asciiTheme="majorBidi" w:eastAsia="Times New Roman" w:hAnsiTheme="majorBidi" w:cstheme="majorBidi"/>
            <w:sz w:val="24"/>
            <w:szCs w:val="24"/>
            <w:u w:val="single"/>
          </w:rPr>
          <w:t>://doi.org/10.1016/j.regsus.2023.07.001</w:t>
        </w:r>
      </w:hyperlink>
    </w:p>
    <w:p w14:paraId="627F7561" w14:textId="77777777" w:rsidR="007373F6" w:rsidRPr="00A40E81" w:rsidRDefault="00000000" w:rsidP="002A608A">
      <w:pPr>
        <w:spacing w:after="0" w:line="240" w:lineRule="auto"/>
        <w:ind w:left="709" w:hanging="720"/>
        <w:jc w:val="both"/>
        <w:rPr>
          <w:rFonts w:asciiTheme="majorBidi" w:eastAsia="Times New Roman" w:hAnsiTheme="majorBidi" w:cstheme="majorBidi"/>
          <w:b/>
          <w:color w:val="000000"/>
        </w:rPr>
      </w:pPr>
      <w:proofErr w:type="spellStart"/>
      <w:r w:rsidRPr="00A40E81">
        <w:rPr>
          <w:rFonts w:asciiTheme="majorBidi" w:eastAsia="Times New Roman" w:hAnsiTheme="majorBidi" w:cstheme="majorBidi"/>
          <w:sz w:val="24"/>
          <w:szCs w:val="24"/>
        </w:rPr>
        <w:t>Thanjunpong</w:t>
      </w:r>
      <w:proofErr w:type="spellEnd"/>
      <w:r w:rsidRPr="00A40E81">
        <w:rPr>
          <w:rFonts w:asciiTheme="majorBidi" w:eastAsia="Times New Roman" w:hAnsiTheme="majorBidi" w:cstheme="majorBidi"/>
          <w:sz w:val="24"/>
          <w:szCs w:val="24"/>
        </w:rPr>
        <w:t xml:space="preserve">, S., &amp; </w:t>
      </w:r>
      <w:proofErr w:type="spellStart"/>
      <w:r w:rsidRPr="00A40E81">
        <w:rPr>
          <w:rFonts w:asciiTheme="majorBidi" w:eastAsia="Times New Roman" w:hAnsiTheme="majorBidi" w:cstheme="majorBidi"/>
          <w:sz w:val="24"/>
          <w:szCs w:val="24"/>
        </w:rPr>
        <w:t>Awirothananon</w:t>
      </w:r>
      <w:proofErr w:type="spellEnd"/>
      <w:r w:rsidRPr="00A40E81">
        <w:rPr>
          <w:rFonts w:asciiTheme="majorBidi" w:eastAsia="Times New Roman" w:hAnsiTheme="majorBidi" w:cstheme="majorBidi"/>
          <w:sz w:val="24"/>
          <w:szCs w:val="24"/>
        </w:rPr>
        <w:t xml:space="preserve">, T. (2019). The effect of tax planning on financial performance in the stock exchange of Thailand. </w:t>
      </w:r>
      <w:r w:rsidRPr="00A40E81">
        <w:rPr>
          <w:rFonts w:asciiTheme="majorBidi" w:eastAsia="Times New Roman" w:hAnsiTheme="majorBidi" w:cstheme="majorBidi"/>
          <w:i/>
          <w:sz w:val="24"/>
          <w:szCs w:val="24"/>
        </w:rPr>
        <w:t>International Journal of Trade, Economics and Finance, 10</w:t>
      </w:r>
      <w:r w:rsidRPr="00A40E81">
        <w:rPr>
          <w:rFonts w:asciiTheme="majorBidi" w:eastAsia="Times New Roman" w:hAnsiTheme="majorBidi" w:cstheme="majorBidi"/>
          <w:sz w:val="24"/>
          <w:szCs w:val="24"/>
        </w:rPr>
        <w:t>(1), 25-29.</w:t>
      </w:r>
    </w:p>
    <w:p w14:paraId="69FF6DE3" w14:textId="4E2AC5F8" w:rsidR="007373F6" w:rsidRDefault="007373F6" w:rsidP="00B10BC9">
      <w:pPr>
        <w:rPr>
          <w:lang w:eastAsia="ja-JP"/>
        </w:rPr>
      </w:pPr>
    </w:p>
    <w:p w14:paraId="272089FB" w14:textId="77777777" w:rsidR="00F84662" w:rsidRDefault="00F84662" w:rsidP="00B10BC9">
      <w:pPr>
        <w:rPr>
          <w:lang w:eastAsia="ja-JP"/>
        </w:rPr>
      </w:pPr>
    </w:p>
    <w:p w14:paraId="6A81D49B" w14:textId="77777777" w:rsidR="00F84662" w:rsidRDefault="00F84662" w:rsidP="00B10BC9">
      <w:pPr>
        <w:rPr>
          <w:lang w:eastAsia="ja-JP"/>
        </w:rPr>
      </w:pPr>
    </w:p>
    <w:p w14:paraId="7A64FB45" w14:textId="77777777" w:rsidR="00F84662" w:rsidRDefault="00F84662" w:rsidP="00B10BC9">
      <w:pPr>
        <w:rPr>
          <w:lang w:eastAsia="ja-JP"/>
        </w:rPr>
      </w:pPr>
    </w:p>
    <w:p w14:paraId="567566FB" w14:textId="77777777" w:rsidR="00F84662" w:rsidRDefault="00F84662" w:rsidP="00B10BC9">
      <w:pPr>
        <w:rPr>
          <w:lang w:eastAsia="ja-JP"/>
        </w:rPr>
      </w:pPr>
    </w:p>
    <w:p w14:paraId="23541FAC" w14:textId="77777777" w:rsidR="00F84662" w:rsidRDefault="00F84662" w:rsidP="00B10BC9">
      <w:pPr>
        <w:rPr>
          <w:lang w:eastAsia="ja-JP"/>
        </w:rPr>
      </w:pPr>
    </w:p>
    <w:p w14:paraId="2927A2FC" w14:textId="77777777" w:rsidR="00F84662" w:rsidRDefault="00F84662" w:rsidP="00B10BC9">
      <w:pPr>
        <w:rPr>
          <w:lang w:eastAsia="ja-JP"/>
        </w:rPr>
      </w:pPr>
    </w:p>
    <w:p w14:paraId="7090621E" w14:textId="77777777" w:rsidR="00F84662" w:rsidRDefault="00F84662" w:rsidP="00B10BC9">
      <w:pPr>
        <w:rPr>
          <w:lang w:eastAsia="ja-JP"/>
        </w:rPr>
      </w:pPr>
    </w:p>
    <w:p w14:paraId="1E78E92A" w14:textId="77777777" w:rsidR="00F84662" w:rsidRDefault="00F84662" w:rsidP="00B10BC9">
      <w:pPr>
        <w:rPr>
          <w:lang w:eastAsia="ja-JP"/>
        </w:rPr>
      </w:pPr>
    </w:p>
    <w:p w14:paraId="4C102573" w14:textId="77777777" w:rsidR="00F84662" w:rsidRDefault="00F84662" w:rsidP="00B10BC9">
      <w:pPr>
        <w:rPr>
          <w:lang w:eastAsia="ja-JP"/>
        </w:rPr>
      </w:pPr>
    </w:p>
    <w:p w14:paraId="2BBDE69B" w14:textId="77777777" w:rsidR="00F84662" w:rsidRDefault="00F84662" w:rsidP="00B10BC9">
      <w:pPr>
        <w:rPr>
          <w:lang w:eastAsia="ja-JP"/>
        </w:rPr>
      </w:pPr>
    </w:p>
    <w:p w14:paraId="74D9F6D2" w14:textId="77777777" w:rsidR="00F84662" w:rsidRDefault="00F84662" w:rsidP="00B10BC9">
      <w:pPr>
        <w:rPr>
          <w:lang w:eastAsia="ja-JP"/>
        </w:rPr>
      </w:pPr>
    </w:p>
    <w:p w14:paraId="4816AEAD" w14:textId="77777777" w:rsidR="00F84662" w:rsidRDefault="00F84662" w:rsidP="00B10BC9">
      <w:pPr>
        <w:rPr>
          <w:lang w:eastAsia="ja-JP"/>
        </w:rPr>
      </w:pPr>
    </w:p>
    <w:p w14:paraId="62C92A69" w14:textId="77777777" w:rsidR="00F84662" w:rsidRDefault="00F84662" w:rsidP="00B10BC9">
      <w:pPr>
        <w:rPr>
          <w:lang w:eastAsia="ja-JP"/>
        </w:rPr>
      </w:pPr>
    </w:p>
    <w:p w14:paraId="203BA6F7" w14:textId="77777777" w:rsidR="00F84662" w:rsidRDefault="00F84662" w:rsidP="00B10BC9">
      <w:pPr>
        <w:rPr>
          <w:lang w:eastAsia="ja-JP"/>
        </w:rPr>
      </w:pPr>
    </w:p>
    <w:p w14:paraId="13D64435" w14:textId="77777777" w:rsidR="00F84662" w:rsidRDefault="00F84662" w:rsidP="00B10BC9">
      <w:pPr>
        <w:rPr>
          <w:lang w:eastAsia="ja-JP"/>
        </w:rPr>
      </w:pPr>
    </w:p>
    <w:p w14:paraId="03725876" w14:textId="77777777" w:rsidR="00F84662" w:rsidRDefault="00F84662" w:rsidP="00B10BC9">
      <w:pPr>
        <w:rPr>
          <w:lang w:eastAsia="ja-JP"/>
        </w:rPr>
      </w:pPr>
    </w:p>
    <w:p w14:paraId="3E0D238C" w14:textId="77777777" w:rsidR="00F84662" w:rsidRDefault="00F84662" w:rsidP="00B10BC9">
      <w:pPr>
        <w:rPr>
          <w:lang w:eastAsia="ja-JP"/>
        </w:rPr>
      </w:pPr>
    </w:p>
    <w:p w14:paraId="05393662" w14:textId="77777777" w:rsidR="00F84662" w:rsidRDefault="00F84662" w:rsidP="00B10BC9">
      <w:pPr>
        <w:rPr>
          <w:lang w:eastAsia="ja-JP"/>
        </w:rPr>
      </w:pPr>
    </w:p>
    <w:p w14:paraId="250E12FC" w14:textId="77777777" w:rsidR="00F84662" w:rsidRDefault="00F84662" w:rsidP="00B10BC9">
      <w:pPr>
        <w:rPr>
          <w:lang w:eastAsia="ja-JP"/>
        </w:rPr>
      </w:pPr>
    </w:p>
    <w:p w14:paraId="646B88F4" w14:textId="77777777" w:rsidR="00F84662" w:rsidRDefault="00F84662" w:rsidP="00B10BC9">
      <w:pPr>
        <w:rPr>
          <w:lang w:eastAsia="ja-JP"/>
        </w:rPr>
      </w:pPr>
    </w:p>
    <w:p w14:paraId="063FC360" w14:textId="77777777" w:rsidR="00F84662" w:rsidRDefault="00F84662" w:rsidP="00B10BC9">
      <w:pPr>
        <w:rPr>
          <w:lang w:eastAsia="ja-JP"/>
        </w:rPr>
      </w:pPr>
    </w:p>
    <w:p w14:paraId="72505AF3" w14:textId="77777777" w:rsidR="00F84662" w:rsidRDefault="00F84662" w:rsidP="00B10BC9">
      <w:pPr>
        <w:rPr>
          <w:lang w:eastAsia="ja-JP"/>
        </w:rPr>
      </w:pPr>
    </w:p>
    <w:p w14:paraId="097A41E7" w14:textId="77777777" w:rsidR="00F84662" w:rsidRDefault="00F84662" w:rsidP="00B10BC9">
      <w:pPr>
        <w:rPr>
          <w:lang w:eastAsia="ja-JP"/>
        </w:rPr>
      </w:pPr>
    </w:p>
    <w:p w14:paraId="333AA49D" w14:textId="77777777" w:rsidR="00F84662" w:rsidRDefault="00F84662" w:rsidP="00B10BC9">
      <w:pPr>
        <w:rPr>
          <w:lang w:eastAsia="ja-JP"/>
        </w:rPr>
      </w:pPr>
    </w:p>
    <w:p w14:paraId="3E034434" w14:textId="77777777" w:rsidR="00F84662" w:rsidRDefault="00F84662" w:rsidP="00B10BC9">
      <w:pPr>
        <w:rPr>
          <w:lang w:eastAsia="ja-JP"/>
        </w:rPr>
      </w:pPr>
    </w:p>
    <w:p w14:paraId="559CE86F" w14:textId="77777777" w:rsidR="00F84662" w:rsidRDefault="00F84662" w:rsidP="00B10BC9">
      <w:pPr>
        <w:rPr>
          <w:lang w:eastAsia="ja-JP"/>
        </w:rPr>
      </w:pPr>
    </w:p>
    <w:p w14:paraId="0031E853" w14:textId="77777777" w:rsidR="00F84662" w:rsidRDefault="00F84662" w:rsidP="00B10BC9">
      <w:pPr>
        <w:rPr>
          <w:rFonts w:hint="eastAsia"/>
          <w:lang w:eastAsia="ja-JP"/>
        </w:rPr>
      </w:pPr>
    </w:p>
    <w:p w14:paraId="5C1AEA05" w14:textId="77777777" w:rsidR="00F84662" w:rsidRPr="00F84662" w:rsidRDefault="00F84662" w:rsidP="00F846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zh-CN"/>
        </w:rPr>
      </w:pPr>
      <w:r w:rsidRPr="00F84662">
        <w:rPr>
          <w:rFonts w:ascii="Times New Roman" w:eastAsia="Times New Roman" w:hAnsi="Times New Roman" w:cs="Times New Roman"/>
          <w:sz w:val="24"/>
          <w:szCs w:val="24"/>
          <w:lang w:eastAsia="zh-CN"/>
        </w:rPr>
        <w:t>ISSN (Online): To be assigned</w:t>
      </w:r>
    </w:p>
    <w:p w14:paraId="0F90979D" w14:textId="77777777" w:rsidR="00F84662" w:rsidRPr="00F84662" w:rsidRDefault="00F84662" w:rsidP="00F846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zh-CN"/>
        </w:rPr>
      </w:pPr>
      <w:r w:rsidRPr="00F84662">
        <w:rPr>
          <w:rFonts w:ascii="Times New Roman" w:eastAsia="Times New Roman" w:hAnsi="Times New Roman" w:cs="Times New Roman"/>
          <w:sz w:val="24"/>
          <w:szCs w:val="24"/>
          <w:lang w:eastAsia="zh-CN"/>
        </w:rPr>
        <w:t>Published by:</w:t>
      </w:r>
    </w:p>
    <w:p w14:paraId="391514B0" w14:textId="77777777" w:rsidR="00F84662" w:rsidRPr="00F84662" w:rsidRDefault="00F84662" w:rsidP="00F846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zh-CN"/>
        </w:rPr>
      </w:pPr>
      <w:r w:rsidRPr="00F84662">
        <w:rPr>
          <w:rFonts w:ascii="Times New Roman" w:eastAsia="Times New Roman" w:hAnsi="Times New Roman" w:cs="Times New Roman"/>
          <w:sz w:val="24"/>
          <w:szCs w:val="24"/>
          <w:lang w:eastAsia="zh-CN"/>
        </w:rPr>
        <w:t>Asia-Pacific Management Accounting Association (APMAA)</w:t>
      </w:r>
    </w:p>
    <w:p w14:paraId="78C775AE" w14:textId="77777777" w:rsidR="00F84662" w:rsidRPr="00F84662" w:rsidRDefault="00F84662" w:rsidP="00F846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zh-CN"/>
        </w:rPr>
      </w:pPr>
      <w:r w:rsidRPr="00F84662">
        <w:rPr>
          <w:rFonts w:ascii="Times New Roman" w:eastAsia="Times New Roman" w:hAnsi="Times New Roman" w:cs="Times New Roman"/>
          <w:sz w:val="24"/>
          <w:szCs w:val="24"/>
          <w:lang w:eastAsia="zh-CN"/>
        </w:rPr>
        <w:t>3-7-47 Shinjo-machi, Toyama-</w:t>
      </w:r>
      <w:proofErr w:type="spellStart"/>
      <w:r w:rsidRPr="00F84662">
        <w:rPr>
          <w:rFonts w:ascii="Times New Roman" w:eastAsia="Times New Roman" w:hAnsi="Times New Roman" w:cs="Times New Roman"/>
          <w:sz w:val="24"/>
          <w:szCs w:val="24"/>
          <w:lang w:eastAsia="zh-CN"/>
        </w:rPr>
        <w:t>shi</w:t>
      </w:r>
      <w:proofErr w:type="spellEnd"/>
      <w:r w:rsidRPr="00F84662">
        <w:rPr>
          <w:rFonts w:ascii="Times New Roman" w:eastAsia="Times New Roman" w:hAnsi="Times New Roman" w:cs="Times New Roman"/>
          <w:sz w:val="24"/>
          <w:szCs w:val="24"/>
          <w:lang w:eastAsia="zh-CN"/>
        </w:rPr>
        <w:t>, Japan 930-0992</w:t>
      </w:r>
    </w:p>
    <w:p w14:paraId="16FA9AEF" w14:textId="77777777" w:rsidR="00F84662" w:rsidRPr="00F84662" w:rsidRDefault="00F84662" w:rsidP="00F846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zh-CN"/>
        </w:rPr>
      </w:pPr>
      <w:r w:rsidRPr="00F84662">
        <w:rPr>
          <w:rFonts w:ascii="Times New Roman" w:eastAsia="Times New Roman" w:hAnsi="Times New Roman" w:cs="Times New Roman"/>
          <w:sz w:val="24"/>
          <w:szCs w:val="24"/>
          <w:lang w:eastAsia="zh-CN"/>
        </w:rPr>
        <w:t>https://s-ueno.sakura.ne.jp/APMAA_asia/APMAA_publication.htm</w:t>
      </w:r>
    </w:p>
    <w:p w14:paraId="334F4A3C" w14:textId="77777777" w:rsidR="00F84662" w:rsidRPr="00F84662" w:rsidRDefault="00F84662" w:rsidP="00B10BC9">
      <w:pPr>
        <w:rPr>
          <w:rFonts w:ascii="Times New Roman" w:hAnsi="Times New Roman" w:cs="Times New Roman"/>
          <w:sz w:val="24"/>
          <w:szCs w:val="24"/>
          <w:lang w:eastAsia="ja-JP"/>
        </w:rPr>
      </w:pPr>
    </w:p>
    <w:p w14:paraId="38321BC7" w14:textId="77777777" w:rsidR="00F84662" w:rsidRDefault="00F84662" w:rsidP="00B10BC9">
      <w:pPr>
        <w:rPr>
          <w:lang w:eastAsia="ja-JP"/>
        </w:rPr>
      </w:pPr>
    </w:p>
    <w:p w14:paraId="0EBD176B" w14:textId="77777777" w:rsidR="00F84662" w:rsidRDefault="00F84662" w:rsidP="00B10BC9">
      <w:pPr>
        <w:rPr>
          <w:rFonts w:hint="eastAsia"/>
          <w:lang w:eastAsia="ja-JP"/>
        </w:rPr>
      </w:pPr>
    </w:p>
    <w:sectPr w:rsidR="00F84662">
      <w:pgSz w:w="11906" w:h="16838"/>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5A3D64" w14:textId="77777777" w:rsidR="001554B8" w:rsidRPr="00CA3E0F" w:rsidRDefault="001554B8">
      <w:pPr>
        <w:spacing w:after="0" w:line="240" w:lineRule="auto"/>
      </w:pPr>
      <w:r w:rsidRPr="00CA3E0F">
        <w:separator/>
      </w:r>
    </w:p>
  </w:endnote>
  <w:endnote w:type="continuationSeparator" w:id="0">
    <w:p w14:paraId="67786194" w14:textId="77777777" w:rsidR="001554B8" w:rsidRPr="00CA3E0F" w:rsidRDefault="001554B8">
      <w:pPr>
        <w:spacing w:after="0" w:line="240" w:lineRule="auto"/>
      </w:pPr>
      <w:r w:rsidRPr="00CA3E0F">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embedRegular r:id="rId1" w:fontKey="{8B20C911-56EF-4193-B62F-7206AB13B1DF}"/>
    <w:embedBold r:id="rId2" w:fontKey="{CF351D83-9572-4C00-A55F-5A7A3574327A}"/>
    <w:embedItalic r:id="rId3" w:fontKey="{0C73F7AA-24A6-419B-B2BC-11E4076DACF6}"/>
    <w:embedBoldItalic r:id="rId4" w:fontKey="{8296BA8F-BE31-4AE7-AC8F-3949CDAC08CA}"/>
  </w:font>
  <w:font w:name="ＭＳ 明朝">
    <w:altName w:val="MS Mincho"/>
    <w:panose1 w:val="02020609040205080304"/>
    <w:charset w:val="80"/>
    <w:family w:val="roma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5" w:fontKey="{1050A79E-9F00-4739-9322-D40E6FB73F2F}"/>
    <w:embedBoldItalic r:id="rId6" w:fontKey="{D0357D12-3BA6-4122-AA73-58CF3DD1D533}"/>
  </w:font>
  <w:font w:name="游ゴシック Light">
    <w:panose1 w:val="020B0300000000000000"/>
    <w:charset w:val="80"/>
    <w:family w:val="modern"/>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embedRegular r:id="rId7" w:fontKey="{22FC3434-5360-4687-B65A-674ACF333E69}"/>
    <w:embedItalic r:id="rId8" w:fontKey="{BF9E4FD5-BA2A-41E9-80AB-5F0DDC69B65C}"/>
  </w:font>
  <w:font w:name="Malgun Gothic">
    <w:panose1 w:val="020B0503020000020004"/>
    <w:charset w:val="81"/>
    <w:family w:val="swiss"/>
    <w:pitch w:val="variable"/>
    <w:sig w:usb0="9000002F" w:usb1="29D77CFB" w:usb2="00000012" w:usb3="00000000" w:csb0="00080001" w:csb1="00000000"/>
  </w:font>
  <w:font w:name="ＭＳ Ｐゴシック">
    <w:panose1 w:val="020B0600070205080204"/>
    <w:charset w:val="80"/>
    <w:family w:val="modern"/>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9" w:fontKey="{1A2D2101-DE6E-4AAF-A795-2794C9FAC7EB}"/>
  </w:font>
  <w:font w:name="Aptos">
    <w:charset w:val="00"/>
    <w:family w:val="swiss"/>
    <w:pitch w:val="variable"/>
    <w:sig w:usb0="20000287" w:usb1="00000003" w:usb2="00000000" w:usb3="00000000" w:csb0="0000019F" w:csb1="00000000"/>
    <w:embedRegular r:id="rId10" w:fontKey="{42232C01-4C9E-48EB-9401-33E3A25A6754}"/>
    <w:embedBold r:id="rId11" w:fontKey="{4E320989-358B-4369-93B7-761801189F8A}"/>
    <w:embedItalic r:id="rId12" w:fontKey="{00D54532-18CD-43B8-8CCD-EC2F4A217969}"/>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游明朝">
    <w:panose1 w:val="02020400000000000000"/>
    <w:charset w:val="80"/>
    <w:family w:val="roman"/>
    <w:pitch w:val="variable"/>
    <w:sig w:usb0="800002E7" w:usb1="2AC7FCFF" w:usb2="00000012" w:usb3="00000000" w:csb0="0002009F" w:csb1="00000000"/>
    <w:embedRegular r:id="rId13" w:subsetted="1" w:fontKey="{DE9402F2-6958-4EA6-8413-D6E8FADEF837}"/>
    <w:embedBold r:id="rId14" w:subsetted="1" w:fontKey="{8809F4A8-D198-4C44-8597-037D56957C9D}"/>
  </w:font>
  <w:font w:name="AdvP40668">
    <w:altName w:val="Calibri"/>
    <w:charset w:val="00"/>
    <w:family w:val="auto"/>
    <w:pitch w:val="default"/>
  </w:font>
  <w:font w:name="Cambria Math">
    <w:panose1 w:val="02040503050406030204"/>
    <w:charset w:val="00"/>
    <w:family w:val="roman"/>
    <w:pitch w:val="variable"/>
    <w:sig w:usb0="E00006FF" w:usb1="420024FF" w:usb2="02000000" w:usb3="00000000" w:csb0="0000019F" w:csb1="00000000"/>
    <w:embedRegular r:id="rId15" w:fontKey="{0D6A3A1D-11C9-4955-9E6A-17DB1A872BD7}"/>
    <w:embedBold r:id="rId16" w:fontKey="{72889524-82AF-424B-9B06-839D7CE8179F}"/>
    <w:embedItalic r:id="rId17" w:fontKey="{8D264C46-C484-401D-9EF7-76657C8A9A4D}"/>
    <w:embedBoldItalic r:id="rId18" w:fontKey="{C6029C92-BE76-4DB7-8043-F11D79AFCC73}"/>
  </w:font>
  <w:font w:name="Helvetica Neue">
    <w:altName w:val="Sylfaen"/>
    <w:charset w:val="00"/>
    <w:family w:val="auto"/>
    <w:pitch w:val="variable"/>
    <w:sig w:usb0="E50002FF" w:usb1="500079DB" w:usb2="00000010" w:usb3="00000000" w:csb0="00000001" w:csb1="00000000"/>
  </w:font>
  <w:font w:name="Palatino Linotype">
    <w:panose1 w:val="02040502050505030304"/>
    <w:charset w:val="00"/>
    <w:family w:val="roman"/>
    <w:pitch w:val="variable"/>
    <w:sig w:usb0="E0000287" w:usb1="40000013" w:usb2="00000000" w:usb3="00000000" w:csb0="0000019F" w:csb1="00000000"/>
    <w:embedRegular r:id="rId19" w:fontKey="{FE4D0B1D-EFC2-4EC9-B206-2AAFF078C814}"/>
  </w:font>
  <w:font w:name="Arial Unicode MS">
    <w:panose1 w:val="020B0604020202020204"/>
    <w:charset w:val="80"/>
    <w:family w:val="swiss"/>
    <w:pitch w:val="variable"/>
    <w:sig w:usb0="F7FFAFFF" w:usb1="E9DFFFFF" w:usb2="0000003F" w:usb3="00000000" w:csb0="003F01FF" w:csb1="00000000"/>
    <w:embedRegular r:id="rId20" w:subsetted="1" w:fontKey="{10709EA0-E57F-4984-94F4-0FC339251D95}"/>
    <w:embedBold r:id="rId21" w:subsetted="1" w:fontKey="{8AF73ACC-DE03-4588-ABD6-ECD13C95FD41}"/>
  </w:font>
  <w:font w:name="游ゴシック">
    <w:altName w:val="Yu Gothic"/>
    <w:panose1 w:val="020B0400000000000000"/>
    <w:charset w:val="80"/>
    <w:family w:val="modern"/>
    <w:pitch w:val="variable"/>
    <w:sig w:usb0="E00002FF" w:usb1="2AC7FDFF" w:usb2="00000016" w:usb3="00000000" w:csb0="0002009F" w:csb1="00000000"/>
    <w:embedRegular r:id="rId22" w:subsetted="1" w:fontKey="{05E52922-F840-4C2E-857A-E3B00B43CB74}"/>
  </w:font>
  <w:font w:name="ＭＳ ゴシック">
    <w:altName w:val="MS Gothic"/>
    <w:panose1 w:val="020B0609070205080204"/>
    <w:charset w:val="80"/>
    <w:family w:val="modern"/>
    <w:pitch w:val="fixed"/>
    <w:sig w:usb0="E00002FF" w:usb1="6AC7FDFB" w:usb2="08000012" w:usb3="00000000" w:csb0="0002009F" w:csb1="00000000"/>
  </w:font>
  <w:font w:name="Gungsuh">
    <w:charset w:val="81"/>
    <w:family w:val="roman"/>
    <w:pitch w:val="variable"/>
    <w:sig w:usb0="B00002AF" w:usb1="69D77CFB" w:usb2="00000030" w:usb3="00000000" w:csb0="0008009F" w:csb1="00000000"/>
    <w:embedRegular r:id="rId23" w:subsetted="1" w:fontKey="{3E6712AB-DD8E-460F-85AC-4ADF0CC28D53}"/>
    <w:embedBold r:id="rId24" w:subsetted="1" w:fontKey="{C63A1C78-FCF7-4FC0-AB0E-A654E1306BB8}"/>
  </w:font>
  <w:font w:name="DengXian">
    <w:altName w:val="等线"/>
    <w:panose1 w:val="02010600030101010101"/>
    <w:charset w:val="86"/>
    <w:family w:val="auto"/>
    <w:pitch w:val="variable"/>
    <w:sig w:usb0="A00002BF" w:usb1="38CF7CFA" w:usb2="00000016" w:usb3="00000000" w:csb0="0004000F" w:csb1="00000000"/>
  </w:font>
  <w:font w:name="Cardo">
    <w:altName w:val="Calibri"/>
    <w:charset w:val="00"/>
    <w:family w:val="auto"/>
    <w:pitch w:val="default"/>
    <w:embedRegular r:id="rId25" w:fontKey="{C3A93C2F-8E46-40AD-BFAF-3EB81AC6D3E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76E83C" w14:textId="77777777" w:rsidR="00216E5F" w:rsidRPr="00CA3E0F" w:rsidRDefault="00216E5F">
    <w:pPr>
      <w:pStyle w:val="Footer"/>
      <w:tabs>
        <w:tab w:val="clear" w:pos="4680"/>
        <w:tab w:val="clear" w:pos="9360"/>
      </w:tabs>
      <w:jc w:val="center"/>
      <w:rPr>
        <w:caps/>
        <w:lang w:val="en-MY"/>
      </w:rPr>
    </w:pPr>
    <w:r w:rsidRPr="00CA3E0F">
      <w:rPr>
        <w:caps/>
        <w:lang w:val="en-MY"/>
      </w:rPr>
      <w:fldChar w:fldCharType="begin"/>
    </w:r>
    <w:r w:rsidRPr="00CA3E0F">
      <w:rPr>
        <w:caps/>
        <w:lang w:val="en-MY"/>
      </w:rPr>
      <w:instrText xml:space="preserve"> PAGE   \* MERGEFORMAT </w:instrText>
    </w:r>
    <w:r w:rsidRPr="00CA3E0F">
      <w:rPr>
        <w:caps/>
        <w:lang w:val="en-MY"/>
      </w:rPr>
      <w:fldChar w:fldCharType="separate"/>
    </w:r>
    <w:r w:rsidRPr="00CA3E0F">
      <w:rPr>
        <w:caps/>
        <w:lang w:val="en-MY"/>
      </w:rPr>
      <w:t>2</w:t>
    </w:r>
    <w:r w:rsidRPr="00CA3E0F">
      <w:rPr>
        <w:caps/>
        <w:lang w:val="en-MY"/>
      </w:rPr>
      <w:fldChar w:fldCharType="end"/>
    </w:r>
  </w:p>
  <w:p w14:paraId="3FF735B9" w14:textId="77777777" w:rsidR="007373F6" w:rsidRPr="00CA3E0F" w:rsidRDefault="007373F6">
    <w:pPr>
      <w:pBdr>
        <w:top w:val="nil"/>
        <w:left w:val="nil"/>
        <w:bottom w:val="nil"/>
        <w:right w:val="nil"/>
        <w:between w:val="nil"/>
      </w:pBdr>
      <w:tabs>
        <w:tab w:val="center" w:pos="4680"/>
        <w:tab w:val="right" w:pos="9360"/>
      </w:tabs>
      <w:spacing w:after="0"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8725A7" w14:textId="77777777" w:rsidR="007373F6" w:rsidRPr="00CA3E0F" w:rsidRDefault="007373F6">
    <w:pPr>
      <w:pBdr>
        <w:top w:val="nil"/>
        <w:left w:val="nil"/>
        <w:bottom w:val="nil"/>
        <w:right w:val="nil"/>
        <w:between w:val="nil"/>
      </w:pBdr>
      <w:tabs>
        <w:tab w:val="center" w:pos="4680"/>
        <w:tab w:val="right" w:pos="9360"/>
      </w:tabs>
      <w:spacing w:after="0" w:line="240" w:lineRule="auto"/>
      <w:jc w:val="center"/>
      <w:rPr>
        <w:color w:val="000000"/>
      </w:rPr>
    </w:pPr>
  </w:p>
  <w:p w14:paraId="0FBC515C" w14:textId="77777777" w:rsidR="007373F6" w:rsidRPr="00CA3E0F" w:rsidRDefault="007373F6">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AE85C1" w14:textId="77777777" w:rsidR="001554B8" w:rsidRPr="00CA3E0F" w:rsidRDefault="001554B8">
      <w:pPr>
        <w:spacing w:after="0" w:line="240" w:lineRule="auto"/>
      </w:pPr>
      <w:r w:rsidRPr="00CA3E0F">
        <w:separator/>
      </w:r>
    </w:p>
  </w:footnote>
  <w:footnote w:type="continuationSeparator" w:id="0">
    <w:p w14:paraId="068B2C88" w14:textId="77777777" w:rsidR="001554B8" w:rsidRPr="00CA3E0F" w:rsidRDefault="001554B8">
      <w:pPr>
        <w:spacing w:after="0" w:line="240" w:lineRule="auto"/>
      </w:pPr>
      <w:r w:rsidRPr="00CA3E0F">
        <w:continuationSeparator/>
      </w:r>
    </w:p>
  </w:footnote>
  <w:footnote w:id="1">
    <w:p w14:paraId="3E6AA139" w14:textId="77777777" w:rsidR="007373F6" w:rsidRPr="00CA3E0F" w:rsidRDefault="00000000">
      <w:pPr>
        <w:rPr>
          <w:vertAlign w:val="superscript"/>
        </w:rPr>
      </w:pPr>
      <w:r w:rsidRPr="00CA3E0F">
        <w:rPr>
          <w:rStyle w:val="FootnoteReference"/>
        </w:rPr>
        <w:footnoteRef/>
      </w:r>
      <w:r w:rsidRPr="00CA3E0F">
        <w:rPr>
          <w:vertAlign w:val="superscript"/>
        </w:rPr>
        <w:t xml:space="preserve"> </w:t>
      </w:r>
      <w:r w:rsidRPr="00CA3E0F">
        <w:rPr>
          <w:rFonts w:ascii="Times New Roman" w:eastAsia="Times New Roman" w:hAnsi="Times New Roman" w:cs="Times New Roman"/>
          <w:sz w:val="20"/>
          <w:szCs w:val="20"/>
        </w:rPr>
        <w:t>Abbreviations:</w:t>
      </w:r>
    </w:p>
    <w:p w14:paraId="1BB7EB97" w14:textId="77777777" w:rsidR="007373F6" w:rsidRPr="00CA3E0F" w:rsidRDefault="00000000">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sidRPr="00CA3E0F">
        <w:rPr>
          <w:rFonts w:ascii="Times New Roman" w:eastAsia="Times New Roman" w:hAnsi="Times New Roman" w:cs="Times New Roman"/>
          <w:color w:val="000000"/>
          <w:sz w:val="20"/>
          <w:szCs w:val="20"/>
        </w:rPr>
        <w:t>DID: difference-in-differences</w:t>
      </w:r>
    </w:p>
    <w:p w14:paraId="79D5B833" w14:textId="77777777" w:rsidR="007373F6" w:rsidRPr="00CA3E0F" w:rsidRDefault="00000000">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sidRPr="00CA3E0F">
        <w:rPr>
          <w:rFonts w:ascii="Times New Roman" w:eastAsia="Times New Roman" w:hAnsi="Times New Roman" w:cs="Times New Roman"/>
          <w:color w:val="000000"/>
          <w:sz w:val="20"/>
          <w:szCs w:val="20"/>
        </w:rPr>
        <w:t>EU: European Union</w:t>
      </w:r>
    </w:p>
    <w:p w14:paraId="17086D26" w14:textId="77777777" w:rsidR="007373F6" w:rsidRPr="00CA3E0F" w:rsidRDefault="00000000">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sidRPr="00CA3E0F">
        <w:rPr>
          <w:rFonts w:ascii="Times New Roman" w:eastAsia="Times New Roman" w:hAnsi="Times New Roman" w:cs="Times New Roman"/>
          <w:color w:val="000000"/>
          <w:sz w:val="20"/>
          <w:szCs w:val="20"/>
        </w:rPr>
        <w:t>FY: fiscal year</w:t>
      </w:r>
    </w:p>
    <w:p w14:paraId="394FFE95" w14:textId="77777777" w:rsidR="007373F6" w:rsidRPr="00CA3E0F" w:rsidRDefault="00000000">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sidRPr="00CA3E0F">
        <w:rPr>
          <w:rFonts w:ascii="Times New Roman" w:eastAsia="Times New Roman" w:hAnsi="Times New Roman" w:cs="Times New Roman"/>
          <w:color w:val="000000"/>
          <w:sz w:val="20"/>
          <w:szCs w:val="20"/>
        </w:rPr>
        <w:t>IFRS: International Financial Reporting Standards</w:t>
      </w:r>
    </w:p>
    <w:p w14:paraId="4CE6614F" w14:textId="77777777" w:rsidR="007373F6" w:rsidRPr="00CA3E0F" w:rsidRDefault="00000000">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sidRPr="00CA3E0F">
        <w:rPr>
          <w:rFonts w:ascii="Times New Roman" w:eastAsia="Times New Roman" w:hAnsi="Times New Roman" w:cs="Times New Roman"/>
          <w:color w:val="000000"/>
          <w:sz w:val="20"/>
          <w:szCs w:val="20"/>
        </w:rPr>
        <w:t>J-GAAP: Japanese Generally Accepted Accounting Principles</w:t>
      </w:r>
    </w:p>
    <w:p w14:paraId="3D3002F8" w14:textId="77777777" w:rsidR="007373F6" w:rsidRPr="00CA3E0F" w:rsidRDefault="00000000">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sidRPr="00CA3E0F">
        <w:rPr>
          <w:rFonts w:ascii="Times New Roman" w:eastAsia="Times New Roman" w:hAnsi="Times New Roman" w:cs="Times New Roman"/>
          <w:color w:val="000000"/>
          <w:sz w:val="20"/>
          <w:szCs w:val="20"/>
        </w:rPr>
        <w:t>M&amp;A: Mergers and acquisitions</w:t>
      </w:r>
    </w:p>
    <w:p w14:paraId="75EEB3D1" w14:textId="77777777" w:rsidR="007373F6" w:rsidRPr="00CA3E0F" w:rsidRDefault="00000000">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1"/>
          <w:szCs w:val="21"/>
        </w:rPr>
      </w:pPr>
      <w:r w:rsidRPr="00CA3E0F">
        <w:rPr>
          <w:rFonts w:ascii="Times New Roman" w:eastAsia="Times New Roman" w:hAnsi="Times New Roman" w:cs="Times New Roman"/>
          <w:color w:val="000000"/>
          <w:sz w:val="20"/>
          <w:szCs w:val="20"/>
        </w:rPr>
        <w:t>R&amp;D: Research and development</w:t>
      </w:r>
    </w:p>
  </w:footnote>
  <w:footnote w:id="2">
    <w:p w14:paraId="61753CF4" w14:textId="77777777" w:rsidR="007373F6" w:rsidRPr="00CA3E0F" w:rsidRDefault="00000000">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sidRPr="00CA3E0F">
        <w:rPr>
          <w:rStyle w:val="FootnoteReference"/>
        </w:rPr>
        <w:footnoteRef/>
      </w:r>
      <w:r w:rsidRPr="00CA3E0F">
        <w:rPr>
          <w:rFonts w:ascii="Times New Roman" w:eastAsia="Times New Roman" w:hAnsi="Times New Roman" w:cs="Times New Roman"/>
          <w:color w:val="000000"/>
          <w:sz w:val="20"/>
          <w:szCs w:val="20"/>
        </w:rPr>
        <w:t xml:space="preserve"> Kashiwazaki et al. (2019) find a higher goodwill ratio among IFRS adopters relative to JGAAP users, though they do not detect a significant increase in the goodwill ratio following the voluntary adoption of IFRS.</w:t>
      </w:r>
    </w:p>
  </w:footnote>
  <w:footnote w:id="3">
    <w:p w14:paraId="69B0495C" w14:textId="77777777" w:rsidR="007373F6" w:rsidRPr="00CA3E0F" w:rsidRDefault="00000000">
      <w:pPr>
        <w:ind w:left="210" w:hanging="210"/>
        <w:rPr>
          <w:rFonts w:ascii="AdvP40668" w:eastAsia="AdvP40668" w:hAnsi="AdvP40668" w:cs="AdvP40668"/>
          <w:sz w:val="18"/>
          <w:szCs w:val="18"/>
        </w:rPr>
      </w:pPr>
      <w:r w:rsidRPr="00CA3E0F">
        <w:rPr>
          <w:rStyle w:val="FootnoteReference"/>
        </w:rPr>
        <w:footnoteRef/>
      </w:r>
      <w:r w:rsidRPr="00CA3E0F">
        <w:rPr>
          <w:rFonts w:ascii="Times New Roman" w:eastAsia="Times New Roman" w:hAnsi="Times New Roman" w:cs="Times New Roman"/>
          <w:sz w:val="20"/>
          <w:szCs w:val="20"/>
        </w:rPr>
        <w:t xml:space="preserve"> According to the Nomura Institute of Capital Markets Research, the cross-shareholder ratio declined from 30% in the early 1990s to 7.2% in March 2024. </w:t>
      </w:r>
    </w:p>
  </w:footnote>
  <w:footnote w:id="4">
    <w:p w14:paraId="2AFB3DC4" w14:textId="77777777" w:rsidR="007373F6" w:rsidRPr="00CA3E0F" w:rsidRDefault="00000000">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sidRPr="00CA3E0F">
        <w:rPr>
          <w:rStyle w:val="FootnoteReference"/>
        </w:rPr>
        <w:footnoteRef/>
      </w:r>
      <w:r w:rsidRPr="00CA3E0F">
        <w:rPr>
          <w:rFonts w:ascii="Times New Roman" w:eastAsia="Times New Roman" w:hAnsi="Times New Roman" w:cs="Times New Roman"/>
          <w:color w:val="000000"/>
          <w:sz w:val="20"/>
          <w:szCs w:val="20"/>
        </w:rPr>
        <w:t xml:space="preserve"> Appendix A provides a summary of studies examining the relationship between IFRS adoption and foreign investment. </w:t>
      </w:r>
    </w:p>
  </w:footnote>
  <w:footnote w:id="5">
    <w:p w14:paraId="037D5EE6" w14:textId="77777777" w:rsidR="007373F6" w:rsidRPr="00CA3E0F" w:rsidRDefault="00000000">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sidRPr="00CA3E0F">
        <w:rPr>
          <w:rStyle w:val="FootnoteReference"/>
        </w:rPr>
        <w:footnoteRef/>
      </w:r>
      <w:r w:rsidRPr="00CA3E0F">
        <w:rPr>
          <w:rFonts w:ascii="Times New Roman" w:eastAsia="Times New Roman" w:hAnsi="Times New Roman" w:cs="Times New Roman"/>
          <w:color w:val="000000"/>
          <w:sz w:val="20"/>
          <w:szCs w:val="20"/>
        </w:rPr>
        <w:t xml:space="preserve"> Simultaneously, DeFond et al. (2012) report that foreign investment in US companies declines relative to foreign investment in EU mandatory IFRS adopters.</w:t>
      </w:r>
    </w:p>
  </w:footnote>
  <w:footnote w:id="6">
    <w:p w14:paraId="7BAE5719" w14:textId="77777777" w:rsidR="007373F6" w:rsidRPr="00FC089A"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0"/>
          <w:szCs w:val="20"/>
        </w:rPr>
      </w:pPr>
      <w:r w:rsidRPr="00FC089A">
        <w:rPr>
          <w:rStyle w:val="FootnoteReference"/>
        </w:rPr>
        <w:footnoteRef/>
      </w:r>
      <w:r w:rsidRPr="00FC089A">
        <w:rPr>
          <w:rFonts w:ascii="Times New Roman" w:eastAsia="Times New Roman" w:hAnsi="Times New Roman" w:cs="Times New Roman"/>
          <w:sz w:val="20"/>
          <w:szCs w:val="20"/>
        </w:rPr>
        <w:t xml:space="preserve"> The list of IFRS-adopting firms is available at: </w:t>
      </w:r>
      <w:hyperlink r:id="rId1">
        <w:r w:rsidR="007373F6" w:rsidRPr="00FC089A">
          <w:rPr>
            <w:rFonts w:ascii="Times New Roman" w:eastAsia="Times New Roman" w:hAnsi="Times New Roman" w:cs="Times New Roman"/>
            <w:sz w:val="20"/>
            <w:szCs w:val="20"/>
          </w:rPr>
          <w:t>https://www.jpx.co.jp/equities/improvements/ifrs/02.html</w:t>
        </w:r>
      </w:hyperlink>
      <w:r w:rsidRPr="00FC089A">
        <w:rPr>
          <w:rFonts w:ascii="Times New Roman" w:eastAsia="Times New Roman" w:hAnsi="Times New Roman" w:cs="Times New Roman"/>
          <w:sz w:val="20"/>
          <w:szCs w:val="20"/>
        </w:rPr>
        <w:t xml:space="preserve"> (in Japanese).</w:t>
      </w:r>
    </w:p>
  </w:footnote>
  <w:footnote w:id="7">
    <w:p w14:paraId="6A50471A" w14:textId="77777777" w:rsidR="007373F6" w:rsidRPr="00FC089A"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0"/>
          <w:szCs w:val="20"/>
        </w:rPr>
      </w:pPr>
      <w:r w:rsidRPr="00FC089A">
        <w:rPr>
          <w:rStyle w:val="FootnoteReference"/>
        </w:rPr>
        <w:footnoteRef/>
      </w:r>
      <w:r w:rsidRPr="00FC089A">
        <w:rPr>
          <w:rFonts w:ascii="Times New Roman" w:eastAsia="Times New Roman" w:hAnsi="Times New Roman" w:cs="Times New Roman"/>
          <w:sz w:val="20"/>
          <w:szCs w:val="20"/>
        </w:rPr>
        <w:t xml:space="preserve"> We can measure</w:t>
      </w:r>
      <w:r w:rsidRPr="00FC089A">
        <w:rPr>
          <w:rFonts w:ascii="Times New Roman" w:eastAsia="Times New Roman" w:hAnsi="Times New Roman" w:cs="Times New Roman"/>
          <w:sz w:val="20"/>
          <w:szCs w:val="20"/>
          <w:highlight w:val="white"/>
        </w:rPr>
        <w:t xml:space="preserve"> the foreign shareholder ratio: the number of shares owned by investors or the number of shareholders. Eq. (1) and Kim et al. (2019) employ the former measurement because institutional investors tend to trade larger amounts of shares than individual investors, and thus the number of shares is better to capture the impact of changes in shareholder composition. The latter measurement is also employed as a robustness check.</w:t>
      </w:r>
    </w:p>
  </w:footnote>
  <w:footnote w:id="8">
    <w:p w14:paraId="24C49560" w14:textId="77777777" w:rsidR="007373F6" w:rsidRPr="00FC089A"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0"/>
          <w:szCs w:val="20"/>
        </w:rPr>
      </w:pPr>
      <w:r w:rsidRPr="00FC089A">
        <w:rPr>
          <w:rStyle w:val="FootnoteReference"/>
        </w:rPr>
        <w:footnoteRef/>
      </w:r>
      <w:r w:rsidRPr="00FC089A">
        <w:rPr>
          <w:rFonts w:ascii="Times New Roman" w:eastAsia="Times New Roman" w:hAnsi="Times New Roman" w:cs="Times New Roman"/>
          <w:sz w:val="20"/>
          <w:szCs w:val="20"/>
        </w:rPr>
        <w:t xml:space="preserve"> This prediction also aligns with the findings of Tarca (2004), and Kim and Shi (2012).</w:t>
      </w:r>
    </w:p>
  </w:footnote>
  <w:footnote w:id="9">
    <w:p w14:paraId="24A3510E" w14:textId="77777777" w:rsidR="007373F6" w:rsidRPr="00CA3E0F" w:rsidRDefault="00000000">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sidRPr="00CA3E0F">
        <w:rPr>
          <w:rStyle w:val="FootnoteReference"/>
        </w:rPr>
        <w:footnoteRef/>
      </w:r>
      <w:r w:rsidRPr="00CA3E0F">
        <w:rPr>
          <w:rFonts w:ascii="Times New Roman" w:eastAsia="Times New Roman" w:hAnsi="Times New Roman" w:cs="Times New Roman"/>
          <w:color w:val="000000"/>
          <w:sz w:val="20"/>
          <w:szCs w:val="20"/>
        </w:rPr>
        <w:t xml:space="preserve"> </w:t>
      </w:r>
      <w:r w:rsidRPr="00CA3E0F">
        <w:rPr>
          <w:rFonts w:ascii="Times New Roman" w:eastAsia="Times New Roman" w:hAnsi="Times New Roman" w:cs="Times New Roman"/>
          <w:color w:val="000000"/>
          <w:sz w:val="20"/>
          <w:szCs w:val="20"/>
          <w:highlight w:val="white"/>
        </w:rPr>
        <w:t>Including macroeconomic variables is also useful for controlling for cyclical factors.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F09453" w14:textId="45410462" w:rsidR="007373F6" w:rsidRPr="00CA3E0F" w:rsidRDefault="00F84662" w:rsidP="00F846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b/>
        <w:sz w:val="24"/>
        <w:szCs w:val="24"/>
      </w:rPr>
    </w:pPr>
    <w:bookmarkStart w:id="41" w:name="bookmark=id.w2bjnqn0qb9" w:colFirst="0" w:colLast="0"/>
    <w:bookmarkEnd w:id="41"/>
    <w:r w:rsidRPr="00F84662">
      <w:rPr>
        <w:rFonts w:ascii="Courier New" w:eastAsia="Times New Roman" w:hAnsi="Courier New" w:cs="Courier New"/>
        <w:b/>
        <w:bCs/>
        <w:sz w:val="20"/>
        <w:szCs w:val="20"/>
        <w:lang w:eastAsia="zh-CN"/>
      </w:rPr>
      <w:t>ISSN (Online): To be assigned</w:t>
    </w:r>
    <w:r>
      <w:rPr>
        <w:rFonts w:ascii="Courier New" w:eastAsia="游明朝" w:hAnsi="Courier New" w:cs="Courier New"/>
        <w:b/>
        <w:bCs/>
        <w:sz w:val="20"/>
        <w:szCs w:val="20"/>
        <w:lang w:eastAsia="ja-JP"/>
      </w:rPr>
      <w:br/>
    </w:r>
    <w:r w:rsidR="00000000" w:rsidRPr="00CA3E0F">
      <w:rPr>
        <w:noProof/>
      </w:rPr>
      <w:drawing>
        <wp:anchor distT="0" distB="0" distL="0" distR="0" simplePos="0" relativeHeight="251658240" behindDoc="1" locked="0" layoutInCell="1" hidden="0" allowOverlap="1" wp14:anchorId="0415C2BD" wp14:editId="51DC7918">
          <wp:simplePos x="0" y="0"/>
          <wp:positionH relativeFrom="page">
            <wp:posOffset>6410960</wp:posOffset>
          </wp:positionH>
          <wp:positionV relativeFrom="page">
            <wp:posOffset>75727</wp:posOffset>
          </wp:positionV>
          <wp:extent cx="1127051" cy="956310"/>
          <wp:effectExtent l="0" t="0" r="0" b="0"/>
          <wp:wrapNone/>
          <wp:docPr id="573982383"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
                  <a:srcRect/>
                  <a:stretch>
                    <a:fillRect/>
                  </a:stretch>
                </pic:blipFill>
                <pic:spPr>
                  <a:xfrm rot="10800000">
                    <a:off x="0" y="0"/>
                    <a:ext cx="1127051" cy="956310"/>
                  </a:xfrm>
                  <a:prstGeom prst="rect">
                    <a:avLst/>
                  </a:prstGeom>
                  <a:ln/>
                </pic:spPr>
              </pic:pic>
            </a:graphicData>
          </a:graphic>
        </wp:anchor>
      </w:drawing>
    </w:r>
    <w:r w:rsidR="00000000" w:rsidRPr="00CA3E0F">
      <w:rPr>
        <w:b/>
        <w:noProof/>
        <w:sz w:val="24"/>
        <w:szCs w:val="24"/>
      </w:rPr>
      <w:drawing>
        <wp:anchor distT="0" distB="0" distL="0" distR="0" simplePos="0" relativeHeight="251659264" behindDoc="1" locked="0" layoutInCell="1" hidden="0" allowOverlap="1" wp14:anchorId="121E5C8C" wp14:editId="31D11DA2">
          <wp:simplePos x="0" y="0"/>
          <wp:positionH relativeFrom="page">
            <wp:posOffset>0</wp:posOffset>
          </wp:positionH>
          <wp:positionV relativeFrom="page">
            <wp:posOffset>63500</wp:posOffset>
          </wp:positionV>
          <wp:extent cx="839470" cy="956310"/>
          <wp:effectExtent l="0" t="0" r="0" b="0"/>
          <wp:wrapNone/>
          <wp:docPr id="15081029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
                  <a:srcRect/>
                  <a:stretch>
                    <a:fillRect/>
                  </a:stretch>
                </pic:blipFill>
                <pic:spPr>
                  <a:xfrm>
                    <a:off x="0" y="0"/>
                    <a:ext cx="839470" cy="956310"/>
                  </a:xfrm>
                  <a:prstGeom prst="rect">
                    <a:avLst/>
                  </a:prstGeom>
                  <a:ln/>
                </pic:spPr>
              </pic:pic>
            </a:graphicData>
          </a:graphic>
        </wp:anchor>
      </w:drawing>
    </w:r>
    <w:r w:rsidR="00000000" w:rsidRPr="00CA3E0F">
      <w:rPr>
        <w:b/>
        <w:sz w:val="24"/>
        <w:szCs w:val="24"/>
      </w:rPr>
      <w:t>APMAA 2025 ANNUAL CONFERENCE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50C91"/>
    <w:multiLevelType w:val="multilevel"/>
    <w:tmpl w:val="952E8B56"/>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2F7208"/>
    <w:multiLevelType w:val="multilevel"/>
    <w:tmpl w:val="CB065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E57CD7"/>
    <w:multiLevelType w:val="multilevel"/>
    <w:tmpl w:val="368E43AC"/>
    <w:lvl w:ilvl="0">
      <w:start w:val="3"/>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4F8590D"/>
    <w:multiLevelType w:val="multilevel"/>
    <w:tmpl w:val="3054522C"/>
    <w:lvl w:ilvl="0">
      <w:start w:val="3"/>
      <w:numFmt w:val="decimal"/>
      <w:lvlText w:val="%1."/>
      <w:lvlJc w:val="left"/>
      <w:pPr>
        <w:ind w:left="1080" w:hanging="360"/>
      </w:pPr>
      <w:rPr>
        <w:u w:val="none"/>
      </w:rPr>
    </w:lvl>
    <w:lvl w:ilvl="1">
      <w:start w:val="1"/>
      <w:numFmt w:val="lowerLetter"/>
      <w:lvlText w:val="%2."/>
      <w:lvlJc w:val="left"/>
      <w:pPr>
        <w:ind w:left="1800" w:hanging="360"/>
      </w:pPr>
      <w:rPr>
        <w:u w:val="none"/>
      </w:rPr>
    </w:lvl>
    <w:lvl w:ilvl="2">
      <w:start w:val="1"/>
      <w:numFmt w:val="lowerRoman"/>
      <w:lvlText w:val="%3."/>
      <w:lvlJc w:val="right"/>
      <w:pPr>
        <w:ind w:left="2520" w:hanging="180"/>
      </w:pPr>
      <w:rPr>
        <w:u w:val="none"/>
      </w:rPr>
    </w:lvl>
    <w:lvl w:ilvl="3">
      <w:start w:val="1"/>
      <w:numFmt w:val="decimal"/>
      <w:lvlText w:val="%4."/>
      <w:lvlJc w:val="left"/>
      <w:pPr>
        <w:ind w:left="3240" w:hanging="360"/>
      </w:pPr>
      <w:rPr>
        <w:u w:val="none"/>
      </w:rPr>
    </w:lvl>
    <w:lvl w:ilvl="4">
      <w:start w:val="1"/>
      <w:numFmt w:val="lowerLetter"/>
      <w:lvlText w:val="%5."/>
      <w:lvlJc w:val="left"/>
      <w:pPr>
        <w:ind w:left="3960" w:hanging="360"/>
      </w:pPr>
      <w:rPr>
        <w:u w:val="none"/>
      </w:rPr>
    </w:lvl>
    <w:lvl w:ilvl="5">
      <w:start w:val="1"/>
      <w:numFmt w:val="lowerRoman"/>
      <w:lvlText w:val="%6."/>
      <w:lvlJc w:val="right"/>
      <w:pPr>
        <w:ind w:left="4680" w:hanging="180"/>
      </w:pPr>
      <w:rPr>
        <w:u w:val="none"/>
      </w:rPr>
    </w:lvl>
    <w:lvl w:ilvl="6">
      <w:start w:val="1"/>
      <w:numFmt w:val="decimal"/>
      <w:lvlText w:val="%7."/>
      <w:lvlJc w:val="left"/>
      <w:pPr>
        <w:ind w:left="5400" w:hanging="360"/>
      </w:pPr>
      <w:rPr>
        <w:u w:val="none"/>
      </w:rPr>
    </w:lvl>
    <w:lvl w:ilvl="7">
      <w:start w:val="1"/>
      <w:numFmt w:val="lowerLetter"/>
      <w:lvlText w:val="%8."/>
      <w:lvlJc w:val="left"/>
      <w:pPr>
        <w:ind w:left="6120" w:hanging="360"/>
      </w:pPr>
      <w:rPr>
        <w:u w:val="none"/>
      </w:rPr>
    </w:lvl>
    <w:lvl w:ilvl="8">
      <w:start w:val="1"/>
      <w:numFmt w:val="lowerRoman"/>
      <w:lvlText w:val="%9."/>
      <w:lvlJc w:val="right"/>
      <w:pPr>
        <w:ind w:left="6840" w:hanging="180"/>
      </w:pPr>
      <w:rPr>
        <w:u w:val="none"/>
      </w:rPr>
    </w:lvl>
  </w:abstractNum>
  <w:abstractNum w:abstractNumId="4" w15:restartNumberingAfterBreak="0">
    <w:nsid w:val="050E27A8"/>
    <w:multiLevelType w:val="multilevel"/>
    <w:tmpl w:val="463821DE"/>
    <w:lvl w:ilvl="0">
      <w:start w:val="4"/>
      <w:numFmt w:val="decimal"/>
      <w:lvlText w:val="%1"/>
      <w:lvlJc w:val="left"/>
      <w:pPr>
        <w:ind w:left="480" w:hanging="480"/>
      </w:pPr>
      <w:rPr>
        <w:rFonts w:hint="default"/>
      </w:rPr>
    </w:lvl>
    <w:lvl w:ilvl="1">
      <w:start w:val="2"/>
      <w:numFmt w:val="decimal"/>
      <w:lvlText w:val="%1.%2"/>
      <w:lvlJc w:val="left"/>
      <w:pPr>
        <w:ind w:left="693" w:hanging="48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504" w:hanging="1800"/>
      </w:pPr>
      <w:rPr>
        <w:rFonts w:hint="default"/>
      </w:rPr>
    </w:lvl>
  </w:abstractNum>
  <w:abstractNum w:abstractNumId="5" w15:restartNumberingAfterBreak="0">
    <w:nsid w:val="054276BC"/>
    <w:multiLevelType w:val="multilevel"/>
    <w:tmpl w:val="1ACC48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bCs/>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5553476"/>
    <w:multiLevelType w:val="multilevel"/>
    <w:tmpl w:val="A944012C"/>
    <w:lvl w:ilvl="0">
      <w:start w:val="1"/>
      <w:numFmt w:val="bullet"/>
      <w:lvlText w:val=""/>
      <w:lvlJc w:val="left"/>
      <w:pPr>
        <w:ind w:left="720" w:hanging="360"/>
      </w:pPr>
      <w:rPr>
        <w:rFonts w:ascii="Symbol" w:hAnsi="Symbol" w:hint="default"/>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063F543C"/>
    <w:multiLevelType w:val="multilevel"/>
    <w:tmpl w:val="B61A8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7847D16"/>
    <w:multiLevelType w:val="multilevel"/>
    <w:tmpl w:val="FE106412"/>
    <w:lvl w:ilvl="0">
      <w:start w:val="1"/>
      <w:numFmt w:val="decimal"/>
      <w:lvlText w:val="%1)"/>
      <w:lvlJc w:val="left"/>
      <w:pPr>
        <w:ind w:left="720" w:hanging="360"/>
      </w:pPr>
      <w:rPr>
        <w:rFonts w:hint="default"/>
        <w:sz w:val="20"/>
      </w:rPr>
    </w:lvl>
    <w:lvl w:ilvl="1">
      <w:start w:val="1"/>
      <w:numFmt w:val="decimal"/>
      <w:lvlText w:val="%1.%2."/>
      <w:lvlJc w:val="left"/>
      <w:pPr>
        <w:ind w:left="720" w:hanging="360"/>
      </w:pPr>
      <w:rPr>
        <w:rFonts w:hint="default"/>
        <w:sz w:val="20"/>
      </w:rPr>
    </w:lvl>
    <w:lvl w:ilvl="2">
      <w:start w:val="1"/>
      <w:numFmt w:val="decimal"/>
      <w:lvlText w:val="%1.%2.%3."/>
      <w:lvlJc w:val="left"/>
      <w:pPr>
        <w:ind w:left="1080" w:hanging="720"/>
      </w:pPr>
      <w:rPr>
        <w:rFonts w:hint="default"/>
        <w:sz w:val="20"/>
      </w:rPr>
    </w:lvl>
    <w:lvl w:ilvl="3">
      <w:start w:val="1"/>
      <w:numFmt w:val="decimal"/>
      <w:lvlText w:val="%1.%2.%3.%4."/>
      <w:lvlJc w:val="left"/>
      <w:pPr>
        <w:ind w:left="1080" w:hanging="720"/>
      </w:pPr>
      <w:rPr>
        <w:rFonts w:hint="default"/>
        <w:sz w:val="20"/>
      </w:rPr>
    </w:lvl>
    <w:lvl w:ilvl="4">
      <w:start w:val="1"/>
      <w:numFmt w:val="decimal"/>
      <w:lvlText w:val="%1.%2.%3.%4.%5."/>
      <w:lvlJc w:val="left"/>
      <w:pPr>
        <w:ind w:left="1440" w:hanging="1080"/>
      </w:pPr>
      <w:rPr>
        <w:rFonts w:hint="default"/>
        <w:sz w:val="20"/>
      </w:rPr>
    </w:lvl>
    <w:lvl w:ilvl="5">
      <w:start w:val="1"/>
      <w:numFmt w:val="decimal"/>
      <w:lvlText w:val="%1.%2.%3.%4.%5.%6."/>
      <w:lvlJc w:val="left"/>
      <w:pPr>
        <w:ind w:left="1440" w:hanging="1080"/>
      </w:pPr>
      <w:rPr>
        <w:rFonts w:hint="default"/>
        <w:sz w:val="20"/>
      </w:rPr>
    </w:lvl>
    <w:lvl w:ilvl="6">
      <w:start w:val="1"/>
      <w:numFmt w:val="decimal"/>
      <w:lvlText w:val="%1.%2.%3.%4.%5.%6.%7."/>
      <w:lvlJc w:val="left"/>
      <w:pPr>
        <w:ind w:left="1800" w:hanging="1440"/>
      </w:pPr>
      <w:rPr>
        <w:rFonts w:hint="default"/>
        <w:sz w:val="20"/>
      </w:rPr>
    </w:lvl>
    <w:lvl w:ilvl="7">
      <w:start w:val="1"/>
      <w:numFmt w:val="decimal"/>
      <w:lvlText w:val="%1.%2.%3.%4.%5.%6.%7.%8."/>
      <w:lvlJc w:val="left"/>
      <w:pPr>
        <w:ind w:left="1800" w:hanging="1440"/>
      </w:pPr>
      <w:rPr>
        <w:rFonts w:hint="default"/>
        <w:sz w:val="20"/>
      </w:rPr>
    </w:lvl>
    <w:lvl w:ilvl="8">
      <w:start w:val="1"/>
      <w:numFmt w:val="decimal"/>
      <w:lvlText w:val="%1.%2.%3.%4.%5.%6.%7.%8.%9."/>
      <w:lvlJc w:val="left"/>
      <w:pPr>
        <w:ind w:left="2160" w:hanging="1800"/>
      </w:pPr>
      <w:rPr>
        <w:rFonts w:hint="default"/>
        <w:sz w:val="20"/>
      </w:rPr>
    </w:lvl>
  </w:abstractNum>
  <w:abstractNum w:abstractNumId="9" w15:restartNumberingAfterBreak="0">
    <w:nsid w:val="07876ABA"/>
    <w:multiLevelType w:val="multilevel"/>
    <w:tmpl w:val="A944012C"/>
    <w:lvl w:ilvl="0">
      <w:start w:val="1"/>
      <w:numFmt w:val="bullet"/>
      <w:lvlText w:val=""/>
      <w:lvlJc w:val="left"/>
      <w:pPr>
        <w:ind w:left="720" w:hanging="360"/>
      </w:pPr>
      <w:rPr>
        <w:rFonts w:ascii="Symbol" w:hAnsi="Symbol" w:hint="default"/>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15:restartNumberingAfterBreak="0">
    <w:nsid w:val="0826550C"/>
    <w:multiLevelType w:val="multilevel"/>
    <w:tmpl w:val="0FB4C5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11" w15:restartNumberingAfterBreak="0">
    <w:nsid w:val="083C0D62"/>
    <w:multiLevelType w:val="multilevel"/>
    <w:tmpl w:val="41C21B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97164B9"/>
    <w:multiLevelType w:val="multilevel"/>
    <w:tmpl w:val="900813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AB74E4A"/>
    <w:multiLevelType w:val="multilevel"/>
    <w:tmpl w:val="8146F5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BD64D50"/>
    <w:multiLevelType w:val="multilevel"/>
    <w:tmpl w:val="058C4574"/>
    <w:lvl w:ilvl="0">
      <w:start w:val="8"/>
      <w:numFmt w:val="decimal"/>
      <w:lvlText w:val="%1"/>
      <w:lvlJc w:val="left"/>
      <w:pPr>
        <w:ind w:left="360" w:hanging="360"/>
      </w:pPr>
      <w:rPr>
        <w:rFonts w:hint="default"/>
        <w:b w:val="0"/>
      </w:rPr>
    </w:lvl>
    <w:lvl w:ilvl="1">
      <w:start w:val="1"/>
      <w:numFmt w:val="decimal"/>
      <w:lvlText w:val="%1.%2"/>
      <w:lvlJc w:val="left"/>
      <w:pPr>
        <w:ind w:left="1800" w:hanging="360"/>
      </w:pPr>
      <w:rPr>
        <w:rFonts w:hint="default"/>
        <w:b/>
        <w:bCs w:val="0"/>
      </w:rPr>
    </w:lvl>
    <w:lvl w:ilvl="2">
      <w:start w:val="1"/>
      <w:numFmt w:val="decimal"/>
      <w:lvlText w:val="%1.%2.%3"/>
      <w:lvlJc w:val="left"/>
      <w:pPr>
        <w:ind w:left="3600" w:hanging="720"/>
      </w:pPr>
      <w:rPr>
        <w:rFonts w:hint="default"/>
        <w:b w:val="0"/>
      </w:rPr>
    </w:lvl>
    <w:lvl w:ilvl="3">
      <w:start w:val="1"/>
      <w:numFmt w:val="decimal"/>
      <w:lvlText w:val="%1.%2.%3.%4"/>
      <w:lvlJc w:val="left"/>
      <w:pPr>
        <w:ind w:left="5040" w:hanging="720"/>
      </w:pPr>
      <w:rPr>
        <w:rFonts w:hint="default"/>
        <w:b w:val="0"/>
      </w:rPr>
    </w:lvl>
    <w:lvl w:ilvl="4">
      <w:start w:val="1"/>
      <w:numFmt w:val="decimal"/>
      <w:lvlText w:val="%1.%2.%3.%4.%5"/>
      <w:lvlJc w:val="left"/>
      <w:pPr>
        <w:ind w:left="6840" w:hanging="1080"/>
      </w:pPr>
      <w:rPr>
        <w:rFonts w:hint="default"/>
        <w:b w:val="0"/>
      </w:rPr>
    </w:lvl>
    <w:lvl w:ilvl="5">
      <w:start w:val="1"/>
      <w:numFmt w:val="decimal"/>
      <w:lvlText w:val="%1.%2.%3.%4.%5.%6"/>
      <w:lvlJc w:val="left"/>
      <w:pPr>
        <w:ind w:left="8280" w:hanging="1080"/>
      </w:pPr>
      <w:rPr>
        <w:rFonts w:hint="default"/>
        <w:b w:val="0"/>
      </w:rPr>
    </w:lvl>
    <w:lvl w:ilvl="6">
      <w:start w:val="1"/>
      <w:numFmt w:val="decimal"/>
      <w:lvlText w:val="%1.%2.%3.%4.%5.%6.%7"/>
      <w:lvlJc w:val="left"/>
      <w:pPr>
        <w:ind w:left="10080" w:hanging="1440"/>
      </w:pPr>
      <w:rPr>
        <w:rFonts w:hint="default"/>
        <w:b w:val="0"/>
      </w:rPr>
    </w:lvl>
    <w:lvl w:ilvl="7">
      <w:start w:val="1"/>
      <w:numFmt w:val="decimal"/>
      <w:lvlText w:val="%1.%2.%3.%4.%5.%6.%7.%8"/>
      <w:lvlJc w:val="left"/>
      <w:pPr>
        <w:ind w:left="11520" w:hanging="1440"/>
      </w:pPr>
      <w:rPr>
        <w:rFonts w:hint="default"/>
        <w:b w:val="0"/>
      </w:rPr>
    </w:lvl>
    <w:lvl w:ilvl="8">
      <w:start w:val="1"/>
      <w:numFmt w:val="decimal"/>
      <w:lvlText w:val="%1.%2.%3.%4.%5.%6.%7.%8.%9"/>
      <w:lvlJc w:val="left"/>
      <w:pPr>
        <w:ind w:left="13320" w:hanging="1800"/>
      </w:pPr>
      <w:rPr>
        <w:rFonts w:hint="default"/>
        <w:b w:val="0"/>
      </w:rPr>
    </w:lvl>
  </w:abstractNum>
  <w:abstractNum w:abstractNumId="15" w15:restartNumberingAfterBreak="0">
    <w:nsid w:val="0CF12881"/>
    <w:multiLevelType w:val="multilevel"/>
    <w:tmpl w:val="137CCE1C"/>
    <w:lvl w:ilvl="0">
      <w:start w:val="1"/>
      <w:numFmt w:val="decimal"/>
      <w:lvlText w:val="%1"/>
      <w:lvlJc w:val="left"/>
      <w:pPr>
        <w:ind w:left="4140" w:hanging="360"/>
      </w:pPr>
      <w:rPr>
        <w:u w:val="none"/>
      </w:rPr>
    </w:lvl>
    <w:lvl w:ilvl="1">
      <w:start w:val="1"/>
      <w:numFmt w:val="decimal"/>
      <w:lvlText w:val="(%2)"/>
      <w:lvlJc w:val="left"/>
      <w:pPr>
        <w:ind w:left="4620" w:hanging="420"/>
      </w:pPr>
      <w:rPr>
        <w:u w:val="none"/>
      </w:rPr>
    </w:lvl>
    <w:lvl w:ilvl="2">
      <w:start w:val="1"/>
      <w:numFmt w:val="decimal"/>
      <w:lvlText w:val="%3"/>
      <w:lvlJc w:val="left"/>
      <w:pPr>
        <w:ind w:left="5040" w:hanging="420"/>
      </w:pPr>
      <w:rPr>
        <w:u w:val="none"/>
      </w:rPr>
    </w:lvl>
    <w:lvl w:ilvl="3">
      <w:start w:val="1"/>
      <w:numFmt w:val="decimal"/>
      <w:lvlText w:val="%4."/>
      <w:lvlJc w:val="left"/>
      <w:pPr>
        <w:ind w:left="5460" w:hanging="420"/>
      </w:pPr>
      <w:rPr>
        <w:u w:val="none"/>
      </w:rPr>
    </w:lvl>
    <w:lvl w:ilvl="4">
      <w:start w:val="1"/>
      <w:numFmt w:val="decimal"/>
      <w:lvlText w:val="(%5)"/>
      <w:lvlJc w:val="left"/>
      <w:pPr>
        <w:ind w:left="5880" w:hanging="420"/>
      </w:pPr>
      <w:rPr>
        <w:u w:val="none"/>
      </w:rPr>
    </w:lvl>
    <w:lvl w:ilvl="5">
      <w:start w:val="1"/>
      <w:numFmt w:val="decimal"/>
      <w:lvlText w:val="%6"/>
      <w:lvlJc w:val="left"/>
      <w:pPr>
        <w:ind w:left="6300" w:hanging="420"/>
      </w:pPr>
      <w:rPr>
        <w:u w:val="none"/>
      </w:rPr>
    </w:lvl>
    <w:lvl w:ilvl="6">
      <w:start w:val="1"/>
      <w:numFmt w:val="decimal"/>
      <w:lvlText w:val="%7."/>
      <w:lvlJc w:val="left"/>
      <w:pPr>
        <w:ind w:left="6720" w:hanging="420"/>
      </w:pPr>
      <w:rPr>
        <w:u w:val="none"/>
      </w:rPr>
    </w:lvl>
    <w:lvl w:ilvl="7">
      <w:start w:val="1"/>
      <w:numFmt w:val="decimal"/>
      <w:lvlText w:val="(%8)"/>
      <w:lvlJc w:val="left"/>
      <w:pPr>
        <w:ind w:left="7140" w:hanging="420"/>
      </w:pPr>
      <w:rPr>
        <w:u w:val="none"/>
      </w:rPr>
    </w:lvl>
    <w:lvl w:ilvl="8">
      <w:start w:val="1"/>
      <w:numFmt w:val="decimal"/>
      <w:lvlText w:val="%9"/>
      <w:lvlJc w:val="left"/>
      <w:pPr>
        <w:ind w:left="7560" w:hanging="420"/>
      </w:pPr>
      <w:rPr>
        <w:u w:val="none"/>
      </w:rPr>
    </w:lvl>
  </w:abstractNum>
  <w:abstractNum w:abstractNumId="16" w15:restartNumberingAfterBreak="0">
    <w:nsid w:val="10C47393"/>
    <w:multiLevelType w:val="multilevel"/>
    <w:tmpl w:val="2B3013D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 w15:restartNumberingAfterBreak="0">
    <w:nsid w:val="13780746"/>
    <w:multiLevelType w:val="multilevel"/>
    <w:tmpl w:val="5406BC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6160373"/>
    <w:multiLevelType w:val="multilevel"/>
    <w:tmpl w:val="1C6E0EA2"/>
    <w:lvl w:ilvl="0">
      <w:start w:val="1"/>
      <w:numFmt w:val="decimal"/>
      <w:lvlText w:val="%1."/>
      <w:lvlJc w:val="lef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19" w15:restartNumberingAfterBreak="0">
    <w:nsid w:val="17B06D18"/>
    <w:multiLevelType w:val="multilevel"/>
    <w:tmpl w:val="19705E76"/>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1916070E"/>
    <w:multiLevelType w:val="hybridMultilevel"/>
    <w:tmpl w:val="8C3E93B0"/>
    <w:lvl w:ilvl="0" w:tplc="43940498">
      <w:start w:val="3"/>
      <w:numFmt w:val="lowerLetter"/>
      <w:lvlText w:val="%1."/>
      <w:lvlJc w:val="left"/>
      <w:pPr>
        <w:tabs>
          <w:tab w:val="num" w:pos="720"/>
        </w:tabs>
        <w:ind w:left="720" w:hanging="360"/>
      </w:pPr>
    </w:lvl>
    <w:lvl w:ilvl="1" w:tplc="89AE75A6" w:tentative="1">
      <w:start w:val="1"/>
      <w:numFmt w:val="decimal"/>
      <w:lvlText w:val="%2."/>
      <w:lvlJc w:val="left"/>
      <w:pPr>
        <w:tabs>
          <w:tab w:val="num" w:pos="1440"/>
        </w:tabs>
        <w:ind w:left="1440" w:hanging="360"/>
      </w:pPr>
    </w:lvl>
    <w:lvl w:ilvl="2" w:tplc="D1B214EA" w:tentative="1">
      <w:start w:val="1"/>
      <w:numFmt w:val="decimal"/>
      <w:lvlText w:val="%3."/>
      <w:lvlJc w:val="left"/>
      <w:pPr>
        <w:tabs>
          <w:tab w:val="num" w:pos="2160"/>
        </w:tabs>
        <w:ind w:left="2160" w:hanging="360"/>
      </w:pPr>
    </w:lvl>
    <w:lvl w:ilvl="3" w:tplc="D0A02AD2" w:tentative="1">
      <w:start w:val="1"/>
      <w:numFmt w:val="decimal"/>
      <w:lvlText w:val="%4."/>
      <w:lvlJc w:val="left"/>
      <w:pPr>
        <w:tabs>
          <w:tab w:val="num" w:pos="2880"/>
        </w:tabs>
        <w:ind w:left="2880" w:hanging="360"/>
      </w:pPr>
    </w:lvl>
    <w:lvl w:ilvl="4" w:tplc="1B3E9FB2" w:tentative="1">
      <w:start w:val="1"/>
      <w:numFmt w:val="decimal"/>
      <w:lvlText w:val="%5."/>
      <w:lvlJc w:val="left"/>
      <w:pPr>
        <w:tabs>
          <w:tab w:val="num" w:pos="3600"/>
        </w:tabs>
        <w:ind w:left="3600" w:hanging="360"/>
      </w:pPr>
    </w:lvl>
    <w:lvl w:ilvl="5" w:tplc="DD8E271A" w:tentative="1">
      <w:start w:val="1"/>
      <w:numFmt w:val="decimal"/>
      <w:lvlText w:val="%6."/>
      <w:lvlJc w:val="left"/>
      <w:pPr>
        <w:tabs>
          <w:tab w:val="num" w:pos="4320"/>
        </w:tabs>
        <w:ind w:left="4320" w:hanging="360"/>
      </w:pPr>
    </w:lvl>
    <w:lvl w:ilvl="6" w:tplc="88A0E46A" w:tentative="1">
      <w:start w:val="1"/>
      <w:numFmt w:val="decimal"/>
      <w:lvlText w:val="%7."/>
      <w:lvlJc w:val="left"/>
      <w:pPr>
        <w:tabs>
          <w:tab w:val="num" w:pos="5040"/>
        </w:tabs>
        <w:ind w:left="5040" w:hanging="360"/>
      </w:pPr>
    </w:lvl>
    <w:lvl w:ilvl="7" w:tplc="34002B68" w:tentative="1">
      <w:start w:val="1"/>
      <w:numFmt w:val="decimal"/>
      <w:lvlText w:val="%8."/>
      <w:lvlJc w:val="left"/>
      <w:pPr>
        <w:tabs>
          <w:tab w:val="num" w:pos="5760"/>
        </w:tabs>
        <w:ind w:left="5760" w:hanging="360"/>
      </w:pPr>
    </w:lvl>
    <w:lvl w:ilvl="8" w:tplc="8418F9BE" w:tentative="1">
      <w:start w:val="1"/>
      <w:numFmt w:val="decimal"/>
      <w:lvlText w:val="%9."/>
      <w:lvlJc w:val="left"/>
      <w:pPr>
        <w:tabs>
          <w:tab w:val="num" w:pos="6480"/>
        </w:tabs>
        <w:ind w:left="6480" w:hanging="360"/>
      </w:pPr>
    </w:lvl>
  </w:abstractNum>
  <w:abstractNum w:abstractNumId="21" w15:restartNumberingAfterBreak="0">
    <w:nsid w:val="1B9736CC"/>
    <w:multiLevelType w:val="multilevel"/>
    <w:tmpl w:val="E85E22D8"/>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1BD8709F"/>
    <w:multiLevelType w:val="multilevel"/>
    <w:tmpl w:val="BCD271F4"/>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3" w15:restartNumberingAfterBreak="0">
    <w:nsid w:val="1BD97FD6"/>
    <w:multiLevelType w:val="hybridMultilevel"/>
    <w:tmpl w:val="EE62A9FE"/>
    <w:lvl w:ilvl="0" w:tplc="FEE05CEE">
      <w:start w:val="2"/>
      <w:numFmt w:val="lowerLetter"/>
      <w:lvlText w:val="%1."/>
      <w:lvlJc w:val="left"/>
      <w:pPr>
        <w:tabs>
          <w:tab w:val="num" w:pos="720"/>
        </w:tabs>
        <w:ind w:left="720" w:hanging="360"/>
      </w:pPr>
    </w:lvl>
    <w:lvl w:ilvl="1" w:tplc="6A4A2AD6" w:tentative="1">
      <w:start w:val="1"/>
      <w:numFmt w:val="decimal"/>
      <w:lvlText w:val="%2."/>
      <w:lvlJc w:val="left"/>
      <w:pPr>
        <w:tabs>
          <w:tab w:val="num" w:pos="1440"/>
        </w:tabs>
        <w:ind w:left="1440" w:hanging="360"/>
      </w:pPr>
    </w:lvl>
    <w:lvl w:ilvl="2" w:tplc="BA8298F4" w:tentative="1">
      <w:start w:val="1"/>
      <w:numFmt w:val="decimal"/>
      <w:lvlText w:val="%3."/>
      <w:lvlJc w:val="left"/>
      <w:pPr>
        <w:tabs>
          <w:tab w:val="num" w:pos="2160"/>
        </w:tabs>
        <w:ind w:left="2160" w:hanging="360"/>
      </w:pPr>
    </w:lvl>
    <w:lvl w:ilvl="3" w:tplc="355A0EB4" w:tentative="1">
      <w:start w:val="1"/>
      <w:numFmt w:val="decimal"/>
      <w:lvlText w:val="%4."/>
      <w:lvlJc w:val="left"/>
      <w:pPr>
        <w:tabs>
          <w:tab w:val="num" w:pos="2880"/>
        </w:tabs>
        <w:ind w:left="2880" w:hanging="360"/>
      </w:pPr>
    </w:lvl>
    <w:lvl w:ilvl="4" w:tplc="5C88218E" w:tentative="1">
      <w:start w:val="1"/>
      <w:numFmt w:val="decimal"/>
      <w:lvlText w:val="%5."/>
      <w:lvlJc w:val="left"/>
      <w:pPr>
        <w:tabs>
          <w:tab w:val="num" w:pos="3600"/>
        </w:tabs>
        <w:ind w:left="3600" w:hanging="360"/>
      </w:pPr>
    </w:lvl>
    <w:lvl w:ilvl="5" w:tplc="B26ED36A" w:tentative="1">
      <w:start w:val="1"/>
      <w:numFmt w:val="decimal"/>
      <w:lvlText w:val="%6."/>
      <w:lvlJc w:val="left"/>
      <w:pPr>
        <w:tabs>
          <w:tab w:val="num" w:pos="4320"/>
        </w:tabs>
        <w:ind w:left="4320" w:hanging="360"/>
      </w:pPr>
    </w:lvl>
    <w:lvl w:ilvl="6" w:tplc="2EF48C4A" w:tentative="1">
      <w:start w:val="1"/>
      <w:numFmt w:val="decimal"/>
      <w:lvlText w:val="%7."/>
      <w:lvlJc w:val="left"/>
      <w:pPr>
        <w:tabs>
          <w:tab w:val="num" w:pos="5040"/>
        </w:tabs>
        <w:ind w:left="5040" w:hanging="360"/>
      </w:pPr>
    </w:lvl>
    <w:lvl w:ilvl="7" w:tplc="59267096" w:tentative="1">
      <w:start w:val="1"/>
      <w:numFmt w:val="decimal"/>
      <w:lvlText w:val="%8."/>
      <w:lvlJc w:val="left"/>
      <w:pPr>
        <w:tabs>
          <w:tab w:val="num" w:pos="5760"/>
        </w:tabs>
        <w:ind w:left="5760" w:hanging="360"/>
      </w:pPr>
    </w:lvl>
    <w:lvl w:ilvl="8" w:tplc="95763332" w:tentative="1">
      <w:start w:val="1"/>
      <w:numFmt w:val="decimal"/>
      <w:lvlText w:val="%9."/>
      <w:lvlJc w:val="left"/>
      <w:pPr>
        <w:tabs>
          <w:tab w:val="num" w:pos="6480"/>
        </w:tabs>
        <w:ind w:left="6480" w:hanging="360"/>
      </w:pPr>
    </w:lvl>
  </w:abstractNum>
  <w:abstractNum w:abstractNumId="24" w15:restartNumberingAfterBreak="0">
    <w:nsid w:val="1D1E5168"/>
    <w:multiLevelType w:val="multilevel"/>
    <w:tmpl w:val="A36620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23745193"/>
    <w:multiLevelType w:val="hybridMultilevel"/>
    <w:tmpl w:val="96B4F8C2"/>
    <w:lvl w:ilvl="0" w:tplc="B7746CF8">
      <w:start w:val="4"/>
      <w:numFmt w:val="lowerLetter"/>
      <w:lvlText w:val="%1."/>
      <w:lvlJc w:val="left"/>
      <w:pPr>
        <w:tabs>
          <w:tab w:val="num" w:pos="720"/>
        </w:tabs>
        <w:ind w:left="720" w:hanging="360"/>
      </w:pPr>
    </w:lvl>
    <w:lvl w:ilvl="1" w:tplc="E1589638" w:tentative="1">
      <w:start w:val="1"/>
      <w:numFmt w:val="decimal"/>
      <w:lvlText w:val="%2."/>
      <w:lvlJc w:val="left"/>
      <w:pPr>
        <w:tabs>
          <w:tab w:val="num" w:pos="1440"/>
        </w:tabs>
        <w:ind w:left="1440" w:hanging="360"/>
      </w:pPr>
    </w:lvl>
    <w:lvl w:ilvl="2" w:tplc="810064E4" w:tentative="1">
      <w:start w:val="1"/>
      <w:numFmt w:val="decimal"/>
      <w:lvlText w:val="%3."/>
      <w:lvlJc w:val="left"/>
      <w:pPr>
        <w:tabs>
          <w:tab w:val="num" w:pos="2160"/>
        </w:tabs>
        <w:ind w:left="2160" w:hanging="360"/>
      </w:pPr>
    </w:lvl>
    <w:lvl w:ilvl="3" w:tplc="DD664564" w:tentative="1">
      <w:start w:val="1"/>
      <w:numFmt w:val="decimal"/>
      <w:lvlText w:val="%4."/>
      <w:lvlJc w:val="left"/>
      <w:pPr>
        <w:tabs>
          <w:tab w:val="num" w:pos="2880"/>
        </w:tabs>
        <w:ind w:left="2880" w:hanging="360"/>
      </w:pPr>
    </w:lvl>
    <w:lvl w:ilvl="4" w:tplc="74846958" w:tentative="1">
      <w:start w:val="1"/>
      <w:numFmt w:val="decimal"/>
      <w:lvlText w:val="%5."/>
      <w:lvlJc w:val="left"/>
      <w:pPr>
        <w:tabs>
          <w:tab w:val="num" w:pos="3600"/>
        </w:tabs>
        <w:ind w:left="3600" w:hanging="360"/>
      </w:pPr>
    </w:lvl>
    <w:lvl w:ilvl="5" w:tplc="B79A3A54" w:tentative="1">
      <w:start w:val="1"/>
      <w:numFmt w:val="decimal"/>
      <w:lvlText w:val="%6."/>
      <w:lvlJc w:val="left"/>
      <w:pPr>
        <w:tabs>
          <w:tab w:val="num" w:pos="4320"/>
        </w:tabs>
        <w:ind w:left="4320" w:hanging="360"/>
      </w:pPr>
    </w:lvl>
    <w:lvl w:ilvl="6" w:tplc="08E800AC" w:tentative="1">
      <w:start w:val="1"/>
      <w:numFmt w:val="decimal"/>
      <w:lvlText w:val="%7."/>
      <w:lvlJc w:val="left"/>
      <w:pPr>
        <w:tabs>
          <w:tab w:val="num" w:pos="5040"/>
        </w:tabs>
        <w:ind w:left="5040" w:hanging="360"/>
      </w:pPr>
    </w:lvl>
    <w:lvl w:ilvl="7" w:tplc="2C0E96D6" w:tentative="1">
      <w:start w:val="1"/>
      <w:numFmt w:val="decimal"/>
      <w:lvlText w:val="%8."/>
      <w:lvlJc w:val="left"/>
      <w:pPr>
        <w:tabs>
          <w:tab w:val="num" w:pos="5760"/>
        </w:tabs>
        <w:ind w:left="5760" w:hanging="360"/>
      </w:pPr>
    </w:lvl>
    <w:lvl w:ilvl="8" w:tplc="13982FAC" w:tentative="1">
      <w:start w:val="1"/>
      <w:numFmt w:val="decimal"/>
      <w:lvlText w:val="%9."/>
      <w:lvlJc w:val="left"/>
      <w:pPr>
        <w:tabs>
          <w:tab w:val="num" w:pos="6480"/>
        </w:tabs>
        <w:ind w:left="6480" w:hanging="360"/>
      </w:pPr>
    </w:lvl>
  </w:abstractNum>
  <w:abstractNum w:abstractNumId="26" w15:restartNumberingAfterBreak="0">
    <w:nsid w:val="24A57B4F"/>
    <w:multiLevelType w:val="multilevel"/>
    <w:tmpl w:val="ABFEE3F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C9220E6"/>
    <w:multiLevelType w:val="multilevel"/>
    <w:tmpl w:val="C14CF57A"/>
    <w:lvl w:ilvl="0">
      <w:start w:val="5"/>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28" w15:restartNumberingAfterBreak="0">
    <w:nsid w:val="2F076292"/>
    <w:multiLevelType w:val="multilevel"/>
    <w:tmpl w:val="778EF872"/>
    <w:lvl w:ilvl="0">
      <w:start w:val="1"/>
      <w:numFmt w:val="decimal"/>
      <w:lvlText w:val="%1."/>
      <w:lvlJc w:val="left"/>
      <w:pPr>
        <w:ind w:left="780" w:hanging="42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29" w15:restartNumberingAfterBreak="0">
    <w:nsid w:val="32EE0A72"/>
    <w:multiLevelType w:val="multilevel"/>
    <w:tmpl w:val="EB642458"/>
    <w:lvl w:ilvl="0">
      <w:start w:val="4"/>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33E339BD"/>
    <w:multiLevelType w:val="multilevel"/>
    <w:tmpl w:val="8E746F38"/>
    <w:lvl w:ilvl="0">
      <w:start w:val="1"/>
      <w:numFmt w:val="decimal"/>
      <w:lvlText w:val="%1"/>
      <w:lvlJc w:val="left"/>
      <w:pPr>
        <w:ind w:left="4140" w:hanging="360"/>
      </w:pPr>
      <w:rPr>
        <w:u w:val="none"/>
      </w:rPr>
    </w:lvl>
    <w:lvl w:ilvl="1">
      <w:start w:val="1"/>
      <w:numFmt w:val="decimal"/>
      <w:lvlText w:val="(%2)"/>
      <w:lvlJc w:val="left"/>
      <w:pPr>
        <w:ind w:left="4620" w:hanging="420"/>
      </w:pPr>
      <w:rPr>
        <w:u w:val="none"/>
      </w:rPr>
    </w:lvl>
    <w:lvl w:ilvl="2">
      <w:start w:val="1"/>
      <w:numFmt w:val="decimal"/>
      <w:lvlText w:val="%3"/>
      <w:lvlJc w:val="left"/>
      <w:pPr>
        <w:ind w:left="5040" w:hanging="420"/>
      </w:pPr>
      <w:rPr>
        <w:u w:val="none"/>
      </w:rPr>
    </w:lvl>
    <w:lvl w:ilvl="3">
      <w:start w:val="1"/>
      <w:numFmt w:val="decimal"/>
      <w:lvlText w:val="%4."/>
      <w:lvlJc w:val="left"/>
      <w:pPr>
        <w:ind w:left="5460" w:hanging="420"/>
      </w:pPr>
      <w:rPr>
        <w:u w:val="none"/>
      </w:rPr>
    </w:lvl>
    <w:lvl w:ilvl="4">
      <w:start w:val="1"/>
      <w:numFmt w:val="decimal"/>
      <w:lvlText w:val="(%5)"/>
      <w:lvlJc w:val="left"/>
      <w:pPr>
        <w:ind w:left="5880" w:hanging="420"/>
      </w:pPr>
      <w:rPr>
        <w:u w:val="none"/>
      </w:rPr>
    </w:lvl>
    <w:lvl w:ilvl="5">
      <w:start w:val="1"/>
      <w:numFmt w:val="decimal"/>
      <w:lvlText w:val="%6"/>
      <w:lvlJc w:val="left"/>
      <w:pPr>
        <w:ind w:left="6300" w:hanging="420"/>
      </w:pPr>
      <w:rPr>
        <w:u w:val="none"/>
      </w:rPr>
    </w:lvl>
    <w:lvl w:ilvl="6">
      <w:start w:val="1"/>
      <w:numFmt w:val="decimal"/>
      <w:lvlText w:val="%7."/>
      <w:lvlJc w:val="left"/>
      <w:pPr>
        <w:ind w:left="6720" w:hanging="420"/>
      </w:pPr>
      <w:rPr>
        <w:u w:val="none"/>
      </w:rPr>
    </w:lvl>
    <w:lvl w:ilvl="7">
      <w:start w:val="1"/>
      <w:numFmt w:val="decimal"/>
      <w:lvlText w:val="(%8)"/>
      <w:lvlJc w:val="left"/>
      <w:pPr>
        <w:ind w:left="7140" w:hanging="420"/>
      </w:pPr>
      <w:rPr>
        <w:u w:val="none"/>
      </w:rPr>
    </w:lvl>
    <w:lvl w:ilvl="8">
      <w:start w:val="1"/>
      <w:numFmt w:val="decimal"/>
      <w:lvlText w:val="%9"/>
      <w:lvlJc w:val="left"/>
      <w:pPr>
        <w:ind w:left="7560" w:hanging="420"/>
      </w:pPr>
      <w:rPr>
        <w:u w:val="none"/>
      </w:rPr>
    </w:lvl>
  </w:abstractNum>
  <w:abstractNum w:abstractNumId="31" w15:restartNumberingAfterBreak="0">
    <w:nsid w:val="349917C2"/>
    <w:multiLevelType w:val="multilevel"/>
    <w:tmpl w:val="62224C3A"/>
    <w:lvl w:ilvl="0">
      <w:start w:val="1"/>
      <w:numFmt w:val="decimal"/>
      <w:lvlText w:val="%1"/>
      <w:lvlJc w:val="left"/>
      <w:pPr>
        <w:ind w:left="420" w:hanging="420"/>
      </w:pPr>
      <w:rPr>
        <w:u w:val="none"/>
      </w:rPr>
    </w:lvl>
    <w:lvl w:ilvl="1">
      <w:start w:val="1"/>
      <w:numFmt w:val="decimal"/>
      <w:lvlText w:val="(%2)"/>
      <w:lvlJc w:val="left"/>
      <w:pPr>
        <w:ind w:left="840" w:hanging="420"/>
      </w:pPr>
      <w:rPr>
        <w:u w:val="none"/>
      </w:rPr>
    </w:lvl>
    <w:lvl w:ilvl="2">
      <w:start w:val="1"/>
      <w:numFmt w:val="decimal"/>
      <w:lvlText w:val="%3"/>
      <w:lvlJc w:val="left"/>
      <w:pPr>
        <w:ind w:left="1260" w:hanging="420"/>
      </w:pPr>
      <w:rPr>
        <w:u w:val="none"/>
      </w:rPr>
    </w:lvl>
    <w:lvl w:ilvl="3">
      <w:start w:val="1"/>
      <w:numFmt w:val="decimal"/>
      <w:lvlText w:val="%4."/>
      <w:lvlJc w:val="left"/>
      <w:pPr>
        <w:ind w:left="1680" w:hanging="420"/>
      </w:pPr>
      <w:rPr>
        <w:u w:val="none"/>
      </w:rPr>
    </w:lvl>
    <w:lvl w:ilvl="4">
      <w:start w:val="1"/>
      <w:numFmt w:val="decimal"/>
      <w:lvlText w:val="(%5)"/>
      <w:lvlJc w:val="left"/>
      <w:pPr>
        <w:ind w:left="2100" w:hanging="420"/>
      </w:pPr>
      <w:rPr>
        <w:u w:val="none"/>
      </w:rPr>
    </w:lvl>
    <w:lvl w:ilvl="5">
      <w:start w:val="1"/>
      <w:numFmt w:val="decimal"/>
      <w:lvlText w:val="%6"/>
      <w:lvlJc w:val="left"/>
      <w:pPr>
        <w:ind w:left="2520" w:hanging="420"/>
      </w:pPr>
      <w:rPr>
        <w:u w:val="none"/>
      </w:rPr>
    </w:lvl>
    <w:lvl w:ilvl="6">
      <w:start w:val="1"/>
      <w:numFmt w:val="decimal"/>
      <w:lvlText w:val="%7."/>
      <w:lvlJc w:val="left"/>
      <w:pPr>
        <w:ind w:left="2940" w:hanging="420"/>
      </w:pPr>
      <w:rPr>
        <w:u w:val="none"/>
      </w:rPr>
    </w:lvl>
    <w:lvl w:ilvl="7">
      <w:start w:val="1"/>
      <w:numFmt w:val="decimal"/>
      <w:lvlText w:val="(%8)"/>
      <w:lvlJc w:val="left"/>
      <w:pPr>
        <w:ind w:left="3360" w:hanging="420"/>
      </w:pPr>
      <w:rPr>
        <w:u w:val="none"/>
      </w:rPr>
    </w:lvl>
    <w:lvl w:ilvl="8">
      <w:start w:val="1"/>
      <w:numFmt w:val="decimal"/>
      <w:lvlText w:val="%9"/>
      <w:lvlJc w:val="left"/>
      <w:pPr>
        <w:ind w:left="3780" w:hanging="420"/>
      </w:pPr>
      <w:rPr>
        <w:u w:val="none"/>
      </w:rPr>
    </w:lvl>
  </w:abstractNum>
  <w:abstractNum w:abstractNumId="32" w15:restartNumberingAfterBreak="0">
    <w:nsid w:val="35845797"/>
    <w:multiLevelType w:val="multilevel"/>
    <w:tmpl w:val="A944012C"/>
    <w:lvl w:ilvl="0">
      <w:start w:val="1"/>
      <w:numFmt w:val="bullet"/>
      <w:lvlText w:val=""/>
      <w:lvlJc w:val="left"/>
      <w:pPr>
        <w:ind w:left="720" w:hanging="360"/>
      </w:pPr>
      <w:rPr>
        <w:rFonts w:ascii="Symbol" w:hAnsi="Symbol" w:hint="default"/>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3" w15:restartNumberingAfterBreak="0">
    <w:nsid w:val="36FF157C"/>
    <w:multiLevelType w:val="multilevel"/>
    <w:tmpl w:val="D9EA9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B946A82"/>
    <w:multiLevelType w:val="hybridMultilevel"/>
    <w:tmpl w:val="AB125D3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3F283013"/>
    <w:multiLevelType w:val="multilevel"/>
    <w:tmpl w:val="F4F63FF2"/>
    <w:lvl w:ilvl="0">
      <w:start w:val="6"/>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36" w15:restartNumberingAfterBreak="0">
    <w:nsid w:val="41EA7290"/>
    <w:multiLevelType w:val="multilevel"/>
    <w:tmpl w:val="95B0F54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438B77F8"/>
    <w:multiLevelType w:val="multilevel"/>
    <w:tmpl w:val="72B4D2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5AD48DE"/>
    <w:multiLevelType w:val="multilevel"/>
    <w:tmpl w:val="460483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463E7771"/>
    <w:multiLevelType w:val="multilevel"/>
    <w:tmpl w:val="25848D4C"/>
    <w:styleLink w:val="CurrentList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4A4860EF"/>
    <w:multiLevelType w:val="multilevel"/>
    <w:tmpl w:val="ED627DC4"/>
    <w:lvl w:ilvl="0">
      <w:start w:val="2"/>
      <w:numFmt w:val="decimal"/>
      <w:lvlText w:val="%1."/>
      <w:lvlJc w:val="left"/>
      <w:pPr>
        <w:ind w:left="720" w:hanging="360"/>
      </w:pPr>
      <w:rPr>
        <w:u w:val="none"/>
      </w:rPr>
    </w:lvl>
    <w:lvl w:ilvl="1">
      <w:start w:val="1"/>
      <w:numFmt w:val="decimal"/>
      <w:lvlText w:val="%1.%2."/>
      <w:lvlJc w:val="left"/>
      <w:pPr>
        <w:ind w:left="720" w:hanging="360"/>
      </w:pPr>
      <w:rPr>
        <w:u w:val="none"/>
      </w:rPr>
    </w:lvl>
    <w:lvl w:ilvl="2">
      <w:start w:val="1"/>
      <w:numFmt w:val="decimal"/>
      <w:lvlText w:val="%1.%2.%3."/>
      <w:lvlJc w:val="left"/>
      <w:pPr>
        <w:ind w:left="1080" w:hanging="720"/>
      </w:pPr>
      <w:rPr>
        <w:u w:val="none"/>
      </w:rPr>
    </w:lvl>
    <w:lvl w:ilvl="3">
      <w:start w:val="1"/>
      <w:numFmt w:val="decimal"/>
      <w:lvlText w:val="%1.%2.%3.%4."/>
      <w:lvlJc w:val="left"/>
      <w:pPr>
        <w:ind w:left="1080" w:hanging="720"/>
      </w:pPr>
      <w:rPr>
        <w:u w:val="none"/>
      </w:rPr>
    </w:lvl>
    <w:lvl w:ilvl="4">
      <w:start w:val="1"/>
      <w:numFmt w:val="decimal"/>
      <w:lvlText w:val="%1.%2.%3.%4.%5."/>
      <w:lvlJc w:val="left"/>
      <w:pPr>
        <w:ind w:left="1440" w:hanging="1080"/>
      </w:pPr>
      <w:rPr>
        <w:u w:val="none"/>
      </w:rPr>
    </w:lvl>
    <w:lvl w:ilvl="5">
      <w:start w:val="1"/>
      <w:numFmt w:val="decimal"/>
      <w:lvlText w:val="%1.%2.%3.%4.%5.%6."/>
      <w:lvlJc w:val="left"/>
      <w:pPr>
        <w:ind w:left="1440" w:hanging="1080"/>
      </w:pPr>
      <w:rPr>
        <w:u w:val="none"/>
      </w:rPr>
    </w:lvl>
    <w:lvl w:ilvl="6">
      <w:start w:val="1"/>
      <w:numFmt w:val="decimal"/>
      <w:lvlText w:val="%1.%2.%3.%4.%5.%6.%7."/>
      <w:lvlJc w:val="left"/>
      <w:pPr>
        <w:ind w:left="1800" w:hanging="1440"/>
      </w:pPr>
      <w:rPr>
        <w:u w:val="none"/>
      </w:rPr>
    </w:lvl>
    <w:lvl w:ilvl="7">
      <w:start w:val="1"/>
      <w:numFmt w:val="decimal"/>
      <w:lvlText w:val="%1.%2.%3.%4.%5.%6.%7.%8."/>
      <w:lvlJc w:val="left"/>
      <w:pPr>
        <w:ind w:left="1800" w:hanging="1440"/>
      </w:pPr>
      <w:rPr>
        <w:u w:val="none"/>
      </w:rPr>
    </w:lvl>
    <w:lvl w:ilvl="8">
      <w:start w:val="1"/>
      <w:numFmt w:val="decimal"/>
      <w:lvlText w:val="%1.%2.%3.%4.%5.%6.%7.%8.%9."/>
      <w:lvlJc w:val="left"/>
      <w:pPr>
        <w:ind w:left="2160" w:hanging="1800"/>
      </w:pPr>
      <w:rPr>
        <w:u w:val="none"/>
      </w:rPr>
    </w:lvl>
  </w:abstractNum>
  <w:abstractNum w:abstractNumId="41" w15:restartNumberingAfterBreak="0">
    <w:nsid w:val="4C8B3922"/>
    <w:multiLevelType w:val="multilevel"/>
    <w:tmpl w:val="32FEC00E"/>
    <w:lvl w:ilvl="0">
      <w:start w:val="5"/>
      <w:numFmt w:val="decimal"/>
      <w:lvlText w:val="%1"/>
      <w:lvlJc w:val="left"/>
      <w:pPr>
        <w:ind w:left="612" w:hanging="612"/>
      </w:pPr>
      <w:rPr>
        <w:rFonts w:hint="default"/>
      </w:rPr>
    </w:lvl>
    <w:lvl w:ilvl="1">
      <w:start w:val="1"/>
      <w:numFmt w:val="decimal"/>
      <w:lvlText w:val="%1.%2"/>
      <w:lvlJc w:val="left"/>
      <w:pPr>
        <w:ind w:left="852" w:hanging="612"/>
      </w:pPr>
      <w:rPr>
        <w:rFonts w:hint="default"/>
      </w:rPr>
    </w:lvl>
    <w:lvl w:ilvl="2">
      <w:start w:val="2"/>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360" w:hanging="1440"/>
      </w:pPr>
      <w:rPr>
        <w:rFonts w:hint="default"/>
      </w:rPr>
    </w:lvl>
  </w:abstractNum>
  <w:abstractNum w:abstractNumId="42" w15:restartNumberingAfterBreak="0">
    <w:nsid w:val="4D113DBF"/>
    <w:multiLevelType w:val="multilevel"/>
    <w:tmpl w:val="1CB24EDE"/>
    <w:lvl w:ilvl="0">
      <w:start w:val="1"/>
      <w:numFmt w:val="decimal"/>
      <w:lvlText w:val="%1."/>
      <w:lvlJc w:val="left"/>
      <w:pPr>
        <w:ind w:left="720" w:hanging="360"/>
      </w:pPr>
      <w:rPr>
        <w:rFonts w:ascii="Times New Roman" w:eastAsia="Times New Roman" w:hAnsi="Times New Roman" w:cs="Times New Roman"/>
        <w:b/>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4E4211B1"/>
    <w:multiLevelType w:val="multilevel"/>
    <w:tmpl w:val="DC182C5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4" w15:restartNumberingAfterBreak="0">
    <w:nsid w:val="4EF12FAA"/>
    <w:multiLevelType w:val="multilevel"/>
    <w:tmpl w:val="AB9AA9CE"/>
    <w:lvl w:ilvl="0">
      <w:start w:val="5"/>
      <w:numFmt w:val="decimal"/>
      <w:lvlText w:val="%1．"/>
      <w:lvlJc w:val="left"/>
      <w:pPr>
        <w:ind w:left="368" w:hanging="368"/>
      </w:pPr>
      <w:rPr>
        <w:u w:val="none"/>
      </w:rPr>
    </w:lvl>
    <w:lvl w:ilvl="1">
      <w:start w:val="1"/>
      <w:numFmt w:val="decimal"/>
      <w:lvlText w:val="(%2)"/>
      <w:lvlJc w:val="left"/>
      <w:pPr>
        <w:ind w:left="880" w:hanging="440"/>
      </w:pPr>
      <w:rPr>
        <w:u w:val="none"/>
      </w:rPr>
    </w:lvl>
    <w:lvl w:ilvl="2">
      <w:start w:val="1"/>
      <w:numFmt w:val="decimal"/>
      <w:lvlText w:val="%3"/>
      <w:lvlJc w:val="left"/>
      <w:pPr>
        <w:ind w:left="1320" w:hanging="440"/>
      </w:pPr>
      <w:rPr>
        <w:u w:val="none"/>
      </w:rPr>
    </w:lvl>
    <w:lvl w:ilvl="3">
      <w:start w:val="1"/>
      <w:numFmt w:val="decimal"/>
      <w:lvlText w:val="%4."/>
      <w:lvlJc w:val="left"/>
      <w:pPr>
        <w:ind w:left="1760" w:hanging="440"/>
      </w:pPr>
      <w:rPr>
        <w:u w:val="none"/>
      </w:rPr>
    </w:lvl>
    <w:lvl w:ilvl="4">
      <w:start w:val="1"/>
      <w:numFmt w:val="decimal"/>
      <w:lvlText w:val="(%5)"/>
      <w:lvlJc w:val="left"/>
      <w:pPr>
        <w:ind w:left="2200" w:hanging="440"/>
      </w:pPr>
      <w:rPr>
        <w:u w:val="none"/>
      </w:rPr>
    </w:lvl>
    <w:lvl w:ilvl="5">
      <w:start w:val="1"/>
      <w:numFmt w:val="decimal"/>
      <w:lvlText w:val="%6"/>
      <w:lvlJc w:val="left"/>
      <w:pPr>
        <w:ind w:left="2640" w:hanging="440"/>
      </w:pPr>
      <w:rPr>
        <w:u w:val="none"/>
      </w:rPr>
    </w:lvl>
    <w:lvl w:ilvl="6">
      <w:start w:val="1"/>
      <w:numFmt w:val="decimal"/>
      <w:lvlText w:val="%7."/>
      <w:lvlJc w:val="left"/>
      <w:pPr>
        <w:ind w:left="3080" w:hanging="440"/>
      </w:pPr>
      <w:rPr>
        <w:u w:val="none"/>
      </w:rPr>
    </w:lvl>
    <w:lvl w:ilvl="7">
      <w:start w:val="1"/>
      <w:numFmt w:val="decimal"/>
      <w:lvlText w:val="(%8)"/>
      <w:lvlJc w:val="left"/>
      <w:pPr>
        <w:ind w:left="3520" w:hanging="440"/>
      </w:pPr>
      <w:rPr>
        <w:u w:val="none"/>
      </w:rPr>
    </w:lvl>
    <w:lvl w:ilvl="8">
      <w:start w:val="1"/>
      <w:numFmt w:val="decimal"/>
      <w:lvlText w:val="%9"/>
      <w:lvlJc w:val="left"/>
      <w:pPr>
        <w:ind w:left="3960" w:hanging="440"/>
      </w:pPr>
      <w:rPr>
        <w:u w:val="none"/>
      </w:rPr>
    </w:lvl>
  </w:abstractNum>
  <w:abstractNum w:abstractNumId="45" w15:restartNumberingAfterBreak="0">
    <w:nsid w:val="52AF57E1"/>
    <w:multiLevelType w:val="multilevel"/>
    <w:tmpl w:val="19D08DA2"/>
    <w:lvl w:ilvl="0">
      <w:start w:val="2"/>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46" w15:restartNumberingAfterBreak="0">
    <w:nsid w:val="53106662"/>
    <w:multiLevelType w:val="multilevel"/>
    <w:tmpl w:val="FDF0AC90"/>
    <w:lvl w:ilvl="0">
      <w:start w:val="3"/>
      <w:numFmt w:val="decimal"/>
      <w:lvlText w:val="%1."/>
      <w:lvlJc w:val="left"/>
      <w:pPr>
        <w:ind w:left="466" w:hanging="360"/>
      </w:pPr>
      <w:rPr>
        <w:u w:val="none"/>
      </w:rPr>
    </w:lvl>
    <w:lvl w:ilvl="1">
      <w:start w:val="3"/>
      <w:numFmt w:val="decimal"/>
      <w:lvlText w:val="%1.%2"/>
      <w:lvlJc w:val="left"/>
      <w:pPr>
        <w:ind w:left="466" w:hanging="360"/>
      </w:pPr>
      <w:rPr>
        <w:u w:val="none"/>
      </w:rPr>
    </w:lvl>
    <w:lvl w:ilvl="2">
      <w:start w:val="1"/>
      <w:numFmt w:val="decimal"/>
      <w:lvlText w:val="%1.%2.%3"/>
      <w:lvlJc w:val="left"/>
      <w:pPr>
        <w:ind w:left="826" w:hanging="720"/>
      </w:pPr>
      <w:rPr>
        <w:u w:val="none"/>
      </w:rPr>
    </w:lvl>
    <w:lvl w:ilvl="3">
      <w:start w:val="1"/>
      <w:numFmt w:val="decimal"/>
      <w:lvlText w:val="%1.%2.%3.%4"/>
      <w:lvlJc w:val="left"/>
      <w:pPr>
        <w:ind w:left="826" w:hanging="720"/>
      </w:pPr>
      <w:rPr>
        <w:u w:val="none"/>
      </w:rPr>
    </w:lvl>
    <w:lvl w:ilvl="4">
      <w:start w:val="1"/>
      <w:numFmt w:val="decimal"/>
      <w:lvlText w:val="%1.%2.%3.%4.%5"/>
      <w:lvlJc w:val="left"/>
      <w:pPr>
        <w:ind w:left="1186" w:hanging="1080"/>
      </w:pPr>
      <w:rPr>
        <w:u w:val="none"/>
      </w:rPr>
    </w:lvl>
    <w:lvl w:ilvl="5">
      <w:start w:val="1"/>
      <w:numFmt w:val="decimal"/>
      <w:lvlText w:val="%1.%2.%3.%4.%5.%6"/>
      <w:lvlJc w:val="left"/>
      <w:pPr>
        <w:ind w:left="1186" w:hanging="1080"/>
      </w:pPr>
      <w:rPr>
        <w:u w:val="none"/>
      </w:rPr>
    </w:lvl>
    <w:lvl w:ilvl="6">
      <w:start w:val="1"/>
      <w:numFmt w:val="decimal"/>
      <w:lvlText w:val="%1.%2.%3.%4.%5.%6.%7"/>
      <w:lvlJc w:val="left"/>
      <w:pPr>
        <w:ind w:left="1546" w:hanging="1440"/>
      </w:pPr>
      <w:rPr>
        <w:u w:val="none"/>
      </w:rPr>
    </w:lvl>
    <w:lvl w:ilvl="7">
      <w:start w:val="1"/>
      <w:numFmt w:val="decimal"/>
      <w:lvlText w:val="%1.%2.%3.%4.%5.%6.%7.%8"/>
      <w:lvlJc w:val="left"/>
      <w:pPr>
        <w:ind w:left="1546" w:hanging="1440"/>
      </w:pPr>
      <w:rPr>
        <w:u w:val="none"/>
      </w:rPr>
    </w:lvl>
    <w:lvl w:ilvl="8">
      <w:start w:val="1"/>
      <w:numFmt w:val="decimal"/>
      <w:lvlText w:val="%1.%2.%3.%4.%5.%6.%7.%8.%9"/>
      <w:lvlJc w:val="left"/>
      <w:pPr>
        <w:ind w:left="1906" w:hanging="1800"/>
      </w:pPr>
      <w:rPr>
        <w:u w:val="none"/>
      </w:rPr>
    </w:lvl>
  </w:abstractNum>
  <w:abstractNum w:abstractNumId="47" w15:restartNumberingAfterBreak="0">
    <w:nsid w:val="539E11B2"/>
    <w:multiLevelType w:val="multilevel"/>
    <w:tmpl w:val="3984E3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558C13B8"/>
    <w:multiLevelType w:val="multilevel"/>
    <w:tmpl w:val="3C66A96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9" w15:restartNumberingAfterBreak="0">
    <w:nsid w:val="55DB7DF3"/>
    <w:multiLevelType w:val="multilevel"/>
    <w:tmpl w:val="3502DB78"/>
    <w:lvl w:ilvl="0">
      <w:start w:val="4"/>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0" w15:restartNumberingAfterBreak="0">
    <w:nsid w:val="5610748C"/>
    <w:multiLevelType w:val="multilevel"/>
    <w:tmpl w:val="A8A40ABA"/>
    <w:lvl w:ilvl="0">
      <w:start w:val="1"/>
      <w:numFmt w:val="decimal"/>
      <w:lvlText w:val="%1."/>
      <w:lvlJc w:val="left"/>
      <w:pPr>
        <w:ind w:left="440" w:hanging="440"/>
      </w:pPr>
      <w:rPr>
        <w:rFonts w:hint="default"/>
        <w:u w:val="none"/>
      </w:rPr>
    </w:lvl>
    <w:lvl w:ilvl="1">
      <w:start w:val="1"/>
      <w:numFmt w:val="decimal"/>
      <w:lvlText w:val="(%2)"/>
      <w:lvlJc w:val="left"/>
      <w:pPr>
        <w:ind w:left="880" w:hanging="440"/>
      </w:pPr>
      <w:rPr>
        <w:rFonts w:hint="default"/>
        <w:u w:val="none"/>
      </w:rPr>
    </w:lvl>
    <w:lvl w:ilvl="2">
      <w:start w:val="1"/>
      <w:numFmt w:val="decimal"/>
      <w:lvlText w:val="%3"/>
      <w:lvlJc w:val="left"/>
      <w:pPr>
        <w:ind w:left="1320" w:hanging="440"/>
      </w:pPr>
      <w:rPr>
        <w:rFonts w:hint="default"/>
        <w:u w:val="none"/>
      </w:rPr>
    </w:lvl>
    <w:lvl w:ilvl="3">
      <w:start w:val="1"/>
      <w:numFmt w:val="decimal"/>
      <w:lvlText w:val="%4."/>
      <w:lvlJc w:val="left"/>
      <w:pPr>
        <w:ind w:left="142" w:firstLine="142"/>
      </w:pPr>
      <w:rPr>
        <w:rFonts w:hint="default"/>
        <w:u w:val="none"/>
      </w:rPr>
    </w:lvl>
    <w:lvl w:ilvl="4">
      <w:start w:val="1"/>
      <w:numFmt w:val="decimal"/>
      <w:lvlText w:val="(%5)"/>
      <w:lvlJc w:val="left"/>
      <w:pPr>
        <w:ind w:left="2200" w:hanging="440"/>
      </w:pPr>
      <w:rPr>
        <w:rFonts w:hint="default"/>
        <w:u w:val="none"/>
      </w:rPr>
    </w:lvl>
    <w:lvl w:ilvl="5">
      <w:start w:val="1"/>
      <w:numFmt w:val="decimal"/>
      <w:lvlText w:val="%6"/>
      <w:lvlJc w:val="left"/>
      <w:pPr>
        <w:ind w:left="2640" w:hanging="440"/>
      </w:pPr>
      <w:rPr>
        <w:rFonts w:hint="default"/>
        <w:u w:val="none"/>
      </w:rPr>
    </w:lvl>
    <w:lvl w:ilvl="6">
      <w:start w:val="1"/>
      <w:numFmt w:val="decimal"/>
      <w:lvlText w:val="%7."/>
      <w:lvlJc w:val="left"/>
      <w:pPr>
        <w:ind w:left="3080" w:hanging="440"/>
      </w:pPr>
      <w:rPr>
        <w:rFonts w:hint="default"/>
        <w:u w:val="none"/>
      </w:rPr>
    </w:lvl>
    <w:lvl w:ilvl="7">
      <w:start w:val="1"/>
      <w:numFmt w:val="decimal"/>
      <w:lvlText w:val="(%8)"/>
      <w:lvlJc w:val="left"/>
      <w:pPr>
        <w:ind w:left="3520" w:hanging="440"/>
      </w:pPr>
      <w:rPr>
        <w:rFonts w:hint="default"/>
        <w:u w:val="none"/>
      </w:rPr>
    </w:lvl>
    <w:lvl w:ilvl="8">
      <w:start w:val="1"/>
      <w:numFmt w:val="decimal"/>
      <w:lvlText w:val="%9"/>
      <w:lvlJc w:val="left"/>
      <w:pPr>
        <w:ind w:left="3960" w:hanging="440"/>
      </w:pPr>
      <w:rPr>
        <w:rFonts w:hint="default"/>
        <w:u w:val="none"/>
      </w:rPr>
    </w:lvl>
  </w:abstractNum>
  <w:abstractNum w:abstractNumId="51" w15:restartNumberingAfterBreak="0">
    <w:nsid w:val="58DC48E2"/>
    <w:multiLevelType w:val="multilevel"/>
    <w:tmpl w:val="9A3C6A44"/>
    <w:lvl w:ilvl="0">
      <w:start w:val="1"/>
      <w:numFmt w:val="decimal"/>
      <w:lvlText w:val="%1"/>
      <w:lvlJc w:val="left"/>
      <w:pPr>
        <w:ind w:left="4140" w:hanging="360"/>
      </w:pPr>
      <w:rPr>
        <w:u w:val="none"/>
      </w:rPr>
    </w:lvl>
    <w:lvl w:ilvl="1">
      <w:start w:val="1"/>
      <w:numFmt w:val="decimal"/>
      <w:lvlText w:val="(%2)"/>
      <w:lvlJc w:val="left"/>
      <w:pPr>
        <w:ind w:left="4620" w:hanging="420"/>
      </w:pPr>
      <w:rPr>
        <w:u w:val="none"/>
      </w:rPr>
    </w:lvl>
    <w:lvl w:ilvl="2">
      <w:start w:val="1"/>
      <w:numFmt w:val="decimal"/>
      <w:lvlText w:val="%3"/>
      <w:lvlJc w:val="left"/>
      <w:pPr>
        <w:ind w:left="5040" w:hanging="420"/>
      </w:pPr>
      <w:rPr>
        <w:u w:val="none"/>
      </w:rPr>
    </w:lvl>
    <w:lvl w:ilvl="3">
      <w:start w:val="1"/>
      <w:numFmt w:val="decimal"/>
      <w:lvlText w:val="%4."/>
      <w:lvlJc w:val="left"/>
      <w:pPr>
        <w:ind w:left="5460" w:hanging="420"/>
      </w:pPr>
      <w:rPr>
        <w:u w:val="none"/>
      </w:rPr>
    </w:lvl>
    <w:lvl w:ilvl="4">
      <w:start w:val="1"/>
      <w:numFmt w:val="decimal"/>
      <w:lvlText w:val="(%5)"/>
      <w:lvlJc w:val="left"/>
      <w:pPr>
        <w:ind w:left="5880" w:hanging="420"/>
      </w:pPr>
      <w:rPr>
        <w:u w:val="none"/>
      </w:rPr>
    </w:lvl>
    <w:lvl w:ilvl="5">
      <w:start w:val="1"/>
      <w:numFmt w:val="decimal"/>
      <w:lvlText w:val="%6"/>
      <w:lvlJc w:val="left"/>
      <w:pPr>
        <w:ind w:left="6300" w:hanging="420"/>
      </w:pPr>
      <w:rPr>
        <w:u w:val="none"/>
      </w:rPr>
    </w:lvl>
    <w:lvl w:ilvl="6">
      <w:start w:val="1"/>
      <w:numFmt w:val="decimal"/>
      <w:lvlText w:val="%7."/>
      <w:lvlJc w:val="left"/>
      <w:pPr>
        <w:ind w:left="6720" w:hanging="420"/>
      </w:pPr>
      <w:rPr>
        <w:u w:val="none"/>
      </w:rPr>
    </w:lvl>
    <w:lvl w:ilvl="7">
      <w:start w:val="1"/>
      <w:numFmt w:val="decimal"/>
      <w:lvlText w:val="(%8)"/>
      <w:lvlJc w:val="left"/>
      <w:pPr>
        <w:ind w:left="7140" w:hanging="420"/>
      </w:pPr>
      <w:rPr>
        <w:u w:val="none"/>
      </w:rPr>
    </w:lvl>
    <w:lvl w:ilvl="8">
      <w:start w:val="1"/>
      <w:numFmt w:val="decimal"/>
      <w:lvlText w:val="%9"/>
      <w:lvlJc w:val="left"/>
      <w:pPr>
        <w:ind w:left="7560" w:hanging="420"/>
      </w:pPr>
      <w:rPr>
        <w:u w:val="none"/>
      </w:rPr>
    </w:lvl>
  </w:abstractNum>
  <w:abstractNum w:abstractNumId="52" w15:restartNumberingAfterBreak="0">
    <w:nsid w:val="5D69577F"/>
    <w:multiLevelType w:val="multilevel"/>
    <w:tmpl w:val="BD7AAC56"/>
    <w:lvl w:ilvl="0">
      <w:start w:val="8"/>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3" w15:restartNumberingAfterBreak="0">
    <w:nsid w:val="666B71C8"/>
    <w:multiLevelType w:val="multilevel"/>
    <w:tmpl w:val="A944012C"/>
    <w:lvl w:ilvl="0">
      <w:start w:val="1"/>
      <w:numFmt w:val="bullet"/>
      <w:lvlText w:val=""/>
      <w:lvlJc w:val="left"/>
      <w:pPr>
        <w:ind w:left="720" w:hanging="360"/>
      </w:pPr>
      <w:rPr>
        <w:rFonts w:ascii="Symbol" w:hAnsi="Symbol" w:hint="default"/>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4" w15:restartNumberingAfterBreak="0">
    <w:nsid w:val="69581D5C"/>
    <w:multiLevelType w:val="multilevel"/>
    <w:tmpl w:val="D6FAE32E"/>
    <w:lvl w:ilvl="0">
      <w:start w:val="3"/>
      <w:numFmt w:val="decimal"/>
      <w:lvlText w:val="%1"/>
      <w:lvlJc w:val="left"/>
      <w:pPr>
        <w:ind w:left="444" w:hanging="444"/>
      </w:pPr>
      <w:rPr>
        <w:rFonts w:hint="default"/>
        <w:b/>
        <w:bCs/>
      </w:rPr>
    </w:lvl>
    <w:lvl w:ilvl="1">
      <w:start w:val="2"/>
      <w:numFmt w:val="decimal"/>
      <w:lvlText w:val="%1.%2"/>
      <w:lvlJc w:val="left"/>
      <w:pPr>
        <w:ind w:left="804" w:hanging="444"/>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5" w15:restartNumberingAfterBreak="0">
    <w:nsid w:val="6C43063C"/>
    <w:multiLevelType w:val="multilevel"/>
    <w:tmpl w:val="BBA4F194"/>
    <w:lvl w:ilvl="0">
      <w:start w:val="1"/>
      <w:numFmt w:val="decimal"/>
      <w:lvlText w:val="(%1)"/>
      <w:lvlJc w:val="right"/>
      <w:pPr>
        <w:ind w:left="720" w:hanging="153"/>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6CD61EC2"/>
    <w:multiLevelType w:val="multilevel"/>
    <w:tmpl w:val="524CA7F8"/>
    <w:lvl w:ilvl="0">
      <w:start w:val="7"/>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57" w15:restartNumberingAfterBreak="0">
    <w:nsid w:val="6EAF6BED"/>
    <w:multiLevelType w:val="multilevel"/>
    <w:tmpl w:val="5D5E40EE"/>
    <w:lvl w:ilvl="0">
      <w:start w:val="3"/>
      <w:numFmt w:val="decimal"/>
      <w:lvlText w:val="%1."/>
      <w:lvlJc w:val="left"/>
      <w:pPr>
        <w:ind w:left="466" w:hanging="360"/>
      </w:pPr>
      <w:rPr>
        <w:u w:val="none"/>
      </w:rPr>
    </w:lvl>
    <w:lvl w:ilvl="1">
      <w:start w:val="1"/>
      <w:numFmt w:val="decimal"/>
      <w:lvlText w:val="(%2)"/>
      <w:lvlJc w:val="left"/>
      <w:pPr>
        <w:ind w:left="986" w:hanging="440"/>
      </w:pPr>
      <w:rPr>
        <w:u w:val="none"/>
      </w:rPr>
    </w:lvl>
    <w:lvl w:ilvl="2">
      <w:start w:val="1"/>
      <w:numFmt w:val="decimal"/>
      <w:lvlText w:val="%3"/>
      <w:lvlJc w:val="left"/>
      <w:pPr>
        <w:ind w:left="1426" w:hanging="440"/>
      </w:pPr>
      <w:rPr>
        <w:u w:val="none"/>
      </w:rPr>
    </w:lvl>
    <w:lvl w:ilvl="3">
      <w:start w:val="1"/>
      <w:numFmt w:val="decimal"/>
      <w:lvlText w:val="%4."/>
      <w:lvlJc w:val="left"/>
      <w:pPr>
        <w:ind w:left="1866" w:hanging="440"/>
      </w:pPr>
      <w:rPr>
        <w:u w:val="none"/>
      </w:rPr>
    </w:lvl>
    <w:lvl w:ilvl="4">
      <w:start w:val="1"/>
      <w:numFmt w:val="decimal"/>
      <w:lvlText w:val="(%5)"/>
      <w:lvlJc w:val="left"/>
      <w:pPr>
        <w:ind w:left="2306" w:hanging="440"/>
      </w:pPr>
      <w:rPr>
        <w:u w:val="none"/>
      </w:rPr>
    </w:lvl>
    <w:lvl w:ilvl="5">
      <w:start w:val="1"/>
      <w:numFmt w:val="decimal"/>
      <w:lvlText w:val="%6"/>
      <w:lvlJc w:val="left"/>
      <w:pPr>
        <w:ind w:left="2746" w:hanging="440"/>
      </w:pPr>
      <w:rPr>
        <w:u w:val="none"/>
      </w:rPr>
    </w:lvl>
    <w:lvl w:ilvl="6">
      <w:start w:val="1"/>
      <w:numFmt w:val="decimal"/>
      <w:lvlText w:val="%7."/>
      <w:lvlJc w:val="left"/>
      <w:pPr>
        <w:ind w:left="3186" w:hanging="440"/>
      </w:pPr>
      <w:rPr>
        <w:u w:val="none"/>
      </w:rPr>
    </w:lvl>
    <w:lvl w:ilvl="7">
      <w:start w:val="1"/>
      <w:numFmt w:val="decimal"/>
      <w:lvlText w:val="(%8)"/>
      <w:lvlJc w:val="left"/>
      <w:pPr>
        <w:ind w:left="3626" w:hanging="440"/>
      </w:pPr>
      <w:rPr>
        <w:u w:val="none"/>
      </w:rPr>
    </w:lvl>
    <w:lvl w:ilvl="8">
      <w:start w:val="1"/>
      <w:numFmt w:val="decimal"/>
      <w:lvlText w:val="%9"/>
      <w:lvlJc w:val="left"/>
      <w:pPr>
        <w:ind w:left="4066" w:hanging="440"/>
      </w:pPr>
      <w:rPr>
        <w:u w:val="none"/>
      </w:rPr>
    </w:lvl>
  </w:abstractNum>
  <w:abstractNum w:abstractNumId="58" w15:restartNumberingAfterBreak="0">
    <w:nsid w:val="716907E4"/>
    <w:multiLevelType w:val="multilevel"/>
    <w:tmpl w:val="BE320CFA"/>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59" w15:restartNumberingAfterBreak="0">
    <w:nsid w:val="75214A2B"/>
    <w:multiLevelType w:val="multilevel"/>
    <w:tmpl w:val="191CA5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 w15:restartNumberingAfterBreak="0">
    <w:nsid w:val="75C43A03"/>
    <w:multiLevelType w:val="multilevel"/>
    <w:tmpl w:val="8C645F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784955D6"/>
    <w:multiLevelType w:val="multilevel"/>
    <w:tmpl w:val="A3D00E42"/>
    <w:lvl w:ilvl="0">
      <w:start w:val="1"/>
      <w:numFmt w:val="decimal"/>
      <w:lvlText w:val="%1."/>
      <w:lvlJc w:val="left"/>
      <w:pPr>
        <w:tabs>
          <w:tab w:val="num" w:pos="720"/>
        </w:tabs>
        <w:ind w:left="720" w:hanging="360"/>
      </w:pPr>
      <w:rPr>
        <w:rFonts w:asciiTheme="majorBidi" w:hAnsiTheme="majorBidi" w:cstheme="majorBidi" w:hint="default"/>
        <w:sz w:val="24"/>
        <w:szCs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7D5D2907"/>
    <w:multiLevelType w:val="hybridMultilevel"/>
    <w:tmpl w:val="5254D5D6"/>
    <w:lvl w:ilvl="0" w:tplc="2FEE3C0C">
      <w:start w:val="5"/>
      <w:numFmt w:val="lowerLetter"/>
      <w:lvlText w:val="%1."/>
      <w:lvlJc w:val="left"/>
      <w:pPr>
        <w:tabs>
          <w:tab w:val="num" w:pos="720"/>
        </w:tabs>
        <w:ind w:left="720" w:hanging="360"/>
      </w:pPr>
    </w:lvl>
    <w:lvl w:ilvl="1" w:tplc="1ED2CF80" w:tentative="1">
      <w:start w:val="1"/>
      <w:numFmt w:val="decimal"/>
      <w:lvlText w:val="%2."/>
      <w:lvlJc w:val="left"/>
      <w:pPr>
        <w:tabs>
          <w:tab w:val="num" w:pos="1440"/>
        </w:tabs>
        <w:ind w:left="1440" w:hanging="360"/>
      </w:pPr>
    </w:lvl>
    <w:lvl w:ilvl="2" w:tplc="E9B43EC4" w:tentative="1">
      <w:start w:val="1"/>
      <w:numFmt w:val="decimal"/>
      <w:lvlText w:val="%3."/>
      <w:lvlJc w:val="left"/>
      <w:pPr>
        <w:tabs>
          <w:tab w:val="num" w:pos="2160"/>
        </w:tabs>
        <w:ind w:left="2160" w:hanging="360"/>
      </w:pPr>
    </w:lvl>
    <w:lvl w:ilvl="3" w:tplc="5D76E0A4" w:tentative="1">
      <w:start w:val="1"/>
      <w:numFmt w:val="decimal"/>
      <w:lvlText w:val="%4."/>
      <w:lvlJc w:val="left"/>
      <w:pPr>
        <w:tabs>
          <w:tab w:val="num" w:pos="2880"/>
        </w:tabs>
        <w:ind w:left="2880" w:hanging="360"/>
      </w:pPr>
    </w:lvl>
    <w:lvl w:ilvl="4" w:tplc="9C54F398" w:tentative="1">
      <w:start w:val="1"/>
      <w:numFmt w:val="decimal"/>
      <w:lvlText w:val="%5."/>
      <w:lvlJc w:val="left"/>
      <w:pPr>
        <w:tabs>
          <w:tab w:val="num" w:pos="3600"/>
        </w:tabs>
        <w:ind w:left="3600" w:hanging="360"/>
      </w:pPr>
    </w:lvl>
    <w:lvl w:ilvl="5" w:tplc="AD10DD92" w:tentative="1">
      <w:start w:val="1"/>
      <w:numFmt w:val="decimal"/>
      <w:lvlText w:val="%6."/>
      <w:lvlJc w:val="left"/>
      <w:pPr>
        <w:tabs>
          <w:tab w:val="num" w:pos="4320"/>
        </w:tabs>
        <w:ind w:left="4320" w:hanging="360"/>
      </w:pPr>
    </w:lvl>
    <w:lvl w:ilvl="6" w:tplc="D084E666" w:tentative="1">
      <w:start w:val="1"/>
      <w:numFmt w:val="decimal"/>
      <w:lvlText w:val="%7."/>
      <w:lvlJc w:val="left"/>
      <w:pPr>
        <w:tabs>
          <w:tab w:val="num" w:pos="5040"/>
        </w:tabs>
        <w:ind w:left="5040" w:hanging="360"/>
      </w:pPr>
    </w:lvl>
    <w:lvl w:ilvl="7" w:tplc="5C827EF6" w:tentative="1">
      <w:start w:val="1"/>
      <w:numFmt w:val="decimal"/>
      <w:lvlText w:val="%8."/>
      <w:lvlJc w:val="left"/>
      <w:pPr>
        <w:tabs>
          <w:tab w:val="num" w:pos="5760"/>
        </w:tabs>
        <w:ind w:left="5760" w:hanging="360"/>
      </w:pPr>
    </w:lvl>
    <w:lvl w:ilvl="8" w:tplc="2E72231A" w:tentative="1">
      <w:start w:val="1"/>
      <w:numFmt w:val="decimal"/>
      <w:lvlText w:val="%9."/>
      <w:lvlJc w:val="left"/>
      <w:pPr>
        <w:tabs>
          <w:tab w:val="num" w:pos="6480"/>
        </w:tabs>
        <w:ind w:left="6480" w:hanging="360"/>
      </w:pPr>
    </w:lvl>
  </w:abstractNum>
  <w:num w:numId="1" w16cid:durableId="1282343025">
    <w:abstractNumId w:val="59"/>
  </w:num>
  <w:num w:numId="2" w16cid:durableId="763766814">
    <w:abstractNumId w:val="40"/>
  </w:num>
  <w:num w:numId="3" w16cid:durableId="1764491419">
    <w:abstractNumId w:val="24"/>
  </w:num>
  <w:num w:numId="4" w16cid:durableId="792750987">
    <w:abstractNumId w:val="31"/>
  </w:num>
  <w:num w:numId="5" w16cid:durableId="1342464542">
    <w:abstractNumId w:val="44"/>
  </w:num>
  <w:num w:numId="6" w16cid:durableId="234630199">
    <w:abstractNumId w:val="51"/>
  </w:num>
  <w:num w:numId="7" w16cid:durableId="8677958">
    <w:abstractNumId w:val="57"/>
  </w:num>
  <w:num w:numId="8" w16cid:durableId="1677033158">
    <w:abstractNumId w:val="49"/>
  </w:num>
  <w:num w:numId="9" w16cid:durableId="1640375849">
    <w:abstractNumId w:val="5"/>
  </w:num>
  <w:num w:numId="10" w16cid:durableId="1829712324">
    <w:abstractNumId w:val="52"/>
  </w:num>
  <w:num w:numId="11" w16cid:durableId="1322853837">
    <w:abstractNumId w:val="16"/>
  </w:num>
  <w:num w:numId="12" w16cid:durableId="2102489881">
    <w:abstractNumId w:val="48"/>
  </w:num>
  <w:num w:numId="13" w16cid:durableId="956184661">
    <w:abstractNumId w:val="42"/>
  </w:num>
  <w:num w:numId="14" w16cid:durableId="1961572937">
    <w:abstractNumId w:val="55"/>
  </w:num>
  <w:num w:numId="15" w16cid:durableId="1898012815">
    <w:abstractNumId w:val="43"/>
  </w:num>
  <w:num w:numId="16" w16cid:durableId="701370822">
    <w:abstractNumId w:val="18"/>
  </w:num>
  <w:num w:numId="17" w16cid:durableId="932712292">
    <w:abstractNumId w:val="38"/>
  </w:num>
  <w:num w:numId="18" w16cid:durableId="1793328007">
    <w:abstractNumId w:val="15"/>
  </w:num>
  <w:num w:numId="19" w16cid:durableId="1609509053">
    <w:abstractNumId w:val="30"/>
  </w:num>
  <w:num w:numId="20" w16cid:durableId="62417634">
    <w:abstractNumId w:val="28"/>
  </w:num>
  <w:num w:numId="21" w16cid:durableId="1252859086">
    <w:abstractNumId w:val="50"/>
  </w:num>
  <w:num w:numId="22" w16cid:durableId="1390302271">
    <w:abstractNumId w:val="3"/>
  </w:num>
  <w:num w:numId="23" w16cid:durableId="1276790543">
    <w:abstractNumId w:val="46"/>
  </w:num>
  <w:num w:numId="24" w16cid:durableId="1411733938">
    <w:abstractNumId w:val="10"/>
  </w:num>
  <w:num w:numId="25" w16cid:durableId="2072994095">
    <w:abstractNumId w:val="39"/>
  </w:num>
  <w:num w:numId="26" w16cid:durableId="599921172">
    <w:abstractNumId w:val="19"/>
  </w:num>
  <w:num w:numId="27" w16cid:durableId="256403820">
    <w:abstractNumId w:val="13"/>
  </w:num>
  <w:num w:numId="28" w16cid:durableId="613705826">
    <w:abstractNumId w:val="60"/>
  </w:num>
  <w:num w:numId="29" w16cid:durableId="587151649">
    <w:abstractNumId w:val="47"/>
  </w:num>
  <w:num w:numId="30" w16cid:durableId="422997421">
    <w:abstractNumId w:val="61"/>
  </w:num>
  <w:num w:numId="31" w16cid:durableId="2096050303">
    <w:abstractNumId w:val="36"/>
    <w:lvlOverride w:ilvl="0">
      <w:lvl w:ilvl="0">
        <w:numFmt w:val="decimal"/>
        <w:lvlText w:val="%1."/>
        <w:lvlJc w:val="left"/>
      </w:lvl>
    </w:lvlOverride>
  </w:num>
  <w:num w:numId="32" w16cid:durableId="836072040">
    <w:abstractNumId w:val="26"/>
    <w:lvlOverride w:ilvl="0">
      <w:lvl w:ilvl="0">
        <w:numFmt w:val="decimal"/>
        <w:lvlText w:val="%1."/>
        <w:lvlJc w:val="left"/>
      </w:lvl>
    </w:lvlOverride>
  </w:num>
  <w:num w:numId="33" w16cid:durableId="1316447411">
    <w:abstractNumId w:val="0"/>
    <w:lvlOverride w:ilvl="0">
      <w:lvl w:ilvl="0">
        <w:numFmt w:val="decimal"/>
        <w:lvlText w:val="%1."/>
        <w:lvlJc w:val="left"/>
      </w:lvl>
    </w:lvlOverride>
    <w:lvlOverride w:ilvl="1">
      <w:lvl w:ilvl="1">
        <w:start w:val="1"/>
        <w:numFmt w:val="decimal"/>
        <w:lvlText w:val="%2."/>
        <w:lvlJc w:val="left"/>
        <w:pPr>
          <w:tabs>
            <w:tab w:val="num" w:pos="1440"/>
          </w:tabs>
          <w:ind w:left="1440" w:hanging="360"/>
        </w:pPr>
      </w:lvl>
    </w:lvlOverride>
    <w:lvlOverride w:ilvl="2">
      <w:lvl w:ilvl="2" w:tentative="1">
        <w:start w:val="1"/>
        <w:numFmt w:val="decimal"/>
        <w:lvlText w:val="%3."/>
        <w:lvlJc w:val="left"/>
        <w:pPr>
          <w:tabs>
            <w:tab w:val="num" w:pos="2160"/>
          </w:tabs>
          <w:ind w:left="2160" w:hanging="360"/>
        </w:pPr>
      </w:lvl>
    </w:lvlOverride>
    <w:lvlOverride w:ilvl="3">
      <w:lvl w:ilvl="3" w:tentative="1">
        <w:start w:val="1"/>
        <w:numFmt w:val="decimal"/>
        <w:lvlText w:val="%4."/>
        <w:lvlJc w:val="left"/>
        <w:pPr>
          <w:tabs>
            <w:tab w:val="num" w:pos="2880"/>
          </w:tabs>
          <w:ind w:left="2880" w:hanging="360"/>
        </w:pPr>
      </w:lvl>
    </w:lvlOverride>
    <w:lvlOverride w:ilvl="4">
      <w:lvl w:ilvl="4" w:tentative="1">
        <w:start w:val="1"/>
        <w:numFmt w:val="decimal"/>
        <w:lvlText w:val="%5."/>
        <w:lvlJc w:val="left"/>
        <w:pPr>
          <w:tabs>
            <w:tab w:val="num" w:pos="3600"/>
          </w:tabs>
          <w:ind w:left="3600" w:hanging="360"/>
        </w:pPr>
      </w:lvl>
    </w:lvlOverride>
    <w:lvlOverride w:ilvl="5">
      <w:lvl w:ilvl="5" w:tentative="1">
        <w:start w:val="1"/>
        <w:numFmt w:val="decimal"/>
        <w:lvlText w:val="%6."/>
        <w:lvlJc w:val="left"/>
        <w:pPr>
          <w:tabs>
            <w:tab w:val="num" w:pos="4320"/>
          </w:tabs>
          <w:ind w:left="4320" w:hanging="360"/>
        </w:pPr>
      </w:lvl>
    </w:lvlOverride>
    <w:lvlOverride w:ilvl="6">
      <w:lvl w:ilvl="6" w:tentative="1">
        <w:start w:val="1"/>
        <w:numFmt w:val="decimal"/>
        <w:lvlText w:val="%7."/>
        <w:lvlJc w:val="left"/>
        <w:pPr>
          <w:tabs>
            <w:tab w:val="num" w:pos="5040"/>
          </w:tabs>
          <w:ind w:left="5040" w:hanging="360"/>
        </w:pPr>
      </w:lvl>
    </w:lvlOverride>
    <w:lvlOverride w:ilvl="7">
      <w:lvl w:ilvl="7" w:tentative="1">
        <w:start w:val="1"/>
        <w:numFmt w:val="decimal"/>
        <w:lvlText w:val="%8."/>
        <w:lvlJc w:val="left"/>
        <w:pPr>
          <w:tabs>
            <w:tab w:val="num" w:pos="5760"/>
          </w:tabs>
          <w:ind w:left="5760" w:hanging="360"/>
        </w:pPr>
      </w:lvl>
    </w:lvlOverride>
    <w:lvlOverride w:ilvl="8">
      <w:lvl w:ilvl="8" w:tentative="1">
        <w:start w:val="1"/>
        <w:numFmt w:val="decimal"/>
        <w:lvlText w:val="%9."/>
        <w:lvlJc w:val="left"/>
        <w:pPr>
          <w:tabs>
            <w:tab w:val="num" w:pos="6480"/>
          </w:tabs>
          <w:ind w:left="6480" w:hanging="360"/>
        </w:pPr>
      </w:lvl>
    </w:lvlOverride>
  </w:num>
  <w:num w:numId="34" w16cid:durableId="391971385">
    <w:abstractNumId w:val="54"/>
  </w:num>
  <w:num w:numId="35" w16cid:durableId="177013972">
    <w:abstractNumId w:val="21"/>
  </w:num>
  <w:num w:numId="36" w16cid:durableId="268244307">
    <w:abstractNumId w:val="22"/>
  </w:num>
  <w:num w:numId="37" w16cid:durableId="640690232">
    <w:abstractNumId w:val="58"/>
  </w:num>
  <w:num w:numId="38" w16cid:durableId="1885557242">
    <w:abstractNumId w:val="27"/>
  </w:num>
  <w:num w:numId="39" w16cid:durableId="858588628">
    <w:abstractNumId w:val="41"/>
  </w:num>
  <w:num w:numId="40" w16cid:durableId="1168134836">
    <w:abstractNumId w:val="35"/>
  </w:num>
  <w:num w:numId="41" w16cid:durableId="540021665">
    <w:abstractNumId w:val="56"/>
  </w:num>
  <w:num w:numId="42" w16cid:durableId="601954335">
    <w:abstractNumId w:val="14"/>
  </w:num>
  <w:num w:numId="43" w16cid:durableId="468667123">
    <w:abstractNumId w:val="7"/>
  </w:num>
  <w:num w:numId="44" w16cid:durableId="1827503496">
    <w:abstractNumId w:val="12"/>
    <w:lvlOverride w:ilvl="0">
      <w:lvl w:ilvl="0">
        <w:numFmt w:val="lowerLetter"/>
        <w:lvlText w:val="%1."/>
        <w:lvlJc w:val="left"/>
      </w:lvl>
    </w:lvlOverride>
  </w:num>
  <w:num w:numId="45" w16cid:durableId="841512085">
    <w:abstractNumId w:val="23"/>
  </w:num>
  <w:num w:numId="46" w16cid:durableId="1567835440">
    <w:abstractNumId w:val="20"/>
  </w:num>
  <w:num w:numId="47" w16cid:durableId="834537333">
    <w:abstractNumId w:val="25"/>
  </w:num>
  <w:num w:numId="48" w16cid:durableId="424423301">
    <w:abstractNumId w:val="37"/>
  </w:num>
  <w:num w:numId="49" w16cid:durableId="1979335253">
    <w:abstractNumId w:val="62"/>
  </w:num>
  <w:num w:numId="50" w16cid:durableId="910044731">
    <w:abstractNumId w:val="11"/>
  </w:num>
  <w:num w:numId="51" w16cid:durableId="334184856">
    <w:abstractNumId w:val="17"/>
    <w:lvlOverride w:ilvl="0">
      <w:lvl w:ilvl="0">
        <w:numFmt w:val="lowerLetter"/>
        <w:lvlText w:val="%1."/>
        <w:lvlJc w:val="left"/>
      </w:lvl>
    </w:lvlOverride>
  </w:num>
  <w:num w:numId="52" w16cid:durableId="1472938080">
    <w:abstractNumId w:val="17"/>
    <w:lvlOverride w:ilvl="0">
      <w:lvl w:ilvl="0">
        <w:numFmt w:val="lowerLetter"/>
        <w:lvlText w:val="%1."/>
        <w:lvlJc w:val="left"/>
      </w:lvl>
    </w:lvlOverride>
  </w:num>
  <w:num w:numId="53" w16cid:durableId="1185362483">
    <w:abstractNumId w:val="17"/>
    <w:lvlOverride w:ilvl="0">
      <w:lvl w:ilvl="0">
        <w:numFmt w:val="lowerLetter"/>
        <w:lvlText w:val="%1."/>
        <w:lvlJc w:val="left"/>
      </w:lvl>
    </w:lvlOverride>
  </w:num>
  <w:num w:numId="54" w16cid:durableId="1604603513">
    <w:abstractNumId w:val="17"/>
    <w:lvlOverride w:ilvl="0">
      <w:lvl w:ilvl="0">
        <w:numFmt w:val="lowerLetter"/>
        <w:lvlText w:val="%1."/>
        <w:lvlJc w:val="left"/>
      </w:lvl>
    </w:lvlOverride>
  </w:num>
  <w:num w:numId="55" w16cid:durableId="204682993">
    <w:abstractNumId w:val="8"/>
  </w:num>
  <w:num w:numId="56" w16cid:durableId="1132136835">
    <w:abstractNumId w:val="2"/>
  </w:num>
  <w:num w:numId="57" w16cid:durableId="1682471098">
    <w:abstractNumId w:val="4"/>
  </w:num>
  <w:num w:numId="58" w16cid:durableId="1221017654">
    <w:abstractNumId w:val="29"/>
  </w:num>
  <w:num w:numId="59" w16cid:durableId="307127947">
    <w:abstractNumId w:val="45"/>
  </w:num>
  <w:num w:numId="60" w16cid:durableId="1707488030">
    <w:abstractNumId w:val="34"/>
  </w:num>
  <w:num w:numId="61" w16cid:durableId="2144613796">
    <w:abstractNumId w:val="6"/>
  </w:num>
  <w:num w:numId="62" w16cid:durableId="565147821">
    <w:abstractNumId w:val="53"/>
  </w:num>
  <w:num w:numId="63" w16cid:durableId="1032149044">
    <w:abstractNumId w:val="9"/>
  </w:num>
  <w:num w:numId="64" w16cid:durableId="2076732000">
    <w:abstractNumId w:val="32"/>
  </w:num>
  <w:num w:numId="65" w16cid:durableId="1338725309">
    <w:abstractNumId w:val="1"/>
  </w:num>
  <w:num w:numId="66" w16cid:durableId="171186340">
    <w:abstractNumId w:val="33"/>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7"/>
  <w:embedTrueTypeFonts/>
  <w:bordersDoNotSurroundHeader/>
  <w:bordersDoNotSurroundFooter/>
  <w:proofState w:spelling="clean" w:grammar="clean"/>
  <w:defaultTabStop w:val="720"/>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xNDOyMDG2NDMwMzE0NTBU0lEKTi0uzszPAykwrAUA0CLh2CwAAAA="/>
  </w:docVars>
  <w:rsids>
    <w:rsidRoot w:val="007373F6"/>
    <w:rsid w:val="00002653"/>
    <w:rsid w:val="0000743C"/>
    <w:rsid w:val="000264B2"/>
    <w:rsid w:val="00040A5E"/>
    <w:rsid w:val="00041190"/>
    <w:rsid w:val="00051807"/>
    <w:rsid w:val="000549B5"/>
    <w:rsid w:val="00055906"/>
    <w:rsid w:val="00075183"/>
    <w:rsid w:val="00084D38"/>
    <w:rsid w:val="00085C8A"/>
    <w:rsid w:val="00093C66"/>
    <w:rsid w:val="00095507"/>
    <w:rsid w:val="000A6BF9"/>
    <w:rsid w:val="000A7905"/>
    <w:rsid w:val="000B03D5"/>
    <w:rsid w:val="00113175"/>
    <w:rsid w:val="001235C0"/>
    <w:rsid w:val="00126859"/>
    <w:rsid w:val="0014274D"/>
    <w:rsid w:val="001554B8"/>
    <w:rsid w:val="0016009C"/>
    <w:rsid w:val="00164D54"/>
    <w:rsid w:val="0017264D"/>
    <w:rsid w:val="00176DEE"/>
    <w:rsid w:val="00182B54"/>
    <w:rsid w:val="001945CD"/>
    <w:rsid w:val="001A48DC"/>
    <w:rsid w:val="001B4019"/>
    <w:rsid w:val="001F1966"/>
    <w:rsid w:val="001F6F74"/>
    <w:rsid w:val="00206862"/>
    <w:rsid w:val="00207215"/>
    <w:rsid w:val="002148A8"/>
    <w:rsid w:val="00216E5F"/>
    <w:rsid w:val="00227715"/>
    <w:rsid w:val="00235DFD"/>
    <w:rsid w:val="00246F5E"/>
    <w:rsid w:val="00251CBD"/>
    <w:rsid w:val="0025367D"/>
    <w:rsid w:val="00265BE8"/>
    <w:rsid w:val="002748F8"/>
    <w:rsid w:val="00284585"/>
    <w:rsid w:val="00284A10"/>
    <w:rsid w:val="00291FCB"/>
    <w:rsid w:val="002A27AB"/>
    <w:rsid w:val="002A608A"/>
    <w:rsid w:val="002A7284"/>
    <w:rsid w:val="002D3FBC"/>
    <w:rsid w:val="002D70B0"/>
    <w:rsid w:val="002F7C2E"/>
    <w:rsid w:val="00314B68"/>
    <w:rsid w:val="00316EED"/>
    <w:rsid w:val="003210D9"/>
    <w:rsid w:val="003277CA"/>
    <w:rsid w:val="00337E5E"/>
    <w:rsid w:val="00343684"/>
    <w:rsid w:val="00345FC5"/>
    <w:rsid w:val="003A4D03"/>
    <w:rsid w:val="003F24DA"/>
    <w:rsid w:val="00417DE1"/>
    <w:rsid w:val="00452E14"/>
    <w:rsid w:val="004622BA"/>
    <w:rsid w:val="00477706"/>
    <w:rsid w:val="00480C0A"/>
    <w:rsid w:val="00486B95"/>
    <w:rsid w:val="004A26E2"/>
    <w:rsid w:val="004C1F29"/>
    <w:rsid w:val="004C7167"/>
    <w:rsid w:val="004E08DD"/>
    <w:rsid w:val="004E2E97"/>
    <w:rsid w:val="004F735C"/>
    <w:rsid w:val="00514396"/>
    <w:rsid w:val="00534D80"/>
    <w:rsid w:val="00573C36"/>
    <w:rsid w:val="0057651F"/>
    <w:rsid w:val="00584CBB"/>
    <w:rsid w:val="005913CC"/>
    <w:rsid w:val="005A3D6D"/>
    <w:rsid w:val="005C2D72"/>
    <w:rsid w:val="005D0733"/>
    <w:rsid w:val="005D6D1B"/>
    <w:rsid w:val="005E7974"/>
    <w:rsid w:val="005F6997"/>
    <w:rsid w:val="00612A51"/>
    <w:rsid w:val="00634B41"/>
    <w:rsid w:val="006353BF"/>
    <w:rsid w:val="00636A7B"/>
    <w:rsid w:val="0064078F"/>
    <w:rsid w:val="006503DF"/>
    <w:rsid w:val="006630A6"/>
    <w:rsid w:val="006A3C1D"/>
    <w:rsid w:val="006E254C"/>
    <w:rsid w:val="007008AE"/>
    <w:rsid w:val="007028C4"/>
    <w:rsid w:val="00707642"/>
    <w:rsid w:val="00711EC1"/>
    <w:rsid w:val="00712107"/>
    <w:rsid w:val="00720ABA"/>
    <w:rsid w:val="0072106A"/>
    <w:rsid w:val="00722934"/>
    <w:rsid w:val="007373F6"/>
    <w:rsid w:val="00742AE5"/>
    <w:rsid w:val="00746567"/>
    <w:rsid w:val="00752161"/>
    <w:rsid w:val="007624C0"/>
    <w:rsid w:val="00773D10"/>
    <w:rsid w:val="007A05D7"/>
    <w:rsid w:val="007A6445"/>
    <w:rsid w:val="007B28DB"/>
    <w:rsid w:val="007B76E2"/>
    <w:rsid w:val="007C3276"/>
    <w:rsid w:val="007D1FCB"/>
    <w:rsid w:val="007D37A4"/>
    <w:rsid w:val="007E3BBC"/>
    <w:rsid w:val="007E6FFA"/>
    <w:rsid w:val="008142FB"/>
    <w:rsid w:val="008302F9"/>
    <w:rsid w:val="008306D0"/>
    <w:rsid w:val="0083168C"/>
    <w:rsid w:val="0083214D"/>
    <w:rsid w:val="00843B2B"/>
    <w:rsid w:val="0085055A"/>
    <w:rsid w:val="008513EC"/>
    <w:rsid w:val="00855DCB"/>
    <w:rsid w:val="00856618"/>
    <w:rsid w:val="00896211"/>
    <w:rsid w:val="008A4FF9"/>
    <w:rsid w:val="008B3C6A"/>
    <w:rsid w:val="008D34F4"/>
    <w:rsid w:val="008D61D8"/>
    <w:rsid w:val="008F0049"/>
    <w:rsid w:val="008F1088"/>
    <w:rsid w:val="00921D9A"/>
    <w:rsid w:val="00977FBB"/>
    <w:rsid w:val="00991C05"/>
    <w:rsid w:val="009A01E7"/>
    <w:rsid w:val="009C0B63"/>
    <w:rsid w:val="009C1AE1"/>
    <w:rsid w:val="009E2893"/>
    <w:rsid w:val="009E2EBF"/>
    <w:rsid w:val="009E6F11"/>
    <w:rsid w:val="00A05A0A"/>
    <w:rsid w:val="00A16093"/>
    <w:rsid w:val="00A2090C"/>
    <w:rsid w:val="00A2157C"/>
    <w:rsid w:val="00A30CD4"/>
    <w:rsid w:val="00A30F98"/>
    <w:rsid w:val="00A40E81"/>
    <w:rsid w:val="00A458A2"/>
    <w:rsid w:val="00A63A9E"/>
    <w:rsid w:val="00A81BCB"/>
    <w:rsid w:val="00AA2E22"/>
    <w:rsid w:val="00AC0509"/>
    <w:rsid w:val="00AD2142"/>
    <w:rsid w:val="00B10BC9"/>
    <w:rsid w:val="00B25E09"/>
    <w:rsid w:val="00B85640"/>
    <w:rsid w:val="00B93BA5"/>
    <w:rsid w:val="00BB1AB4"/>
    <w:rsid w:val="00BB70BA"/>
    <w:rsid w:val="00BC39F6"/>
    <w:rsid w:val="00BC7416"/>
    <w:rsid w:val="00BE09AC"/>
    <w:rsid w:val="00BE6AA8"/>
    <w:rsid w:val="00C033B5"/>
    <w:rsid w:val="00C0453F"/>
    <w:rsid w:val="00C40407"/>
    <w:rsid w:val="00C672C9"/>
    <w:rsid w:val="00C7343A"/>
    <w:rsid w:val="00C83BAC"/>
    <w:rsid w:val="00CA3E0F"/>
    <w:rsid w:val="00CB0900"/>
    <w:rsid w:val="00CB43F7"/>
    <w:rsid w:val="00CC0525"/>
    <w:rsid w:val="00CE121B"/>
    <w:rsid w:val="00D01771"/>
    <w:rsid w:val="00D15289"/>
    <w:rsid w:val="00D55573"/>
    <w:rsid w:val="00D60F21"/>
    <w:rsid w:val="00D61F58"/>
    <w:rsid w:val="00D73832"/>
    <w:rsid w:val="00DA769C"/>
    <w:rsid w:val="00DB0C2D"/>
    <w:rsid w:val="00DD4692"/>
    <w:rsid w:val="00DD6A02"/>
    <w:rsid w:val="00DF703D"/>
    <w:rsid w:val="00E113CF"/>
    <w:rsid w:val="00E11EED"/>
    <w:rsid w:val="00E21B11"/>
    <w:rsid w:val="00E264F6"/>
    <w:rsid w:val="00E47FFE"/>
    <w:rsid w:val="00E53478"/>
    <w:rsid w:val="00E5491D"/>
    <w:rsid w:val="00E60B65"/>
    <w:rsid w:val="00E63D5E"/>
    <w:rsid w:val="00E90462"/>
    <w:rsid w:val="00EA1419"/>
    <w:rsid w:val="00EB6F7E"/>
    <w:rsid w:val="00EC0CF4"/>
    <w:rsid w:val="00ED0FAF"/>
    <w:rsid w:val="00F1138D"/>
    <w:rsid w:val="00F5553B"/>
    <w:rsid w:val="00F72F9E"/>
    <w:rsid w:val="00F84662"/>
    <w:rsid w:val="00F85941"/>
    <w:rsid w:val="00FA0542"/>
    <w:rsid w:val="00FA34FC"/>
    <w:rsid w:val="00FC089A"/>
    <w:rsid w:val="00FC7CAE"/>
    <w:rsid w:val="00FF67F5"/>
  </w:rsids>
  <m:mathPr>
    <m:mathFont m:val="Cambria Math"/>
    <m:brkBin m:val="before"/>
    <m:brkBinSub m:val="--"/>
    <m:smallFrac m:val="0"/>
    <m:dispDef/>
    <m:lMargin m:val="0"/>
    <m:rMargin m:val="0"/>
    <m:defJc m:val="centerGroup"/>
    <m:wrapIndent m:val="1440"/>
    <m:intLim m:val="subSup"/>
    <m:naryLim m:val="undOvr"/>
  </m:mathPr>
  <w:themeFontLang w:val="en-MY" w:eastAsia="ko-KR"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50BA85F0"/>
  <w15:docId w15:val="{1B0E79F6-211C-441A-8BC8-756566FE33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ＭＳ 明朝" w:hAnsi="Calibri" w:cs="Calibri"/>
        <w:sz w:val="22"/>
        <w:szCs w:val="22"/>
        <w:lang w:val="en" w:eastAsia="en-MY"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iPriority="0" w:unhideWhenUsed="1" w:qFormat="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1419"/>
    <w:rPr>
      <w:lang w:val="en-MY"/>
    </w:rPr>
  </w:style>
  <w:style w:type="paragraph" w:styleId="Heading1">
    <w:name w:val="heading 1"/>
    <w:basedOn w:val="Normal"/>
    <w:next w:val="Normal"/>
    <w:link w:val="Heading1Char"/>
    <w:uiPriority w:val="9"/>
    <w:qFormat/>
    <w:pPr>
      <w:keepNext/>
      <w:keepLines/>
      <w:spacing w:before="40" w:after="0"/>
      <w:jc w:val="both"/>
      <w:outlineLvl w:val="0"/>
    </w:pPr>
    <w:rPr>
      <w:rFonts w:ascii="Times New Roman" w:eastAsia="Times New Roman" w:hAnsi="Times New Roman" w:cs="Times New Roman"/>
      <w:b/>
      <w:sz w:val="26"/>
      <w:szCs w:val="26"/>
    </w:rPr>
  </w:style>
  <w:style w:type="paragraph" w:styleId="Heading2">
    <w:name w:val="heading 2"/>
    <w:basedOn w:val="Normal"/>
    <w:next w:val="Normal"/>
    <w:link w:val="Heading2Char"/>
    <w:unhideWhenUsed/>
    <w:qFormat/>
    <w:pPr>
      <w:keepNext/>
      <w:keepLines/>
      <w:spacing w:before="40" w:after="240"/>
      <w:jc w:val="center"/>
      <w:outlineLvl w:val="1"/>
    </w:pPr>
    <w:rPr>
      <w:rFonts w:ascii="Times New Roman" w:eastAsia="Times New Roman" w:hAnsi="Times New Roman" w:cs="Times New Roman"/>
      <w:b/>
      <w:sz w:val="26"/>
      <w:szCs w:val="26"/>
    </w:rPr>
  </w:style>
  <w:style w:type="paragraph" w:styleId="Heading3">
    <w:name w:val="heading 3"/>
    <w:basedOn w:val="Normal"/>
    <w:next w:val="Normal"/>
    <w:link w:val="Heading3Char"/>
    <w:unhideWhenUsed/>
    <w:qFormat/>
    <w:pPr>
      <w:keepNext/>
      <w:keepLines/>
      <w:spacing w:before="40" w:after="0"/>
      <w:outlineLvl w:val="2"/>
    </w:pPr>
    <w:rPr>
      <w:color w:val="1E4D78"/>
      <w:sz w:val="24"/>
      <w:szCs w:val="24"/>
    </w:rPr>
  </w:style>
  <w:style w:type="paragraph" w:styleId="Heading4">
    <w:name w:val="heading 4"/>
    <w:basedOn w:val="Normal"/>
    <w:next w:val="Normal"/>
    <w:link w:val="Heading4Char"/>
    <w:unhideWhenUsed/>
    <w:qFormat/>
    <w:pPr>
      <w:keepNext/>
      <w:keepLines/>
      <w:spacing w:before="40" w:after="0"/>
      <w:outlineLvl w:val="3"/>
    </w:pPr>
    <w:rPr>
      <w:rFonts w:ascii="Cambria" w:eastAsia="Cambria" w:hAnsi="Cambria" w:cs="Cambria"/>
      <w:b/>
      <w:i/>
      <w:color w:val="4F81BD"/>
    </w:rPr>
  </w:style>
  <w:style w:type="paragraph" w:styleId="Heading5">
    <w:name w:val="heading 5"/>
    <w:basedOn w:val="Normal"/>
    <w:next w:val="Normal"/>
    <w:link w:val="Heading5Char"/>
    <w:unhideWhenUsed/>
    <w:qFormat/>
    <w:pPr>
      <w:keepNext/>
      <w:keepLines/>
      <w:spacing w:before="40" w:after="0"/>
      <w:outlineLvl w:val="4"/>
    </w:pPr>
    <w:rPr>
      <w:color w:val="0F4761"/>
    </w:rPr>
  </w:style>
  <w:style w:type="paragraph" w:styleId="Heading6">
    <w:name w:val="heading 6"/>
    <w:basedOn w:val="Normal"/>
    <w:next w:val="Normal"/>
    <w:link w:val="Heading6Char"/>
    <w:unhideWhenUsed/>
    <w:qFormat/>
    <w:pPr>
      <w:keepNext/>
      <w:keepLines/>
      <w:spacing w:before="40" w:after="0"/>
      <w:outlineLvl w:val="5"/>
    </w:pPr>
    <w:rPr>
      <w:i/>
      <w:color w:val="595959"/>
    </w:rPr>
  </w:style>
  <w:style w:type="paragraph" w:styleId="Heading7">
    <w:name w:val="heading 7"/>
    <w:basedOn w:val="Normal"/>
    <w:next w:val="Normal"/>
    <w:link w:val="Heading7Char"/>
    <w:uiPriority w:val="9"/>
    <w:semiHidden/>
    <w:unhideWhenUsed/>
    <w:qFormat/>
    <w:rsid w:val="00934383"/>
    <w:pPr>
      <w:keepNext/>
      <w:keepLines/>
      <w:spacing w:before="40" w:after="0"/>
      <w:outlineLvl w:val="6"/>
    </w:pPr>
    <w:rPr>
      <w:rFonts w:eastAsia="游ゴシック Light" w:cs="Times New Roman"/>
      <w:color w:val="595959"/>
    </w:rPr>
  </w:style>
  <w:style w:type="paragraph" w:styleId="Heading8">
    <w:name w:val="heading 8"/>
    <w:basedOn w:val="Normal"/>
    <w:next w:val="Normal"/>
    <w:link w:val="Heading8Char"/>
    <w:uiPriority w:val="9"/>
    <w:semiHidden/>
    <w:unhideWhenUsed/>
    <w:qFormat/>
    <w:rsid w:val="00934383"/>
    <w:pPr>
      <w:keepNext/>
      <w:keepLines/>
      <w:spacing w:before="40" w:after="0"/>
      <w:outlineLvl w:val="7"/>
    </w:pPr>
    <w:rPr>
      <w:rFonts w:eastAsia="游ゴシック Light" w:cs="Times New Roman"/>
      <w:i/>
      <w:iCs/>
      <w:color w:val="272727"/>
    </w:rPr>
  </w:style>
  <w:style w:type="paragraph" w:styleId="Heading9">
    <w:name w:val="heading 9"/>
    <w:basedOn w:val="Normal"/>
    <w:next w:val="Normal"/>
    <w:link w:val="Heading9Char"/>
    <w:uiPriority w:val="9"/>
    <w:semiHidden/>
    <w:unhideWhenUsed/>
    <w:qFormat/>
    <w:rsid w:val="00934383"/>
    <w:pPr>
      <w:keepNext/>
      <w:keepLines/>
      <w:spacing w:before="40" w:after="0"/>
      <w:outlineLvl w:val="8"/>
    </w:pPr>
    <w:rPr>
      <w:rFonts w:eastAsia="游ゴシック Light" w:cs="Times New Roman"/>
      <w:color w:val="2727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qFormat/>
    <w:pPr>
      <w:spacing w:after="0" w:line="240" w:lineRule="auto"/>
    </w:pPr>
    <w:rPr>
      <w:rFonts w:ascii="Times New Roman" w:eastAsia="Times New Roman" w:hAnsi="Times New Roman" w:cs="Times New Roman"/>
      <w:b/>
      <w:smallCaps/>
      <w:color w:val="000000"/>
      <w:sz w:val="28"/>
      <w:szCs w:val="28"/>
    </w:rPr>
  </w:style>
  <w:style w:type="character" w:customStyle="1" w:styleId="Heading1Char">
    <w:name w:val="Heading 1 Char"/>
    <w:basedOn w:val="DefaultParagraphFont"/>
    <w:link w:val="Heading1"/>
    <w:uiPriority w:val="9"/>
    <w:qFormat/>
    <w:rsid w:val="00D97E3F"/>
    <w:rPr>
      <w:rFonts w:asciiTheme="majorHAnsi" w:eastAsiaTheme="majorEastAsia" w:hAnsiTheme="majorHAnsi" w:cstheme="majorBidi"/>
      <w:color w:val="2E74B5" w:themeColor="accent1" w:themeShade="BF"/>
      <w:sz w:val="32"/>
      <w:szCs w:val="32"/>
      <w:lang w:val="en-ID"/>
    </w:rPr>
  </w:style>
  <w:style w:type="character" w:customStyle="1" w:styleId="Heading2Char">
    <w:name w:val="Heading 2 Char"/>
    <w:basedOn w:val="DefaultParagraphFont"/>
    <w:link w:val="Heading2"/>
    <w:rsid w:val="00D97E3F"/>
    <w:rPr>
      <w:rFonts w:asciiTheme="majorHAnsi" w:eastAsiaTheme="majorEastAsia" w:hAnsiTheme="majorHAnsi" w:cstheme="majorBidi"/>
      <w:color w:val="2E74B5" w:themeColor="accent1" w:themeShade="BF"/>
      <w:sz w:val="26"/>
      <w:szCs w:val="26"/>
      <w:lang w:val="en-ID"/>
    </w:rPr>
  </w:style>
  <w:style w:type="character" w:styleId="Hyperlink">
    <w:name w:val="Hyperlink"/>
    <w:basedOn w:val="DefaultParagraphFont"/>
    <w:uiPriority w:val="99"/>
    <w:unhideWhenUsed/>
    <w:qFormat/>
    <w:rsid w:val="00D97E3F"/>
    <w:rPr>
      <w:color w:val="0000FF"/>
      <w:u w:val="single"/>
    </w:rPr>
  </w:style>
  <w:style w:type="paragraph" w:styleId="Header">
    <w:name w:val="header"/>
    <w:basedOn w:val="Normal"/>
    <w:link w:val="HeaderChar"/>
    <w:uiPriority w:val="99"/>
    <w:unhideWhenUsed/>
    <w:qFormat/>
    <w:rsid w:val="00D97E3F"/>
    <w:pPr>
      <w:tabs>
        <w:tab w:val="center" w:pos="4680"/>
        <w:tab w:val="right" w:pos="9360"/>
      </w:tabs>
      <w:spacing w:after="0" w:line="240" w:lineRule="auto"/>
    </w:pPr>
    <w:rPr>
      <w:lang w:val="en-ID"/>
    </w:rPr>
  </w:style>
  <w:style w:type="character" w:customStyle="1" w:styleId="HeaderChar">
    <w:name w:val="Header Char"/>
    <w:basedOn w:val="DefaultParagraphFont"/>
    <w:link w:val="Header"/>
    <w:uiPriority w:val="99"/>
    <w:qFormat/>
    <w:rsid w:val="00D97E3F"/>
    <w:rPr>
      <w:lang w:val="en-ID"/>
    </w:rPr>
  </w:style>
  <w:style w:type="paragraph" w:styleId="Footer">
    <w:name w:val="footer"/>
    <w:basedOn w:val="Normal"/>
    <w:link w:val="FooterChar"/>
    <w:uiPriority w:val="99"/>
    <w:unhideWhenUsed/>
    <w:qFormat/>
    <w:rsid w:val="00D97E3F"/>
    <w:pPr>
      <w:tabs>
        <w:tab w:val="center" w:pos="4680"/>
        <w:tab w:val="right" w:pos="9360"/>
      </w:tabs>
      <w:spacing w:after="0" w:line="240" w:lineRule="auto"/>
    </w:pPr>
    <w:rPr>
      <w:lang w:val="en-ID"/>
    </w:rPr>
  </w:style>
  <w:style w:type="character" w:customStyle="1" w:styleId="FooterChar">
    <w:name w:val="Footer Char"/>
    <w:basedOn w:val="DefaultParagraphFont"/>
    <w:link w:val="Footer"/>
    <w:uiPriority w:val="99"/>
    <w:qFormat/>
    <w:rsid w:val="00D97E3F"/>
    <w:rPr>
      <w:lang w:val="en-ID"/>
    </w:rPr>
  </w:style>
  <w:style w:type="paragraph" w:styleId="TOCHeading">
    <w:name w:val="TOC Heading"/>
    <w:basedOn w:val="Heading1"/>
    <w:next w:val="Normal"/>
    <w:uiPriority w:val="39"/>
    <w:unhideWhenUsed/>
    <w:qFormat/>
    <w:rsid w:val="00D97E3F"/>
    <w:pPr>
      <w:outlineLvl w:val="9"/>
    </w:pPr>
    <w:rPr>
      <w:lang w:val="en-US"/>
    </w:rPr>
  </w:style>
  <w:style w:type="paragraph" w:styleId="TOC1">
    <w:name w:val="toc 1"/>
    <w:basedOn w:val="Normal"/>
    <w:next w:val="Normal"/>
    <w:autoRedefine/>
    <w:uiPriority w:val="39"/>
    <w:unhideWhenUsed/>
    <w:rsid w:val="00A81BCB"/>
    <w:pPr>
      <w:tabs>
        <w:tab w:val="right" w:leader="dot" w:pos="9016"/>
      </w:tabs>
      <w:spacing w:after="100"/>
      <w:jc w:val="both"/>
    </w:pPr>
    <w:rPr>
      <w:rFonts w:ascii="Times New Roman" w:hAnsi="Times New Roman" w:cs="Times New Roman"/>
      <w:b/>
      <w:bCs/>
      <w:noProof/>
      <w:lang w:val="en-ID"/>
    </w:rPr>
  </w:style>
  <w:style w:type="paragraph" w:styleId="TOC2">
    <w:name w:val="toc 2"/>
    <w:basedOn w:val="Normal"/>
    <w:next w:val="Normal"/>
    <w:autoRedefine/>
    <w:uiPriority w:val="39"/>
    <w:unhideWhenUsed/>
    <w:rsid w:val="00D97E3F"/>
    <w:pPr>
      <w:spacing w:after="100"/>
      <w:ind w:left="220"/>
    </w:pPr>
    <w:rPr>
      <w:lang w:val="en-ID"/>
    </w:rPr>
  </w:style>
  <w:style w:type="paragraph" w:styleId="NormalWeb">
    <w:name w:val="Normal (Web)"/>
    <w:basedOn w:val="Normal"/>
    <w:uiPriority w:val="99"/>
    <w:qFormat/>
    <w:rsid w:val="00D97E3F"/>
    <w:pPr>
      <w:spacing w:before="100" w:beforeAutospacing="1" w:after="100" w:afterAutospacing="1" w:line="240" w:lineRule="auto"/>
      <w:contextualSpacing/>
    </w:pPr>
    <w:rPr>
      <w:rFonts w:ascii="ＭＳ Ｐゴシック" w:eastAsia="ＭＳ Ｐゴシック" w:hAnsi="ＭＳ Ｐゴシック" w:cs="ＭＳ Ｐゴシック"/>
      <w:sz w:val="24"/>
      <w:szCs w:val="24"/>
    </w:rPr>
  </w:style>
  <w:style w:type="character" w:styleId="Emphasis">
    <w:name w:val="Emphasis"/>
    <w:uiPriority w:val="20"/>
    <w:qFormat/>
    <w:rsid w:val="00D97E3F"/>
    <w:rPr>
      <w:rFonts w:cs="Times New Roman"/>
      <w:i/>
      <w:iCs/>
    </w:rPr>
  </w:style>
  <w:style w:type="paragraph" w:styleId="BodyText">
    <w:name w:val="Body Text"/>
    <w:basedOn w:val="Normal"/>
    <w:link w:val="BodyTextChar"/>
    <w:qFormat/>
    <w:rsid w:val="00D97E3F"/>
    <w:pPr>
      <w:spacing w:before="240" w:after="120" w:line="240" w:lineRule="auto"/>
    </w:pPr>
    <w:rPr>
      <w:rFonts w:ascii="Times New Roman" w:hAnsi="Times New Roman" w:cs="Times New Roman"/>
      <w:sz w:val="24"/>
      <w:szCs w:val="24"/>
      <w:lang w:val="en-GB" w:eastAsia="ja-JP"/>
    </w:rPr>
  </w:style>
  <w:style w:type="character" w:customStyle="1" w:styleId="BodyTextChar">
    <w:name w:val="Body Text Char"/>
    <w:basedOn w:val="DefaultParagraphFont"/>
    <w:link w:val="BodyText"/>
    <w:qFormat/>
    <w:rsid w:val="00D97E3F"/>
    <w:rPr>
      <w:rFonts w:ascii="Times New Roman" w:eastAsia="ＭＳ 明朝" w:hAnsi="Times New Roman" w:cs="Times New Roman"/>
      <w:sz w:val="24"/>
      <w:szCs w:val="24"/>
      <w:lang w:val="en-GB" w:eastAsia="ja-JP"/>
    </w:rPr>
  </w:style>
  <w:style w:type="table" w:styleId="TableGrid">
    <w:name w:val="Table Grid"/>
    <w:basedOn w:val="TableNormal"/>
    <w:uiPriority w:val="39"/>
    <w:rsid w:val="00D97E3F"/>
    <w:pPr>
      <w:spacing w:after="0" w:line="240" w:lineRule="auto"/>
    </w:pPr>
    <w:rPr>
      <w:rFonts w:cs="Times New Roman"/>
      <w:sz w:val="20"/>
      <w:szCs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l3x">
    <w:name w:val="_3l3x"/>
    <w:basedOn w:val="DefaultParagraphFont"/>
    <w:rsid w:val="006809ED"/>
  </w:style>
  <w:style w:type="character" w:customStyle="1" w:styleId="Heading3Char">
    <w:name w:val="Heading 3 Char"/>
    <w:basedOn w:val="DefaultParagraphFont"/>
    <w:link w:val="Heading3"/>
    <w:rsid w:val="003343C4"/>
    <w:rPr>
      <w:rFonts w:asciiTheme="majorHAnsi" w:eastAsiaTheme="majorEastAsia" w:hAnsiTheme="majorHAnsi" w:cstheme="majorBidi"/>
      <w:color w:val="1F4D78" w:themeColor="accent1" w:themeShade="7F"/>
      <w:sz w:val="24"/>
      <w:szCs w:val="24"/>
    </w:rPr>
  </w:style>
  <w:style w:type="paragraph" w:styleId="TOC3">
    <w:name w:val="toc 3"/>
    <w:basedOn w:val="Normal"/>
    <w:next w:val="Normal"/>
    <w:autoRedefine/>
    <w:uiPriority w:val="39"/>
    <w:unhideWhenUsed/>
    <w:rsid w:val="00EC0CF4"/>
    <w:pPr>
      <w:tabs>
        <w:tab w:val="right" w:leader="dot" w:pos="9016"/>
      </w:tabs>
      <w:spacing w:after="100"/>
      <w:ind w:left="440"/>
    </w:pPr>
    <w:rPr>
      <w:rFonts w:asciiTheme="majorBidi" w:eastAsia="Times New Roman" w:hAnsiTheme="majorBidi" w:cstheme="majorBidi"/>
      <w:noProof/>
    </w:rPr>
  </w:style>
  <w:style w:type="paragraph" w:customStyle="1" w:styleId="Body">
    <w:name w:val="Body"/>
    <w:rsid w:val="007B2407"/>
    <w:pPr>
      <w:spacing w:after="200" w:line="276" w:lineRule="auto"/>
    </w:pPr>
    <w:rPr>
      <w:color w:val="000000"/>
      <w:sz w:val="24"/>
      <w:szCs w:val="24"/>
      <w:u w:color="000000"/>
      <w:lang w:val="en-AU"/>
    </w:rPr>
  </w:style>
  <w:style w:type="character" w:styleId="CommentReference">
    <w:name w:val="annotation reference"/>
    <w:basedOn w:val="DefaultParagraphFont"/>
    <w:uiPriority w:val="99"/>
    <w:semiHidden/>
    <w:unhideWhenUsed/>
    <w:qFormat/>
    <w:rsid w:val="006051B6"/>
    <w:rPr>
      <w:sz w:val="16"/>
      <w:szCs w:val="16"/>
    </w:rPr>
  </w:style>
  <w:style w:type="paragraph" w:styleId="CommentText">
    <w:name w:val="annotation text"/>
    <w:basedOn w:val="Normal"/>
    <w:link w:val="CommentTextChar"/>
    <w:uiPriority w:val="99"/>
    <w:unhideWhenUsed/>
    <w:qFormat/>
    <w:rsid w:val="006051B6"/>
    <w:pPr>
      <w:spacing w:line="240" w:lineRule="auto"/>
    </w:pPr>
    <w:rPr>
      <w:sz w:val="20"/>
      <w:szCs w:val="20"/>
    </w:rPr>
  </w:style>
  <w:style w:type="character" w:customStyle="1" w:styleId="CommentTextChar">
    <w:name w:val="Comment Text Char"/>
    <w:basedOn w:val="DefaultParagraphFont"/>
    <w:link w:val="CommentText"/>
    <w:uiPriority w:val="99"/>
    <w:qFormat/>
    <w:rsid w:val="006051B6"/>
    <w:rPr>
      <w:sz w:val="20"/>
      <w:szCs w:val="20"/>
    </w:rPr>
  </w:style>
  <w:style w:type="paragraph" w:styleId="CommentSubject">
    <w:name w:val="annotation subject"/>
    <w:basedOn w:val="CommentText"/>
    <w:next w:val="CommentText"/>
    <w:link w:val="CommentSubjectChar"/>
    <w:uiPriority w:val="99"/>
    <w:semiHidden/>
    <w:unhideWhenUsed/>
    <w:qFormat/>
    <w:rsid w:val="006051B6"/>
    <w:rPr>
      <w:b/>
      <w:bCs/>
    </w:rPr>
  </w:style>
  <w:style w:type="character" w:customStyle="1" w:styleId="CommentSubjectChar">
    <w:name w:val="Comment Subject Char"/>
    <w:basedOn w:val="CommentTextChar"/>
    <w:link w:val="CommentSubject"/>
    <w:uiPriority w:val="99"/>
    <w:semiHidden/>
    <w:qFormat/>
    <w:rsid w:val="006051B6"/>
    <w:rPr>
      <w:b/>
      <w:bCs/>
      <w:sz w:val="20"/>
      <w:szCs w:val="20"/>
    </w:rPr>
  </w:style>
  <w:style w:type="paragraph" w:styleId="BalloonText">
    <w:name w:val="Balloon Text"/>
    <w:basedOn w:val="Normal"/>
    <w:link w:val="BalloonTextChar"/>
    <w:uiPriority w:val="99"/>
    <w:semiHidden/>
    <w:unhideWhenUsed/>
    <w:rsid w:val="006051B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051B6"/>
    <w:rPr>
      <w:rFonts w:ascii="Segoe UI" w:hAnsi="Segoe UI" w:cs="Segoe UI"/>
      <w:sz w:val="18"/>
      <w:szCs w:val="18"/>
    </w:rPr>
  </w:style>
  <w:style w:type="character" w:customStyle="1" w:styleId="ui-provider">
    <w:name w:val="ui-provider"/>
    <w:basedOn w:val="DefaultParagraphFont"/>
    <w:rsid w:val="00C748E8"/>
  </w:style>
  <w:style w:type="character" w:styleId="UnresolvedMention">
    <w:name w:val="Unresolved Mention"/>
    <w:basedOn w:val="DefaultParagraphFont"/>
    <w:uiPriority w:val="99"/>
    <w:semiHidden/>
    <w:unhideWhenUsed/>
    <w:rsid w:val="009C297F"/>
    <w:rPr>
      <w:color w:val="605E5C"/>
      <w:shd w:val="clear" w:color="auto" w:fill="E1DFDD"/>
    </w:rPr>
  </w:style>
  <w:style w:type="character" w:styleId="FollowedHyperlink">
    <w:name w:val="FollowedHyperlink"/>
    <w:basedOn w:val="DefaultParagraphFont"/>
    <w:uiPriority w:val="99"/>
    <w:semiHidden/>
    <w:unhideWhenUsed/>
    <w:qFormat/>
    <w:rsid w:val="007F6806"/>
    <w:rPr>
      <w:color w:val="954F72" w:themeColor="followedHyperlink"/>
      <w:u w:val="single"/>
    </w:rPr>
  </w:style>
  <w:style w:type="paragraph" w:customStyle="1" w:styleId="Heading41">
    <w:name w:val="Heading 41"/>
    <w:basedOn w:val="Normal"/>
    <w:next w:val="Normal"/>
    <w:uiPriority w:val="9"/>
    <w:unhideWhenUsed/>
    <w:qFormat/>
    <w:rsid w:val="00BB4E3D"/>
    <w:pPr>
      <w:keepNext/>
      <w:keepLines/>
      <w:spacing w:before="200" w:after="0" w:line="276" w:lineRule="auto"/>
      <w:outlineLvl w:val="3"/>
    </w:pPr>
    <w:rPr>
      <w:rFonts w:ascii="Cambria" w:eastAsia="Times New Roman" w:hAnsi="Cambria" w:cs="Times New Roman"/>
      <w:b/>
      <w:bCs/>
      <w:i/>
      <w:iCs/>
      <w:color w:val="4F81BD"/>
    </w:rPr>
  </w:style>
  <w:style w:type="numbering" w:customStyle="1" w:styleId="NoList1">
    <w:name w:val="No List1"/>
    <w:next w:val="NoList"/>
    <w:uiPriority w:val="99"/>
    <w:semiHidden/>
    <w:unhideWhenUsed/>
    <w:rsid w:val="00BB4E3D"/>
  </w:style>
  <w:style w:type="paragraph" w:styleId="ListParagraph">
    <w:name w:val="List Paragraph"/>
    <w:aliases w:val="spasi 2 taiiii,UGEX'Z,List Paragraph1,Body of text,sub-section,skripsi,Body Text Char1,Char Char2,List Paragraph2,kepala,Medium Grid 1 - Accent 21,Body of text+1,Body of text+2,Body of text+3,List Paragraph11,Colorful List - Accent 11"/>
    <w:basedOn w:val="Normal"/>
    <w:link w:val="ListParagraphChar"/>
    <w:uiPriority w:val="34"/>
    <w:qFormat/>
    <w:rsid w:val="00BB4E3D"/>
    <w:pPr>
      <w:spacing w:after="200" w:line="276" w:lineRule="auto"/>
      <w:ind w:left="720"/>
      <w:contextualSpacing/>
    </w:pPr>
  </w:style>
  <w:style w:type="character" w:customStyle="1" w:styleId="ListParagraphChar">
    <w:name w:val="List Paragraph Char"/>
    <w:aliases w:val="spasi 2 taiiii Char,UGEX'Z Char,List Paragraph1 Char,Body of text Char,sub-section Char,skripsi Char,Body Text Char1 Char,Char Char2 Char,List Paragraph2 Char,kepala Char,Medium Grid 1 - Accent 21 Char,Body of text+1 Char"/>
    <w:link w:val="ListParagraph"/>
    <w:uiPriority w:val="34"/>
    <w:locked/>
    <w:rsid w:val="00BB4E3D"/>
    <w:rPr>
      <w:rFonts w:eastAsia="Calibri"/>
    </w:rPr>
  </w:style>
  <w:style w:type="character" w:customStyle="1" w:styleId="Heading4Char">
    <w:name w:val="Heading 4 Char"/>
    <w:basedOn w:val="DefaultParagraphFont"/>
    <w:link w:val="Heading4"/>
    <w:rsid w:val="00BB4E3D"/>
    <w:rPr>
      <w:rFonts w:ascii="Cambria" w:eastAsia="Times New Roman" w:hAnsi="Cambria" w:cs="Times New Roman"/>
      <w:b/>
      <w:bCs/>
      <w:i/>
      <w:iCs/>
      <w:color w:val="4F81BD"/>
    </w:rPr>
  </w:style>
  <w:style w:type="paragraph" w:customStyle="1" w:styleId="Caption1">
    <w:name w:val="Caption1"/>
    <w:basedOn w:val="Normal"/>
    <w:next w:val="Normal"/>
    <w:uiPriority w:val="35"/>
    <w:unhideWhenUsed/>
    <w:qFormat/>
    <w:rsid w:val="00BB4E3D"/>
    <w:pPr>
      <w:spacing w:after="200" w:line="240" w:lineRule="auto"/>
    </w:pPr>
    <w:rPr>
      <w:b/>
      <w:bCs/>
      <w:color w:val="4F81BD"/>
      <w:sz w:val="18"/>
      <w:szCs w:val="18"/>
    </w:rPr>
  </w:style>
  <w:style w:type="character" w:styleId="PlaceholderText">
    <w:name w:val="Placeholder Text"/>
    <w:basedOn w:val="DefaultParagraphFont"/>
    <w:uiPriority w:val="99"/>
    <w:semiHidden/>
    <w:rsid w:val="00BB4E3D"/>
    <w:rPr>
      <w:color w:val="808080"/>
    </w:rPr>
  </w:style>
  <w:style w:type="paragraph" w:customStyle="1" w:styleId="msonormal0">
    <w:name w:val="msonormal"/>
    <w:basedOn w:val="Normal"/>
    <w:rsid w:val="00BB4E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Normal"/>
    <w:rsid w:val="00BB4E3D"/>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64">
    <w:name w:val="xl64"/>
    <w:basedOn w:val="Normal"/>
    <w:rsid w:val="00BB4E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rPr>
  </w:style>
  <w:style w:type="paragraph" w:customStyle="1" w:styleId="xl65">
    <w:name w:val="xl65"/>
    <w:basedOn w:val="Normal"/>
    <w:rsid w:val="00BB4E3D"/>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rPr>
  </w:style>
  <w:style w:type="paragraph" w:customStyle="1" w:styleId="xl66">
    <w:name w:val="xl66"/>
    <w:basedOn w:val="Normal"/>
    <w:rsid w:val="00BB4E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67">
    <w:name w:val="xl67"/>
    <w:basedOn w:val="Normal"/>
    <w:rsid w:val="00BB4E3D"/>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68">
    <w:name w:val="xl68"/>
    <w:basedOn w:val="Normal"/>
    <w:rsid w:val="00BB4E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numbering" w:customStyle="1" w:styleId="NoList11">
    <w:name w:val="No List11"/>
    <w:next w:val="NoList"/>
    <w:uiPriority w:val="99"/>
    <w:semiHidden/>
    <w:unhideWhenUsed/>
    <w:rsid w:val="00BB4E3D"/>
  </w:style>
  <w:style w:type="table" w:customStyle="1" w:styleId="TableGrid1">
    <w:name w:val="Table Grid1"/>
    <w:basedOn w:val="TableNormal"/>
    <w:next w:val="TableGrid"/>
    <w:uiPriority w:val="39"/>
    <w:rsid w:val="00BB4E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BB4E3D"/>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B4E3D"/>
    <w:rPr>
      <w:rFonts w:eastAsia="Calibri"/>
      <w:sz w:val="20"/>
      <w:szCs w:val="20"/>
    </w:rPr>
  </w:style>
  <w:style w:type="character" w:styleId="EndnoteReference">
    <w:name w:val="endnote reference"/>
    <w:basedOn w:val="DefaultParagraphFont"/>
    <w:uiPriority w:val="99"/>
    <w:semiHidden/>
    <w:unhideWhenUsed/>
    <w:rsid w:val="00BB4E3D"/>
    <w:rPr>
      <w:vertAlign w:val="superscript"/>
    </w:rPr>
  </w:style>
  <w:style w:type="paragraph" w:styleId="NoSpacing">
    <w:name w:val="No Spacing"/>
    <w:link w:val="NoSpacingChar"/>
    <w:uiPriority w:val="1"/>
    <w:qFormat/>
    <w:rsid w:val="00BB4E3D"/>
    <w:pPr>
      <w:spacing w:after="0" w:line="240" w:lineRule="auto"/>
      <w:jc w:val="both"/>
    </w:pPr>
    <w:rPr>
      <w:rFonts w:ascii="Times New Roman" w:hAnsi="Times New Roman"/>
      <w:sz w:val="24"/>
    </w:rPr>
  </w:style>
  <w:style w:type="paragraph" w:customStyle="1" w:styleId="TableParagraph">
    <w:name w:val="Table Paragraph"/>
    <w:basedOn w:val="Normal"/>
    <w:qFormat/>
    <w:rsid w:val="00BB4E3D"/>
    <w:pPr>
      <w:widowControl w:val="0"/>
      <w:spacing w:after="0" w:line="247" w:lineRule="exact"/>
      <w:ind w:left="432" w:right="432"/>
      <w:jc w:val="center"/>
    </w:pPr>
    <w:rPr>
      <w:rFonts w:ascii="Times New Roman" w:eastAsia="Times New Roman" w:hAnsi="Times New Roman" w:cs="Times New Roman"/>
    </w:rPr>
  </w:style>
  <w:style w:type="numbering" w:customStyle="1" w:styleId="NoList2">
    <w:name w:val="No List2"/>
    <w:next w:val="NoList"/>
    <w:uiPriority w:val="99"/>
    <w:semiHidden/>
    <w:unhideWhenUsed/>
    <w:rsid w:val="00BB4E3D"/>
  </w:style>
  <w:style w:type="table" w:customStyle="1" w:styleId="PlainTable21">
    <w:name w:val="Plain Table 21"/>
    <w:basedOn w:val="TableNormal"/>
    <w:next w:val="PlainTable2"/>
    <w:uiPriority w:val="42"/>
    <w:rsid w:val="00BB4E3D"/>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GridTable1Light1">
    <w:name w:val="Grid Table 1 Light1"/>
    <w:basedOn w:val="TableNormal"/>
    <w:next w:val="GridTable1Light"/>
    <w:uiPriority w:val="46"/>
    <w:rsid w:val="00BB4E3D"/>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Accent21">
    <w:name w:val="Grid Table 1 Light – Accent 21"/>
    <w:basedOn w:val="TableNormal"/>
    <w:next w:val="GridTable1Light-Accent2"/>
    <w:uiPriority w:val="46"/>
    <w:rsid w:val="00BB4E3D"/>
    <w:pPr>
      <w:spacing w:after="0" w:line="240" w:lineRule="auto"/>
    </w:p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character" w:customStyle="1" w:styleId="Heading4Char1">
    <w:name w:val="Heading 4 Char1"/>
    <w:basedOn w:val="DefaultParagraphFont"/>
    <w:uiPriority w:val="9"/>
    <w:semiHidden/>
    <w:rsid w:val="00BB4E3D"/>
    <w:rPr>
      <w:rFonts w:asciiTheme="majorHAnsi" w:eastAsiaTheme="majorEastAsia" w:hAnsiTheme="majorHAnsi" w:cstheme="majorBidi"/>
      <w:i/>
      <w:iCs/>
      <w:color w:val="2E74B5" w:themeColor="accent1" w:themeShade="BF"/>
    </w:rPr>
  </w:style>
  <w:style w:type="table" w:styleId="PlainTable2">
    <w:name w:val="Plain Table 2"/>
    <w:basedOn w:val="TableNormal"/>
    <w:uiPriority w:val="42"/>
    <w:rsid w:val="00BB4E3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1Light">
    <w:name w:val="Grid Table 1 Light"/>
    <w:basedOn w:val="TableNormal"/>
    <w:uiPriority w:val="46"/>
    <w:rsid w:val="00BB4E3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BB4E3D"/>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styleId="FootnoteReference">
    <w:name w:val="footnote reference"/>
    <w:basedOn w:val="DefaultParagraphFont"/>
    <w:uiPriority w:val="99"/>
    <w:qFormat/>
    <w:rsid w:val="00462842"/>
    <w:rPr>
      <w:vertAlign w:val="superscript"/>
    </w:rPr>
  </w:style>
  <w:style w:type="paragraph" w:styleId="FootnoteText">
    <w:name w:val="footnote text"/>
    <w:basedOn w:val="Normal"/>
    <w:link w:val="FootnoteTextChar"/>
    <w:uiPriority w:val="99"/>
    <w:qFormat/>
    <w:rsid w:val="00462842"/>
    <w:pPr>
      <w:widowControl w:val="0"/>
      <w:snapToGrid w:val="0"/>
      <w:spacing w:after="0" w:line="240" w:lineRule="auto"/>
    </w:pPr>
    <w:rPr>
      <w:kern w:val="2"/>
      <w:sz w:val="21"/>
      <w:lang w:eastAsia="ja-JP"/>
    </w:rPr>
  </w:style>
  <w:style w:type="character" w:customStyle="1" w:styleId="FootnoteTextChar">
    <w:name w:val="Footnote Text Char"/>
    <w:basedOn w:val="DefaultParagraphFont"/>
    <w:link w:val="FootnoteText"/>
    <w:uiPriority w:val="99"/>
    <w:qFormat/>
    <w:rsid w:val="00462842"/>
    <w:rPr>
      <w:kern w:val="2"/>
      <w:sz w:val="21"/>
      <w:lang w:eastAsia="ja-JP"/>
    </w:rPr>
  </w:style>
  <w:style w:type="table" w:customStyle="1" w:styleId="TableNormal00">
    <w:name w:val="Table Normal_0"/>
    <w:rsid w:val="00462842"/>
    <w:pPr>
      <w:widowControl w:val="0"/>
      <w:spacing w:after="0" w:line="240" w:lineRule="auto"/>
    </w:pPr>
    <w:rPr>
      <w:kern w:val="2"/>
      <w:lang w:eastAsia="ja-JP"/>
    </w:rPr>
    <w:tblPr>
      <w:tblInd w:w="0" w:type="dxa"/>
      <w:tblCellMar>
        <w:top w:w="0" w:type="dxa"/>
        <w:left w:w="0" w:type="dxa"/>
        <w:bottom w:w="0" w:type="dxa"/>
        <w:right w:w="0" w:type="dxa"/>
      </w:tblCellMar>
    </w:tblPr>
  </w:style>
  <w:style w:type="table" w:customStyle="1" w:styleId="PlainTable22">
    <w:name w:val="Plain Table 22"/>
    <w:basedOn w:val="TableNormal"/>
    <w:next w:val="PlainTable2"/>
    <w:rsid w:val="00462842"/>
    <w:pPr>
      <w:widowControl w:val="0"/>
      <w:spacing w:after="0" w:line="240" w:lineRule="auto"/>
    </w:pPr>
    <w:rPr>
      <w:kern w:val="2"/>
      <w:lang w:eastAsia="ja-JP"/>
    </w:rPr>
    <w:tblPr>
      <w:tblStyleRowBandSize w:val="1"/>
      <w:tblStyleColBandSize w:val="1"/>
      <w:tblBorders>
        <w:top w:val="single" w:sz="4" w:space="0" w:color="7F7F7F"/>
        <w:bottom w:val="single" w:sz="4" w:space="0" w:color="7F7F7F"/>
      </w:tblBorders>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Heading51">
    <w:name w:val="Heading 51"/>
    <w:basedOn w:val="Normal"/>
    <w:next w:val="Normal"/>
    <w:uiPriority w:val="9"/>
    <w:semiHidden/>
    <w:unhideWhenUsed/>
    <w:qFormat/>
    <w:rsid w:val="00934383"/>
    <w:pPr>
      <w:keepNext/>
      <w:keepLines/>
      <w:spacing w:before="80" w:after="40" w:line="240" w:lineRule="auto"/>
      <w:outlineLvl w:val="4"/>
    </w:pPr>
    <w:rPr>
      <w:rFonts w:ascii="Times New Roman" w:eastAsia="游ゴシック Light" w:hAnsi="Times New Roman" w:cs="Times New Roman"/>
      <w:color w:val="0F4761"/>
      <w:kern w:val="2"/>
      <w:sz w:val="24"/>
    </w:rPr>
  </w:style>
  <w:style w:type="paragraph" w:customStyle="1" w:styleId="Heading61">
    <w:name w:val="Heading 61"/>
    <w:basedOn w:val="Normal"/>
    <w:next w:val="Normal"/>
    <w:uiPriority w:val="9"/>
    <w:semiHidden/>
    <w:unhideWhenUsed/>
    <w:qFormat/>
    <w:rsid w:val="00934383"/>
    <w:pPr>
      <w:keepNext/>
      <w:keepLines/>
      <w:spacing w:before="40" w:after="0" w:line="240" w:lineRule="auto"/>
      <w:outlineLvl w:val="5"/>
    </w:pPr>
    <w:rPr>
      <w:rFonts w:ascii="Times New Roman" w:eastAsia="游ゴシック Light" w:hAnsi="Times New Roman" w:cs="Times New Roman"/>
      <w:i/>
      <w:iCs/>
      <w:color w:val="595959"/>
      <w:kern w:val="2"/>
      <w:sz w:val="24"/>
    </w:rPr>
  </w:style>
  <w:style w:type="paragraph" w:customStyle="1" w:styleId="Heading71">
    <w:name w:val="Heading 71"/>
    <w:basedOn w:val="Normal"/>
    <w:next w:val="Normal"/>
    <w:uiPriority w:val="9"/>
    <w:semiHidden/>
    <w:unhideWhenUsed/>
    <w:qFormat/>
    <w:rsid w:val="00934383"/>
    <w:pPr>
      <w:keepNext/>
      <w:keepLines/>
      <w:spacing w:before="40" w:after="0" w:line="240" w:lineRule="auto"/>
      <w:outlineLvl w:val="6"/>
    </w:pPr>
    <w:rPr>
      <w:rFonts w:ascii="Times New Roman" w:eastAsia="游ゴシック Light" w:hAnsi="Times New Roman" w:cs="Times New Roman"/>
      <w:color w:val="595959"/>
      <w:kern w:val="2"/>
      <w:sz w:val="24"/>
    </w:rPr>
  </w:style>
  <w:style w:type="paragraph" w:customStyle="1" w:styleId="Heading81">
    <w:name w:val="Heading 81"/>
    <w:basedOn w:val="Normal"/>
    <w:next w:val="Normal"/>
    <w:uiPriority w:val="9"/>
    <w:semiHidden/>
    <w:unhideWhenUsed/>
    <w:qFormat/>
    <w:rsid w:val="00934383"/>
    <w:pPr>
      <w:keepNext/>
      <w:keepLines/>
      <w:spacing w:after="0" w:line="240" w:lineRule="auto"/>
      <w:outlineLvl w:val="7"/>
    </w:pPr>
    <w:rPr>
      <w:rFonts w:ascii="Times New Roman" w:eastAsia="游ゴシック Light" w:hAnsi="Times New Roman" w:cs="Times New Roman"/>
      <w:i/>
      <w:iCs/>
      <w:color w:val="272727"/>
      <w:kern w:val="2"/>
      <w:sz w:val="24"/>
    </w:rPr>
  </w:style>
  <w:style w:type="paragraph" w:customStyle="1" w:styleId="Heading91">
    <w:name w:val="Heading 91"/>
    <w:basedOn w:val="Normal"/>
    <w:next w:val="Normal"/>
    <w:uiPriority w:val="9"/>
    <w:semiHidden/>
    <w:unhideWhenUsed/>
    <w:qFormat/>
    <w:rsid w:val="00934383"/>
    <w:pPr>
      <w:keepNext/>
      <w:keepLines/>
      <w:spacing w:after="0" w:line="240" w:lineRule="auto"/>
      <w:outlineLvl w:val="8"/>
    </w:pPr>
    <w:rPr>
      <w:rFonts w:ascii="Times New Roman" w:eastAsia="游ゴシック Light" w:hAnsi="Times New Roman" w:cs="Times New Roman"/>
      <w:color w:val="272727"/>
      <w:kern w:val="2"/>
      <w:sz w:val="24"/>
    </w:rPr>
  </w:style>
  <w:style w:type="numbering" w:customStyle="1" w:styleId="NoList3">
    <w:name w:val="No List3"/>
    <w:next w:val="NoList"/>
    <w:uiPriority w:val="99"/>
    <w:semiHidden/>
    <w:unhideWhenUsed/>
    <w:rsid w:val="00934383"/>
  </w:style>
  <w:style w:type="character" w:customStyle="1" w:styleId="Heading5Char">
    <w:name w:val="Heading 5 Char"/>
    <w:basedOn w:val="DefaultParagraphFont"/>
    <w:link w:val="Heading5"/>
    <w:rsid w:val="00934383"/>
    <w:rPr>
      <w:rFonts w:eastAsia="游ゴシック Light" w:cs="Times New Roman"/>
      <w:color w:val="0F4761"/>
    </w:rPr>
  </w:style>
  <w:style w:type="character" w:customStyle="1" w:styleId="Heading6Char">
    <w:name w:val="Heading 6 Char"/>
    <w:basedOn w:val="DefaultParagraphFont"/>
    <w:link w:val="Heading6"/>
    <w:rsid w:val="00934383"/>
    <w:rPr>
      <w:rFonts w:eastAsia="游ゴシック Light" w:cs="Times New Roman"/>
      <w:i/>
      <w:iCs/>
      <w:color w:val="595959"/>
    </w:rPr>
  </w:style>
  <w:style w:type="character" w:customStyle="1" w:styleId="Heading7Char">
    <w:name w:val="Heading 7 Char"/>
    <w:basedOn w:val="DefaultParagraphFont"/>
    <w:link w:val="Heading7"/>
    <w:uiPriority w:val="9"/>
    <w:semiHidden/>
    <w:rsid w:val="00934383"/>
    <w:rPr>
      <w:rFonts w:eastAsia="游ゴシック Light" w:cs="Times New Roman"/>
      <w:color w:val="595959"/>
    </w:rPr>
  </w:style>
  <w:style w:type="character" w:customStyle="1" w:styleId="Heading8Char">
    <w:name w:val="Heading 8 Char"/>
    <w:basedOn w:val="DefaultParagraphFont"/>
    <w:link w:val="Heading8"/>
    <w:uiPriority w:val="9"/>
    <w:semiHidden/>
    <w:rsid w:val="00934383"/>
    <w:rPr>
      <w:rFonts w:eastAsia="游ゴシック Light" w:cs="Times New Roman"/>
      <w:i/>
      <w:iCs/>
      <w:color w:val="272727"/>
    </w:rPr>
  </w:style>
  <w:style w:type="character" w:customStyle="1" w:styleId="Heading9Char">
    <w:name w:val="Heading 9 Char"/>
    <w:basedOn w:val="DefaultParagraphFont"/>
    <w:link w:val="Heading9"/>
    <w:uiPriority w:val="9"/>
    <w:semiHidden/>
    <w:rsid w:val="00934383"/>
    <w:rPr>
      <w:rFonts w:eastAsia="游ゴシック Light" w:cs="Times New Roman"/>
      <w:color w:val="272727"/>
    </w:rPr>
  </w:style>
  <w:style w:type="paragraph" w:customStyle="1" w:styleId="Title1">
    <w:name w:val="Title1"/>
    <w:basedOn w:val="Normal"/>
    <w:next w:val="Normal"/>
    <w:uiPriority w:val="10"/>
    <w:qFormat/>
    <w:rsid w:val="00934383"/>
    <w:pPr>
      <w:spacing w:after="80" w:line="240" w:lineRule="auto"/>
      <w:contextualSpacing/>
      <w:jc w:val="center"/>
    </w:pPr>
    <w:rPr>
      <w:rFonts w:ascii="Times New Roman" w:eastAsia="游ゴシック Light" w:hAnsi="Times New Roman" w:cs="Times New Roman"/>
      <w:b/>
      <w:caps/>
      <w:color w:val="000000"/>
      <w:spacing w:val="-10"/>
      <w:kern w:val="28"/>
      <w:sz w:val="28"/>
      <w:szCs w:val="56"/>
    </w:rPr>
  </w:style>
  <w:style w:type="character" w:customStyle="1" w:styleId="TitleChar">
    <w:name w:val="Title Char"/>
    <w:basedOn w:val="DefaultParagraphFont"/>
    <w:link w:val="Title"/>
    <w:rsid w:val="00934383"/>
    <w:rPr>
      <w:rFonts w:ascii="Times New Roman" w:eastAsia="游ゴシック Light" w:hAnsi="Times New Roman" w:cs="Times New Roman"/>
      <w:b/>
      <w:caps/>
      <w:color w:val="000000"/>
      <w:spacing w:val="-10"/>
      <w:kern w:val="28"/>
      <w:sz w:val="28"/>
      <w:szCs w:val="56"/>
    </w:rPr>
  </w:style>
  <w:style w:type="paragraph" w:customStyle="1" w:styleId="Subtitle1">
    <w:name w:val="Subtitle1"/>
    <w:basedOn w:val="Normal"/>
    <w:next w:val="Normal"/>
    <w:uiPriority w:val="11"/>
    <w:qFormat/>
    <w:rsid w:val="00934383"/>
    <w:pPr>
      <w:numPr>
        <w:ilvl w:val="1"/>
      </w:numPr>
      <w:spacing w:after="0" w:line="240" w:lineRule="auto"/>
    </w:pPr>
    <w:rPr>
      <w:rFonts w:ascii="Times New Roman" w:eastAsia="游ゴシック Light" w:hAnsi="Times New Roman" w:cs="Times New Roman"/>
      <w:color w:val="595959"/>
      <w:spacing w:val="15"/>
      <w:kern w:val="2"/>
      <w:sz w:val="28"/>
      <w:szCs w:val="28"/>
    </w:rPr>
  </w:style>
  <w:style w:type="character" w:customStyle="1" w:styleId="SubtitleChar">
    <w:name w:val="Subtitle Char"/>
    <w:basedOn w:val="DefaultParagraphFont"/>
    <w:link w:val="Subtitle"/>
    <w:rsid w:val="00934383"/>
    <w:rPr>
      <w:rFonts w:eastAsia="游ゴシック Light" w:cs="Times New Roman"/>
      <w:color w:val="595959"/>
      <w:spacing w:val="15"/>
      <w:sz w:val="28"/>
      <w:szCs w:val="28"/>
    </w:rPr>
  </w:style>
  <w:style w:type="paragraph" w:customStyle="1" w:styleId="Quote1">
    <w:name w:val="Quote1"/>
    <w:basedOn w:val="Normal"/>
    <w:next w:val="Normal"/>
    <w:uiPriority w:val="29"/>
    <w:qFormat/>
    <w:rsid w:val="00934383"/>
    <w:pPr>
      <w:spacing w:before="160" w:after="0" w:line="240" w:lineRule="auto"/>
      <w:jc w:val="center"/>
    </w:pPr>
    <w:rPr>
      <w:rFonts w:ascii="Times New Roman" w:eastAsia="Aptos" w:hAnsi="Times New Roman"/>
      <w:i/>
      <w:iCs/>
      <w:color w:val="404040"/>
      <w:kern w:val="2"/>
      <w:sz w:val="24"/>
    </w:rPr>
  </w:style>
  <w:style w:type="character" w:customStyle="1" w:styleId="QuoteChar">
    <w:name w:val="Quote Char"/>
    <w:basedOn w:val="DefaultParagraphFont"/>
    <w:link w:val="Quote"/>
    <w:uiPriority w:val="29"/>
    <w:rsid w:val="00934383"/>
    <w:rPr>
      <w:i/>
      <w:iCs/>
      <w:color w:val="404040"/>
    </w:rPr>
  </w:style>
  <w:style w:type="character" w:customStyle="1" w:styleId="IntenseEmphasis1">
    <w:name w:val="Intense Emphasis1"/>
    <w:basedOn w:val="DefaultParagraphFont"/>
    <w:uiPriority w:val="21"/>
    <w:qFormat/>
    <w:rsid w:val="00934383"/>
    <w:rPr>
      <w:i/>
      <w:iCs/>
      <w:color w:val="0F4761"/>
    </w:rPr>
  </w:style>
  <w:style w:type="paragraph" w:customStyle="1" w:styleId="IntenseQuote1">
    <w:name w:val="Intense Quote1"/>
    <w:basedOn w:val="Normal"/>
    <w:next w:val="Normal"/>
    <w:uiPriority w:val="30"/>
    <w:qFormat/>
    <w:rsid w:val="00934383"/>
    <w:pPr>
      <w:pBdr>
        <w:top w:val="single" w:sz="4" w:space="10" w:color="0F4761"/>
        <w:bottom w:val="single" w:sz="4" w:space="10" w:color="0F4761"/>
      </w:pBdr>
      <w:spacing w:before="360" w:after="360" w:line="240" w:lineRule="auto"/>
      <w:ind w:left="864" w:right="864"/>
      <w:jc w:val="center"/>
    </w:pPr>
    <w:rPr>
      <w:rFonts w:ascii="Times New Roman" w:eastAsia="Aptos" w:hAnsi="Times New Roman"/>
      <w:i/>
      <w:iCs/>
      <w:color w:val="0F4761"/>
      <w:kern w:val="2"/>
      <w:sz w:val="24"/>
    </w:rPr>
  </w:style>
  <w:style w:type="character" w:customStyle="1" w:styleId="IntenseQuoteChar">
    <w:name w:val="Intense Quote Char"/>
    <w:basedOn w:val="DefaultParagraphFont"/>
    <w:link w:val="IntenseQuote"/>
    <w:uiPriority w:val="30"/>
    <w:rsid w:val="00934383"/>
    <w:rPr>
      <w:i/>
      <w:iCs/>
      <w:color w:val="0F4761"/>
    </w:rPr>
  </w:style>
  <w:style w:type="character" w:customStyle="1" w:styleId="IntenseReference1">
    <w:name w:val="Intense Reference1"/>
    <w:basedOn w:val="DefaultParagraphFont"/>
    <w:uiPriority w:val="32"/>
    <w:qFormat/>
    <w:rsid w:val="00934383"/>
    <w:rPr>
      <w:b/>
      <w:bCs/>
      <w:smallCaps/>
      <w:color w:val="0F4761"/>
      <w:spacing w:val="5"/>
    </w:rPr>
  </w:style>
  <w:style w:type="table" w:customStyle="1" w:styleId="TableGrid2">
    <w:name w:val="Table Grid2"/>
    <w:basedOn w:val="TableNormal"/>
    <w:next w:val="TableGrid"/>
    <w:uiPriority w:val="39"/>
    <w:rsid w:val="00934383"/>
    <w:pPr>
      <w:spacing w:after="0" w:line="240" w:lineRule="auto"/>
    </w:pPr>
    <w:rPr>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934383"/>
    <w:pPr>
      <w:spacing w:after="0" w:line="480" w:lineRule="auto"/>
      <w:ind w:left="720" w:hanging="720"/>
    </w:pPr>
    <w:rPr>
      <w:rFonts w:ascii="Times New Roman" w:eastAsia="Aptos" w:hAnsi="Times New Roman"/>
      <w:color w:val="000000"/>
      <w:kern w:val="2"/>
      <w:sz w:val="24"/>
    </w:rPr>
  </w:style>
  <w:style w:type="character" w:styleId="PageNumber">
    <w:name w:val="page number"/>
    <w:basedOn w:val="DefaultParagraphFont"/>
    <w:uiPriority w:val="99"/>
    <w:semiHidden/>
    <w:unhideWhenUsed/>
    <w:rsid w:val="00934383"/>
  </w:style>
  <w:style w:type="paragraph" w:styleId="Revision">
    <w:name w:val="Revision"/>
    <w:hidden/>
    <w:uiPriority w:val="99"/>
    <w:semiHidden/>
    <w:rsid w:val="00934383"/>
    <w:pPr>
      <w:spacing w:after="0" w:line="240" w:lineRule="auto"/>
    </w:pPr>
    <w:rPr>
      <w:rFonts w:eastAsia="Aptos"/>
      <w:kern w:val="2"/>
    </w:rPr>
  </w:style>
  <w:style w:type="table" w:customStyle="1" w:styleId="PlainTable11">
    <w:name w:val="Plain Table 11"/>
    <w:basedOn w:val="TableNormal"/>
    <w:next w:val="PlainTable1"/>
    <w:uiPriority w:val="41"/>
    <w:rsid w:val="00934383"/>
    <w:pPr>
      <w:spacing w:after="0" w:line="240" w:lineRule="auto"/>
    </w:pPr>
    <w:rPr>
      <w:rFonts w:eastAsia="Aptos"/>
      <w:kern w:val="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Strong">
    <w:name w:val="Strong"/>
    <w:basedOn w:val="DefaultParagraphFont"/>
    <w:qFormat/>
    <w:rsid w:val="00934383"/>
    <w:rPr>
      <w:b/>
      <w:bCs/>
    </w:rPr>
  </w:style>
  <w:style w:type="character" w:customStyle="1" w:styleId="NoSpacingChar">
    <w:name w:val="No Spacing Char"/>
    <w:basedOn w:val="DefaultParagraphFont"/>
    <w:link w:val="NoSpacing"/>
    <w:uiPriority w:val="1"/>
    <w:rsid w:val="00934383"/>
    <w:rPr>
      <w:rFonts w:ascii="Times New Roman" w:eastAsia="Calibri" w:hAnsi="Times New Roman"/>
      <w:sz w:val="24"/>
    </w:rPr>
  </w:style>
  <w:style w:type="paragraph" w:customStyle="1" w:styleId="Abstract">
    <w:name w:val="Abstract"/>
    <w:basedOn w:val="Heading2"/>
    <w:qFormat/>
    <w:rsid w:val="00934383"/>
    <w:pPr>
      <w:spacing w:before="0" w:line="240" w:lineRule="auto"/>
    </w:pPr>
    <w:rPr>
      <w:color w:val="000000"/>
      <w:kern w:val="2"/>
      <w:sz w:val="24"/>
      <w:szCs w:val="32"/>
      <w:lang w:val="en-US"/>
    </w:rPr>
  </w:style>
  <w:style w:type="character" w:customStyle="1" w:styleId="Heading5Char1">
    <w:name w:val="Heading 5 Char1"/>
    <w:basedOn w:val="DefaultParagraphFont"/>
    <w:uiPriority w:val="9"/>
    <w:semiHidden/>
    <w:rsid w:val="00934383"/>
    <w:rPr>
      <w:rFonts w:asciiTheme="majorHAnsi" w:eastAsiaTheme="majorEastAsia" w:hAnsiTheme="majorHAnsi" w:cstheme="majorBidi"/>
      <w:color w:val="2E74B5" w:themeColor="accent1" w:themeShade="BF"/>
    </w:rPr>
  </w:style>
  <w:style w:type="character" w:customStyle="1" w:styleId="Heading6Char1">
    <w:name w:val="Heading 6 Char1"/>
    <w:basedOn w:val="DefaultParagraphFont"/>
    <w:uiPriority w:val="9"/>
    <w:semiHidden/>
    <w:rsid w:val="00934383"/>
    <w:rPr>
      <w:rFonts w:asciiTheme="majorHAnsi" w:eastAsiaTheme="majorEastAsia" w:hAnsiTheme="majorHAnsi" w:cstheme="majorBidi"/>
      <w:color w:val="1F4D78" w:themeColor="accent1" w:themeShade="7F"/>
    </w:rPr>
  </w:style>
  <w:style w:type="character" w:customStyle="1" w:styleId="Heading7Char1">
    <w:name w:val="Heading 7 Char1"/>
    <w:basedOn w:val="DefaultParagraphFont"/>
    <w:uiPriority w:val="9"/>
    <w:semiHidden/>
    <w:rsid w:val="00934383"/>
    <w:rPr>
      <w:rFonts w:asciiTheme="majorHAnsi" w:eastAsiaTheme="majorEastAsia" w:hAnsiTheme="majorHAnsi" w:cstheme="majorBidi"/>
      <w:i/>
      <w:iCs/>
      <w:color w:val="1F4D78" w:themeColor="accent1" w:themeShade="7F"/>
    </w:rPr>
  </w:style>
  <w:style w:type="character" w:customStyle="1" w:styleId="Heading8Char1">
    <w:name w:val="Heading 8 Char1"/>
    <w:basedOn w:val="DefaultParagraphFont"/>
    <w:uiPriority w:val="9"/>
    <w:semiHidden/>
    <w:rsid w:val="00934383"/>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934383"/>
    <w:rPr>
      <w:rFonts w:asciiTheme="majorHAnsi" w:eastAsiaTheme="majorEastAsia" w:hAnsiTheme="majorHAnsi" w:cstheme="majorBidi"/>
      <w:i/>
      <w:iCs/>
      <w:color w:val="272727" w:themeColor="text1" w:themeTint="D8"/>
      <w:sz w:val="21"/>
      <w:szCs w:val="21"/>
    </w:rPr>
  </w:style>
  <w:style w:type="character" w:customStyle="1" w:styleId="TitleChar1">
    <w:name w:val="Title Char1"/>
    <w:basedOn w:val="DefaultParagraphFont"/>
    <w:uiPriority w:val="10"/>
    <w:rsid w:val="00934383"/>
    <w:rPr>
      <w:rFonts w:asciiTheme="majorHAnsi" w:eastAsiaTheme="majorEastAsia" w:hAnsiTheme="majorHAnsi" w:cstheme="majorBidi"/>
      <w:spacing w:val="-10"/>
      <w:kern w:val="28"/>
      <w:sz w:val="56"/>
      <w:szCs w:val="56"/>
    </w:rPr>
  </w:style>
  <w:style w:type="character" w:customStyle="1" w:styleId="SubtitleChar1">
    <w:name w:val="Subtitle Char1"/>
    <w:basedOn w:val="DefaultParagraphFont"/>
    <w:uiPriority w:val="11"/>
    <w:rsid w:val="00934383"/>
    <w:rPr>
      <w:color w:val="5A5A5A" w:themeColor="text1" w:themeTint="A5"/>
      <w:spacing w:val="15"/>
    </w:rPr>
  </w:style>
  <w:style w:type="paragraph" w:styleId="Quote">
    <w:name w:val="Quote"/>
    <w:basedOn w:val="Normal"/>
    <w:next w:val="Normal"/>
    <w:link w:val="QuoteChar"/>
    <w:uiPriority w:val="29"/>
    <w:qFormat/>
    <w:rsid w:val="00934383"/>
    <w:pPr>
      <w:spacing w:before="200"/>
      <w:ind w:left="864" w:right="864"/>
      <w:jc w:val="center"/>
    </w:pPr>
    <w:rPr>
      <w:i/>
      <w:iCs/>
      <w:color w:val="404040"/>
    </w:rPr>
  </w:style>
  <w:style w:type="character" w:customStyle="1" w:styleId="QuoteChar1">
    <w:name w:val="Quote Char1"/>
    <w:basedOn w:val="DefaultParagraphFont"/>
    <w:uiPriority w:val="29"/>
    <w:rsid w:val="00934383"/>
    <w:rPr>
      <w:i/>
      <w:iCs/>
      <w:color w:val="404040" w:themeColor="text1" w:themeTint="BF"/>
    </w:rPr>
  </w:style>
  <w:style w:type="character" w:styleId="IntenseEmphasis">
    <w:name w:val="Intense Emphasis"/>
    <w:basedOn w:val="DefaultParagraphFont"/>
    <w:uiPriority w:val="21"/>
    <w:qFormat/>
    <w:rsid w:val="00934383"/>
    <w:rPr>
      <w:i/>
      <w:iCs/>
      <w:color w:val="5B9BD5" w:themeColor="accent1"/>
    </w:rPr>
  </w:style>
  <w:style w:type="paragraph" w:styleId="IntenseQuote">
    <w:name w:val="Intense Quote"/>
    <w:basedOn w:val="Normal"/>
    <w:next w:val="Normal"/>
    <w:link w:val="IntenseQuoteChar"/>
    <w:uiPriority w:val="30"/>
    <w:qFormat/>
    <w:rsid w:val="00934383"/>
    <w:pPr>
      <w:pBdr>
        <w:top w:val="single" w:sz="4" w:space="10" w:color="5B9BD5" w:themeColor="accent1"/>
        <w:bottom w:val="single" w:sz="4" w:space="10" w:color="5B9BD5" w:themeColor="accent1"/>
      </w:pBdr>
      <w:spacing w:before="360" w:after="360"/>
      <w:ind w:left="864" w:right="864"/>
      <w:jc w:val="center"/>
    </w:pPr>
    <w:rPr>
      <w:i/>
      <w:iCs/>
      <w:color w:val="0F4761"/>
    </w:rPr>
  </w:style>
  <w:style w:type="character" w:customStyle="1" w:styleId="IntenseQuoteChar1">
    <w:name w:val="Intense Quote Char1"/>
    <w:basedOn w:val="DefaultParagraphFont"/>
    <w:uiPriority w:val="30"/>
    <w:rsid w:val="00934383"/>
    <w:rPr>
      <w:i/>
      <w:iCs/>
      <w:color w:val="5B9BD5" w:themeColor="accent1"/>
    </w:rPr>
  </w:style>
  <w:style w:type="character" w:styleId="IntenseReference">
    <w:name w:val="Intense Reference"/>
    <w:basedOn w:val="DefaultParagraphFont"/>
    <w:uiPriority w:val="32"/>
    <w:qFormat/>
    <w:rsid w:val="00934383"/>
    <w:rPr>
      <w:b/>
      <w:bCs/>
      <w:smallCaps/>
      <w:color w:val="5B9BD5" w:themeColor="accent1"/>
      <w:spacing w:val="5"/>
    </w:rPr>
  </w:style>
  <w:style w:type="table" w:styleId="PlainTable1">
    <w:name w:val="Plain Table 1"/>
    <w:basedOn w:val="TableNormal"/>
    <w:uiPriority w:val="41"/>
    <w:rsid w:val="0093438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3">
    <w:name w:val="Table Grid3"/>
    <w:basedOn w:val="TableNormal"/>
    <w:next w:val="TableGrid"/>
    <w:uiPriority w:val="39"/>
    <w:rsid w:val="0097272C"/>
    <w:pPr>
      <w:spacing w:after="0" w:line="240" w:lineRule="auto"/>
    </w:pPr>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qFormat/>
    <w:rPr>
      <w:color w:val="595959"/>
      <w:sz w:val="28"/>
      <w:szCs w:val="28"/>
    </w:rPr>
  </w:style>
  <w:style w:type="table" w:customStyle="1" w:styleId="a">
    <w:basedOn w:val="TableNormal"/>
    <w:pPr>
      <w:spacing w:after="0" w:line="240" w:lineRule="auto"/>
    </w:pPr>
    <w:rPr>
      <w:sz w:val="20"/>
      <w:szCs w:val="20"/>
    </w:rPr>
    <w:tblPr>
      <w:tblStyleRowBandSize w:val="1"/>
      <w:tblStyleColBandSize w:val="1"/>
    </w:tblPr>
  </w:style>
  <w:style w:type="table" w:customStyle="1" w:styleId="a0">
    <w:basedOn w:val="TableNormal"/>
    <w:pPr>
      <w:spacing w:after="0" w:line="240" w:lineRule="auto"/>
    </w:pPr>
    <w:rPr>
      <w:sz w:val="20"/>
      <w:szCs w:val="20"/>
    </w:rPr>
    <w:tblPr>
      <w:tblStyleRowBandSize w:val="1"/>
      <w:tblStyleColBandSize w:val="1"/>
    </w:tblPr>
  </w:style>
  <w:style w:type="table" w:customStyle="1" w:styleId="a1">
    <w:basedOn w:val="TableNormal"/>
    <w:pPr>
      <w:spacing w:after="0" w:line="240" w:lineRule="auto"/>
    </w:pPr>
    <w:rPr>
      <w:sz w:val="20"/>
      <w:szCs w:val="20"/>
    </w:rPr>
    <w:tblPr>
      <w:tblStyleRowBandSize w:val="1"/>
      <w:tblStyleColBandSize w:val="1"/>
    </w:tblPr>
  </w:style>
  <w:style w:type="table" w:customStyle="1" w:styleId="a2">
    <w:basedOn w:val="TableNormal"/>
    <w:pPr>
      <w:spacing w:after="0" w:line="240" w:lineRule="auto"/>
    </w:p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pPr>
      <w:spacing w:after="0" w:line="240" w:lineRule="auto"/>
    </w:p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5">
    <w:basedOn w:val="TableNormal"/>
    <w:pPr>
      <w:spacing w:after="0" w:line="240" w:lineRule="auto"/>
    </w:p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6">
    <w:basedOn w:val="TableNormal"/>
    <w:pPr>
      <w:spacing w:after="0" w:line="240" w:lineRule="auto"/>
    </w:p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7">
    <w:basedOn w:val="TableNormal"/>
    <w:pPr>
      <w:spacing w:after="0" w:line="240" w:lineRule="auto"/>
    </w:p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8">
    <w:basedOn w:val="TableNormal"/>
    <w:pPr>
      <w:widowControl w:val="0"/>
      <w:spacing w:after="0" w:line="240" w:lineRule="auto"/>
    </w:pPr>
    <w:tblPr>
      <w:tblStyleRowBandSize w:val="1"/>
      <w:tblStyleColBandSize w:val="1"/>
      <w:tblCellMar>
        <w:left w:w="0" w:type="dxa"/>
        <w:right w:w="0" w:type="dxa"/>
      </w:tblCellMar>
    </w:tblPr>
  </w:style>
  <w:style w:type="table" w:customStyle="1" w:styleId="a9">
    <w:basedOn w:val="TableNormal"/>
    <w:pPr>
      <w:widowControl w:val="0"/>
      <w:spacing w:after="0" w:line="240" w:lineRule="auto"/>
    </w:pPr>
    <w:tblPr>
      <w:tblStyleRowBandSize w:val="1"/>
      <w:tblStyleColBandSize w:val="1"/>
      <w:tblCellMar>
        <w:left w:w="0" w:type="dxa"/>
        <w:right w:w="57" w:type="dxa"/>
      </w:tblCellMar>
    </w:tblPr>
  </w:style>
  <w:style w:type="table" w:customStyle="1" w:styleId="aa">
    <w:basedOn w:val="TableNormal"/>
    <w:tblPr>
      <w:tblStyleRowBandSize w:val="1"/>
      <w:tblStyleColBandSize w:val="1"/>
      <w:tblCellMar>
        <w:left w:w="99" w:type="dxa"/>
        <w:right w:w="99" w:type="dxa"/>
      </w:tblCellMar>
    </w:tblPr>
  </w:style>
  <w:style w:type="table" w:customStyle="1" w:styleId="ab">
    <w:basedOn w:val="TableNormal"/>
    <w:pPr>
      <w:widowControl w:val="0"/>
      <w:spacing w:after="0" w:line="240" w:lineRule="auto"/>
    </w:pPr>
    <w:tblPr>
      <w:tblStyleRowBandSize w:val="1"/>
      <w:tblStyleColBandSize w:val="1"/>
      <w:tblCellMar>
        <w:left w:w="0" w:type="dxa"/>
        <w:right w:w="0" w:type="dxa"/>
      </w:tblCellMar>
    </w:tblPr>
  </w:style>
  <w:style w:type="table" w:customStyle="1" w:styleId="ac">
    <w:basedOn w:val="TableNormal"/>
    <w:pPr>
      <w:widowControl w:val="0"/>
      <w:spacing w:after="0" w:line="240" w:lineRule="auto"/>
    </w:pPr>
    <w:tblPr>
      <w:tblStyleRowBandSize w:val="1"/>
      <w:tblStyleColBandSize w:val="1"/>
      <w:tblCellMar>
        <w:left w:w="0" w:type="dxa"/>
        <w:right w:w="0" w:type="dxa"/>
      </w:tblCellMar>
    </w:tblPr>
  </w:style>
  <w:style w:type="table" w:customStyle="1" w:styleId="ad">
    <w:basedOn w:val="TableNormal"/>
    <w:pPr>
      <w:widowControl w:val="0"/>
      <w:spacing w:after="0" w:line="240" w:lineRule="auto"/>
    </w:pPr>
    <w:tblPr>
      <w:tblStyleRowBandSize w:val="1"/>
      <w:tblStyleColBandSize w:val="1"/>
      <w:tblCellMar>
        <w:left w:w="0" w:type="dxa"/>
        <w:right w:w="0" w:type="dxa"/>
      </w:tblCellMar>
    </w:tblPr>
  </w:style>
  <w:style w:type="table" w:customStyle="1" w:styleId="ae">
    <w:basedOn w:val="TableNormal"/>
    <w:tblPr>
      <w:tblStyleRowBandSize w:val="1"/>
      <w:tblStyleColBandSize w:val="1"/>
      <w:tblCellMar>
        <w:left w:w="99" w:type="dxa"/>
        <w:right w:w="99" w:type="dxa"/>
      </w:tblCellMar>
    </w:tblPr>
  </w:style>
  <w:style w:type="table" w:customStyle="1" w:styleId="af">
    <w:basedOn w:val="TableNormal"/>
    <w:pPr>
      <w:widowControl w:val="0"/>
      <w:spacing w:after="0" w:line="240" w:lineRule="auto"/>
    </w:pPr>
    <w:tblPr>
      <w:tblStyleRowBandSize w:val="1"/>
      <w:tblStyleColBandSize w:val="1"/>
      <w:tblCellMar>
        <w:left w:w="0" w:type="dxa"/>
        <w:right w:w="0" w:type="dxa"/>
      </w:tblCellMar>
    </w:tblPr>
  </w:style>
  <w:style w:type="table" w:customStyle="1" w:styleId="af0">
    <w:basedOn w:val="TableNormal"/>
    <w:pPr>
      <w:widowControl w:val="0"/>
      <w:spacing w:after="0" w:line="240" w:lineRule="auto"/>
    </w:pPr>
    <w:tblPr>
      <w:tblStyleRowBandSize w:val="1"/>
      <w:tblStyleColBandSize w:val="1"/>
      <w:tblCellMar>
        <w:left w:w="0" w:type="dxa"/>
        <w:right w:w="0" w:type="dxa"/>
      </w:tblCellMar>
    </w:tblPr>
  </w:style>
  <w:style w:type="table" w:customStyle="1" w:styleId="af1">
    <w:basedOn w:val="TableNormal"/>
    <w:tblPr>
      <w:tblStyleRowBandSize w:val="1"/>
      <w:tblStyleColBandSize w:val="1"/>
      <w:tblCellMar>
        <w:left w:w="99" w:type="dxa"/>
        <w:right w:w="99" w:type="dxa"/>
      </w:tblCellMar>
    </w:tblPr>
  </w:style>
  <w:style w:type="table" w:customStyle="1" w:styleId="af2">
    <w:basedOn w:val="TableNormal"/>
    <w:tblPr>
      <w:tblStyleRowBandSize w:val="1"/>
      <w:tblStyleColBandSize w:val="1"/>
      <w:tblCellMar>
        <w:left w:w="99" w:type="dxa"/>
        <w:right w:w="99" w:type="dxa"/>
      </w:tblCellMar>
    </w:tblPr>
  </w:style>
  <w:style w:type="table" w:customStyle="1" w:styleId="af3">
    <w:basedOn w:val="TableNormal"/>
    <w:tblPr>
      <w:tblStyleRowBandSize w:val="1"/>
      <w:tblStyleColBandSize w:val="1"/>
      <w:tblCellMar>
        <w:left w:w="99" w:type="dxa"/>
        <w:right w:w="99" w:type="dxa"/>
      </w:tblCellMar>
    </w:tblPr>
  </w:style>
  <w:style w:type="table" w:customStyle="1" w:styleId="af4">
    <w:basedOn w:val="TableNormal"/>
    <w:tblPr>
      <w:tblStyleRowBandSize w:val="1"/>
      <w:tblStyleColBandSize w:val="1"/>
      <w:tblCellMar>
        <w:left w:w="99" w:type="dxa"/>
        <w:right w:w="99" w:type="dxa"/>
      </w:tblCellMar>
    </w:tblPr>
  </w:style>
  <w:style w:type="table" w:customStyle="1" w:styleId="af5">
    <w:basedOn w:val="TableNormal"/>
    <w:pPr>
      <w:widowControl w:val="0"/>
      <w:spacing w:after="0" w:line="240" w:lineRule="auto"/>
    </w:p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pPr>
      <w:spacing w:after="0" w:line="240" w:lineRule="auto"/>
    </w:pPr>
    <w:tblPr>
      <w:tblStyleRowBandSize w:val="1"/>
      <w:tblStyleColBandSize w:val="1"/>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8">
    <w:basedOn w:val="TableNormal"/>
    <w:pPr>
      <w:spacing w:after="0" w:line="240" w:lineRule="auto"/>
    </w:pPr>
    <w:tblPr>
      <w:tblStyleRowBandSize w:val="1"/>
      <w:tblStyleColBandSize w:val="1"/>
    </w:tblPr>
  </w:style>
  <w:style w:type="table" w:customStyle="1" w:styleId="af9">
    <w:basedOn w:val="TableNormal"/>
    <w:pPr>
      <w:spacing w:after="0" w:line="240" w:lineRule="auto"/>
    </w:pPr>
    <w:tblPr>
      <w:tblStyleRowBandSize w:val="1"/>
      <w:tblStyleColBandSize w:val="1"/>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top w:w="15" w:type="dxa"/>
        <w:left w:w="15" w:type="dxa"/>
        <w:bottom w:w="15" w:type="dxa"/>
        <w:right w:w="15" w:type="dxa"/>
      </w:tblCellMar>
    </w:tblPr>
    <w:tblStylePr w:type="firstRow">
      <w:rPr>
        <w:rFonts w:ascii="Times New Roman" w:eastAsia="Times New Roman" w:hAnsi="Times New Roman" w:cs="Times New Roman"/>
        <w:b/>
      </w:rPr>
    </w:tblStylePr>
    <w:tblStylePr w:type="lastRow">
      <w:rPr>
        <w:rFonts w:ascii="Times New Roman" w:eastAsia="Times New Roman" w:hAnsi="Times New Roman" w:cs="Times New Roman"/>
        <w:b/>
      </w:rPr>
    </w:tblStylePr>
    <w:tblStylePr w:type="firstCol">
      <w:rPr>
        <w:rFonts w:ascii="Times New Roman" w:eastAsia="Times New Roman" w:hAnsi="Times New Roman" w:cs="Times New Roman"/>
        <w:b/>
      </w:rPr>
    </w:tblStylePr>
    <w:tblStylePr w:type="lastCol">
      <w:rPr>
        <w:rFonts w:ascii="Times New Roman" w:eastAsia="Times New Roman" w:hAnsi="Times New Roman" w:cs="Times New Roman"/>
        <w:b/>
      </w:rPr>
    </w:tblStylePr>
    <w:tblStylePr w:type="band1Vert">
      <w:tblPr/>
      <w:tcPr>
        <w:shd w:val="clear" w:color="auto" w:fill="F1F1F1"/>
      </w:tcPr>
    </w:tblStylePr>
    <w:tblStylePr w:type="band1Horz">
      <w:tblPr/>
      <w:tcPr>
        <w:shd w:val="clear" w:color="auto" w:fill="F1F1F1"/>
      </w:tcPr>
    </w:tblStylePr>
  </w:style>
  <w:style w:type="table" w:customStyle="1" w:styleId="afc">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afd">
    <w:basedOn w:val="TableNormal"/>
    <w:pPr>
      <w:spacing w:after="0" w:line="240" w:lineRule="auto"/>
    </w:p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e">
    <w:basedOn w:val="TableNormal"/>
    <w:pPr>
      <w:widowControl w:val="0"/>
      <w:jc w:val="both"/>
    </w:pPr>
    <w:tblPr>
      <w:tblStyleRowBandSize w:val="1"/>
      <w:tblStyleColBandSize w:val="1"/>
    </w:tblPr>
  </w:style>
  <w:style w:type="table" w:customStyle="1" w:styleId="aff">
    <w:basedOn w:val="TableNormal"/>
    <w:pPr>
      <w:widowControl w:val="0"/>
      <w:jc w:val="both"/>
    </w:pPr>
    <w:tblPr>
      <w:tblStyleRowBandSize w:val="1"/>
      <w:tblStyleColBandSize w:val="1"/>
    </w:tblPr>
  </w:style>
  <w:style w:type="table" w:customStyle="1" w:styleId="aff0">
    <w:basedOn w:val="TableNormal"/>
    <w:pPr>
      <w:widowControl w:val="0"/>
      <w:jc w:val="both"/>
    </w:pPr>
    <w:tblPr>
      <w:tblStyleRowBandSize w:val="1"/>
      <w:tblStyleColBandSize w:val="1"/>
    </w:tblPr>
  </w:style>
  <w:style w:type="table" w:customStyle="1" w:styleId="aff1">
    <w:basedOn w:val="TableNormal"/>
    <w:pPr>
      <w:widowControl w:val="0"/>
      <w:jc w:val="both"/>
    </w:pPr>
    <w:tblPr>
      <w:tblStyleRowBandSize w:val="1"/>
      <w:tblStyleColBandSize w:val="1"/>
    </w:tblPr>
  </w:style>
  <w:style w:type="table" w:customStyle="1" w:styleId="aff2">
    <w:basedOn w:val="TableNormal"/>
    <w:pPr>
      <w:spacing w:after="0" w:line="240" w:lineRule="auto"/>
    </w:pPr>
    <w:tblPr>
      <w:tblStyleRowBandSize w:val="1"/>
      <w:tblStyleColBandSize w:val="1"/>
    </w:tblPr>
  </w:style>
  <w:style w:type="table" w:customStyle="1" w:styleId="aff3">
    <w:basedOn w:val="TableNormal"/>
    <w:tblPr>
      <w:tblStyleRowBandSize w:val="1"/>
      <w:tblStyleColBandSize w:val="1"/>
      <w:tblCellMar>
        <w:left w:w="0" w:type="dxa"/>
        <w:right w:w="0" w:type="dxa"/>
      </w:tblCellMar>
    </w:tblPr>
  </w:style>
  <w:style w:type="table" w:customStyle="1" w:styleId="aff4">
    <w:basedOn w:val="TableNormal"/>
    <w:rPr>
      <w:sz w:val="17"/>
      <w:szCs w:val="17"/>
    </w:rPr>
    <w:tblPr>
      <w:tblStyleRowBandSize w:val="1"/>
      <w:tblStyleColBandSize w:val="1"/>
      <w:tblCellMar>
        <w:left w:w="0" w:type="dxa"/>
        <w:right w:w="0" w:type="dxa"/>
      </w:tblCellMar>
    </w:tblPr>
  </w:style>
  <w:style w:type="table" w:customStyle="1" w:styleId="aff5">
    <w:basedOn w:val="TableNormal"/>
    <w:rPr>
      <w:sz w:val="17"/>
      <w:szCs w:val="17"/>
    </w:rPr>
    <w:tblPr>
      <w:tblStyleRowBandSize w:val="1"/>
      <w:tblStyleColBandSize w:val="1"/>
    </w:tblPr>
  </w:style>
  <w:style w:type="table" w:customStyle="1" w:styleId="aff6">
    <w:basedOn w:val="TableNormal"/>
    <w:pPr>
      <w:spacing w:after="0" w:line="240" w:lineRule="auto"/>
    </w:pPr>
    <w:rPr>
      <w:sz w:val="20"/>
      <w:szCs w:val="20"/>
    </w:rPr>
    <w:tblPr>
      <w:tblStyleRowBandSize w:val="1"/>
      <w:tblStyleColBandSize w:val="1"/>
    </w:tblPr>
  </w:style>
  <w:style w:type="table" w:customStyle="1" w:styleId="aff7">
    <w:basedOn w:val="TableNormal"/>
    <w:pPr>
      <w:spacing w:after="0" w:line="240" w:lineRule="auto"/>
    </w:pPr>
    <w:rPr>
      <w:sz w:val="20"/>
      <w:szCs w:val="20"/>
    </w:rPr>
    <w:tblPr>
      <w:tblStyleRowBandSize w:val="1"/>
      <w:tblStyleColBandSize w:val="1"/>
    </w:tblPr>
  </w:style>
  <w:style w:type="table" w:customStyle="1" w:styleId="aff8">
    <w:basedOn w:val="TableNormal"/>
    <w:pPr>
      <w:spacing w:after="0" w:line="240" w:lineRule="auto"/>
    </w:pPr>
    <w:rPr>
      <w:sz w:val="20"/>
      <w:szCs w:val="20"/>
    </w:rPr>
    <w:tblPr>
      <w:tblStyleRowBandSize w:val="1"/>
      <w:tblStyleColBandSize w:val="1"/>
    </w:tblPr>
  </w:style>
  <w:style w:type="table" w:customStyle="1" w:styleId="aff9">
    <w:basedOn w:val="TableNormal"/>
    <w:pPr>
      <w:spacing w:after="0" w:line="240" w:lineRule="auto"/>
    </w:pPr>
    <w:rPr>
      <w:sz w:val="20"/>
      <w:szCs w:val="20"/>
    </w:rPr>
    <w:tblPr>
      <w:tblStyleRowBandSize w:val="1"/>
      <w:tblStyleColBandSize w:val="1"/>
    </w:tblPr>
  </w:style>
  <w:style w:type="table" w:customStyle="1" w:styleId="affa">
    <w:basedOn w:val="TableNormal"/>
    <w:pPr>
      <w:spacing w:after="0" w:line="240" w:lineRule="auto"/>
    </w:pPr>
    <w:rPr>
      <w:sz w:val="21"/>
      <w:szCs w:val="21"/>
    </w:rPr>
    <w:tblPr>
      <w:tblStyleRowBandSize w:val="1"/>
      <w:tblStyleColBandSize w:val="1"/>
    </w:tblPr>
  </w:style>
  <w:style w:type="table" w:customStyle="1" w:styleId="affb">
    <w:basedOn w:val="TableNormal"/>
    <w:pPr>
      <w:spacing w:after="0" w:line="240" w:lineRule="auto"/>
    </w:pPr>
    <w:rPr>
      <w:sz w:val="21"/>
      <w:szCs w:val="21"/>
    </w:rPr>
    <w:tblPr>
      <w:tblStyleRowBandSize w:val="1"/>
      <w:tblStyleColBandSize w:val="1"/>
    </w:tblPr>
  </w:style>
  <w:style w:type="table" w:customStyle="1" w:styleId="affc">
    <w:basedOn w:val="TableNormal"/>
    <w:pPr>
      <w:spacing w:after="0" w:line="240" w:lineRule="auto"/>
    </w:pPr>
    <w:rPr>
      <w:sz w:val="21"/>
      <w:szCs w:val="21"/>
    </w:rPr>
    <w:tblPr>
      <w:tblStyleRowBandSize w:val="1"/>
      <w:tblStyleColBandSize w:val="1"/>
    </w:tblPr>
  </w:style>
  <w:style w:type="table" w:customStyle="1" w:styleId="affd">
    <w:basedOn w:val="TableNormal"/>
    <w:pPr>
      <w:spacing w:after="0" w:line="240" w:lineRule="auto"/>
    </w:pPr>
    <w:rPr>
      <w:sz w:val="21"/>
      <w:szCs w:val="21"/>
    </w:rPr>
    <w:tblPr>
      <w:tblStyleRowBandSize w:val="1"/>
      <w:tblStyleColBandSize w:val="1"/>
    </w:tblPr>
  </w:style>
  <w:style w:type="table" w:customStyle="1" w:styleId="affe">
    <w:basedOn w:val="TableNormal"/>
    <w:pPr>
      <w:spacing w:after="0" w:line="240" w:lineRule="auto"/>
    </w:pPr>
    <w:rPr>
      <w:sz w:val="21"/>
      <w:szCs w:val="21"/>
    </w:r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f">
    <w:basedOn w:val="TableNormal"/>
    <w:pPr>
      <w:spacing w:after="0" w:line="240" w:lineRule="auto"/>
    </w:pPr>
    <w:rPr>
      <w:sz w:val="21"/>
      <w:szCs w:val="21"/>
    </w:r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f0">
    <w:basedOn w:val="TableNormal"/>
    <w:pPr>
      <w:spacing w:after="0" w:line="240" w:lineRule="auto"/>
    </w:pPr>
    <w:rPr>
      <w:sz w:val="21"/>
      <w:szCs w:val="21"/>
    </w:r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f1">
    <w:basedOn w:val="TableNormal"/>
    <w:pPr>
      <w:spacing w:after="0" w:line="240" w:lineRule="auto"/>
    </w:pPr>
    <w:rPr>
      <w:sz w:val="21"/>
      <w:szCs w:val="21"/>
    </w:r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f2">
    <w:basedOn w:val="TableNormal"/>
    <w:pPr>
      <w:spacing w:after="0" w:line="240" w:lineRule="auto"/>
    </w:pPr>
    <w:rPr>
      <w:sz w:val="21"/>
      <w:szCs w:val="21"/>
    </w:r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f3">
    <w:basedOn w:val="TableNormal"/>
    <w:tblPr>
      <w:tblStyleRowBandSize w:val="1"/>
      <w:tblStyleColBandSize w:val="1"/>
      <w:tblCellMar>
        <w:top w:w="15" w:type="dxa"/>
        <w:left w:w="15" w:type="dxa"/>
        <w:bottom w:w="15" w:type="dxa"/>
        <w:right w:w="15" w:type="dxa"/>
      </w:tblCellMar>
    </w:tblPr>
  </w:style>
  <w:style w:type="table" w:customStyle="1" w:styleId="afff4">
    <w:basedOn w:val="TableNormal"/>
    <w:tblPr>
      <w:tblStyleRowBandSize w:val="1"/>
      <w:tblStyleColBandSize w:val="1"/>
      <w:tblCellMar>
        <w:top w:w="15" w:type="dxa"/>
        <w:left w:w="15" w:type="dxa"/>
        <w:bottom w:w="15" w:type="dxa"/>
        <w:right w:w="15" w:type="dxa"/>
      </w:tblCellMar>
    </w:tblPr>
  </w:style>
  <w:style w:type="table" w:customStyle="1" w:styleId="afff5">
    <w:basedOn w:val="TableNormal"/>
    <w:pPr>
      <w:spacing w:after="0" w:line="240" w:lineRule="auto"/>
    </w:pPr>
    <w:rPr>
      <w:sz w:val="20"/>
      <w:szCs w:val="20"/>
    </w:rPr>
    <w:tblPr>
      <w:tblStyleRowBandSize w:val="1"/>
      <w:tblStyleColBandSize w:val="1"/>
    </w:tblPr>
  </w:style>
  <w:style w:type="table" w:customStyle="1" w:styleId="afff6">
    <w:basedOn w:val="TableNormal"/>
    <w:pPr>
      <w:spacing w:after="0" w:line="240" w:lineRule="auto"/>
    </w:pPr>
    <w:tblPr>
      <w:tblStyleRowBandSize w:val="1"/>
      <w:tblStyleColBandSize w:val="1"/>
    </w:tblPr>
  </w:style>
  <w:style w:type="table" w:customStyle="1" w:styleId="afff7">
    <w:basedOn w:val="TableNormal"/>
    <w:pPr>
      <w:spacing w:after="0" w:line="240" w:lineRule="auto"/>
    </w:pPr>
    <w:tblPr>
      <w:tblStyleRowBandSize w:val="1"/>
      <w:tblStyleColBandSize w:val="1"/>
    </w:tblPr>
  </w:style>
  <w:style w:type="table" w:customStyle="1" w:styleId="afff8">
    <w:basedOn w:val="TableNormal"/>
    <w:pPr>
      <w:spacing w:after="0" w:line="240" w:lineRule="auto"/>
    </w:pPr>
    <w:tblPr>
      <w:tblStyleRowBandSize w:val="1"/>
      <w:tblStyleColBandSize w:val="1"/>
    </w:tblPr>
  </w:style>
  <w:style w:type="table" w:customStyle="1" w:styleId="afff9">
    <w:basedOn w:val="TableNormal"/>
    <w:pPr>
      <w:spacing w:after="0" w:line="240" w:lineRule="auto"/>
    </w:pPr>
    <w:tblPr>
      <w:tblStyleRowBandSize w:val="1"/>
      <w:tblStyleColBandSize w:val="1"/>
    </w:tblPr>
  </w:style>
  <w:style w:type="table" w:customStyle="1" w:styleId="afffa">
    <w:basedOn w:val="TableNormal"/>
    <w:pPr>
      <w:spacing w:after="0" w:line="240" w:lineRule="auto"/>
    </w:pPr>
    <w:tblPr>
      <w:tblStyleRowBandSize w:val="1"/>
      <w:tblStyleColBandSize w:val="1"/>
    </w:tblPr>
  </w:style>
  <w:style w:type="table" w:customStyle="1" w:styleId="afffb">
    <w:basedOn w:val="TableNormal"/>
    <w:pPr>
      <w:spacing w:after="0" w:line="240" w:lineRule="auto"/>
    </w:pPr>
    <w:tblPr>
      <w:tblStyleRowBandSize w:val="1"/>
      <w:tblStyleColBandSize w:val="1"/>
    </w:tblPr>
  </w:style>
  <w:style w:type="table" w:customStyle="1" w:styleId="afffc">
    <w:basedOn w:val="TableNormal"/>
    <w:pPr>
      <w:spacing w:after="0" w:line="240" w:lineRule="auto"/>
    </w:pPr>
    <w:tblPr>
      <w:tblStyleRowBandSize w:val="1"/>
      <w:tblStyleColBandSize w:val="1"/>
    </w:tblPr>
  </w:style>
  <w:style w:type="table" w:customStyle="1" w:styleId="afffd">
    <w:basedOn w:val="TableNormal"/>
    <w:pPr>
      <w:spacing w:after="0" w:line="240" w:lineRule="auto"/>
    </w:pPr>
    <w:tblPr>
      <w:tblStyleRowBandSize w:val="1"/>
      <w:tblStyleColBandSize w:val="1"/>
    </w:tblPr>
  </w:style>
  <w:style w:type="table" w:customStyle="1" w:styleId="afffe">
    <w:basedOn w:val="TableNormal"/>
    <w:pPr>
      <w:spacing w:after="0" w:line="240" w:lineRule="auto"/>
    </w:pPr>
    <w:tblPr>
      <w:tblStyleRowBandSize w:val="1"/>
      <w:tblStyleColBandSize w:val="1"/>
    </w:tblPr>
  </w:style>
  <w:style w:type="table" w:customStyle="1" w:styleId="affff">
    <w:basedOn w:val="TableNormal"/>
    <w:pPr>
      <w:spacing w:after="0" w:line="240" w:lineRule="auto"/>
    </w:pPr>
    <w:tblPr>
      <w:tblStyleRowBandSize w:val="1"/>
      <w:tblStyleColBandSize w:val="1"/>
    </w:tblPr>
  </w:style>
  <w:style w:type="table" w:customStyle="1" w:styleId="affff0">
    <w:basedOn w:val="TableNormal"/>
    <w:pPr>
      <w:spacing w:after="0" w:line="240" w:lineRule="auto"/>
    </w:pPr>
    <w:tblPr>
      <w:tblStyleRowBandSize w:val="1"/>
      <w:tblStyleColBandSize w:val="1"/>
    </w:tblPr>
  </w:style>
  <w:style w:type="table" w:customStyle="1" w:styleId="affff1">
    <w:basedOn w:val="TableNormal"/>
    <w:pPr>
      <w:spacing w:after="0" w:line="240" w:lineRule="auto"/>
    </w:pPr>
    <w:tblPr>
      <w:tblStyleRowBandSize w:val="1"/>
      <w:tblStyleColBandSize w:val="1"/>
    </w:tblPr>
  </w:style>
  <w:style w:type="table" w:customStyle="1" w:styleId="affff2">
    <w:basedOn w:val="TableNormal"/>
    <w:pPr>
      <w:spacing w:after="0" w:line="240" w:lineRule="auto"/>
    </w:pPr>
    <w:tblPr>
      <w:tblStyleRowBandSize w:val="1"/>
      <w:tblStyleColBandSize w:val="1"/>
    </w:tblPr>
  </w:style>
  <w:style w:type="table" w:customStyle="1" w:styleId="affff3">
    <w:basedOn w:val="TableNormal"/>
    <w:tblPr>
      <w:tblStyleRowBandSize w:val="1"/>
      <w:tblStyleColBandSize w:val="1"/>
      <w:tblCellMar>
        <w:top w:w="15" w:type="dxa"/>
        <w:left w:w="15" w:type="dxa"/>
        <w:bottom w:w="15" w:type="dxa"/>
        <w:right w:w="15" w:type="dxa"/>
      </w:tblCellMar>
    </w:tblPr>
  </w:style>
  <w:style w:type="table" w:customStyle="1" w:styleId="affff4">
    <w:basedOn w:val="TableNormal"/>
    <w:tblPr>
      <w:tblStyleRowBandSize w:val="1"/>
      <w:tblStyleColBandSize w:val="1"/>
      <w:tblCellMar>
        <w:left w:w="99" w:type="dxa"/>
        <w:right w:w="99" w:type="dxa"/>
      </w:tblCellMar>
    </w:tblPr>
  </w:style>
  <w:style w:type="table" w:customStyle="1" w:styleId="affff5">
    <w:basedOn w:val="TableNormal"/>
    <w:tblPr>
      <w:tblStyleRowBandSize w:val="1"/>
      <w:tblStyleColBandSize w:val="1"/>
      <w:tblCellMar>
        <w:left w:w="99" w:type="dxa"/>
        <w:right w:w="99" w:type="dxa"/>
      </w:tblCellMar>
    </w:tblPr>
  </w:style>
  <w:style w:type="table" w:customStyle="1" w:styleId="affff6">
    <w:basedOn w:val="TableNormal"/>
    <w:tblPr>
      <w:tblStyleRowBandSize w:val="1"/>
      <w:tblStyleColBandSize w:val="1"/>
      <w:tblCellMar>
        <w:left w:w="99" w:type="dxa"/>
        <w:right w:w="99" w:type="dxa"/>
      </w:tblCellMar>
    </w:tblPr>
  </w:style>
  <w:style w:type="table" w:customStyle="1" w:styleId="affff7">
    <w:basedOn w:val="TableNormal"/>
    <w:tblPr>
      <w:tblStyleRowBandSize w:val="1"/>
      <w:tblStyleColBandSize w:val="1"/>
      <w:tblCellMar>
        <w:left w:w="99" w:type="dxa"/>
        <w:right w:w="99" w:type="dxa"/>
      </w:tblCellMar>
    </w:tblPr>
  </w:style>
  <w:style w:type="table" w:customStyle="1" w:styleId="affff8">
    <w:basedOn w:val="TableNormal"/>
    <w:tblPr>
      <w:tblStyleRowBandSize w:val="1"/>
      <w:tblStyleColBandSize w:val="1"/>
      <w:tblCellMar>
        <w:top w:w="15" w:type="dxa"/>
        <w:left w:w="15" w:type="dxa"/>
        <w:bottom w:w="15" w:type="dxa"/>
        <w:right w:w="15" w:type="dxa"/>
      </w:tblCellMar>
    </w:tblPr>
  </w:style>
  <w:style w:type="table" w:customStyle="1" w:styleId="affff9">
    <w:basedOn w:val="TableNormal"/>
    <w:pPr>
      <w:spacing w:after="0" w:line="240" w:lineRule="auto"/>
    </w:pPr>
    <w:rPr>
      <w:sz w:val="20"/>
      <w:szCs w:val="20"/>
    </w:rPr>
    <w:tblPr>
      <w:tblStyleRowBandSize w:val="1"/>
      <w:tblStyleColBandSize w:val="1"/>
    </w:tblPr>
  </w:style>
  <w:style w:type="table" w:customStyle="1" w:styleId="affffa">
    <w:basedOn w:val="TableNormal"/>
    <w:pPr>
      <w:spacing w:after="0" w:line="240" w:lineRule="auto"/>
    </w:p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ffb">
    <w:basedOn w:val="TableNormal"/>
    <w:pPr>
      <w:spacing w:after="0" w:line="240" w:lineRule="auto"/>
    </w:p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ffc">
    <w:basedOn w:val="TableNormal"/>
    <w:pPr>
      <w:spacing w:after="0" w:line="240" w:lineRule="auto"/>
    </w:p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ffd">
    <w:basedOn w:val="TableNormal"/>
    <w:pPr>
      <w:spacing w:after="0" w:line="240" w:lineRule="auto"/>
    </w:p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ffe">
    <w:basedOn w:val="TableNormal"/>
    <w:pPr>
      <w:spacing w:after="0" w:line="240" w:lineRule="auto"/>
    </w:p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fff">
    <w:basedOn w:val="TableNormal"/>
    <w:pPr>
      <w:spacing w:after="0" w:line="240" w:lineRule="auto"/>
    </w:p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fff0">
    <w:basedOn w:val="TableNormal"/>
    <w:tblPr>
      <w:tblStyleRowBandSize w:val="1"/>
      <w:tblStyleColBandSize w:val="1"/>
      <w:tblCellMar>
        <w:left w:w="115" w:type="dxa"/>
        <w:right w:w="115" w:type="dxa"/>
      </w:tblCellMar>
    </w:tblPr>
  </w:style>
  <w:style w:type="table" w:customStyle="1" w:styleId="afffff1">
    <w:basedOn w:val="TableNormal"/>
    <w:tblPr>
      <w:tblStyleRowBandSize w:val="1"/>
      <w:tblStyleColBandSize w:val="1"/>
    </w:tblPr>
  </w:style>
  <w:style w:type="table" w:customStyle="1" w:styleId="afffff2">
    <w:basedOn w:val="TableNormal"/>
    <w:tblPr>
      <w:tblStyleRowBandSize w:val="1"/>
      <w:tblStyleColBandSize w:val="1"/>
    </w:tblPr>
  </w:style>
  <w:style w:type="table" w:customStyle="1" w:styleId="afffff3">
    <w:basedOn w:val="TableNormal"/>
    <w:tblPr>
      <w:tblStyleRowBandSize w:val="1"/>
      <w:tblStyleColBandSize w:val="1"/>
    </w:tblPr>
  </w:style>
  <w:style w:type="table" w:customStyle="1" w:styleId="afffff4">
    <w:basedOn w:val="TableNormal"/>
    <w:tblPr>
      <w:tblStyleRowBandSize w:val="1"/>
      <w:tblStyleColBandSize w:val="1"/>
    </w:tblPr>
  </w:style>
  <w:style w:type="table" w:customStyle="1" w:styleId="afffff5">
    <w:basedOn w:val="TableNormal"/>
    <w:tblPr>
      <w:tblStyleRowBandSize w:val="1"/>
      <w:tblStyleColBandSize w:val="1"/>
    </w:tblPr>
  </w:style>
  <w:style w:type="table" w:customStyle="1" w:styleId="afffff6">
    <w:basedOn w:val="TableNormal"/>
    <w:tblPr>
      <w:tblStyleRowBandSize w:val="1"/>
      <w:tblStyleColBandSize w:val="1"/>
    </w:tblPr>
  </w:style>
  <w:style w:type="table" w:customStyle="1" w:styleId="afffff7">
    <w:basedOn w:val="TableNormal"/>
    <w:pPr>
      <w:spacing w:line="240" w:lineRule="auto"/>
    </w:pPr>
    <w:tblPr>
      <w:tblStyleRowBandSize w:val="1"/>
      <w:tblStyleColBandSize w:val="1"/>
    </w:tblPr>
  </w:style>
  <w:style w:type="table" w:customStyle="1" w:styleId="afffff8">
    <w:basedOn w:val="TableNormal"/>
    <w:pPr>
      <w:spacing w:after="0" w:line="240" w:lineRule="auto"/>
    </w:pPr>
    <w:tblPr>
      <w:tblStyleRowBandSize w:val="1"/>
      <w:tblStyleColBandSize w:val="1"/>
    </w:tblPr>
  </w:style>
  <w:style w:type="table" w:customStyle="1" w:styleId="afffff9">
    <w:basedOn w:val="TableNormal"/>
    <w:pPr>
      <w:spacing w:after="0" w:line="240" w:lineRule="auto"/>
    </w:pPr>
    <w:tblPr>
      <w:tblStyleRowBandSize w:val="1"/>
      <w:tblStyleColBandSize w:val="1"/>
    </w:tblPr>
  </w:style>
  <w:style w:type="table" w:customStyle="1" w:styleId="afffffa">
    <w:basedOn w:val="TableNormal"/>
    <w:tblPr>
      <w:tblStyleRowBandSize w:val="1"/>
      <w:tblStyleColBandSize w:val="1"/>
      <w:tblCellMar>
        <w:left w:w="115" w:type="dxa"/>
        <w:right w:w="115" w:type="dxa"/>
      </w:tblCellMar>
    </w:tblPr>
  </w:style>
  <w:style w:type="table" w:customStyle="1" w:styleId="afffffb">
    <w:basedOn w:val="TableNormal"/>
    <w:pPr>
      <w:spacing w:after="0" w:line="240" w:lineRule="auto"/>
    </w:pPr>
    <w:tblPr>
      <w:tblStyleRowBandSize w:val="1"/>
      <w:tblStyleColBandSize w:val="1"/>
    </w:tblPr>
  </w:style>
  <w:style w:type="table" w:customStyle="1" w:styleId="afffffc">
    <w:basedOn w:val="TableNormal"/>
    <w:tblPr>
      <w:tblStyleRowBandSize w:val="1"/>
      <w:tblStyleColBandSize w:val="1"/>
      <w:tblCellMar>
        <w:left w:w="115" w:type="dxa"/>
        <w:right w:w="115" w:type="dxa"/>
      </w:tblCellMar>
    </w:tblPr>
  </w:style>
  <w:style w:type="table" w:customStyle="1" w:styleId="afffffd">
    <w:basedOn w:val="TableNormal"/>
    <w:tblPr>
      <w:tblStyleRowBandSize w:val="1"/>
      <w:tblStyleColBandSize w:val="1"/>
      <w:tblCellMar>
        <w:left w:w="115" w:type="dxa"/>
        <w:right w:w="115" w:type="dxa"/>
      </w:tblCellMar>
    </w:tblPr>
  </w:style>
  <w:style w:type="table" w:customStyle="1" w:styleId="afffffe">
    <w:basedOn w:val="TableNormal"/>
    <w:tblPr>
      <w:tblStyleRowBandSize w:val="1"/>
      <w:tblStyleColBandSize w:val="1"/>
      <w:tblCellMar>
        <w:left w:w="0" w:type="dxa"/>
        <w:right w:w="0" w:type="dxa"/>
      </w:tblCellMar>
    </w:tblPr>
  </w:style>
  <w:style w:type="table" w:customStyle="1" w:styleId="affffff">
    <w:basedOn w:val="TableNormal"/>
    <w:tblPr>
      <w:tblStyleRowBandSize w:val="1"/>
      <w:tblStyleColBandSize w:val="1"/>
      <w:tblCellMar>
        <w:left w:w="0" w:type="dxa"/>
        <w:right w:w="0" w:type="dxa"/>
      </w:tblCellMar>
    </w:tblPr>
  </w:style>
  <w:style w:type="table" w:customStyle="1" w:styleId="affffff0">
    <w:basedOn w:val="TableNormal"/>
    <w:tblPr>
      <w:tblStyleRowBandSize w:val="1"/>
      <w:tblStyleColBandSize w:val="1"/>
      <w:tblCellMar>
        <w:left w:w="115" w:type="dxa"/>
        <w:right w:w="115" w:type="dxa"/>
      </w:tblCellMar>
    </w:tblPr>
  </w:style>
  <w:style w:type="table" w:customStyle="1" w:styleId="affffff1">
    <w:basedOn w:val="TableNormal"/>
    <w:pPr>
      <w:spacing w:after="0" w:line="240" w:lineRule="auto"/>
    </w:pPr>
    <w:tblPr>
      <w:tblStyleRowBandSize w:val="1"/>
      <w:tblStyleColBandSize w:val="1"/>
    </w:tblPr>
  </w:style>
  <w:style w:type="table" w:customStyle="1" w:styleId="affffff2">
    <w:basedOn w:val="TableNormal"/>
    <w:pPr>
      <w:spacing w:after="0" w:line="240" w:lineRule="auto"/>
    </w:pPr>
    <w:tblPr>
      <w:tblStyleRowBandSize w:val="1"/>
      <w:tblStyleColBandSize w:val="1"/>
    </w:tblPr>
  </w:style>
  <w:style w:type="table" w:customStyle="1" w:styleId="affffff3">
    <w:basedOn w:val="TableNormal"/>
    <w:pPr>
      <w:spacing w:after="0" w:line="240" w:lineRule="auto"/>
    </w:pPr>
    <w:tblPr>
      <w:tblStyleRowBandSize w:val="1"/>
      <w:tblStyleColBandSize w:val="1"/>
    </w:tblPr>
  </w:style>
  <w:style w:type="paragraph" w:styleId="TOC4">
    <w:name w:val="toc 4"/>
    <w:basedOn w:val="Normal"/>
    <w:next w:val="Normal"/>
    <w:autoRedefine/>
    <w:uiPriority w:val="39"/>
    <w:unhideWhenUsed/>
    <w:rsid w:val="003A4D03"/>
    <w:pPr>
      <w:spacing w:after="100" w:line="278" w:lineRule="auto"/>
      <w:ind w:left="720"/>
    </w:pPr>
    <w:rPr>
      <w:rFonts w:asciiTheme="minorHAnsi" w:eastAsiaTheme="minorEastAsia" w:hAnsiTheme="minorHAnsi" w:cstheme="minorBidi"/>
      <w:kern w:val="2"/>
      <w:sz w:val="24"/>
      <w:szCs w:val="24"/>
      <w14:ligatures w14:val="standardContextual"/>
    </w:rPr>
  </w:style>
  <w:style w:type="paragraph" w:styleId="TOC5">
    <w:name w:val="toc 5"/>
    <w:basedOn w:val="Normal"/>
    <w:next w:val="Normal"/>
    <w:autoRedefine/>
    <w:uiPriority w:val="39"/>
    <w:unhideWhenUsed/>
    <w:rsid w:val="003A4D03"/>
    <w:pPr>
      <w:spacing w:after="100" w:line="278" w:lineRule="auto"/>
      <w:ind w:left="960"/>
    </w:pPr>
    <w:rPr>
      <w:rFonts w:asciiTheme="minorHAnsi" w:eastAsiaTheme="minorEastAsia" w:hAnsiTheme="minorHAnsi" w:cstheme="minorBidi"/>
      <w:kern w:val="2"/>
      <w:sz w:val="24"/>
      <w:szCs w:val="24"/>
      <w14:ligatures w14:val="standardContextual"/>
    </w:rPr>
  </w:style>
  <w:style w:type="paragraph" w:styleId="TOC6">
    <w:name w:val="toc 6"/>
    <w:basedOn w:val="Normal"/>
    <w:next w:val="Normal"/>
    <w:autoRedefine/>
    <w:uiPriority w:val="39"/>
    <w:unhideWhenUsed/>
    <w:rsid w:val="003A4D03"/>
    <w:pPr>
      <w:spacing w:after="100" w:line="278" w:lineRule="auto"/>
      <w:ind w:left="1200"/>
    </w:pPr>
    <w:rPr>
      <w:rFonts w:asciiTheme="minorHAnsi" w:eastAsiaTheme="minorEastAsia" w:hAnsiTheme="minorHAnsi" w:cstheme="minorBidi"/>
      <w:kern w:val="2"/>
      <w:sz w:val="24"/>
      <w:szCs w:val="24"/>
      <w14:ligatures w14:val="standardContextual"/>
    </w:rPr>
  </w:style>
  <w:style w:type="paragraph" w:styleId="TOC7">
    <w:name w:val="toc 7"/>
    <w:basedOn w:val="Normal"/>
    <w:next w:val="Normal"/>
    <w:autoRedefine/>
    <w:uiPriority w:val="39"/>
    <w:unhideWhenUsed/>
    <w:rsid w:val="003A4D03"/>
    <w:pPr>
      <w:spacing w:after="100" w:line="278" w:lineRule="auto"/>
      <w:ind w:left="1440"/>
    </w:pPr>
    <w:rPr>
      <w:rFonts w:asciiTheme="minorHAnsi" w:eastAsiaTheme="minorEastAsia" w:hAnsiTheme="minorHAnsi" w:cstheme="minorBidi"/>
      <w:kern w:val="2"/>
      <w:sz w:val="24"/>
      <w:szCs w:val="24"/>
      <w14:ligatures w14:val="standardContextual"/>
    </w:rPr>
  </w:style>
  <w:style w:type="paragraph" w:styleId="TOC8">
    <w:name w:val="toc 8"/>
    <w:basedOn w:val="Normal"/>
    <w:next w:val="Normal"/>
    <w:autoRedefine/>
    <w:uiPriority w:val="39"/>
    <w:unhideWhenUsed/>
    <w:rsid w:val="003A4D03"/>
    <w:pPr>
      <w:spacing w:after="100" w:line="278" w:lineRule="auto"/>
      <w:ind w:left="1680"/>
    </w:pPr>
    <w:rPr>
      <w:rFonts w:asciiTheme="minorHAnsi" w:eastAsiaTheme="minorEastAsia" w:hAnsiTheme="minorHAnsi" w:cstheme="minorBidi"/>
      <w:kern w:val="2"/>
      <w:sz w:val="24"/>
      <w:szCs w:val="24"/>
      <w14:ligatures w14:val="standardContextual"/>
    </w:rPr>
  </w:style>
  <w:style w:type="paragraph" w:styleId="TOC9">
    <w:name w:val="toc 9"/>
    <w:basedOn w:val="Normal"/>
    <w:next w:val="Normal"/>
    <w:autoRedefine/>
    <w:uiPriority w:val="39"/>
    <w:unhideWhenUsed/>
    <w:rsid w:val="003A4D03"/>
    <w:pPr>
      <w:spacing w:after="100" w:line="278" w:lineRule="auto"/>
      <w:ind w:left="1920"/>
    </w:pPr>
    <w:rPr>
      <w:rFonts w:asciiTheme="minorHAnsi" w:eastAsiaTheme="minorEastAsia" w:hAnsiTheme="minorHAnsi" w:cstheme="minorBidi"/>
      <w:kern w:val="2"/>
      <w:sz w:val="24"/>
      <w:szCs w:val="24"/>
      <w14:ligatures w14:val="standardContextual"/>
    </w:rPr>
  </w:style>
  <w:style w:type="numbering" w:customStyle="1" w:styleId="CurrentList1">
    <w:name w:val="Current List1"/>
    <w:uiPriority w:val="99"/>
    <w:rsid w:val="00A2090C"/>
    <w:pPr>
      <w:numPr>
        <w:numId w:val="25"/>
      </w:numPr>
    </w:pPr>
  </w:style>
  <w:style w:type="character" w:customStyle="1" w:styleId="apple-tab-span">
    <w:name w:val="apple-tab-span"/>
    <w:basedOn w:val="DefaultParagraphFont"/>
    <w:rsid w:val="00C033B5"/>
  </w:style>
  <w:style w:type="table" w:customStyle="1" w:styleId="TableGrid4">
    <w:name w:val="Table Grid4"/>
    <w:basedOn w:val="TableNormal1"/>
    <w:next w:val="TableGrid"/>
    <w:uiPriority w:val="39"/>
    <w:qFormat/>
    <w:rsid w:val="001A48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qFormat/>
    <w:rsid w:val="001A48DC"/>
    <w:pPr>
      <w:spacing w:after="0" w:line="240" w:lineRule="auto"/>
    </w:pPr>
    <w:rPr>
      <w:rFonts w:ascii="Times New Roman" w:eastAsia="SimSun" w:hAnsi="Times New Roman" w:cs="Times New Roman"/>
      <w:sz w:val="20"/>
      <w:szCs w:val="20"/>
      <w:lang w:val="en-MY" w:eastAsia="en-GB"/>
    </w:rPr>
    <w:tblPr>
      <w:tblCellMar>
        <w:top w:w="0" w:type="dxa"/>
        <w:left w:w="0" w:type="dxa"/>
        <w:bottom w:w="0" w:type="dxa"/>
        <w:right w:w="0" w:type="dxa"/>
      </w:tblCellMar>
    </w:tblPr>
  </w:style>
  <w:style w:type="character" w:styleId="HTMLCode">
    <w:name w:val="HTML Code"/>
    <w:basedOn w:val="DefaultParagraphFont"/>
    <w:qFormat/>
    <w:rsid w:val="001A48DC"/>
    <w:rPr>
      <w:rFonts w:ascii="Courier New" w:hAnsi="Courier New"/>
      <w:sz w:val="20"/>
    </w:rPr>
  </w:style>
  <w:style w:type="paragraph" w:customStyle="1" w:styleId="Revision1">
    <w:name w:val="Revision1"/>
    <w:hidden/>
    <w:uiPriority w:val="99"/>
    <w:semiHidden/>
    <w:qFormat/>
    <w:rsid w:val="001A48DC"/>
    <w:pPr>
      <w:spacing w:after="0" w:line="240" w:lineRule="auto"/>
    </w:pPr>
    <w:rPr>
      <w:lang w:val="en-US" w:eastAsia="en-GB"/>
    </w:rPr>
  </w:style>
  <w:style w:type="table" w:customStyle="1" w:styleId="Style37">
    <w:name w:val="_Style 37"/>
    <w:basedOn w:val="TableNormal1"/>
    <w:qFormat/>
    <w:rsid w:val="001A48DC"/>
    <w:tblPr>
      <w:tblCellMar>
        <w:left w:w="108" w:type="dxa"/>
        <w:right w:w="108" w:type="dxa"/>
      </w:tblCellMar>
    </w:tblPr>
  </w:style>
  <w:style w:type="table" w:customStyle="1" w:styleId="Style38">
    <w:name w:val="_Style 38"/>
    <w:basedOn w:val="TableNormal1"/>
    <w:qFormat/>
    <w:rsid w:val="001A48DC"/>
    <w:tblPr>
      <w:tblCellMar>
        <w:left w:w="108" w:type="dxa"/>
        <w:right w:w="108" w:type="dxa"/>
      </w:tblCellMar>
    </w:tblPr>
  </w:style>
  <w:style w:type="table" w:customStyle="1" w:styleId="Style39">
    <w:name w:val="_Style 39"/>
    <w:basedOn w:val="TableNormal1"/>
    <w:qFormat/>
    <w:rsid w:val="001A48DC"/>
    <w:tblPr>
      <w:tblCellMar>
        <w:left w:w="108" w:type="dxa"/>
        <w:right w:w="108" w:type="dxa"/>
      </w:tblCellMar>
    </w:tblPr>
  </w:style>
  <w:style w:type="character" w:customStyle="1" w:styleId="font11">
    <w:name w:val="font11"/>
    <w:basedOn w:val="DefaultParagraphFont"/>
    <w:qFormat/>
    <w:rsid w:val="001A48DC"/>
    <w:rPr>
      <w:rFonts w:ascii="Segoe UI" w:eastAsia="Segoe UI" w:hAnsi="Segoe UI" w:cs="Segoe UI" w:hint="default"/>
      <w:color w:val="404040"/>
      <w:sz w:val="22"/>
      <w:szCs w:val="22"/>
      <w:u w:val="none"/>
    </w:rPr>
  </w:style>
  <w:style w:type="paragraph" w:customStyle="1" w:styleId="Author">
    <w:name w:val="Author"/>
    <w:basedOn w:val="Title"/>
    <w:next w:val="BodyText"/>
    <w:qFormat/>
    <w:rsid w:val="00EB6F7E"/>
    <w:pPr>
      <w:keepNext/>
      <w:keepLines/>
      <w:spacing w:after="80"/>
      <w:contextualSpacing/>
    </w:pPr>
    <w:rPr>
      <w:rFonts w:eastAsiaTheme="majorEastAsia"/>
      <w:b w:val="0"/>
      <w:smallCaps w:val="0"/>
      <w:color w:val="auto"/>
      <w:sz w:val="24"/>
      <w:szCs w:val="24"/>
      <w:lang w:val="en-US" w:eastAsia="en-US"/>
    </w:rPr>
  </w:style>
  <w:style w:type="paragraph" w:customStyle="1" w:styleId="FirstParagraph">
    <w:name w:val="First Paragraph"/>
    <w:basedOn w:val="BodyText"/>
    <w:next w:val="BodyText"/>
    <w:qFormat/>
    <w:rsid w:val="00D01771"/>
    <w:pPr>
      <w:spacing w:before="180" w:after="180"/>
    </w:pPr>
    <w:rPr>
      <w:rFonts w:eastAsiaTheme="minorHAnsi"/>
      <w:lang w:val="en-US" w:eastAsia="en-US"/>
    </w:rPr>
  </w:style>
  <w:style w:type="paragraph" w:customStyle="1" w:styleId="Compact">
    <w:name w:val="Compact"/>
    <w:basedOn w:val="BodyText"/>
    <w:rsid w:val="00D01771"/>
    <w:pPr>
      <w:spacing w:before="36" w:after="36"/>
    </w:pPr>
    <w:rPr>
      <w:rFonts w:eastAsiaTheme="minorHAnsi"/>
      <w:lang w:val="en-US" w:eastAsia="en-US"/>
    </w:rPr>
  </w:style>
  <w:style w:type="table" w:customStyle="1" w:styleId="Table">
    <w:name w:val="Table"/>
    <w:semiHidden/>
    <w:unhideWhenUsed/>
    <w:qFormat/>
    <w:rsid w:val="00D01771"/>
    <w:pPr>
      <w:spacing w:after="200" w:line="240" w:lineRule="auto"/>
    </w:pPr>
    <w:rPr>
      <w:rFonts w:asciiTheme="minorHAnsi" w:eastAsiaTheme="minorHAnsi" w:hAnsiTheme="minorHAnsi" w:cstheme="minorBidi"/>
      <w:sz w:val="24"/>
      <w:szCs w:val="24"/>
      <w:lang w:val="en-US" w:eastAsia="en-US"/>
    </w:rPr>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https://doi.org/10.1177/1548051815606429" TargetMode="External"/><Relationship Id="rId21" Type="http://schemas.openxmlformats.org/officeDocument/2006/relationships/hyperlink" Target="https://doi.org/10.1080/09638180701705973" TargetMode="External"/><Relationship Id="rId42" Type="http://schemas.openxmlformats.org/officeDocument/2006/relationships/hyperlink" Target="https://doi.org/10.1111/1475-679x.00020" TargetMode="External"/><Relationship Id="rId63" Type="http://schemas.openxmlformats.org/officeDocument/2006/relationships/hyperlink" Target="https://doi.org/10.1016/j.ribaf.2024.102250" TargetMode="External"/><Relationship Id="rId84" Type="http://schemas.openxmlformats.org/officeDocument/2006/relationships/hyperlink" Target="https://pu.edu.pk/images/journal/history/PDF-FILES/12a_54_1_17.pdf" TargetMode="External"/><Relationship Id="rId138" Type="http://schemas.openxmlformats.org/officeDocument/2006/relationships/hyperlink" Target="https://doi.org/10.13106/jafeb.2020.vol7.no7.209" TargetMode="External"/><Relationship Id="rId159" Type="http://schemas.openxmlformats.org/officeDocument/2006/relationships/hyperlink" Target="https://doi.org/10.17223/19988648/59/15" TargetMode="External"/><Relationship Id="rId170" Type="http://schemas.openxmlformats.org/officeDocument/2006/relationships/hyperlink" Target="https://doi.org/10.1016/0304-405X(86)90055-3" TargetMode="External"/><Relationship Id="rId191" Type="http://schemas.openxmlformats.org/officeDocument/2006/relationships/hyperlink" Target="https://doi.org/10.55217/102.v14i2.512" TargetMode="External"/><Relationship Id="rId205" Type="http://schemas.openxmlformats.org/officeDocument/2006/relationships/hyperlink" Target="https://doi.org/10.1016/j.jfineco.2008.10.007" TargetMode="External"/><Relationship Id="rId107" Type="http://schemas.openxmlformats.org/officeDocument/2006/relationships/hyperlink" Target="https://doi.org/10.1177/2158244019898264" TargetMode="External"/><Relationship Id="rId11" Type="http://schemas.openxmlformats.org/officeDocument/2006/relationships/hyperlink" Target="https://www.ncbi.nlm.nih.gov/pmc/articles/PMC6398294/" TargetMode="External"/><Relationship Id="rId32" Type="http://schemas.openxmlformats.org/officeDocument/2006/relationships/hyperlink" Target="mailto:grahitac@unmer.ac.id" TargetMode="External"/><Relationship Id="rId53" Type="http://schemas.openxmlformats.org/officeDocument/2006/relationships/hyperlink" Target="https://doi.org/10.1111/j.1540-6261.2004.00672.x" TargetMode="External"/><Relationship Id="rId74" Type="http://schemas.openxmlformats.org/officeDocument/2006/relationships/hyperlink" Target="https://www.fsa.go.jp/en/refer/councils/stewardship/20170529/01.pdf" TargetMode="External"/><Relationship Id="rId128" Type="http://schemas.openxmlformats.org/officeDocument/2006/relationships/hyperlink" Target="https://doi.org/10.1108/JFRA-04-2020-0119" TargetMode="External"/><Relationship Id="rId149" Type="http://schemas.openxmlformats.org/officeDocument/2006/relationships/hyperlink" Target="http://market.bisnis.com" TargetMode="External"/><Relationship Id="rId5" Type="http://schemas.openxmlformats.org/officeDocument/2006/relationships/settings" Target="settings.xml"/><Relationship Id="rId95" Type="http://schemas.openxmlformats.org/officeDocument/2006/relationships/hyperlink" Target="https://doi.org/10.14254/2071-789X.2019/12-3/5" TargetMode="External"/><Relationship Id="rId160" Type="http://schemas.openxmlformats.org/officeDocument/2006/relationships/hyperlink" Target="https://doi.org/10.1108/PAR-03-2018-0036" TargetMode="External"/><Relationship Id="rId181" Type="http://schemas.openxmlformats.org/officeDocument/2006/relationships/hyperlink" Target="https://www.idx.co.id/" TargetMode="External"/><Relationship Id="rId216" Type="http://schemas.openxmlformats.org/officeDocument/2006/relationships/image" Target="media/image9.png"/><Relationship Id="rId211" Type="http://schemas.openxmlformats.org/officeDocument/2006/relationships/hyperlink" Target="mailto:Nttrinh@hunre.edu.vn" TargetMode="External"/><Relationship Id="rId22" Type="http://schemas.openxmlformats.org/officeDocument/2006/relationships/hyperlink" Target="https://doi.org/10.5465/amle.2005.16132558" TargetMode="External"/><Relationship Id="rId27" Type="http://schemas.openxmlformats.org/officeDocument/2006/relationships/hyperlink" Target="https://doi.org/10.1007/s10869-018-9560-4" TargetMode="External"/><Relationship Id="rId43" Type="http://schemas.openxmlformats.org/officeDocument/2006/relationships/hyperlink" Target="https://doi.org/10.1016/s0165-4101(00)00012-4" TargetMode="External"/><Relationship Id="rId48" Type="http://schemas.openxmlformats.org/officeDocument/2006/relationships/hyperlink" Target="https://doi.org/10.1080/0963818042000337132" TargetMode="External"/><Relationship Id="rId64" Type="http://schemas.openxmlformats.org/officeDocument/2006/relationships/hyperlink" Target="https://doi.org/10.1086/250042" TargetMode="External"/><Relationship Id="rId69" Type="http://schemas.openxmlformats.org/officeDocument/2006/relationships/hyperlink" Target="https://doi.org/10.1093/biomet/70.1.41" TargetMode="External"/><Relationship Id="rId113" Type="http://schemas.openxmlformats.org/officeDocument/2006/relationships/hyperlink" Target="http://gbmrjournal.com/pdf/vol.%205%20no.%201/5-Lee%20et%20al.,%202013.pdf" TargetMode="External"/><Relationship Id="rId118" Type="http://schemas.openxmlformats.org/officeDocument/2006/relationships/hyperlink" Target="https://doi.org/10.1108/MD-07-2017-0660" TargetMode="External"/><Relationship Id="rId134" Type="http://schemas.openxmlformats.org/officeDocument/2006/relationships/hyperlink" Target="https://doi.org/10.1016/j.jacceco.2010.09.002" TargetMode="External"/><Relationship Id="rId139" Type="http://schemas.openxmlformats.org/officeDocument/2006/relationships/hyperlink" Target="https://doi.org/10.2753/CES1097-1475400603" TargetMode="External"/><Relationship Id="rId80" Type="http://schemas.openxmlformats.org/officeDocument/2006/relationships/hyperlink" Target="mailto:dilek.yomralioglu@medipol.edu.tr" TargetMode="External"/><Relationship Id="rId85" Type="http://schemas.openxmlformats.org/officeDocument/2006/relationships/hyperlink" Target="https://doi.org/10.1002/csr.1410" TargetMode="External"/><Relationship Id="rId150" Type="http://schemas.openxmlformats.org/officeDocument/2006/relationships/image" Target="media/image5.png"/><Relationship Id="rId155" Type="http://schemas.openxmlformats.org/officeDocument/2006/relationships/hyperlink" Target="https://doi.org/10.20869/auditf/2021/163/017" TargetMode="External"/><Relationship Id="rId171" Type="http://schemas.openxmlformats.org/officeDocument/2006/relationships/hyperlink" Target="https://doi.org/10.1093/rfs/hhn076" TargetMode="External"/><Relationship Id="rId176" Type="http://schemas.openxmlformats.org/officeDocument/2006/relationships/hyperlink" Target="https://doi.org/10.2307/2325486" TargetMode="External"/><Relationship Id="rId192" Type="http://schemas.openxmlformats.org/officeDocument/2006/relationships/hyperlink" Target="https://doi.org/10.1016/s0378-4266(02)00241-8" TargetMode="External"/><Relationship Id="rId197" Type="http://schemas.openxmlformats.org/officeDocument/2006/relationships/hyperlink" Target="https://doi.org/10.21474/ijar01/6756" TargetMode="External"/><Relationship Id="rId206" Type="http://schemas.openxmlformats.org/officeDocument/2006/relationships/hyperlink" Target="https://doi.org/10.2308/aud.2004.23.2.55" TargetMode="External"/><Relationship Id="rId201" Type="http://schemas.openxmlformats.org/officeDocument/2006/relationships/hyperlink" Target="https://doi.org/10.1108/mf-08-2020-0428" TargetMode="External"/><Relationship Id="rId222" Type="http://schemas.openxmlformats.org/officeDocument/2006/relationships/hyperlink" Target="https://doi.org/10.3390/economies13070194" TargetMode="External"/><Relationship Id="rId12" Type="http://schemas.openxmlformats.org/officeDocument/2006/relationships/hyperlink" Target="https://www.ncbi.nlm.nih.gov/pmc/articles/PMC6398294/" TargetMode="External"/><Relationship Id="rId17" Type="http://schemas.openxmlformats.org/officeDocument/2006/relationships/hyperlink" Target="https://archive.org/search.php?query=creator%3A%22Follett%2C+Mary+Parker%22" TargetMode="External"/><Relationship Id="rId33" Type="http://schemas.openxmlformats.org/officeDocument/2006/relationships/hyperlink" Target="mailto:sumtaky958@gmail.com" TargetMode="External"/><Relationship Id="rId38" Type="http://schemas.openxmlformats.org/officeDocument/2006/relationships/hyperlink" Target="mailto:yoshitaka.kubota531@keio.jp" TargetMode="External"/><Relationship Id="rId59" Type="http://schemas.openxmlformats.org/officeDocument/2006/relationships/hyperlink" Target="https://www.jpx.co.jp/english/markets/statistics-equities/examination/01.html" TargetMode="External"/><Relationship Id="rId103" Type="http://schemas.openxmlformats.org/officeDocument/2006/relationships/hyperlink" Target="https://doi.org/10.1007/978-3-319-57413-4_15" TargetMode="External"/><Relationship Id="rId108" Type="http://schemas.openxmlformats.org/officeDocument/2006/relationships/hyperlink" Target="https://doi.org/10.1016/j.ijhm.2016.10.011" TargetMode="External"/><Relationship Id="rId124" Type="http://schemas.openxmlformats.org/officeDocument/2006/relationships/hyperlink" Target="https://doi.org/10.1111/j.1756-2171.2010.00114.x" TargetMode="External"/><Relationship Id="rId129" Type="http://schemas.openxmlformats.org/officeDocument/2006/relationships/hyperlink" Target="https://doi.org/10.1016/j.jacceco.2015.02.003" TargetMode="External"/><Relationship Id="rId54" Type="http://schemas.openxmlformats.org/officeDocument/2006/relationships/hyperlink" Target="https://doi.org/10.2308/accr-50225" TargetMode="External"/><Relationship Id="rId70" Type="http://schemas.openxmlformats.org/officeDocument/2006/relationships/hyperlink" Target="https://doi.org/10.1016/j.intacc.2017.09.002" TargetMode="External"/><Relationship Id="rId75" Type="http://schemas.openxmlformats.org/officeDocument/2006/relationships/hyperlink" Target="https://doi.org/10.1111/acfi.13221" TargetMode="External"/><Relationship Id="rId91" Type="http://schemas.openxmlformats.org/officeDocument/2006/relationships/hyperlink" Target="https://doi.org/10.1111/1467-8551.12108" TargetMode="External"/><Relationship Id="rId96" Type="http://schemas.openxmlformats.org/officeDocument/2006/relationships/hyperlink" Target="https://doi.org/10.5465/amr.1995.9503271992" TargetMode="External"/><Relationship Id="rId140" Type="http://schemas.openxmlformats.org/officeDocument/2006/relationships/hyperlink" Target="https://doi.org/10.51865/EITC.2024.02.01" TargetMode="External"/><Relationship Id="rId145" Type="http://schemas.openxmlformats.org/officeDocument/2006/relationships/hyperlink" Target="http://www.liputan6.com" TargetMode="External"/><Relationship Id="rId161" Type="http://schemas.openxmlformats.org/officeDocument/2006/relationships/hyperlink" Target="https://doi.org/10.1108/MAJ-09" TargetMode="External"/><Relationship Id="rId166" Type="http://schemas.openxmlformats.org/officeDocument/2006/relationships/hyperlink" Target="https://doi.org/10.20409/berj.2021.325" TargetMode="External"/><Relationship Id="rId182" Type="http://schemas.openxmlformats.org/officeDocument/2006/relationships/hyperlink" Target="https://doi.org/10.1016/0304-405x(76)90026-x" TargetMode="External"/><Relationship Id="rId187" Type="http://schemas.openxmlformats.org/officeDocument/2006/relationships/hyperlink" Target="https://doi.org/10.1111/j.1540-6261.1991.tb03770.x" TargetMode="External"/><Relationship Id="rId217" Type="http://schemas.openxmlformats.org/officeDocument/2006/relationships/hyperlink" Target="https://doi.org/10.1016/j.jfineco.2009.02.003"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yperlink" Target="mailto:vuthebinh@vnu.edu.vn" TargetMode="External"/><Relationship Id="rId23" Type="http://schemas.openxmlformats.org/officeDocument/2006/relationships/hyperlink" Target="https://doi.org/10.2308/accr.00000027" TargetMode="External"/><Relationship Id="rId28" Type="http://schemas.openxmlformats.org/officeDocument/2006/relationships/hyperlink" Target="https://doi.org/10.1002/(SICI)1234-981X(199707)5:3" TargetMode="External"/><Relationship Id="rId49" Type="http://schemas.openxmlformats.org/officeDocument/2006/relationships/hyperlink" Target="https://doi.org/10.1016/j.cjar.2018.07.006" TargetMode="External"/><Relationship Id="rId114" Type="http://schemas.openxmlformats.org/officeDocument/2006/relationships/hyperlink" Target="https://ijoi-online.org/attachments/article/36/Vol6No1revised.pdf" TargetMode="External"/><Relationship Id="rId119" Type="http://schemas.openxmlformats.org/officeDocument/2006/relationships/hyperlink" Target="https://doi.org/10.1016/j.jhtm.2017.11.002" TargetMode="External"/><Relationship Id="rId44" Type="http://schemas.openxmlformats.org/officeDocument/2006/relationships/hyperlink" Target="https://doi.org/10.1016/j.jacceco.2003.10.003" TargetMode="External"/><Relationship Id="rId60" Type="http://schemas.openxmlformats.org/officeDocument/2006/relationships/hyperlink" Target="https://doi.org/10.1007/s11294-019-09757-0" TargetMode="External"/><Relationship Id="rId65" Type="http://schemas.openxmlformats.org/officeDocument/2006/relationships/hyperlink" Target="https://doi.org/10.1016/s0304-405x(03)00121-1" TargetMode="External"/><Relationship Id="rId81" Type="http://schemas.openxmlformats.org/officeDocument/2006/relationships/hyperlink" Target="https://doi.org/10.1002/csr.1843" TargetMode="External"/><Relationship Id="rId86" Type="http://schemas.openxmlformats.org/officeDocument/2006/relationships/hyperlink" Target="https://doi.org/10.1057/s41299-018-0053-8" TargetMode="External"/><Relationship Id="rId130" Type="http://schemas.openxmlformats.org/officeDocument/2006/relationships/hyperlink" Target="https://doi.org/10.1016/j.jfineco.2009.02.003" TargetMode="External"/><Relationship Id="rId135" Type="http://schemas.openxmlformats.org/officeDocument/2006/relationships/hyperlink" Target="https://doi.org/10.1016/j.jpubeco.2008.09.004" TargetMode="External"/><Relationship Id="rId151" Type="http://schemas.openxmlformats.org/officeDocument/2006/relationships/image" Target="media/image6.png"/><Relationship Id="rId156" Type="http://schemas.openxmlformats.org/officeDocument/2006/relationships/hyperlink" Target="https://doi.org/10.11648/J.JFA.20200802.12" TargetMode="External"/><Relationship Id="rId177" Type="http://schemas.openxmlformats.org/officeDocument/2006/relationships/hyperlink" Target="https://doi.org/10.1111/j.1540-6261.1991.tb04636.x" TargetMode="External"/><Relationship Id="rId198" Type="http://schemas.openxmlformats.org/officeDocument/2006/relationships/hyperlink" Target="https://doi.org/10.2307/1882010" TargetMode="External"/><Relationship Id="rId172" Type="http://schemas.openxmlformats.org/officeDocument/2006/relationships/hyperlink" Target="http://hdl.handle.net/10453/16682" TargetMode="External"/><Relationship Id="rId193" Type="http://schemas.openxmlformats.org/officeDocument/2006/relationships/hyperlink" Target="http://journal.lifescifi.com/index.php/RH/article/view/314" TargetMode="External"/><Relationship Id="rId202" Type="http://schemas.openxmlformats.org/officeDocument/2006/relationships/hyperlink" Target="https://doi.org/10.1016/j.jcorpfin.2017.12.027" TargetMode="External"/><Relationship Id="rId207" Type="http://schemas.openxmlformats.org/officeDocument/2006/relationships/hyperlink" Target="mailto:vidiputri@ibs.ac.id" TargetMode="External"/><Relationship Id="rId223" Type="http://schemas.openxmlformats.org/officeDocument/2006/relationships/hyperlink" Target="https://doi.org/10.1016/j.regsus.2023.07.001" TargetMode="External"/><Relationship Id="rId13" Type="http://schemas.openxmlformats.org/officeDocument/2006/relationships/hyperlink" Target="https://www.ncbi.nlm.nih.gov/pmc/articles/PMC6398294/" TargetMode="External"/><Relationship Id="rId18" Type="http://schemas.openxmlformats.org/officeDocument/2006/relationships/hyperlink" Target="https://archive.org/search.php?query=date:1924" TargetMode="External"/><Relationship Id="rId39" Type="http://schemas.openxmlformats.org/officeDocument/2006/relationships/hyperlink" Target="mailto:ftakeda@kbs.keio.ac.jp" TargetMode="External"/><Relationship Id="rId109" Type="http://schemas.openxmlformats.org/officeDocument/2006/relationships/hyperlink" Target="https://doi.org/10.1002/csr.274" TargetMode="External"/><Relationship Id="rId34" Type="http://schemas.openxmlformats.org/officeDocument/2006/relationships/hyperlink" Target="mailto:sumtaky958@gmail.com" TargetMode="External"/><Relationship Id="rId50" Type="http://schemas.openxmlformats.org/officeDocument/2006/relationships/hyperlink" Target="https://doi.org/10.1016/j.jacceco.2011.02.001" TargetMode="External"/><Relationship Id="rId55" Type="http://schemas.openxmlformats.org/officeDocument/2006/relationships/hyperlink" Target="https://doi.org/10.1016/j.jaccpubpol.2012.06.001" TargetMode="External"/><Relationship Id="rId76" Type="http://schemas.openxmlformats.org/officeDocument/2006/relationships/hyperlink" Target="https://www.jpx.co.jp/english/equities/listing/cg/" TargetMode="External"/><Relationship Id="rId97" Type="http://schemas.openxmlformats.org/officeDocument/2006/relationships/hyperlink" Target="https://doi.org/10.1007/s10551-017-3673-5" TargetMode="External"/><Relationship Id="rId104" Type="http://schemas.openxmlformats.org/officeDocument/2006/relationships/hyperlink" Target="https://doi.org/10.1016/j.leaqua.2016.10.010" TargetMode="External"/><Relationship Id="rId120" Type="http://schemas.openxmlformats.org/officeDocument/2006/relationships/hyperlink" Target="https://doi.org/10.5465/amp.2012.0028" TargetMode="External"/><Relationship Id="rId125" Type="http://schemas.openxmlformats.org/officeDocument/2006/relationships/hyperlink" Target="https://doi.org/10.1007/s10551-011-0952-4" TargetMode="External"/><Relationship Id="rId141" Type="http://schemas.openxmlformats.org/officeDocument/2006/relationships/hyperlink" Target="https://doi.org/10.15294/aaj.v10i3.51446" TargetMode="External"/><Relationship Id="rId146" Type="http://schemas.openxmlformats.org/officeDocument/2006/relationships/hyperlink" Target="http://www.neraca.co.id/article/52481" TargetMode="External"/><Relationship Id="rId167" Type="http://schemas.openxmlformats.org/officeDocument/2006/relationships/hyperlink" Target="https://doi.org/10.1016/j.jcorpfin.2011.06.004" TargetMode="External"/><Relationship Id="rId188" Type="http://schemas.openxmlformats.org/officeDocument/2006/relationships/hyperlink" Target="https://doi.org/10.37134/jcit.vol11.1.2021" TargetMode="External"/><Relationship Id="rId7" Type="http://schemas.openxmlformats.org/officeDocument/2006/relationships/footnotes" Target="footnotes.xml"/><Relationship Id="rId71" Type="http://schemas.openxmlformats.org/officeDocument/2006/relationships/hyperlink" Target="https://doi.org/10.1016/j.jaccpubpol.2011.07.001" TargetMode="External"/><Relationship Id="rId92" Type="http://schemas.openxmlformats.org/officeDocument/2006/relationships/hyperlink" Target="https://psycnet.apa.org/doi/10.1016/j.orgdyn.2015.02.002" TargetMode="External"/><Relationship Id="rId162" Type="http://schemas.openxmlformats.org/officeDocument/2006/relationships/hyperlink" Target="https://doi.org/10.2308/ACHR-18-048" TargetMode="External"/><Relationship Id="rId183" Type="http://schemas.openxmlformats.org/officeDocument/2006/relationships/hyperlink" Target="https://doi.org/10.1108/par-09-2020-0149" TargetMode="External"/><Relationship Id="rId213" Type="http://schemas.openxmlformats.org/officeDocument/2006/relationships/hyperlink" Target="mailto:chibui@vnu.edu.vn" TargetMode="External"/><Relationship Id="rId218" Type="http://schemas.openxmlformats.org/officeDocument/2006/relationships/hyperlink" Target="https://doi.org/10.1108/JED-12-2019-0072" TargetMode="External"/><Relationship Id="rId2" Type="http://schemas.openxmlformats.org/officeDocument/2006/relationships/customXml" Target="../customXml/item2.xml"/><Relationship Id="rId29" Type="http://schemas.openxmlformats.org/officeDocument/2006/relationships/hyperlink" Target="file:///C:\Users\susum\AppData\Local\Microsoft\Windows\INetCache\Content.Outlook\VNXRU7ON\305::AID-EURO184" TargetMode="External"/><Relationship Id="rId24" Type="http://schemas.openxmlformats.org/officeDocument/2006/relationships/hyperlink" Target="https://doi.org/10.1177/1350508407074220" TargetMode="External"/><Relationship Id="rId40" Type="http://schemas.openxmlformats.org/officeDocument/2006/relationships/hyperlink" Target="https://doi.org/10.2308/jiar-19-539" TargetMode="External"/><Relationship Id="rId45" Type="http://schemas.openxmlformats.org/officeDocument/2006/relationships/hyperlink" Target="https://doi.org/10.1016/j.jacceco.2004.04.001" TargetMode="External"/><Relationship Id="rId66" Type="http://schemas.openxmlformats.org/officeDocument/2006/relationships/hyperlink" Target="https://doi.org/10.2307/2672910" TargetMode="External"/><Relationship Id="rId87" Type="http://schemas.openxmlformats.org/officeDocument/2006/relationships/hyperlink" Target="https://doi.org/10.1002/csr.1470" TargetMode="External"/><Relationship Id="rId110" Type="http://schemas.openxmlformats.org/officeDocument/2006/relationships/hyperlink" Target="https://doi.org/10.1093/oxfordhb/9780199211593.003.0004" TargetMode="External"/><Relationship Id="rId115" Type="http://schemas.openxmlformats.org/officeDocument/2006/relationships/hyperlink" Target="https://doi.org/10.3390/su13031044" TargetMode="External"/><Relationship Id="rId131" Type="http://schemas.openxmlformats.org/officeDocument/2006/relationships/hyperlink" Target="https://doi.org/10.2308/accr.2008.83.1.61" TargetMode="External"/><Relationship Id="rId136" Type="http://schemas.openxmlformats.org/officeDocument/2006/relationships/hyperlink" Target="https://doi.org/10.1108/09513571311285621" TargetMode="External"/><Relationship Id="rId157" Type="http://schemas.openxmlformats.org/officeDocument/2006/relationships/hyperlink" Target="https://pppk.kemenkeu.go.id/in/post/ditemukan-pelanggaran-pada-audit-laporan-keuangan-garuda,-izin-ap-kasner-sirumapea-dibekukan" TargetMode="External"/><Relationship Id="rId178" Type="http://schemas.openxmlformats.org/officeDocument/2006/relationships/hyperlink" Target="https://doi.org/10.34209/equ.v27i2.9382" TargetMode="External"/><Relationship Id="rId61" Type="http://schemas.openxmlformats.org/officeDocument/2006/relationships/hyperlink" Target="https://doi.org/10.34605/jaa.2019.20_78" TargetMode="External"/><Relationship Id="rId82" Type="http://schemas.openxmlformats.org/officeDocument/2006/relationships/hyperlink" Target="https://doi.org/10.1002/csr.1506" TargetMode="External"/><Relationship Id="rId152" Type="http://schemas.openxmlformats.org/officeDocument/2006/relationships/hyperlink" Target="https://doi.org/10.58661/ijsse.v4i1.237" TargetMode="External"/><Relationship Id="rId173" Type="http://schemas.openxmlformats.org/officeDocument/2006/relationships/hyperlink" Target="https://doi.org/10.1016/s0304-405x(00)00040-4" TargetMode="External"/><Relationship Id="rId194" Type="http://schemas.openxmlformats.org/officeDocument/2006/relationships/hyperlink" Target="http://www.jstor.org/stable/3094524" TargetMode="External"/><Relationship Id="rId199" Type="http://schemas.openxmlformats.org/officeDocument/2006/relationships/hyperlink" Target="https://doi.org/10.9734/bjemt/2014/6349" TargetMode="External"/><Relationship Id="rId203" Type="http://schemas.openxmlformats.org/officeDocument/2006/relationships/hyperlink" Target="http://www.jstor.org/stable/j.ctt5hhcfr" TargetMode="External"/><Relationship Id="rId208" Type="http://schemas.openxmlformats.org/officeDocument/2006/relationships/hyperlink" Target="mailto:vidiputri@ibs.ac.id" TargetMode="External"/><Relationship Id="rId19" Type="http://schemas.openxmlformats.org/officeDocument/2006/relationships/hyperlink" Target="https://archive.org/search.php?query=subject%3A%22Experience%22" TargetMode="External"/><Relationship Id="rId224" Type="http://schemas.openxmlformats.org/officeDocument/2006/relationships/fontTable" Target="fontTable.xml"/><Relationship Id="rId14" Type="http://schemas.openxmlformats.org/officeDocument/2006/relationships/hyperlink" Target="https://s-ueno.sakura.ne.jp/APMAA_asia/APMAA_index.htm" TargetMode="External"/><Relationship Id="rId30" Type="http://schemas.openxmlformats.org/officeDocument/2006/relationships/hyperlink" Target="https://doi.org/10.2307/2393712" TargetMode="External"/><Relationship Id="rId35" Type="http://schemas.openxmlformats.org/officeDocument/2006/relationships/header" Target="header1.xml"/><Relationship Id="rId56" Type="http://schemas.openxmlformats.org/officeDocument/2006/relationships/hyperlink" Target="https://doi.org/10.10,16/j.jimonfin.2013.04.001" TargetMode="External"/><Relationship Id="rId77" Type="http://schemas.openxmlformats.org/officeDocument/2006/relationships/hyperlink" Target="mailto:fc1605918@student.qu.edu.qa" TargetMode="External"/><Relationship Id="rId100" Type="http://schemas.openxmlformats.org/officeDocument/2006/relationships/hyperlink" Target="https://pu.edu.pk/images/journal/history/PDF-FILES/16_57_1_20.pdf" TargetMode="External"/><Relationship Id="rId105" Type="http://schemas.openxmlformats.org/officeDocument/2006/relationships/hyperlink" Target="https://sageprofessor.com/wp-content/uploads/2017/10/creative-leadership-does-it-clash-across-cultures.pdf" TargetMode="External"/><Relationship Id="rId126" Type="http://schemas.openxmlformats.org/officeDocument/2006/relationships/hyperlink" Target="https://doi.org/10.1177/1548051819872201" TargetMode="External"/><Relationship Id="rId147" Type="http://schemas.openxmlformats.org/officeDocument/2006/relationships/hyperlink" Target="http://eprints.ums.ac.id/46088/" TargetMode="External"/><Relationship Id="rId168" Type="http://schemas.openxmlformats.org/officeDocument/2006/relationships/hyperlink" Target="https://doi.org/10.1111/j.1468-5957.1987.tb00106.x" TargetMode="External"/><Relationship Id="rId8" Type="http://schemas.openxmlformats.org/officeDocument/2006/relationships/endnotes" Target="endnotes.xml"/><Relationship Id="rId51" Type="http://schemas.openxmlformats.org/officeDocument/2006/relationships/hyperlink" Target="https://doi.org/10.2308/jiar-50205" TargetMode="External"/><Relationship Id="rId72" Type="http://schemas.openxmlformats.org/officeDocument/2006/relationships/hyperlink" Target="https://doi.org/10.1111/j.1540-6261.1997.tb04820.x" TargetMode="External"/><Relationship Id="rId93" Type="http://schemas.openxmlformats.org/officeDocument/2006/relationships/hyperlink" Target="https://doi.org/10.1080/14719037.2021.1960736" TargetMode="External"/><Relationship Id="rId98" Type="http://schemas.openxmlformats.org/officeDocument/2006/relationships/hyperlink" Target="https://doi.org/10.2307/2393235" TargetMode="External"/><Relationship Id="rId121" Type="http://schemas.openxmlformats.org/officeDocument/2006/relationships/hyperlink" Target="https://doi.org/10.3758/BF03206553" TargetMode="External"/><Relationship Id="rId142" Type="http://schemas.openxmlformats.org/officeDocument/2006/relationships/hyperlink" Target="https://doi.org/10.1016/j.jaccpubpol.2007.10.003" TargetMode="External"/><Relationship Id="rId163" Type="http://schemas.openxmlformats.org/officeDocument/2006/relationships/image" Target="media/image7.png"/><Relationship Id="rId184" Type="http://schemas.openxmlformats.org/officeDocument/2006/relationships/hyperlink" Target="https://doi.org/10.2307/2326770" TargetMode="External"/><Relationship Id="rId189" Type="http://schemas.openxmlformats.org/officeDocument/2006/relationships/hyperlink" Target="https://doi.org/10.1016/j.jbankfin.2013.11.018" TargetMode="External"/><Relationship Id="rId219" Type="http://schemas.openxmlformats.org/officeDocument/2006/relationships/hyperlink" Target="https://doi.org/10.1016/j.eswa.2013.01.012" TargetMode="External"/><Relationship Id="rId3" Type="http://schemas.openxmlformats.org/officeDocument/2006/relationships/numbering" Target="numbering.xml"/><Relationship Id="rId214" Type="http://schemas.openxmlformats.org/officeDocument/2006/relationships/hyperlink" Target="https://doi.org/https://doi.org/10.1111/j.1467-629x.2004.00132.x" TargetMode="External"/><Relationship Id="rId25" Type="http://schemas.openxmlformats.org/officeDocument/2006/relationships/hyperlink" Target="https://doi.org/10.1086/226550" TargetMode="External"/><Relationship Id="rId46" Type="http://schemas.openxmlformats.org/officeDocument/2006/relationships/hyperlink" Target="https://doi.org/10.1016/j.intacc.2014.01.007" TargetMode="External"/><Relationship Id="rId67" Type="http://schemas.openxmlformats.org/officeDocument/2006/relationships/hyperlink" Target="https://doi.org/10.1108/ara-04-2017-0064" TargetMode="External"/><Relationship Id="rId116" Type="http://schemas.openxmlformats.org/officeDocument/2006/relationships/hyperlink" Target="https://doi.org/10.5465/amr.2001.4011987" TargetMode="External"/><Relationship Id="rId137" Type="http://schemas.openxmlformats.org/officeDocument/2006/relationships/hyperlink" Target="https://doi.org/10.2753/REE1540-496X5004S4007" TargetMode="External"/><Relationship Id="rId158" Type="http://schemas.openxmlformats.org/officeDocument/2006/relationships/hyperlink" Target="https://doi.org/10.2308/jiar-2023-003" TargetMode="External"/><Relationship Id="rId20" Type="http://schemas.openxmlformats.org/officeDocument/2006/relationships/hyperlink" Target="https://doi.org/10.1007/s11186-012-9188-1" TargetMode="External"/><Relationship Id="rId41" Type="http://schemas.openxmlformats.org/officeDocument/2006/relationships/hyperlink" Target="https://doi.org/10.2308/jiar-50282" TargetMode="External"/><Relationship Id="rId62" Type="http://schemas.openxmlformats.org/officeDocument/2006/relationships/hyperlink" Target="https://doi.org/10.1007/s11142-012-9190-y" TargetMode="External"/><Relationship Id="rId83" Type="http://schemas.openxmlformats.org/officeDocument/2006/relationships/hyperlink" Target="https://doi.org/10.1111/iops.12059" TargetMode="External"/><Relationship Id="rId88" Type="http://schemas.openxmlformats.org/officeDocument/2006/relationships/hyperlink" Target="https://doi.org/10.1002/csr.1336" TargetMode="External"/><Relationship Id="rId111" Type="http://schemas.openxmlformats.org/officeDocument/2006/relationships/hyperlink" Target="https://doi.org/10.5465/amr.2010.0522" TargetMode="External"/><Relationship Id="rId132" Type="http://schemas.openxmlformats.org/officeDocument/2006/relationships/hyperlink" Target="https://doi.org/10.2308/accr.2009.84.2.467" TargetMode="External"/><Relationship Id="rId153" Type="http://schemas.openxmlformats.org/officeDocument/2006/relationships/hyperlink" Target="https://doi.org/10.55324/josr.v2i6.829" TargetMode="External"/><Relationship Id="rId174" Type="http://schemas.openxmlformats.org/officeDocument/2006/relationships/hyperlink" Target="https://doi.org/10.24912/jmieb.v2i2.1684" TargetMode="External"/><Relationship Id="rId179" Type="http://schemas.openxmlformats.org/officeDocument/2006/relationships/hyperlink" Target="https://www.jstor.org/stable/3069381" TargetMode="External"/><Relationship Id="rId195" Type="http://schemas.openxmlformats.org/officeDocument/2006/relationships/hyperlink" Target="https://doi.org/10.1016/0304-405x(86)90054-1" TargetMode="External"/><Relationship Id="rId209" Type="http://schemas.openxmlformats.org/officeDocument/2006/relationships/hyperlink" Target="mailto:vidiputri@ibs.ac.id" TargetMode="External"/><Relationship Id="rId190" Type="http://schemas.openxmlformats.org/officeDocument/2006/relationships/hyperlink" Target="https://doi.org/10.1016/0304-405x(84)90023-0" TargetMode="External"/><Relationship Id="rId204" Type="http://schemas.openxmlformats.org/officeDocument/2006/relationships/hyperlink" Target="mailto:mnakashima@bgu.ac.jp" TargetMode="External"/><Relationship Id="rId220" Type="http://schemas.openxmlformats.org/officeDocument/2006/relationships/hyperlink" Target="https://doi.org/10.1016/j.jacceco.2010.09.002" TargetMode="External"/><Relationship Id="rId225" Type="http://schemas.openxmlformats.org/officeDocument/2006/relationships/theme" Target="theme/theme1.xml"/><Relationship Id="rId15" Type="http://schemas.openxmlformats.org/officeDocument/2006/relationships/hyperlink" Target="mailto:pscarbrough@brocku.ca" TargetMode="External"/><Relationship Id="rId36" Type="http://schemas.openxmlformats.org/officeDocument/2006/relationships/footer" Target="footer1.xml"/><Relationship Id="rId57" Type="http://schemas.openxmlformats.org/officeDocument/2006/relationships/hyperlink" Target="https://doi.org/10.1177/0148558x15582087" TargetMode="External"/><Relationship Id="rId106" Type="http://schemas.openxmlformats.org/officeDocument/2006/relationships/hyperlink" Target="https://doi.org/10.5465/amr.2007.23463924" TargetMode="External"/><Relationship Id="rId127" Type="http://schemas.openxmlformats.org/officeDocument/2006/relationships/hyperlink" Target="https://doi.org/10.1002/nml.21391" TargetMode="External"/><Relationship Id="rId10" Type="http://schemas.openxmlformats.org/officeDocument/2006/relationships/hyperlink" Target="https://s-ueno.sakura.ne.jp/APMAA_asia/APMAA2025_Malaysia_Conference.htm" TargetMode="External"/><Relationship Id="rId31" Type="http://schemas.openxmlformats.org/officeDocument/2006/relationships/hyperlink" Target="mailto:halim@unmuhjember.ac.id" TargetMode="External"/><Relationship Id="rId52" Type="http://schemas.openxmlformats.org/officeDocument/2006/relationships/hyperlink" Target="https://doi.org/10.1057/palgrave.jibs.8490024" TargetMode="External"/><Relationship Id="rId73" Type="http://schemas.openxmlformats.org/officeDocument/2006/relationships/hyperlink" Target="https://doi.org/10.1111/j.1467-646x.2004.00102.x" TargetMode="External"/><Relationship Id="rId78" Type="http://schemas.openxmlformats.org/officeDocument/2006/relationships/image" Target="media/image3.png"/><Relationship Id="rId94" Type="http://schemas.openxmlformats.org/officeDocument/2006/relationships/hyperlink" Target="https://doi.org/10.5465/255331" TargetMode="External"/><Relationship Id="rId99" Type="http://schemas.openxmlformats.org/officeDocument/2006/relationships/hyperlink" Target="https://doi.org/10.1177/17427150241232164" TargetMode="External"/><Relationship Id="rId101" Type="http://schemas.openxmlformats.org/officeDocument/2006/relationships/hyperlink" Target="http://www.cambridge.org/9780521151740" TargetMode="External"/><Relationship Id="rId122" Type="http://schemas.openxmlformats.org/officeDocument/2006/relationships/hyperlink" Target="https://doi.org/10.1002/bse.467" TargetMode="External"/><Relationship Id="rId143" Type="http://schemas.openxmlformats.org/officeDocument/2006/relationships/hyperlink" Target="mailto:ge-gongye@ed.tmu.ac.jp" TargetMode="External"/><Relationship Id="rId148" Type="http://schemas.openxmlformats.org/officeDocument/2006/relationships/hyperlink" Target="https://www.cnnindonesia.com" TargetMode="External"/><Relationship Id="rId164" Type="http://schemas.openxmlformats.org/officeDocument/2006/relationships/hyperlink" Target="https://doi.org/10.2307/1879431" TargetMode="External"/><Relationship Id="rId169" Type="http://schemas.openxmlformats.org/officeDocument/2006/relationships/hyperlink" Target="https://doi.org/10.5296/bmh.v6i2.14195" TargetMode="External"/><Relationship Id="rId185" Type="http://schemas.openxmlformats.org/officeDocument/2006/relationships/hyperlink" Target="https://doi.org/10.1017/S0022109010000499" TargetMode="External"/><Relationship Id="rId4" Type="http://schemas.openxmlformats.org/officeDocument/2006/relationships/styles" Target="styles.xml"/><Relationship Id="rId9" Type="http://schemas.openxmlformats.org/officeDocument/2006/relationships/image" Target="media/image1.jpg"/><Relationship Id="rId180" Type="http://schemas.openxmlformats.org/officeDocument/2006/relationships/hyperlink" Target="https://doi.org/10.38124/ijisrt/ijisrt24aug057" TargetMode="External"/><Relationship Id="rId210" Type="http://schemas.openxmlformats.org/officeDocument/2006/relationships/hyperlink" Target="mailto:Mo.tranthi@phenikaa-uni.edu.vn" TargetMode="External"/><Relationship Id="rId215" Type="http://schemas.openxmlformats.org/officeDocument/2006/relationships/image" Target="media/image8.png"/><Relationship Id="rId26" Type="http://schemas.openxmlformats.org/officeDocument/2006/relationships/hyperlink" Target="https://doi.org/10.1177/0263276409349275" TargetMode="External"/><Relationship Id="rId47" Type="http://schemas.openxmlformats.org/officeDocument/2006/relationships/hyperlink" Target="https://doi.org/10.1111/j.1475-679x.2007.00226.x" TargetMode="External"/><Relationship Id="rId68" Type="http://schemas.openxmlformats.org/officeDocument/2006/relationships/hyperlink" Target="https://doi.org/10.1016/j.adiac.2015.09.007" TargetMode="External"/><Relationship Id="rId89" Type="http://schemas.openxmlformats.org/officeDocument/2006/relationships/hyperlink" Target="https://doi.org/10.1080/14697017.2023.2234388" TargetMode="External"/><Relationship Id="rId112" Type="http://schemas.openxmlformats.org/officeDocument/2006/relationships/hyperlink" Target="https://doi.org/10.3390/su9030355" TargetMode="External"/><Relationship Id="rId133" Type="http://schemas.openxmlformats.org/officeDocument/2006/relationships/hyperlink" Target="https://doi.org/10.1016/S0278-4254(96)00055-5" TargetMode="External"/><Relationship Id="rId154" Type="http://schemas.openxmlformats.org/officeDocument/2006/relationships/hyperlink" Target="https://doi.org/10.1016/j.aos.2021.101332" TargetMode="External"/><Relationship Id="rId175" Type="http://schemas.openxmlformats.org/officeDocument/2006/relationships/hyperlink" Target="https://doi.org/10.1086/261354" TargetMode="External"/><Relationship Id="rId196" Type="http://schemas.openxmlformats.org/officeDocument/2006/relationships/hyperlink" Target="https://doi.org/10.21511/imfi.18(4).2021.23" TargetMode="External"/><Relationship Id="rId200" Type="http://schemas.openxmlformats.org/officeDocument/2006/relationships/hyperlink" Target="https://doi.org/10.1016/j.chieco.2014.11.004" TargetMode="External"/><Relationship Id="rId16" Type="http://schemas.openxmlformats.org/officeDocument/2006/relationships/hyperlink" Target="https://doi.org/10.1177/0149206314529160" TargetMode="External"/><Relationship Id="rId221" Type="http://schemas.openxmlformats.org/officeDocument/2006/relationships/hyperlink" Target="https://doi.org/10.15549/jeecar.v9i2.700" TargetMode="External"/><Relationship Id="rId37" Type="http://schemas.openxmlformats.org/officeDocument/2006/relationships/footer" Target="footer2.xml"/><Relationship Id="rId58" Type="http://schemas.openxmlformats.org/officeDocument/2006/relationships/hyperlink" Target="https://www.jpx.co.jp/english/news/1020/20250808-01.html" TargetMode="External"/><Relationship Id="rId79" Type="http://schemas.openxmlformats.org/officeDocument/2006/relationships/image" Target="media/image4.png"/><Relationship Id="rId102" Type="http://schemas.openxmlformats.org/officeDocument/2006/relationships/hyperlink" Target="https://doi.org/10.1177/17427150221133888" TargetMode="External"/><Relationship Id="rId123" Type="http://schemas.openxmlformats.org/officeDocument/2006/relationships/hyperlink" Target="https://doi.org/10.1007/s10551-010-0716-6" TargetMode="External"/><Relationship Id="rId144" Type="http://schemas.openxmlformats.org/officeDocument/2006/relationships/hyperlink" Target="mailto:hosomi@tmu.ac.jp" TargetMode="External"/><Relationship Id="rId90" Type="http://schemas.openxmlformats.org/officeDocument/2006/relationships/hyperlink" Target="https://pure.rug.nl/ws/portalfiles/portal/14418733/02_c2.pdf" TargetMode="External"/><Relationship Id="rId165" Type="http://schemas.openxmlformats.org/officeDocument/2006/relationships/hyperlink" Target="https://doi.org/10.1108/jabs-10-2019-0305" TargetMode="External"/><Relationship Id="rId186" Type="http://schemas.openxmlformats.org/officeDocument/2006/relationships/hyperlink" Target="http://www.jstor.org/stable/3666262"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notes.xml.rels><?xml version="1.0" encoding="UTF-8" standalone="yes"?>
<Relationships xmlns="http://schemas.openxmlformats.org/package/2006/relationships"><Relationship Id="rId1" Type="http://schemas.openxmlformats.org/officeDocument/2006/relationships/hyperlink" Target="https://www.jpx.co.jp/equities/improvements/ifrs/02.htm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znSw9sRXL+nPlwY6Jbik3ifw9oQ==">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B85F019-D413-482C-860A-9EE94FFC9F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266</Pages>
  <Words>117947</Words>
  <Characters>672300</Characters>
  <Application>Microsoft Office Word</Application>
  <DocSecurity>0</DocSecurity>
  <Lines>5602</Lines>
  <Paragraphs>1577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788670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Zarinah</dc:creator>
  <cp:lastModifiedBy>進 上埜</cp:lastModifiedBy>
  <cp:revision>2</cp:revision>
  <cp:lastPrinted>2025-10-19T21:02:00Z</cp:lastPrinted>
  <dcterms:created xsi:type="dcterms:W3CDTF">2026-02-23T01:49:00Z</dcterms:created>
  <dcterms:modified xsi:type="dcterms:W3CDTF">2026-02-23T01:49:00Z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e077e6ae-313d-4f07-a9d9-4cbde1db2d13</vt:lpwstr>
  </property>
</Properties>
</file>